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olor w:val="3E3E3E"/>
          <w:sz w:val="36"/>
          <w:szCs w:val="36"/>
          <w:lang w:eastAsia="zh-CN"/>
        </w:rPr>
      </w:pPr>
      <w:r>
        <w:rPr>
          <w:rFonts w:hint="eastAsia" w:asciiTheme="minorEastAsia" w:hAnsiTheme="minorEastAsia"/>
          <w:b/>
          <w:color w:val="3E3E3E"/>
          <w:sz w:val="36"/>
          <w:szCs w:val="36"/>
        </w:rPr>
        <w:t>山东益大新材料股份有限公司10万吨/年针状焦高精细化学材料综合利用项目</w:t>
      </w:r>
      <w:r>
        <w:rPr>
          <w:rFonts w:asciiTheme="minorEastAsia" w:hAnsiTheme="minorEastAsia"/>
          <w:b/>
          <w:color w:val="3E3E3E"/>
          <w:sz w:val="36"/>
          <w:szCs w:val="36"/>
        </w:rPr>
        <w:t>环境保护自行验收</w:t>
      </w:r>
      <w:r>
        <w:rPr>
          <w:rFonts w:hint="eastAsia" w:asciiTheme="minorEastAsia" w:hAnsiTheme="minorEastAsia"/>
          <w:b/>
          <w:color w:val="3E3E3E"/>
          <w:sz w:val="36"/>
          <w:szCs w:val="36"/>
          <w:lang w:val="en-US" w:eastAsia="zh-CN"/>
        </w:rPr>
        <w:t>基本内容</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2022年10月0</w:t>
      </w:r>
      <w:r>
        <w:rPr>
          <w:rFonts w:hint="eastAsia" w:ascii="仿宋" w:hAnsi="仿宋" w:eastAsia="仿宋"/>
          <w:color w:val="3E3E3E"/>
          <w:sz w:val="30"/>
          <w:szCs w:val="30"/>
          <w:lang w:val="en-US" w:eastAsia="zh-CN"/>
        </w:rPr>
        <w:t>9</w:t>
      </w:r>
      <w:bookmarkStart w:id="0" w:name="_GoBack"/>
      <w:bookmarkEnd w:id="0"/>
      <w:r>
        <w:rPr>
          <w:rFonts w:hint="eastAsia" w:ascii="仿宋" w:hAnsi="仿宋" w:eastAsia="仿宋"/>
          <w:color w:val="3E3E3E"/>
          <w:sz w:val="30"/>
          <w:szCs w:val="30"/>
        </w:rPr>
        <w:t>日</w:t>
      </w:r>
      <w:r>
        <w:rPr>
          <w:rFonts w:ascii="仿宋" w:hAnsi="仿宋" w:eastAsia="仿宋"/>
          <w:color w:val="3E3E3E"/>
          <w:sz w:val="30"/>
          <w:szCs w:val="30"/>
        </w:rPr>
        <w:t>，</w:t>
      </w:r>
      <w:r>
        <w:rPr>
          <w:rFonts w:hint="eastAsia" w:ascii="仿宋" w:hAnsi="仿宋" w:eastAsia="仿宋"/>
          <w:color w:val="3E3E3E"/>
          <w:sz w:val="30"/>
          <w:szCs w:val="30"/>
        </w:rPr>
        <w:t>山东益大新材料股份有限公司</w:t>
      </w:r>
      <w:r>
        <w:rPr>
          <w:rFonts w:ascii="仿宋" w:hAnsi="仿宋" w:eastAsia="仿宋"/>
          <w:color w:val="3E3E3E"/>
          <w:sz w:val="30"/>
          <w:szCs w:val="30"/>
        </w:rPr>
        <w:t>组织召开</w:t>
      </w:r>
      <w:r>
        <w:rPr>
          <w:rFonts w:hint="eastAsia" w:ascii="仿宋" w:hAnsi="仿宋" w:eastAsia="仿宋"/>
          <w:color w:val="3E3E3E"/>
          <w:sz w:val="30"/>
          <w:szCs w:val="30"/>
        </w:rPr>
        <w:t>10万吨/年针状焦高精细化学材料综合利用项目</w:t>
      </w:r>
      <w:r>
        <w:rPr>
          <w:rFonts w:ascii="仿宋" w:hAnsi="仿宋" w:eastAsia="仿宋"/>
          <w:color w:val="3E3E3E"/>
          <w:sz w:val="30"/>
          <w:szCs w:val="30"/>
        </w:rPr>
        <w:t>环境保护验收现场会。验收组由工程建设单位（</w:t>
      </w:r>
      <w:r>
        <w:rPr>
          <w:rFonts w:hint="eastAsia" w:ascii="仿宋" w:hAnsi="仿宋" w:eastAsia="仿宋"/>
          <w:color w:val="3E3E3E"/>
          <w:sz w:val="30"/>
          <w:szCs w:val="30"/>
        </w:rPr>
        <w:t xml:space="preserve">山东益大新材料股份有限公司 </w:t>
      </w:r>
      <w:r>
        <w:rPr>
          <w:rFonts w:ascii="仿宋" w:hAnsi="仿宋" w:eastAsia="仿宋"/>
          <w:color w:val="3E3E3E"/>
          <w:sz w:val="30"/>
          <w:szCs w:val="30"/>
        </w:rPr>
        <w:t>）</w:t>
      </w:r>
      <w:r>
        <w:rPr>
          <w:rFonts w:hint="eastAsia" w:ascii="仿宋" w:hAnsi="仿宋" w:eastAsia="仿宋"/>
          <w:color w:val="3E3E3E"/>
          <w:sz w:val="30"/>
          <w:szCs w:val="30"/>
        </w:rPr>
        <w:t>、</w:t>
      </w:r>
      <w:r>
        <w:rPr>
          <w:rFonts w:ascii="仿宋" w:hAnsi="仿宋" w:eastAsia="仿宋"/>
          <w:color w:val="3E3E3E"/>
          <w:sz w:val="30"/>
          <w:szCs w:val="30"/>
        </w:rPr>
        <w:t>监测单位（</w:t>
      </w:r>
      <w:r>
        <w:rPr>
          <w:rFonts w:hint="eastAsia" w:ascii="仿宋" w:hAnsi="仿宋" w:eastAsia="仿宋"/>
          <w:color w:val="3E3E3E"/>
          <w:sz w:val="30"/>
          <w:szCs w:val="30"/>
        </w:rPr>
        <w:t>山东修瑞德质量检测技术有限公司</w:t>
      </w:r>
      <w:r>
        <w:rPr>
          <w:rFonts w:ascii="仿宋" w:hAnsi="仿宋" w:eastAsia="仿宋"/>
          <w:color w:val="3E3E3E"/>
          <w:sz w:val="30"/>
          <w:szCs w:val="30"/>
        </w:rPr>
        <w:t>）</w:t>
      </w:r>
      <w:r>
        <w:rPr>
          <w:rFonts w:hint="eastAsia" w:ascii="仿宋" w:hAnsi="仿宋" w:eastAsia="仿宋"/>
          <w:color w:val="3E3E3E"/>
          <w:sz w:val="30"/>
          <w:szCs w:val="30"/>
        </w:rPr>
        <w:t>及</w:t>
      </w:r>
      <w:r>
        <w:rPr>
          <w:rFonts w:ascii="仿宋" w:hAnsi="仿宋" w:eastAsia="仿宋"/>
          <w:color w:val="3E3E3E"/>
          <w:sz w:val="30"/>
          <w:szCs w:val="30"/>
        </w:rPr>
        <w:t>特邀</w:t>
      </w:r>
      <w:r>
        <w:rPr>
          <w:rFonts w:hint="eastAsia" w:ascii="仿宋" w:hAnsi="仿宋" w:eastAsia="仿宋"/>
          <w:color w:val="3E3E3E"/>
          <w:sz w:val="30"/>
          <w:szCs w:val="30"/>
        </w:rPr>
        <w:t>相关</w:t>
      </w:r>
      <w:r>
        <w:rPr>
          <w:rFonts w:ascii="仿宋" w:hAnsi="仿宋" w:eastAsia="仿宋"/>
          <w:color w:val="3E3E3E"/>
          <w:sz w:val="30"/>
          <w:szCs w:val="30"/>
        </w:rPr>
        <w:t>专家（名单附后）组成。</w:t>
      </w:r>
      <w:r>
        <w:rPr>
          <w:rFonts w:hint="eastAsia" w:ascii="仿宋" w:hAnsi="仿宋" w:eastAsia="仿宋"/>
          <w:color w:val="3E3E3E"/>
          <w:sz w:val="30"/>
          <w:szCs w:val="30"/>
        </w:rPr>
        <w:t>验收组现场查阅并核实了本项目建设运营期配套环境保护设施的建设与运行情况，根据《建设项目环境保护管理条例》以及《建设项目竣工环境保护验收暂行办法》国环规环评【2017】4号文相关要求，经认真研究讨论形成验收意见如下：</w:t>
      </w:r>
    </w:p>
    <w:p>
      <w:pPr>
        <w:pStyle w:val="21"/>
        <w:shd w:val="clear" w:color="auto" w:fill="FFFFFF"/>
        <w:spacing w:before="0" w:beforeAutospacing="0" w:after="0" w:afterAutospacing="0" w:line="384" w:lineRule="atLeast"/>
        <w:ind w:firstLine="602" w:firstLineChars="200"/>
        <w:jc w:val="both"/>
        <w:rPr>
          <w:rFonts w:ascii="仿宋" w:hAnsi="仿宋" w:eastAsia="仿宋"/>
          <w:sz w:val="30"/>
          <w:szCs w:val="30"/>
        </w:rPr>
      </w:pPr>
      <w:r>
        <w:rPr>
          <w:rStyle w:val="25"/>
          <w:rFonts w:ascii="仿宋" w:hAnsi="仿宋" w:eastAsia="仿宋"/>
          <w:sz w:val="30"/>
          <w:szCs w:val="30"/>
        </w:rPr>
        <w:t>一、工程建设基本情况</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山东益大新材料股份有限公司位于山东省济宁市嘉祥县经济开发区化工产业园益大路1号，公司2022年1月份投资8000万元建设10万吨/年针状焦高精细化学材料综合利用项目，公司2022年01月委托中环博宏（山东）环境技术有限公司对该项目进行了环境影响评价，依据《环境影响评价技术导则》的要求编制完成了《10万吨/年针状焦高精细化学材料综合利用项目环境影响报告书》，并与2022年08月01日取得了济宁市生态环境局嘉祥县分局的环评批复，审批文号为：济环审（嘉祥）【2022】6号文。</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 xml:space="preserve">本项目生产工艺: </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1、油系预处理装置工艺流程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（1）油系原料预处理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催化油浆经泵送至本装置原料预处理部分，经油浆经换热器换热后进减压加热炉，通过减压加热炉加热后进减压塔。减压塔增加一级减三线工艺，在减压塔中经减压蒸馏，塔顶油气经减顶冷凝器冷凝、真空分液罐分液后，不凝气由减顶抽真空泵经燃料气系统送减压加热炉燃烧，减压塔底减压尾油由泵抽出，经油浆-减压尾油换热器与油浆换热后，再经减压尾油冷却器冷却后至罐区储存，作为产品销售，减底尾油中含大量的胶质、沥青质和催化剂固体颗粒，主要用做氧化沥青装置原料。减顶油也称拔头油，经泵送罐区储存，作为成品销售，用做燃料油，另一部分经减一线冷却器冷却至90℃进抽提塔进料缓冲罐做为糠醛抽提的原料油。</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（2）糠醛抽提</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原料油自抽提塔进料缓冲罐经抽提进料泵送至抽提塔下部。自溶剂回收部分来的干糠醛及补充新鲜糠醛至糠醛进料缓冲罐，经糠醛进料泵送至糠醛进料加热器加热后进抽提塔上部。抽提溶剂糠醛在抽提塔中溶解萃取原料油中的重芳烃。经过一定时间的抽提、沉降，油中的蜡油组分作为抽余液聚集在抽提塔的顶部，油中的重芳烃溶解在溶剂糠醛中，抽余液自流至抽余液缓冲罐，经抽余液泵送至溶剂回收部分，抽提塔底部的抽出液经抽出液泵送至溶剂回收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（3）溶剂回收</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由抽出液泵送来的抽出液先进抽出液-重芳烃换热器，与抽出液减压汽提塔底重芳烃换热，经进料加热器通过导热油加热后进入抽出液闪蒸塔，在闪蒸塔中通过闪蒸，塔顶出来的糠醛油气直接进入糠醛干燥塔下部，闪蒸塔的塔底抽出液经塔底泵送至进料加热器通过导热油加热后进入抽出液减压汽提塔，在抽出液减压汽提塔中通过减压汽提，塔顶出来的糠醛油气经塔顶油气冷凝器冷凝冷却至40℃后进塔顶冷凝器分液罐。抽出液减压汽提塔塔底出来的重芳烃经抽出泵送至换热器换热、冷却器冷却至90℃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由抽余液泵送来的抽余液先进蜡油-抽余液换热器与抽余液减压汽提塔底出来的蜡油换热，再进抽余液-减二线换热器与减二线换热后，经进料加热器加热后进抽余液减压汽提塔，在抽余液减压汽提塔中经过减压汽提，塔顶出来的糠醛油气经塔顶油气冷凝器冷凝冷却至40℃后进塔顶冷凝器分液罐；抽余液减压汽提塔塔底出来的蜡油经蜡油抽出泵送至蜡油-抽余液换热器与抽余液换热后，再经蜡油冷却器冷却后送至罐区。来自塔顶冷凝器分液罐、糠醛干燥塔塔顶冷凝器和污水净化塔塔顶冷却器的含水糠醛全部进入溶剂分离罐静置分离，底层出来的湿糠醛，通过界位控制经糠醛干燥塔进料泵送至干糠醛-湿糠醛换热器与底干糠醛换热后，进糠醛干燥塔，溶剂分离罐上层出来的含醛污水，自流至含醛污水储罐，在含醛污水储罐中经静置分离后，含油污水自流出装置，含醛污水经污水净化塔进料泵送入污水净化塔处理。含水糠醛（湿糠醛）与溶剂分离罐底层出来的湿糠醛一起经糠醛干燥塔进料泵，送入糠醛干燥塔在糠醛干燥塔中，塔顶出来的醛水共沸物经过糠醛干燥塔塔顶冷凝器冷凝后进入溶剂分离罐，糠醛干燥塔底出来的干糠醛经抽出泵送至换热器与来自糠醛干燥塔进料泵的湿糠醛换热后，再经干糠醛冷却后进糠醛进料缓冲罐作为抽提溶剂循环使用。来自污水净化塔进料泵的含醛污水进入污水净化塔，在塔中经过汽提，在形成的醛水共沸物从塔顶流出，经污水净化塔塔顶冷却器冷却到40℃后流入溶剂分离罐回收糠醛，塔底出来的净化污水，由净化污水泵送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抽余液减压汽提塔、抽出液减压汽提塔为真空操作，塔顶出来的糠醛油气经过冷凝后，进入塔顶冷凝器分液罐，经过分液后，气相通过减压抽空气后冷却器和抽空系统后冷凝器分液罐进一步冷凝分液后，由真空泵，送加热炉燃烧处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（4）导热油系统流程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装置加热后的导热油回油240℃经导热油循环油泵送至导热油炉加热至260℃，加热后的导热油通过管道至装置溶剂回收部分各塔器进料加热器。导热油炉燃料为自厂区管网来的干气。导热油烟气设置有余热回收系统，烟气与空气预热后排放。</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本装置采用DCS控制系统对工艺生产装置及与工艺生产装置相配套的公用工程部分进行监控。本装置对易凝油品的测量管路进行伴热，伴热介质为蒸汽。</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2、油系焦化工艺流程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（1）延迟焦化部分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罐区来的富芳烃油进入装置后依次进入柴油-原料油换热器、中段循环油换热器\蜡油-原料油换热器换热到269℃后，进入原料缓冲罐，经原料泵升压后，再进入原料油加热炉对流段，预热至360℃后分两路进入分馏塔底和第30层塔盘上，原料油与来自焦炭塔顶的426℃热油气接触换热。原料油中蜡油以上重馏分与热油气中被冷凝的循环油一起流入塔底，在362℃下经加热炉进料泵入口过滤器用加热炉进料泵抽出去焦化炉加热。分别在焦化炉对流室前、辐射室前、辐射室注入3.5MPa中压蒸汽（或注入除氧水），以防止炉管结焦。经过焦化炉对流段、辐射段物料被快速加热到520℃后通过四通阀进入焦炭塔底部。从焦化炉出来的高温油气在焦炭塔内由于高温和长停留时间，产生裂解、缩合等一系列反应，最后生成针状焦（生焦）和焦化油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针状焦（生焦）结聚在焦炭塔内，高温的焦化油气自塔顶进入分馏塔换热板下。从焦炭塔顶流出的426℃热油气在分馏塔换热段与原料油换热后，循环油流入塔底，其余大量油气经29层塔盘进入集油箱以上分馏段。从下往上分馏出蜡油、柴油、汽油和富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分馏塔底循环油(362℃)经过滤器过滤后，用塔底循环油泵打循环以防止塔底结焦。蜡油自蜡油集油箱（333℃）由蜡油泵抽出，至蜡油-原料油换热器与原料油换热后，分成五路：一路作回流，分别返回到分馏塔集油箱下和分馏塔第25层塔盘，以调节集油箱气相温度；一路去焦炭塔顶作为急冷油；一路去封油冷却器冷却后进封油罐作机泵封油；另一路经与蜡油水冷器换热冷却到90℃后送出装置；另一路去原料缓冲罐储存后再打回经原料油加热炉后返回分馏塔。中段回流从第19层塔盘（300℃）由中段回流泵抽出，经中段循环油换热器和中段回流-除盐水换热器，换热到210℃后返回到第16层塔盘作回流。</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柴油自分馏塔由柴油泵抽出，经柴油原料油换热器，柴油富吸收油换热器后一部分返回分馏塔作柴油回流，另一部分去柴油空冷器冷却至50℃后，再去柴油水冷器冷却至40℃后又分为两路：一路出装置，另一路去吸收稳定的再吸收塔作吸收油。由吸收稳定返回的富吸收柴油经柴油富吸收油换热器换热后（147℃）返回分馏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分馏塔塔顶回流由分馏塔顶循环回流泵抽出经顶回流除盐水换热器后返回分馏塔。分馏塔塔顶油气经分馏塔顶空冷器和水冷器冷却至40℃后在分馏塔顶油气分离罐中进行气液分离。重组分的粗汽油由汽油泵抽出送至吸收稳定单元。含硫污水由含硫污水泵送往厂区污水汽提装置，在分馏塔顶油气（112℃）挥发线上注入氨水、含硫污水。分离罐顶部的焦化富气去富气分液罐。底部汽油经汽油泵送至吸收稳定部分的吸收塔。底部的含硫污水经含硫污水泵压送后分两路：一路打入分馏塔顶气相线上，另一路出装置。焦炭塔小吹汽来的油气经大油气线进分馏塔分馏。焦炭塔大吹汽，给水冷焦产生的大量高温（≥180℃）蒸汽及少量油气进入接触冷却塔，从顶部打入蜡油馏分洗涤下油气中的柴油馏分。重油段底用接触冷却塔底泵抽出，经水箱冷却器冷却后，一部分作重油段顶回流，控制顶气相温度；另一部分去分馏塔回炼或送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重油段顶油气及总管来的乏气直接进入接触冷却塔顶空冷器。顶部水蒸汽及少量轻烃气经接触冷却塔顶空冷器、接触冷却塔顶水冷器冷却到40℃，进入接触冷却塔顶油气分离罐，分出的污水由污水泵送入冷焦热水罐或酸性水汽提处理。接触冷却塔顶油气分离罐顶部的不凝气直接排入火炬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焦炭塔瓦斯预热过程中冷凝下的甩油，从焦炭塔底流到甩油罐。自甩油罐底出来的甩油经过滤器后用甩油泵抽出后分二路：一路去分馏塔回炼，另一路经甩油水冷器冷却后出装置。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（2）吸收稳定部分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焦化部分来的富气进入富气压缩机入口分液罐分液，经富气压缩机升压至1.4Mpa，与解吸塔的轻组分一起进入富气水冷器冷却至40℃后进入富气分离罐，分离出的富气进入吸收塔，从焦化汽油泵来的粗汽油进入吸收塔上段作为吸收剂，从稳定塔来的稳定石脑油打入塔顶部，与塔底气体逆流接触，富气中的C3、C4组分大部分被吸收下来。吸收塔设中段回流，从吸收塔顶出来的带少量吸收剂的贫气自压进入再吸收塔底部，再吸收塔塔顶打入来自柴油水冷器的柴油，柴油作为吸收剂与自下而上的贫气逆流接触，以脱除气体中夹带的石脑油组分。再吸收塔的塔顶气体为干气，干气送至双脱部分进行干气脱硫。再吸收塔底的富吸收柴油返回分馏塔。从富气分液罐抽出的凝缩油经解析塔进料泵升压后进入解析塔进料换热器，换热至75℃后进入解吸塔顶部。吸收塔底富吸收油经吸收塔底泵升压后，进入富气分液罐。解吸塔底重沸器由装置外来的导热油提供全塔热源，凝缩油经解析脱出所含有的轻组分，轻组分送至富气水冷器冷却后进入富气分液罐，再进入吸收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解吸塔塔底油经稳定塔进料泵升压，进入稳定塔，稳定塔底重沸器由装置外来的导热油提供全塔热源。塔顶馏出物经稳定塔顶水冷器冷却至58℃进入稳定塔顶回流罐。</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（3）双脱部分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再吸收塔的塔顶气体为干气，干气自压至焦化干气分液罐，分液后进入焦化干气脱硫塔。干气自下而上经22层单溢流塔盘与从塔顶流下的贫胺液逆向接触，干气中的酸性物质H2S、CO2被胺液吸收。脱除酸性气后的干气进入位于干气脱硫塔上方的干气溶剂沉降罐，分离携带的胺液，净化后干气进入全厂燃料气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液化烃经稳定塔回流泵升压后一部分作为稳定塔回流，另一路经液化气水冷器冷却至40℃后打入液化气脱硫塔。稳定塔底的稳定石脑油经解析塔进料换热器、稳定汽油除氧水换热器换热后，再经过稳定汽油空冷器及稳定汽油水冷器冷却后，一部分经稳定汽油泵升压后进入吸收塔作为吸收剂，另一部分稳定石脑油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稳定塔顶来的液化烃，进入液化气脱硫塔底部。经13层筛孔塔盘与从塔顶流下的贫胺液逆向接触，液化气中H2S被胺液吸收。净化后的液化气从塔顶溢出，经液化烃溶剂沉降罐分离携带的胺液，再经烃碱混合器，液化烃碱洗罐分离携带的碱液后进入烃水混合器水洗，再进液化烃水洗沉降罐分离携带的水后的脱硫液化烃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从液化烃碱洗罐出来的富碱首先经碱液加热器加热到55℃左右进入碱液氧化塔底部，在碱液氧化塔内碱液中的硫醇钠被空气氧化为二硫化物，碱液也得到再生。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从碱液氧化塔排出的碱液在碱液二硫化物分离罐中与二硫化物分离后，并由碱液循环泵送至烃碱混合器的入口，循环使用。</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非净化风从底部侧面进入碱液氧化塔，尾气自二硫化物分离罐分出，排入厂区酸性气管网。根据全厂统一考虑，本装置所需碱液由系统管输进入，从系统过来的碱液进入碱液配制罐，由碱液配制罐配置后，送至脱硫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（4）冷焦水部分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焦炭塔在大吹汽完毕后，焦化塔内温度约320℃，由冷焦水泵抽冷焦水送至焦炭塔进行冷焦。当焦炭塔顶温度降至80℃以下，冷焦完毕，塔内存水经放水线放净，将水排入冷焦储水罐。冷却过程中蒸汽导入放空塔。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冷焦过程中冷焦水由塔底进入，与热焦炭及热裂解生成物接触换热后由焦炭塔顶溢流和塔底排出，主要分布在冷焦水热水罐及冷焦水处理系统。本工程设置冷焦水密闭自循环系统，与切焦水分开单独处理。处理后在冷焦水冷水罐中回用冷焦，没有废水外排。</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具体处理流程为：焦炭塔运行至冷焦时，开启冷焦水给水泵，将冷焦水从冷焦水储水罐送入焦炭塔进行冷焦，冷焦溢流排入冷焦热水罐，储水罐上部设周边环形集油槽，油浮至水面，溢流排入集水槽，通过管道进入污油罐，粉焦沉至罐底。污油罐中的油沉降至含水率合格后，送有资质单位处置，废水送污水处理装置处理。冷焦溢流出水经冷焦热水泵加压经离心分离器除焦粉后送至旋流分离器进一步除油，再经空气冷却器冷却降温，空冷器出水送至冷焦水储水罐储存再用。冷焦冷水罐内粉焦沉降至罐底，罐底定期排污自流排至粉焦池。</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（5）水力除焦系统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切焦采用单井架双钻具方式，高压水泵从切焦水贮存罐抽出的切焦水，打到焦炭塔顶，进行水力除焦。从焦炭塔排出的焦炭和切焦水入贮焦池，切焦水溢流到一次沉淀池，大颗粒粉焦沉淀下来，再进入二次沉淀池。沉淀池内设三道格网，拦截粉焦。粉焦沉淀后，开启切焦水提升泵，将沉淀后的水送入切焦水贮罐贮存，供高压水泵切焦用。微细粉焦将在贮罐内继续沉淀，罐内设置油罐搅拌器进行搅拌，粉焦通过罐底排污阀由粉焦泵抽送至贮焦池。</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焦炭塔切焦用的高压水，由高压水泵送出，经三位控制阀送到水力切焦器切焦。焦炭塔底出来的切焦水经过储焦池、一次沉淀池、二次沉淀池，用切焦水提升泵送至切焦水储罐，作切焦用水。</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焦炭塔冷焦水（冷焦溢流水+冷焦放空水）去冷焦热水罐，用冷焦给水泵抽出，送往冷焦水空冷器进行冷却，最后冷却后的水返回至冷焦水储水罐待焦炭塔冷焦时使用。</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冷焦热水罐隔出的浮焦进入浮焦罐，用冷焦水浮焦泵抽出进行回炼或出装置。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本装置每天给冷焦一次，小给水时间为2h，大给水时间为2.5h，给水冷焦时，约5%的冷焦水转化为蒸汽进入油水分离器。每天切焦一次，切焦时间为2h。</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（6）干气、液化气脱硫部分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再吸收塔顶干气经干气分液罐分液后，进入干气脱硫塔，与浓度25%的甲基二乙醇胺溶液逆向接触，干气中的硫化氢和部分二氧化碳被溶剂吸收，塔顶净化干气经净化干气分液罐分液后，送至厂区燃料气管网。</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汽油稳定塔顶来的液化气，进入液化气脱硫塔底部。经筛孔塔盘与从塔顶流下的贫胺液逆向接触，液化气中H2S被胺液吸收。净化后的液化气从塔顶溢出，经液化气溶剂沉降罐分离携带的胺液，再经烃碱混合器与碱液混合后进入碱洗沉降罐，经沉降分离后，碱液循环使用，废碱液去酸性水汽提装置，液化气至脱硫醇塔，用溶解有磺化钛氰钴催化剂的碱液进行液液抽提，脱硫醇后的液化气用水洗以除去微量碱，再进液化气水洗沉降罐分离携带的水后的脱硫液化气出装置，沉降罐产生水洗废水至酸性水汽提装置使用。</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3、针状焦煅烧装置工艺流程</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1、针状焦煅烧装置罐式炉单元</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（1）工艺流程</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①焦炭流程</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本装置加工原料为焦化生焦，由相邻的针状焦焦化装置供给。焦化生焦由转运设施送至罐式炉煅烧单元的煅前仓内。输送至煅前仓内的脱水生焦在皮带输送的过程中用电磁除铁器把物料中的铁类杂质分离出来。经皮带机、斗提机等输送设备将脱水生焦运送至两组36罐的罐式炉中进行煅烧，煅烧温度1400~1450℃。煅后焦经过罐式炉底部的水冷壁冷却至≯60℃，经罐式炉底部放出。水冷壁为夹套式间接冷却设备，高温煅后焦在内部，夹套内由下而上流经冷却水将热量带走，将煅后焦冷却。</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煅烧后的针状焦在罐式炉的底部放出后，通过皮带机、斗提设备提升至煅后仓仓顶。在煅后仓仓顶设有一煅后筛分设备，根据客户需要的粒径不同，将筛分出来的不同粒径的煅后焦分别由各自皮带机运输至不同的煅后仓中储存。煅后仓中的针状焦在仓底部设置半自动吨包包装机，包装成吨袋，通过板链运输机运输到成品仓库进行存储。</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②冷却水循环流程</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本项目煅烧装置内部设有一独立的冷却水循环系统。经罐式炉水冷夹套流出的约65℃热水通过集合管汇总后，自流进入冷却水接收槽内。</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冷却水接收槽内部的热水经冷却水泵打入冷却水空冷器内，通过空冷器冷却后的约55℃的冷水带压再流入罐式炉水冷夹套底部入口。</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本项目罐式炉煅烧单元和回转窑煅烧单元共用一套冷却水循环系统，两个单元的冷却水分别由各自的冷却水泵打入各自的冷却水空冷器内，再集合返回至冷却水接收槽。</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③烟气余热锅炉、脱硫脱硝处理流程</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煅烧过程中产生的950℃~1000℃左右的高温烟气进入余热锅炉副产1.6MPaG、300℃的过热蒸汽供全厂使用，烟气温度降至250℃左右，进入脱硝反应器。罐式炉煅烧单元的余热锅炉自配旋膜除氧器供余热锅炉发生蒸汽用。</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经余热锅炉冷却后的烟气进入SCR脱硝反应器。SCR脱硝配备一套氨水装卸、中转及注氨设施，经供氨泵打出的氨水送至SCR反应器内与烟气中的NOx等组分充分反应，脱去氮组分后进入脱硫塔。</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经SCR脱硝后的烟气先经过引风机增压后进入脱硫塔。脱硫选用FGD石灰-石膏法脱硫工艺，采用涡轮增压湍流塔传质技术，能够满足二氧化硫排放浓度达到排放标准。脱硫塔配套设有降温处理系统、脱硫循环系统、曝气氧化系统、扰动系统、烟气脱水系统、工艺水系统、脱硫副产物处理系统、石灰储存及制浆系统、烟风道系统、电气控制系统等。</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脱硫剂采用石灰粉，气相主体中的二氧化硫先迅速扩散到液体表面的气膜，并穿透液界面快速溶入液相中，通过一系列的水和、离解过程，与脱硫剂进行反应。脱硫最终产物为稳定性强的二水硫酸钙，即石膏。石膏储存在厂区固废库。</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除尘系统选用湿式电除尘工艺，湿电除尘器壳体独立设置钢结构支撑。湿电除尘器由阴极线和氧气管组成，当烟气经过高压电场，高压电场使烟气中的烟尘和雾滴带电，形成带电离子，带电离子向相反电荷的电极运动。带电离子到达电极后进行放电，形成中性尘、雾颗粒，沉积于电极上凝集、降落而被除去。</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含尘烟气经脱硫塔上部出口后，由湿电除尘器底部进入，经净化后的烟气烟尘浓度降至≤10mg/m3由湿电除尘器下部烟道进入烟囱排放。</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④除尘设备及点位描述</w:t>
      </w:r>
    </w:p>
    <w:p>
      <w:pPr>
        <w:spacing w:line="360" w:lineRule="auto"/>
        <w:ind w:firstLine="750" w:firstLineChars="250"/>
        <w:rPr>
          <w:rFonts w:ascii="仿宋" w:hAnsi="仿宋" w:eastAsia="仿宋"/>
          <w:bCs/>
          <w:color w:val="3E3E3E"/>
          <w:sz w:val="30"/>
          <w:szCs w:val="30"/>
        </w:rPr>
      </w:pPr>
      <w:r>
        <w:rPr>
          <w:rFonts w:hint="eastAsia" w:ascii="仿宋" w:hAnsi="仿宋" w:eastAsia="仿宋"/>
          <w:bCs/>
          <w:color w:val="3E3E3E"/>
          <w:sz w:val="30"/>
          <w:szCs w:val="30"/>
        </w:rPr>
        <w:t>本项目罐式炉煅烧单元设有除尘系统。在煅烧车间内的皮带机、斗提机等输送设备的连接点，以及煅后仓顶的煅后除尘器附近等容易散发焦炭粉尘颗粒的点位，由集气罩统一引风至除尘器内。除尘器内部保持负压，在出口处设有离心风机抽气。</w:t>
      </w:r>
    </w:p>
    <w:p>
      <w:pPr>
        <w:spacing w:line="360" w:lineRule="auto"/>
        <w:ind w:firstLine="753" w:firstLineChars="250"/>
        <w:rPr>
          <w:rFonts w:ascii="仿宋" w:hAnsi="仿宋" w:eastAsia="仿宋"/>
          <w:color w:val="3E3E3E"/>
          <w:sz w:val="30"/>
          <w:szCs w:val="30"/>
        </w:rPr>
      </w:pPr>
      <w:r>
        <w:rPr>
          <w:rFonts w:ascii="仿宋" w:hAnsi="仿宋" w:eastAsia="仿宋"/>
          <w:b/>
          <w:color w:val="3E3E3E"/>
          <w:sz w:val="30"/>
          <w:szCs w:val="30"/>
        </w:rPr>
        <w:t>二、工程变更情况</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 xml:space="preserve">项目在实际建设过程中项目的性质、地点、生产工艺、环保措施等未发生变化，因此本项目未发生重大变动。 </w:t>
      </w:r>
    </w:p>
    <w:p>
      <w:pPr>
        <w:pStyle w:val="21"/>
        <w:shd w:val="clear" w:color="auto" w:fill="FFFFFF"/>
        <w:spacing w:before="0" w:beforeAutospacing="0" w:after="0" w:afterAutospacing="0" w:line="384" w:lineRule="atLeast"/>
        <w:ind w:firstLine="602" w:firstLineChars="200"/>
        <w:jc w:val="both"/>
        <w:rPr>
          <w:rStyle w:val="25"/>
          <w:rFonts w:ascii="仿宋" w:hAnsi="仿宋" w:eastAsia="仿宋"/>
          <w:sz w:val="30"/>
          <w:szCs w:val="30"/>
        </w:rPr>
      </w:pPr>
      <w:r>
        <w:rPr>
          <w:rStyle w:val="25"/>
          <w:rFonts w:ascii="仿宋" w:hAnsi="仿宋" w:eastAsia="仿宋"/>
          <w:sz w:val="30"/>
          <w:szCs w:val="30"/>
        </w:rPr>
        <w:t>三、环境保护设施落实情况</w:t>
      </w:r>
    </w:p>
    <w:p>
      <w:pPr>
        <w:ind w:firstLine="600" w:firstLineChars="200"/>
        <w:rPr>
          <w:rFonts w:ascii="仿宋" w:hAnsi="仿宋" w:eastAsia="仿宋"/>
          <w:color w:val="3E3E3E"/>
          <w:sz w:val="30"/>
          <w:szCs w:val="30"/>
        </w:rPr>
      </w:pPr>
      <w:r>
        <w:rPr>
          <w:rFonts w:ascii="仿宋" w:hAnsi="仿宋" w:eastAsia="仿宋"/>
          <w:color w:val="3E3E3E"/>
          <w:sz w:val="30"/>
          <w:szCs w:val="30"/>
        </w:rPr>
        <w:t>根据验收</w:t>
      </w:r>
      <w:r>
        <w:rPr>
          <w:rFonts w:hint="eastAsia" w:ascii="仿宋" w:hAnsi="仿宋" w:eastAsia="仿宋"/>
          <w:color w:val="3E3E3E"/>
          <w:sz w:val="30"/>
          <w:szCs w:val="30"/>
        </w:rPr>
        <w:t>监测报告</w:t>
      </w:r>
      <w:r>
        <w:rPr>
          <w:rFonts w:ascii="仿宋" w:hAnsi="仿宋" w:eastAsia="仿宋"/>
          <w:color w:val="3E3E3E"/>
          <w:sz w:val="30"/>
          <w:szCs w:val="30"/>
        </w:rPr>
        <w:t>的结论，本项目运行期落实了环评</w:t>
      </w:r>
      <w:r>
        <w:rPr>
          <w:rFonts w:hint="eastAsia" w:ascii="仿宋" w:hAnsi="仿宋" w:eastAsia="仿宋"/>
          <w:color w:val="3E3E3E"/>
          <w:sz w:val="30"/>
          <w:szCs w:val="30"/>
        </w:rPr>
        <w:t>批复的各项</w:t>
      </w:r>
      <w:r>
        <w:rPr>
          <w:rFonts w:ascii="仿宋" w:hAnsi="仿宋" w:eastAsia="仿宋"/>
          <w:color w:val="3E3E3E"/>
          <w:sz w:val="30"/>
          <w:szCs w:val="30"/>
        </w:rPr>
        <w:t>的</w:t>
      </w:r>
      <w:r>
        <w:rPr>
          <w:rFonts w:hint="eastAsia" w:ascii="仿宋" w:hAnsi="仿宋" w:eastAsia="仿宋"/>
          <w:color w:val="3E3E3E"/>
          <w:sz w:val="30"/>
          <w:szCs w:val="30"/>
        </w:rPr>
        <w:t>要求。</w:t>
      </w:r>
    </w:p>
    <w:p>
      <w:pPr>
        <w:numPr>
          <w:ilvl w:val="0"/>
          <w:numId w:val="1"/>
        </w:numPr>
        <w:ind w:firstLine="602" w:firstLineChars="200"/>
        <w:rPr>
          <w:rFonts w:ascii="仿宋" w:hAnsi="仿宋" w:eastAsia="仿宋"/>
          <w:b/>
          <w:color w:val="3E3E3E"/>
          <w:sz w:val="30"/>
          <w:szCs w:val="30"/>
        </w:rPr>
      </w:pPr>
      <w:r>
        <w:rPr>
          <w:rFonts w:hint="eastAsia" w:ascii="仿宋" w:hAnsi="仿宋" w:eastAsia="仿宋"/>
          <w:b/>
          <w:color w:val="3E3E3E"/>
          <w:sz w:val="30"/>
          <w:szCs w:val="30"/>
        </w:rPr>
        <w:t>废水治理方面：</w:t>
      </w:r>
    </w:p>
    <w:p>
      <w:pPr>
        <w:pStyle w:val="2"/>
        <w:ind w:left="0" w:leftChars="0" w:firstLine="600"/>
        <w:rPr>
          <w:rFonts w:ascii="仿宋" w:hAnsi="仿宋" w:eastAsia="仿宋"/>
          <w:color w:val="3E3E3E"/>
          <w:sz w:val="30"/>
          <w:szCs w:val="30"/>
        </w:rPr>
      </w:pPr>
      <w:r>
        <w:rPr>
          <w:rFonts w:hint="eastAsia" w:ascii="仿宋" w:hAnsi="仿宋" w:eastAsia="仿宋"/>
          <w:color w:val="3E3E3E"/>
          <w:sz w:val="30"/>
          <w:szCs w:val="30"/>
        </w:rPr>
        <w:t>目排水采用雨污分流制，雨水单独收集后排入市政雨水管网。废水处理以“分类收集，分质处理”为原则，煅烧单元脱水仓脱水进入沉淀池循环使用，用作除焦水、切焦水，不外排。油系延迟焦化分馏塔油水分离器排水、富气分离罐排水、煤系延迟焦化分馏塔油水分离器排水、油系酸性废水、煤系酸性废水进入酸性水汽提装置处理，出水与减顶分液罐废水、污水净化塔废水、轻相蒸馏塔回流槽脱水废水、重相蒸馏塔回流槽脱水废水、油系延迟焦化冷焦水隔油罐废水、煤系延迟焦化冷焦水隔油罐废水、油系酸性水汽提净化水罐废水、煤系酸性水汽提净化水罐废水、地面冲洗水、装置吹扫废水、机泵冷却废水、循环冷却系统排污水、软水制备废水、锅炉排污水一同进入厂区污水处理站处理后通过污水管廊（一企一管）排入嘉祥阳光水务有限公司污水处理厂</w:t>
      </w:r>
    </w:p>
    <w:p>
      <w:pPr>
        <w:numPr>
          <w:ilvl w:val="0"/>
          <w:numId w:val="2"/>
        </w:numPr>
        <w:spacing w:line="360" w:lineRule="auto"/>
        <w:ind w:firstLine="602" w:firstLineChars="200"/>
        <w:rPr>
          <w:rFonts w:ascii="仿宋" w:hAnsi="仿宋" w:eastAsia="仿宋"/>
          <w:b/>
          <w:bCs/>
          <w:sz w:val="30"/>
          <w:szCs w:val="30"/>
        </w:rPr>
      </w:pPr>
      <w:r>
        <w:rPr>
          <w:rFonts w:hint="eastAsia" w:ascii="仿宋" w:hAnsi="仿宋" w:eastAsia="仿宋"/>
          <w:b/>
          <w:bCs/>
          <w:sz w:val="30"/>
          <w:szCs w:val="30"/>
        </w:rPr>
        <w:t>废气产生及治理方面：</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DA001主要排放油系原料预处理装置单元废气，主要污染物包括烟尘、SO2、NOx、VOCs，配套高效低氮燃烧器处理后通过38m高排气筒DA001排放；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DA003主要排放焦化装置单元废气，主要污染物包括烟尘、SO2、NOx，配套高效低氮燃烧器处理后通过35m高排气筒DA003排放；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004主要排放回转窑、罐式炉经余热锅炉回收余热后排出的尾气，主要污染物为烟尘、SO2、NOx、氨气、VOCs等，回转窑煅烧废气经SCR脱销+袋式除尘+湿法脱硫+静电除尘器处理，罐式炉煅烧废气经SCR脱销+湿法脱硫+静电除尘器处理，处理后的废气通过一根52.8m高排气筒DA004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DA005主要排放罐式炉包装工序废气，主要污染物为颗粒物，经袋式除尘器处理后通过15m高排气筒DA005排放；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DA006：主要排放回转窑烘干废气，主要污染物为颗粒物，经袋式除尘器处理后通过15m高排气筒DA006排放；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DA007：主要排放回转窑煅烧前处理破碎、筛分废气，主要污染物为颗粒物，经袋式除尘器处理后通过15m高排气筒DA007排放；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DA008：主要排放回转窑冷却废气，主要污染物为颗粒物，经袋式除尘器处理后通过15m高排气筒DA008排放；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DA009：主要排放回转窑包装废气，主要污染物为颗粒物，经袋式除尘器处理后通过15m高排气筒DA009排放；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DA010：主要排放锅炉燃烧废气，采用高效低氮燃烧装置，主要污染物包括烟尘、SO2、NOx，废气通过15m高排气筒DA010排放；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DA011：主要排放污水处理站排气筒及危废间收集废气，废气收集后经碱洗+水洗+等离子体+活性炭吸附处理后通过15m高排气筒DA011排放。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根据验收监测报告结论，结合现场检查，本项目运行管理基本符合环评和环评批复要求。在验收监测期间，根据企业提供的生产报表，监测期间两天的生产负荷为94.4%-96%，符合建设项目竣工环境保护验收对工况大于75%的要求。</w:t>
      </w:r>
    </w:p>
    <w:p>
      <w:pPr>
        <w:pStyle w:val="21"/>
        <w:shd w:val="clear" w:color="auto" w:fill="FFFFFF"/>
        <w:spacing w:before="0" w:beforeAutospacing="0" w:after="0" w:afterAutospacing="0" w:line="384" w:lineRule="atLeast"/>
        <w:ind w:firstLine="602" w:firstLineChars="200"/>
        <w:jc w:val="both"/>
        <w:rPr>
          <w:rStyle w:val="25"/>
          <w:rFonts w:ascii="仿宋" w:hAnsi="仿宋" w:eastAsia="仿宋"/>
          <w:sz w:val="30"/>
          <w:szCs w:val="30"/>
        </w:rPr>
      </w:pPr>
      <w:r>
        <w:rPr>
          <w:rStyle w:val="25"/>
          <w:rFonts w:hint="eastAsia" w:ascii="仿宋" w:hAnsi="仿宋" w:eastAsia="仿宋"/>
          <w:sz w:val="30"/>
          <w:szCs w:val="30"/>
        </w:rPr>
        <w:t>四、验收监测结果</w:t>
      </w:r>
    </w:p>
    <w:p>
      <w:pPr>
        <w:ind w:firstLine="602" w:firstLineChars="200"/>
        <w:rPr>
          <w:rFonts w:ascii="仿宋" w:hAnsi="仿宋" w:eastAsia="仿宋"/>
          <w:b/>
          <w:color w:val="3E3E3E"/>
          <w:sz w:val="30"/>
          <w:szCs w:val="30"/>
        </w:rPr>
      </w:pPr>
      <w:r>
        <w:rPr>
          <w:rFonts w:hint="eastAsia" w:ascii="仿宋" w:hAnsi="仿宋" w:eastAsia="仿宋"/>
          <w:b/>
          <w:color w:val="3E3E3E"/>
          <w:sz w:val="30"/>
          <w:szCs w:val="30"/>
        </w:rPr>
        <w:t>1、废气监测结果</w:t>
      </w:r>
    </w:p>
    <w:p>
      <w:pPr>
        <w:ind w:firstLine="600" w:firstLineChars="200"/>
        <w:rPr>
          <w:rFonts w:ascii="仿宋" w:hAnsi="仿宋" w:eastAsia="仿宋" w:cs="仿宋"/>
          <w:color w:val="3E3E3E"/>
          <w:sz w:val="30"/>
          <w:szCs w:val="30"/>
        </w:rPr>
      </w:pPr>
      <w:r>
        <w:rPr>
          <w:rFonts w:ascii="仿宋" w:hAnsi="仿宋" w:eastAsia="仿宋" w:cs="仿宋"/>
          <w:color w:val="3E3E3E"/>
          <w:sz w:val="30"/>
          <w:szCs w:val="30"/>
        </w:rPr>
        <w:t>（1）有组织废气</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监测结果表明：验收期监测间，油系预处理废气P1出口颗粒物未检出；SO2两日最大排放浓度为14mg/m3、最大排放速率为0.157kg/h；NOx两日最大排放浓度为31mg/m3、最大排放速率为0.366kg/h；非甲烷总烃两日最大排放浓度为1.79mg/m3、最大排放速率为2.26*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焦化装置废气排气筒P3出口颗粒物、SO2未检出；NOx两日最大排放浓度为48mg/m3、最大排放速率为0.419kg/h；非甲烷总烃两日最大排放浓度为15.5mg/m3、最大排放速率为8.51*10-2kg/h；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煅烧装置废气排气筒P4出口颗粒物两日最大排放浓度为7.8mg/m3、最大排放速率为0.324kg/h；SO2两日最大排放浓度为7mg/m3、最大排放速率为0.304kg/h；NOx两日最大排放浓度为50mg/m3、最大排放速率为2.12kg/h；非甲烷总烃两日最大排放浓度为6.36mg/m3、最大排放速率为0.276kg/h；氨两日最大排放浓度为6.88mg/m3、最大排放速率为0.299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罐式炉包装收尘废气排气筒P5出口颗粒物两日最大排放浓度为8.9mg/m3、最大排放速率为8.54*10-2kg/h；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回转窑烘干废气排气筒P6出口颗粒物两日最大排放浓度为1.5mg/m3、最大排放速率为5.92*10-3kg/h；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回转窑冷却废气排气筒P7出口颗粒物两日最大排放浓度为1.9mg/m3、最大排放速率为1.08*10-2kg/h；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回转窑煅烧前处理破碎、筛分废气排气筒P8出口颗粒物两日最大排放浓度为4.0mg/m3、最大排放速率为4.44*10-2kg/h；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回转窑包装废气排气筒P9出口颗粒物两日最大排放浓度为6.2mg/m3、最大排放速率为2.93*10-2kg/h；</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天然气蒸汽锅炉排气筒P10颗粒物两日最大排放浓度为3.9mg/m3、最大排放速率为1.08*10-2kg/h；SO2未检出；NOx两日最大排放浓度为18mg/m3、最大排放速率为4.86*10-2kg/h；烟气黑度＜1（级）；</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危废间、污水处理站废气排气筒P11出口VOCs两日最大排放浓度为3.93mg/m3、最大排放速率为3.17*10-2kg/h；氨两日最大排放浓度为1.29mg/m3、最大排放速率为1.03*10-2kg/h；硫化氢两日最大排放浓度为0.13mg/m3、最大排放速率为1.08*10-3kg/h；臭气浓度两日最大排放浓度为412（无量纲）；酚类化合物未检出。</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有组织废气排放均能够满足《锅炉大气污染物排放标准》（DB37/2374-2018）表2重点控制区，《区域性大气污染物综合排放标准》（DB37/2376-2019）表1、表2重点控制区，《挥发性有机物排放标准 第6部分：有机化工行业》（DB37/2801.6-2018）表1II时段，《工业炉窑大气污染物排放标准》（DB37/2375-2019）表1，《恶臭污染物排放标准》（GB14554-93）及《有机化工企业污水处理厂（站）挥发性有机物及恶臭污染物排放标准》（DB37/3161-2018）表1、《大气污染物综合排放标准》（GB16297-1996）表2排放限值要求。</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（2）无组织废气</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监测结果表明：验收期监测间，本项目无组织废气排放颗粒物两日最大浓度为0.292mg/m3，VOCs两日最大浓度为1.08mg/m3，SO2两日最大浓度为0.027mg/m3，NOx两日最大浓度为0.030mg/m3，氨两日最大浓度为0.18mg/m3，硫化氢两日最大浓度为0.014mg/m3，臭气浓度两日最大浓度为17mg/m3（无量纲）；酚类化合物未检出；无组织废气满足《大气污染物综合排放标准》（GB16297-1996）表2、《挥发性有机物排放标准 第6部分：有机化工行业》（DB37/2801.6-2018）表3、《有机化工企业污水处理厂（站）挥发性有机物及恶臭污染物排放标准》（DB37/3161-2018）表2、《恶臭污染物排放标准》（GB14554-93）表1标准要求。</w:t>
      </w:r>
    </w:p>
    <w:p>
      <w:pPr>
        <w:numPr>
          <w:ilvl w:val="0"/>
          <w:numId w:val="3"/>
        </w:numPr>
        <w:ind w:firstLine="602" w:firstLineChars="200"/>
        <w:rPr>
          <w:rFonts w:ascii="仿宋" w:hAnsi="仿宋" w:eastAsia="仿宋"/>
          <w:b/>
          <w:sz w:val="30"/>
          <w:szCs w:val="30"/>
        </w:rPr>
      </w:pPr>
      <w:r>
        <w:rPr>
          <w:rFonts w:hint="eastAsia" w:ascii="仿宋" w:hAnsi="仿宋" w:eastAsia="仿宋"/>
          <w:b/>
          <w:sz w:val="30"/>
          <w:szCs w:val="30"/>
        </w:rPr>
        <w:t>废水检查结论</w:t>
      </w:r>
    </w:p>
    <w:p>
      <w:pPr>
        <w:pStyle w:val="4"/>
        <w:ind w:left="67" w:firstLine="600"/>
        <w:rPr>
          <w:rFonts w:ascii="仿宋" w:hAnsi="仿宋" w:eastAsia="仿宋" w:cstheme="minorBidi"/>
          <w:color w:val="3E3E3E"/>
          <w:sz w:val="30"/>
          <w:szCs w:val="30"/>
        </w:rPr>
      </w:pPr>
      <w:r>
        <w:rPr>
          <w:rFonts w:ascii="仿宋" w:hAnsi="仿宋" w:eastAsia="仿宋" w:cstheme="minorBidi"/>
          <w:color w:val="3E3E3E"/>
          <w:sz w:val="30"/>
          <w:szCs w:val="30"/>
        </w:rPr>
        <w:t>项目区采取“雨污分流”措施，验收期监测间，</w:t>
      </w:r>
      <w:r>
        <w:rPr>
          <w:rFonts w:hint="eastAsia" w:ascii="仿宋" w:hAnsi="仿宋" w:eastAsia="仿宋" w:cstheme="minorBidi"/>
          <w:color w:val="3E3E3E"/>
          <w:sz w:val="30"/>
          <w:szCs w:val="30"/>
        </w:rPr>
        <w:t>废水总排口pH最大值为7.4(无量纲）</w:t>
      </w:r>
      <w:r>
        <w:rPr>
          <w:rFonts w:ascii="仿宋" w:hAnsi="仿宋" w:eastAsia="仿宋" w:cstheme="minorBidi"/>
          <w:color w:val="3E3E3E"/>
          <w:sz w:val="30"/>
          <w:szCs w:val="30"/>
        </w:rPr>
        <w:t>；化学需氧量最大值为</w:t>
      </w:r>
      <w:r>
        <w:rPr>
          <w:rFonts w:hint="eastAsia" w:ascii="仿宋" w:hAnsi="仿宋" w:eastAsia="仿宋" w:cstheme="minorBidi"/>
          <w:color w:val="3E3E3E"/>
          <w:sz w:val="30"/>
          <w:szCs w:val="30"/>
        </w:rPr>
        <w:t>30</w:t>
      </w:r>
      <w:r>
        <w:rPr>
          <w:rFonts w:ascii="仿宋" w:hAnsi="仿宋" w:eastAsia="仿宋" w:cstheme="minorBidi"/>
          <w:color w:val="3E3E3E"/>
          <w:sz w:val="30"/>
          <w:szCs w:val="30"/>
        </w:rPr>
        <w:t>mg/L；氨氮最大值为</w:t>
      </w:r>
      <w:r>
        <w:rPr>
          <w:rFonts w:hint="eastAsia" w:ascii="仿宋" w:hAnsi="仿宋" w:eastAsia="仿宋" w:cstheme="minorBidi"/>
          <w:color w:val="3E3E3E"/>
          <w:sz w:val="30"/>
          <w:szCs w:val="30"/>
        </w:rPr>
        <w:t>1.10</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总氮</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4.733</w:t>
      </w:r>
      <w:r>
        <w:rPr>
          <w:rFonts w:ascii="仿宋" w:hAnsi="仿宋" w:eastAsia="仿宋" w:cstheme="minorBidi"/>
          <w:color w:val="3E3E3E"/>
          <w:sz w:val="30"/>
          <w:szCs w:val="30"/>
        </w:rPr>
        <w:t>mg/L；五日生化需氧量最大值为</w:t>
      </w:r>
      <w:r>
        <w:rPr>
          <w:rFonts w:hint="eastAsia" w:ascii="仿宋" w:hAnsi="仿宋" w:eastAsia="仿宋" w:cstheme="minorBidi"/>
          <w:color w:val="3E3E3E"/>
          <w:sz w:val="30"/>
          <w:szCs w:val="30"/>
        </w:rPr>
        <w:t>7.5</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总磷</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0.11</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悬浮物</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15</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氯化物</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94</w:t>
      </w:r>
      <w:r>
        <w:rPr>
          <w:rFonts w:ascii="仿宋" w:hAnsi="仿宋" w:eastAsia="仿宋" w:cstheme="minorBidi"/>
          <w:color w:val="3E3E3E"/>
          <w:sz w:val="30"/>
          <w:szCs w:val="30"/>
        </w:rPr>
        <w:t>mg/L；</w:t>
      </w:r>
      <w:r>
        <w:rPr>
          <w:rFonts w:hint="eastAsia" w:ascii="仿宋" w:hAnsi="仿宋" w:eastAsia="仿宋" w:cstheme="minorBidi"/>
          <w:color w:val="3E3E3E"/>
          <w:sz w:val="30"/>
          <w:szCs w:val="30"/>
        </w:rPr>
        <w:t>硫酸盐</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256</w:t>
      </w:r>
      <w:r>
        <w:rPr>
          <w:rFonts w:ascii="仿宋" w:hAnsi="仿宋" w:eastAsia="仿宋" w:cstheme="minorBidi"/>
          <w:color w:val="3E3E3E"/>
          <w:sz w:val="30"/>
          <w:szCs w:val="30"/>
        </w:rPr>
        <w:t>mg/L；</w:t>
      </w:r>
      <w:r>
        <w:rPr>
          <w:rFonts w:hint="eastAsia" w:ascii="仿宋" w:hAnsi="仿宋" w:eastAsia="仿宋" w:cstheme="minorBidi"/>
          <w:color w:val="3E3E3E"/>
          <w:sz w:val="30"/>
          <w:szCs w:val="30"/>
        </w:rPr>
        <w:t>全盐量</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956</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总有机碳</w:t>
      </w:r>
      <w:r>
        <w:rPr>
          <w:rFonts w:ascii="仿宋" w:hAnsi="仿宋" w:eastAsia="仿宋" w:cstheme="minorBidi"/>
          <w:color w:val="3E3E3E"/>
          <w:sz w:val="30"/>
          <w:szCs w:val="30"/>
        </w:rPr>
        <w:t>最大值为</w:t>
      </w:r>
      <w:r>
        <w:rPr>
          <w:rFonts w:hint="eastAsia" w:ascii="仿宋" w:hAnsi="仿宋" w:eastAsia="仿宋" w:cstheme="minorBidi"/>
          <w:color w:val="3E3E3E"/>
          <w:sz w:val="30"/>
          <w:szCs w:val="30"/>
        </w:rPr>
        <w:t>11.2</w:t>
      </w:r>
      <w:r>
        <w:rPr>
          <w:rFonts w:ascii="仿宋" w:hAnsi="仿宋" w:eastAsia="仿宋" w:cstheme="minorBidi"/>
          <w:color w:val="3E3E3E"/>
          <w:sz w:val="30"/>
          <w:szCs w:val="30"/>
        </w:rPr>
        <w:t>mg/L；</w:t>
      </w:r>
      <w:r>
        <w:rPr>
          <w:rFonts w:hint="eastAsia" w:ascii="仿宋" w:hAnsi="仿宋" w:eastAsia="仿宋" w:cstheme="minorBidi"/>
          <w:color w:val="3E3E3E"/>
          <w:sz w:val="30"/>
          <w:szCs w:val="30"/>
        </w:rPr>
        <w:t>挥发酚、硫化物、氰化物、石油类、邻二甲苯、苯、甲苯、乙苯、对，间二甲苯、砷、钒、苯并【a】芘未检出，满足《石油炼制工业污染物排放标准》（GB31570-2015）》表1间接排放、《污水排入城镇下水道水质标准》（GB/T31962-2015）A等级及《流域水污染物综合排放标准 第1部分：南四湖东平湖流域》（DB37/3416.1-2018）表2重点保护区标准要求。</w:t>
      </w:r>
    </w:p>
    <w:p>
      <w:pPr>
        <w:ind w:firstLine="602" w:firstLineChars="200"/>
        <w:rPr>
          <w:rFonts w:ascii="仿宋" w:hAnsi="仿宋" w:eastAsia="仿宋"/>
          <w:b/>
          <w:sz w:val="30"/>
          <w:szCs w:val="30"/>
        </w:rPr>
      </w:pPr>
      <w:r>
        <w:rPr>
          <w:rFonts w:hint="eastAsia" w:ascii="仿宋" w:hAnsi="仿宋" w:eastAsia="仿宋"/>
          <w:b/>
          <w:sz w:val="30"/>
          <w:szCs w:val="30"/>
        </w:rPr>
        <w:t>3、噪声检查结论</w:t>
      </w:r>
    </w:p>
    <w:p>
      <w:pPr>
        <w:pStyle w:val="4"/>
        <w:ind w:left="67" w:firstLine="600"/>
        <w:rPr>
          <w:rFonts w:ascii="仿宋" w:hAnsi="仿宋" w:eastAsia="仿宋" w:cstheme="minorBidi"/>
          <w:color w:val="3E3E3E"/>
          <w:sz w:val="30"/>
          <w:szCs w:val="30"/>
        </w:rPr>
      </w:pPr>
      <w:r>
        <w:rPr>
          <w:rFonts w:hint="eastAsia" w:ascii="仿宋" w:hAnsi="仿宋" w:eastAsia="仿宋" w:cstheme="minorBidi"/>
          <w:color w:val="3E3E3E"/>
          <w:sz w:val="30"/>
          <w:szCs w:val="30"/>
        </w:rPr>
        <w:t>验收监测期间，四个厂界的昼间噪声在为56.9~57.8dB（A）之间，夜间噪声在46.9~48.4dB（A）之间，均符合《工业企业厂界环境噪声排放标准》（GB12348 -2008）中3类标准要求。</w:t>
      </w:r>
    </w:p>
    <w:p>
      <w:pPr>
        <w:ind w:firstLine="602" w:firstLineChars="200"/>
        <w:rPr>
          <w:rFonts w:ascii="仿宋" w:hAnsi="仿宋" w:eastAsia="仿宋"/>
          <w:b/>
          <w:sz w:val="30"/>
          <w:szCs w:val="30"/>
        </w:rPr>
      </w:pPr>
      <w:r>
        <w:rPr>
          <w:rFonts w:hint="eastAsia" w:ascii="仿宋" w:hAnsi="仿宋" w:eastAsia="仿宋"/>
          <w:b/>
          <w:sz w:val="30"/>
          <w:szCs w:val="30"/>
        </w:rPr>
        <w:t>4、固废处置检查结论</w:t>
      </w:r>
    </w:p>
    <w:p>
      <w:pPr>
        <w:ind w:firstLine="600" w:firstLineChars="200"/>
        <w:rPr>
          <w:rFonts w:ascii="仿宋" w:hAnsi="仿宋" w:eastAsia="仿宋"/>
          <w:bCs/>
          <w:sz w:val="30"/>
          <w:szCs w:val="30"/>
        </w:rPr>
      </w:pPr>
      <w:r>
        <w:rPr>
          <w:rFonts w:hint="eastAsia" w:ascii="仿宋" w:hAnsi="仿宋" w:eastAsia="仿宋"/>
          <w:bCs/>
          <w:sz w:val="30"/>
          <w:szCs w:val="30"/>
        </w:rPr>
        <w:t>本项目产生的一般固体废物：生活垃圾、废反渗透膜和废树脂、脱硫渣；废树脂厂家更换后回收；脱硫渣外售用作建筑原料；生活垃圾收集后由环卫部门定期清理。</w:t>
      </w:r>
    </w:p>
    <w:p>
      <w:pPr>
        <w:ind w:firstLine="600" w:firstLineChars="200"/>
        <w:rPr>
          <w:rFonts w:ascii="仿宋" w:hAnsi="仿宋" w:eastAsia="仿宋"/>
          <w:bCs/>
          <w:sz w:val="30"/>
          <w:szCs w:val="30"/>
        </w:rPr>
      </w:pPr>
      <w:r>
        <w:rPr>
          <w:rFonts w:hint="eastAsia" w:ascii="仿宋" w:hAnsi="仿宋" w:eastAsia="仿宋"/>
          <w:bCs/>
          <w:sz w:val="30"/>
          <w:szCs w:val="30"/>
        </w:rPr>
        <w:t>危险废物：污水处理站污泥、废活性炭、脱硝催化剂、富液过滤器杂质、碱渣、废机油、废润滑油、实验室废液暂存于危废间，委托资质单位处理（危废单位资质及委托处置协议见附件）；污油及罐底污油储存于储罐回用预处理；</w:t>
      </w:r>
    </w:p>
    <w:p>
      <w:pPr>
        <w:ind w:firstLine="600" w:firstLineChars="200"/>
        <w:rPr>
          <w:rFonts w:ascii="仿宋" w:hAnsi="仿宋" w:eastAsia="仿宋"/>
          <w:bCs/>
          <w:sz w:val="30"/>
          <w:szCs w:val="30"/>
        </w:rPr>
      </w:pPr>
      <w:r>
        <w:rPr>
          <w:rFonts w:hint="eastAsia" w:ascii="仿宋" w:hAnsi="仿宋" w:eastAsia="仿宋"/>
          <w:bCs/>
          <w:sz w:val="30"/>
          <w:szCs w:val="30"/>
        </w:rPr>
        <w:t>各类固废均得到合理处置，符合《一般工业固体废物贮存和填埋污染控制标准》（GB18599-2020）、《危险废物贮存污染控制标准》（GB18597-2001）及修改单要求。</w:t>
      </w:r>
    </w:p>
    <w:p>
      <w:pPr>
        <w:ind w:firstLine="602" w:firstLineChars="200"/>
        <w:rPr>
          <w:rFonts w:ascii="仿宋" w:hAnsi="仿宋" w:eastAsia="仿宋"/>
          <w:b/>
          <w:sz w:val="30"/>
          <w:szCs w:val="30"/>
        </w:rPr>
      </w:pPr>
      <w:r>
        <w:rPr>
          <w:rFonts w:hint="eastAsia" w:ascii="仿宋" w:hAnsi="仿宋" w:eastAsia="仿宋"/>
          <w:b/>
          <w:sz w:val="30"/>
          <w:szCs w:val="30"/>
        </w:rPr>
        <w:t>五、验收总体结论</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结合项目验收监测报告表结论和现场检查的实际情况，该项目执行了环境影响评价和“三同时”管理制度，基本落实了规定的各项污染防治措施，外排污染物符合达标排放要求。基本同意通过验收。</w:t>
      </w:r>
    </w:p>
    <w:p/>
    <w:sectPr>
      <w:headerReference r:id="rId3" w:type="default"/>
      <w:footerReference r:id="rId4" w:type="default"/>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326367"/>
      <w:showingPlcHdr/>
    </w:sdtPr>
    <w:sdtContent>
      <w:p>
        <w:pPr>
          <w:pStyle w:val="19"/>
          <w:jc w:val="center"/>
        </w:pPr>
        <w:r>
          <w:t xml:space="preserve">     </w:t>
        </w:r>
      </w:p>
    </w:sdtContent>
  </w:sdt>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6561B"/>
    <w:multiLevelType w:val="singleLevel"/>
    <w:tmpl w:val="8A76561B"/>
    <w:lvl w:ilvl="0" w:tentative="0">
      <w:start w:val="2"/>
      <w:numFmt w:val="decimal"/>
      <w:suff w:val="nothing"/>
      <w:lvlText w:val="%1、"/>
      <w:lvlJc w:val="left"/>
    </w:lvl>
  </w:abstractNum>
  <w:abstractNum w:abstractNumId="1">
    <w:nsid w:val="F2FDA2D6"/>
    <w:multiLevelType w:val="singleLevel"/>
    <w:tmpl w:val="F2FDA2D6"/>
    <w:lvl w:ilvl="0" w:tentative="0">
      <w:start w:val="2"/>
      <w:numFmt w:val="decimal"/>
      <w:suff w:val="nothing"/>
      <w:lvlText w:val="%1、"/>
      <w:lvlJc w:val="left"/>
    </w:lvl>
  </w:abstractNum>
  <w:abstractNum w:abstractNumId="2">
    <w:nsid w:val="027414BB"/>
    <w:multiLevelType w:val="singleLevel"/>
    <w:tmpl w:val="027414BB"/>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kNDUwNmM0ZGMyODBiMGY4YjRmNTVkNmNjZjE3NjkifQ=="/>
  </w:docVars>
  <w:rsids>
    <w:rsidRoot w:val="003A3C4A"/>
    <w:rsid w:val="00054758"/>
    <w:rsid w:val="00062214"/>
    <w:rsid w:val="000750A9"/>
    <w:rsid w:val="000A3FD4"/>
    <w:rsid w:val="000F726F"/>
    <w:rsid w:val="001278A2"/>
    <w:rsid w:val="00140A73"/>
    <w:rsid w:val="00183C22"/>
    <w:rsid w:val="00183EC7"/>
    <w:rsid w:val="001C1F53"/>
    <w:rsid w:val="001D2228"/>
    <w:rsid w:val="00220E05"/>
    <w:rsid w:val="00226ADA"/>
    <w:rsid w:val="00255BEC"/>
    <w:rsid w:val="0026381F"/>
    <w:rsid w:val="002C66DF"/>
    <w:rsid w:val="002D20BD"/>
    <w:rsid w:val="002F6E9E"/>
    <w:rsid w:val="003034BB"/>
    <w:rsid w:val="00344432"/>
    <w:rsid w:val="003447C1"/>
    <w:rsid w:val="00390F76"/>
    <w:rsid w:val="003A3C4A"/>
    <w:rsid w:val="003B30BC"/>
    <w:rsid w:val="003D44EF"/>
    <w:rsid w:val="00421123"/>
    <w:rsid w:val="00421613"/>
    <w:rsid w:val="0043297C"/>
    <w:rsid w:val="00453B0F"/>
    <w:rsid w:val="00470F90"/>
    <w:rsid w:val="00486DD7"/>
    <w:rsid w:val="0049101A"/>
    <w:rsid w:val="004D51BF"/>
    <w:rsid w:val="004D59F5"/>
    <w:rsid w:val="004D615A"/>
    <w:rsid w:val="004E05C1"/>
    <w:rsid w:val="00515F9A"/>
    <w:rsid w:val="00515FA9"/>
    <w:rsid w:val="0052257E"/>
    <w:rsid w:val="0053084F"/>
    <w:rsid w:val="00545AAD"/>
    <w:rsid w:val="00582ED5"/>
    <w:rsid w:val="005974D8"/>
    <w:rsid w:val="005C0498"/>
    <w:rsid w:val="006570D3"/>
    <w:rsid w:val="00684378"/>
    <w:rsid w:val="0069537E"/>
    <w:rsid w:val="006F086D"/>
    <w:rsid w:val="006F52CF"/>
    <w:rsid w:val="00734CF1"/>
    <w:rsid w:val="007717DC"/>
    <w:rsid w:val="00777BF1"/>
    <w:rsid w:val="00795776"/>
    <w:rsid w:val="007A2777"/>
    <w:rsid w:val="007B0F1F"/>
    <w:rsid w:val="007D4390"/>
    <w:rsid w:val="007D79DE"/>
    <w:rsid w:val="008103BB"/>
    <w:rsid w:val="00816074"/>
    <w:rsid w:val="008345F7"/>
    <w:rsid w:val="00853DB7"/>
    <w:rsid w:val="008D709C"/>
    <w:rsid w:val="00922B53"/>
    <w:rsid w:val="00950D5C"/>
    <w:rsid w:val="009668FC"/>
    <w:rsid w:val="00994887"/>
    <w:rsid w:val="00A11CB0"/>
    <w:rsid w:val="00A556FC"/>
    <w:rsid w:val="00A769D5"/>
    <w:rsid w:val="00AD1AC1"/>
    <w:rsid w:val="00AD54C7"/>
    <w:rsid w:val="00AF2971"/>
    <w:rsid w:val="00B52887"/>
    <w:rsid w:val="00B56DF2"/>
    <w:rsid w:val="00B84EEE"/>
    <w:rsid w:val="00BD4271"/>
    <w:rsid w:val="00C20F90"/>
    <w:rsid w:val="00C23EE1"/>
    <w:rsid w:val="00C242ED"/>
    <w:rsid w:val="00C441F7"/>
    <w:rsid w:val="00CC76BC"/>
    <w:rsid w:val="00CE33C9"/>
    <w:rsid w:val="00CF04FC"/>
    <w:rsid w:val="00D22B41"/>
    <w:rsid w:val="00D60755"/>
    <w:rsid w:val="00D92540"/>
    <w:rsid w:val="00DB6193"/>
    <w:rsid w:val="00DE4C01"/>
    <w:rsid w:val="00E1620C"/>
    <w:rsid w:val="00F2661E"/>
    <w:rsid w:val="00F351EC"/>
    <w:rsid w:val="00FA1FE1"/>
    <w:rsid w:val="00FB3E1A"/>
    <w:rsid w:val="00FD0532"/>
    <w:rsid w:val="00FD77B5"/>
    <w:rsid w:val="01343308"/>
    <w:rsid w:val="014A403C"/>
    <w:rsid w:val="01D243E0"/>
    <w:rsid w:val="024646C7"/>
    <w:rsid w:val="03362268"/>
    <w:rsid w:val="03410174"/>
    <w:rsid w:val="03977872"/>
    <w:rsid w:val="042E4239"/>
    <w:rsid w:val="04461E5F"/>
    <w:rsid w:val="049A7D1E"/>
    <w:rsid w:val="058F4350"/>
    <w:rsid w:val="067B3890"/>
    <w:rsid w:val="06D07FFD"/>
    <w:rsid w:val="06ED2D25"/>
    <w:rsid w:val="07143C69"/>
    <w:rsid w:val="076A2C8E"/>
    <w:rsid w:val="07B6597E"/>
    <w:rsid w:val="07B80136"/>
    <w:rsid w:val="08C57D27"/>
    <w:rsid w:val="0A0C13D7"/>
    <w:rsid w:val="0C152121"/>
    <w:rsid w:val="0C4B4672"/>
    <w:rsid w:val="0E1C0FA7"/>
    <w:rsid w:val="11575E01"/>
    <w:rsid w:val="11DB3984"/>
    <w:rsid w:val="11EE5EEA"/>
    <w:rsid w:val="1231677E"/>
    <w:rsid w:val="12544566"/>
    <w:rsid w:val="12864914"/>
    <w:rsid w:val="132D571C"/>
    <w:rsid w:val="137A3877"/>
    <w:rsid w:val="137A6FC0"/>
    <w:rsid w:val="13EF22A4"/>
    <w:rsid w:val="14334D10"/>
    <w:rsid w:val="14910C21"/>
    <w:rsid w:val="14D10D59"/>
    <w:rsid w:val="14EC00F1"/>
    <w:rsid w:val="16BE37E4"/>
    <w:rsid w:val="16CC61FA"/>
    <w:rsid w:val="171D3CD9"/>
    <w:rsid w:val="17225582"/>
    <w:rsid w:val="19B67CC8"/>
    <w:rsid w:val="19D33674"/>
    <w:rsid w:val="1DEE30B9"/>
    <w:rsid w:val="1E3A68B0"/>
    <w:rsid w:val="1E4F4E01"/>
    <w:rsid w:val="1FD67414"/>
    <w:rsid w:val="212B218B"/>
    <w:rsid w:val="2156213E"/>
    <w:rsid w:val="2328010D"/>
    <w:rsid w:val="24AB05C1"/>
    <w:rsid w:val="24C67A1D"/>
    <w:rsid w:val="24E722C4"/>
    <w:rsid w:val="253B090E"/>
    <w:rsid w:val="257A0FBE"/>
    <w:rsid w:val="264C490C"/>
    <w:rsid w:val="26CB5031"/>
    <w:rsid w:val="286C0AF0"/>
    <w:rsid w:val="29CB6C61"/>
    <w:rsid w:val="2A3E673D"/>
    <w:rsid w:val="2C051504"/>
    <w:rsid w:val="2C120F6D"/>
    <w:rsid w:val="2CA37055"/>
    <w:rsid w:val="2CA81BFC"/>
    <w:rsid w:val="2CBF15EA"/>
    <w:rsid w:val="2CEF48C2"/>
    <w:rsid w:val="2CFF5768"/>
    <w:rsid w:val="306729C2"/>
    <w:rsid w:val="30BD24C2"/>
    <w:rsid w:val="30D43B29"/>
    <w:rsid w:val="32F74049"/>
    <w:rsid w:val="336A3119"/>
    <w:rsid w:val="33D54D44"/>
    <w:rsid w:val="33E130B2"/>
    <w:rsid w:val="341E7629"/>
    <w:rsid w:val="34721E0A"/>
    <w:rsid w:val="34B97AAA"/>
    <w:rsid w:val="352B6B5D"/>
    <w:rsid w:val="38ED4713"/>
    <w:rsid w:val="3C564923"/>
    <w:rsid w:val="3E171B28"/>
    <w:rsid w:val="3F1F075E"/>
    <w:rsid w:val="406300DF"/>
    <w:rsid w:val="41802DCE"/>
    <w:rsid w:val="41B40803"/>
    <w:rsid w:val="42051650"/>
    <w:rsid w:val="435E02F2"/>
    <w:rsid w:val="4390407E"/>
    <w:rsid w:val="4449104F"/>
    <w:rsid w:val="44B2389F"/>
    <w:rsid w:val="44DE36B4"/>
    <w:rsid w:val="4592537C"/>
    <w:rsid w:val="45B874F9"/>
    <w:rsid w:val="467F0662"/>
    <w:rsid w:val="4760763A"/>
    <w:rsid w:val="47DE760A"/>
    <w:rsid w:val="48273274"/>
    <w:rsid w:val="48795813"/>
    <w:rsid w:val="487E2F55"/>
    <w:rsid w:val="491B259A"/>
    <w:rsid w:val="498A0478"/>
    <w:rsid w:val="498A7897"/>
    <w:rsid w:val="49C762FA"/>
    <w:rsid w:val="49D70ED5"/>
    <w:rsid w:val="4AD27794"/>
    <w:rsid w:val="4B790D1E"/>
    <w:rsid w:val="4CAF7782"/>
    <w:rsid w:val="4CFD60A2"/>
    <w:rsid w:val="4D3E580A"/>
    <w:rsid w:val="4DA223C9"/>
    <w:rsid w:val="4E1D6663"/>
    <w:rsid w:val="4E2E7F22"/>
    <w:rsid w:val="4E3A4CC7"/>
    <w:rsid w:val="4E8C5748"/>
    <w:rsid w:val="4F0F165E"/>
    <w:rsid w:val="501532EE"/>
    <w:rsid w:val="52383941"/>
    <w:rsid w:val="52AB3CC3"/>
    <w:rsid w:val="533B309A"/>
    <w:rsid w:val="53DD0348"/>
    <w:rsid w:val="546B13BF"/>
    <w:rsid w:val="558832A6"/>
    <w:rsid w:val="567F4CA3"/>
    <w:rsid w:val="573C5BB5"/>
    <w:rsid w:val="590C5CD4"/>
    <w:rsid w:val="594142BB"/>
    <w:rsid w:val="595F082E"/>
    <w:rsid w:val="59695999"/>
    <w:rsid w:val="596B62F4"/>
    <w:rsid w:val="59D31C31"/>
    <w:rsid w:val="59D82B1D"/>
    <w:rsid w:val="59FF08C9"/>
    <w:rsid w:val="5A3457B5"/>
    <w:rsid w:val="5B4A35F4"/>
    <w:rsid w:val="5BCC2D28"/>
    <w:rsid w:val="5C810E6F"/>
    <w:rsid w:val="5DF13982"/>
    <w:rsid w:val="5E9E002B"/>
    <w:rsid w:val="5EB72DFB"/>
    <w:rsid w:val="5FCE37F8"/>
    <w:rsid w:val="63257E26"/>
    <w:rsid w:val="632E09FB"/>
    <w:rsid w:val="63DF51DB"/>
    <w:rsid w:val="650106A5"/>
    <w:rsid w:val="65753271"/>
    <w:rsid w:val="660A74E8"/>
    <w:rsid w:val="66772D59"/>
    <w:rsid w:val="67736D27"/>
    <w:rsid w:val="68123E32"/>
    <w:rsid w:val="69D31B8D"/>
    <w:rsid w:val="6B6A33DE"/>
    <w:rsid w:val="6B6C027B"/>
    <w:rsid w:val="6B81329A"/>
    <w:rsid w:val="6BD96DBB"/>
    <w:rsid w:val="6C4E3E56"/>
    <w:rsid w:val="6E09370D"/>
    <w:rsid w:val="70105CDB"/>
    <w:rsid w:val="70445658"/>
    <w:rsid w:val="71AF602D"/>
    <w:rsid w:val="72FA00D3"/>
    <w:rsid w:val="730114ED"/>
    <w:rsid w:val="73ED3032"/>
    <w:rsid w:val="74DC6CF6"/>
    <w:rsid w:val="75066471"/>
    <w:rsid w:val="75C858C2"/>
    <w:rsid w:val="76A94385"/>
    <w:rsid w:val="7765579E"/>
    <w:rsid w:val="77D204E3"/>
    <w:rsid w:val="792A3958"/>
    <w:rsid w:val="7B2F6175"/>
    <w:rsid w:val="7B8A1333"/>
    <w:rsid w:val="7B975F11"/>
    <w:rsid w:val="7BD63A9A"/>
    <w:rsid w:val="7C4316B9"/>
    <w:rsid w:val="7C4F0C68"/>
    <w:rsid w:val="7C7E2290"/>
    <w:rsid w:val="7D4B130D"/>
    <w:rsid w:val="7D577E57"/>
    <w:rsid w:val="7D8D4DAF"/>
    <w:rsid w:val="7EB94606"/>
    <w:rsid w:val="7ED1561C"/>
    <w:rsid w:val="7FAC6516"/>
    <w:rsid w:val="7FB54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1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4"/>
    <w:qFormat/>
    <w:uiPriority w:val="0"/>
    <w:pPr>
      <w:ind w:firstLine="420" w:firstLineChars="200"/>
    </w:pPr>
    <w:rPr>
      <w:szCs w:val="20"/>
    </w:rPr>
  </w:style>
  <w:style w:type="paragraph" w:styleId="3">
    <w:name w:val="Body Text Indent"/>
    <w:basedOn w:val="1"/>
    <w:next w:val="4"/>
    <w:link w:val="33"/>
    <w:semiHidden/>
    <w:unhideWhenUsed/>
    <w:qFormat/>
    <w:uiPriority w:val="99"/>
    <w:pPr>
      <w:spacing w:after="120"/>
      <w:ind w:left="420" w:leftChars="200"/>
    </w:pPr>
  </w:style>
  <w:style w:type="paragraph" w:customStyle="1" w:styleId="4">
    <w:name w:val="样式 正文文本缩进 + 行距: 1.5 倍行距"/>
    <w:basedOn w:val="3"/>
    <w:next w:val="5"/>
    <w:qFormat/>
    <w:uiPriority w:val="0"/>
    <w:pPr>
      <w:spacing w:after="0" w:line="360" w:lineRule="auto"/>
      <w:ind w:left="32" w:leftChars="32" w:firstLine="200" w:firstLineChars="200"/>
    </w:pPr>
    <w:rPr>
      <w:rFonts w:ascii="Calibri" w:hAnsi="Calibri" w:eastAsia="宋体" w:cs="宋体"/>
      <w:szCs w:val="20"/>
    </w:rPr>
  </w:style>
  <w:style w:type="paragraph" w:customStyle="1" w:styleId="5">
    <w:name w:val="Char Char5 Char Char Char Char Char Char Char Char Char Char Char Char Char Char Char1"/>
    <w:next w:val="6"/>
    <w:qFormat/>
    <w:uiPriority w:val="0"/>
    <w:pPr>
      <w:widowControl w:val="0"/>
      <w:spacing w:before="100" w:beforeAutospacing="1" w:after="100" w:afterAutospacing="1" w:line="360" w:lineRule="auto"/>
      <w:ind w:left="742" w:firstLine="24"/>
      <w:outlineLvl w:val="2"/>
    </w:pPr>
    <w:rPr>
      <w:rFonts w:hint="eastAsia" w:ascii="宋体" w:hAnsi="宋体" w:eastAsia="宋体" w:cs="Times New Roman"/>
      <w:b/>
      <w:sz w:val="27"/>
      <w:szCs w:val="27"/>
      <w:lang w:val="en-US" w:eastAsia="zh-CN" w:bidi="ar-SA"/>
    </w:rPr>
  </w:style>
  <w:style w:type="paragraph" w:customStyle="1" w:styleId="6">
    <w:name w:val="Char5"/>
    <w:next w:val="7"/>
    <w:qFormat/>
    <w:uiPriority w:val="0"/>
    <w:pPr>
      <w:widowControl w:val="0"/>
      <w:ind w:firstLine="5632"/>
      <w:jc w:val="both"/>
    </w:pPr>
    <w:rPr>
      <w:rFonts w:ascii="Calibri" w:hAnsi="Calibri" w:eastAsia="宋体" w:cs="Times New Roman"/>
      <w:kern w:val="2"/>
      <w:sz w:val="21"/>
      <w:szCs w:val="24"/>
      <w:lang w:val="en-US" w:eastAsia="zh-CN" w:bidi="ar-SA"/>
    </w:rPr>
  </w:style>
  <w:style w:type="paragraph" w:customStyle="1" w:styleId="7">
    <w:name w:val="表内"/>
    <w:next w:val="8"/>
    <w:qFormat/>
    <w:uiPriority w:val="0"/>
    <w:pPr>
      <w:ind w:firstLine="2048"/>
      <w:jc w:val="center"/>
    </w:pPr>
    <w:rPr>
      <w:rFonts w:ascii="Times New Roman" w:hAnsi="Times New Roman" w:eastAsia="宋体" w:cs="Times New Roman"/>
      <w:lang w:val="en-US" w:eastAsia="zh-CN" w:bidi="ar-SA"/>
    </w:rPr>
  </w:style>
  <w:style w:type="paragraph" w:customStyle="1" w:styleId="8">
    <w:name w:val="表格内文字"/>
    <w:basedOn w:val="1"/>
    <w:next w:val="9"/>
    <w:qFormat/>
    <w:uiPriority w:val="0"/>
    <w:pPr>
      <w:tabs>
        <w:tab w:val="left" w:pos="3780"/>
      </w:tabs>
      <w:adjustRightInd w:val="0"/>
      <w:spacing w:before="60" w:after="60"/>
      <w:jc w:val="center"/>
      <w:textAlignment w:val="baseline"/>
    </w:pPr>
    <w:rPr>
      <w:rFonts w:ascii="宋体"/>
      <w:snapToGrid w:val="0"/>
      <w:color w:val="000000"/>
      <w:spacing w:val="8"/>
      <w:szCs w:val="20"/>
    </w:rPr>
  </w:style>
  <w:style w:type="paragraph" w:customStyle="1" w:styleId="9">
    <w:name w:val="xl35"/>
    <w:basedOn w:val="1"/>
    <w:next w:val="10"/>
    <w:qFormat/>
    <w:uiPriority w:val="0"/>
    <w:pPr>
      <w:widowControl/>
      <w:pBdr>
        <w:left w:val="single" w:color="auto" w:sz="8" w:space="0"/>
        <w:right w:val="single" w:color="auto" w:sz="8" w:space="0"/>
      </w:pBdr>
      <w:shd w:val="clear" w:color="auto" w:fill="33CCCC"/>
      <w:spacing w:before="100" w:beforeAutospacing="1" w:after="100" w:afterAutospacing="1"/>
      <w:jc w:val="center"/>
      <w:textAlignment w:val="center"/>
    </w:pPr>
    <w:rPr>
      <w:rFonts w:ascii="宋体" w:hAnsi="宋体"/>
      <w:kern w:val="0"/>
      <w:sz w:val="32"/>
      <w:szCs w:val="32"/>
    </w:rPr>
  </w:style>
  <w:style w:type="paragraph" w:customStyle="1" w:styleId="10">
    <w:name w:val="报告正文"/>
    <w:basedOn w:val="1"/>
    <w:next w:val="11"/>
    <w:qFormat/>
    <w:uiPriority w:val="0"/>
    <w:pPr>
      <w:adjustRightInd w:val="0"/>
      <w:snapToGrid w:val="0"/>
      <w:spacing w:line="360" w:lineRule="auto"/>
      <w:ind w:firstLine="200" w:firstLineChars="200"/>
    </w:pPr>
    <w:rPr>
      <w:rFonts w:ascii="宋体"/>
      <w:sz w:val="24"/>
      <w:szCs w:val="20"/>
    </w:rPr>
  </w:style>
  <w:style w:type="paragraph" w:customStyle="1" w:styleId="11">
    <w:name w:val="样式 小四 行距: 1.5 倍行距"/>
    <w:basedOn w:val="1"/>
    <w:next w:val="12"/>
    <w:qFormat/>
    <w:uiPriority w:val="0"/>
    <w:pPr>
      <w:spacing w:line="360" w:lineRule="auto"/>
      <w:ind w:firstLine="200" w:firstLineChars="200"/>
    </w:pPr>
    <w:rPr>
      <w:rFonts w:cs="宋体"/>
      <w:sz w:val="24"/>
    </w:rPr>
  </w:style>
  <w:style w:type="paragraph" w:customStyle="1" w:styleId="12">
    <w:name w:val="标题3"/>
    <w:basedOn w:val="13"/>
    <w:next w:val="14"/>
    <w:qFormat/>
    <w:uiPriority w:val="0"/>
    <w:pPr>
      <w:adjustRightInd w:val="0"/>
      <w:snapToGrid w:val="0"/>
      <w:spacing w:before="200" w:after="280" w:line="240" w:lineRule="auto"/>
      <w:jc w:val="center"/>
      <w:textAlignment w:val="baseline"/>
      <w:outlineLvl w:val="2"/>
    </w:pPr>
    <w:rPr>
      <w:rFonts w:ascii="宋体" w:hAnsi="宋体"/>
      <w:bCs w:val="0"/>
      <w:kern w:val="2"/>
      <w:sz w:val="36"/>
      <w:szCs w:val="36"/>
    </w:rPr>
  </w:style>
  <w:style w:type="paragraph" w:styleId="14">
    <w:name w:val="List Continue 2"/>
    <w:basedOn w:val="1"/>
    <w:next w:val="15"/>
    <w:qFormat/>
    <w:uiPriority w:val="0"/>
    <w:pPr>
      <w:spacing w:after="120"/>
      <w:ind w:left="840" w:leftChars="400"/>
    </w:pPr>
  </w:style>
  <w:style w:type="paragraph" w:styleId="15">
    <w:name w:val="toc 6"/>
    <w:basedOn w:val="1"/>
    <w:next w:val="1"/>
    <w:qFormat/>
    <w:uiPriority w:val="39"/>
    <w:pPr>
      <w:ind w:left="1050"/>
      <w:jc w:val="left"/>
    </w:pPr>
    <w:rPr>
      <w:rFonts w:ascii="Calibri" w:hAnsi="Calibri"/>
      <w:sz w:val="18"/>
      <w:szCs w:val="18"/>
    </w:rPr>
  </w:style>
  <w:style w:type="paragraph" w:styleId="16">
    <w:name w:val="Normal Indent"/>
    <w:basedOn w:val="1"/>
    <w:unhideWhenUsed/>
    <w:qFormat/>
    <w:uiPriority w:val="0"/>
    <w:pPr>
      <w:ind w:firstLine="420" w:firstLineChars="200"/>
    </w:pPr>
  </w:style>
  <w:style w:type="paragraph" w:styleId="17">
    <w:name w:val="Body Text Indent 2"/>
    <w:basedOn w:val="1"/>
    <w:qFormat/>
    <w:uiPriority w:val="0"/>
    <w:pPr>
      <w:spacing w:line="480" w:lineRule="auto"/>
      <w:ind w:left="420" w:leftChars="200"/>
    </w:pPr>
  </w:style>
  <w:style w:type="paragraph" w:styleId="18">
    <w:name w:val="Balloon Text"/>
    <w:basedOn w:val="1"/>
    <w:link w:val="30"/>
    <w:semiHidden/>
    <w:unhideWhenUsed/>
    <w:qFormat/>
    <w:uiPriority w:val="99"/>
    <w:rPr>
      <w:sz w:val="18"/>
      <w:szCs w:val="18"/>
    </w:rPr>
  </w:style>
  <w:style w:type="paragraph" w:styleId="19">
    <w:name w:val="footer"/>
    <w:basedOn w:val="1"/>
    <w:link w:val="27"/>
    <w:unhideWhenUsed/>
    <w:qFormat/>
    <w:uiPriority w:val="99"/>
    <w:pPr>
      <w:tabs>
        <w:tab w:val="center" w:pos="4153"/>
        <w:tab w:val="right" w:pos="8306"/>
      </w:tabs>
      <w:snapToGrid w:val="0"/>
      <w:jc w:val="left"/>
    </w:pPr>
    <w:rPr>
      <w:sz w:val="18"/>
      <w:szCs w:val="18"/>
    </w:rPr>
  </w:style>
  <w:style w:type="paragraph" w:styleId="20">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customStyle="1" w:styleId="26">
    <w:name w:val="页眉 Char"/>
    <w:basedOn w:val="24"/>
    <w:link w:val="20"/>
    <w:qFormat/>
    <w:uiPriority w:val="99"/>
    <w:rPr>
      <w:kern w:val="2"/>
      <w:sz w:val="18"/>
      <w:szCs w:val="18"/>
    </w:rPr>
  </w:style>
  <w:style w:type="character" w:customStyle="1" w:styleId="27">
    <w:name w:val="页脚 Char"/>
    <w:basedOn w:val="24"/>
    <w:link w:val="19"/>
    <w:qFormat/>
    <w:uiPriority w:val="99"/>
    <w:rPr>
      <w:kern w:val="2"/>
      <w:sz w:val="18"/>
      <w:szCs w:val="18"/>
    </w:rPr>
  </w:style>
  <w:style w:type="paragraph" w:styleId="28">
    <w:name w:val="No Spacing"/>
    <w:link w:val="29"/>
    <w:qFormat/>
    <w:uiPriority w:val="1"/>
    <w:rPr>
      <w:rFonts w:asciiTheme="minorHAnsi" w:hAnsiTheme="minorHAnsi" w:eastAsiaTheme="minorEastAsia" w:cstheme="minorBidi"/>
      <w:sz w:val="22"/>
      <w:szCs w:val="22"/>
      <w:lang w:val="en-US" w:eastAsia="zh-CN" w:bidi="ar-SA"/>
    </w:rPr>
  </w:style>
  <w:style w:type="character" w:customStyle="1" w:styleId="29">
    <w:name w:val="无间隔 Char"/>
    <w:basedOn w:val="24"/>
    <w:link w:val="28"/>
    <w:qFormat/>
    <w:uiPriority w:val="1"/>
    <w:rPr>
      <w:sz w:val="22"/>
      <w:szCs w:val="22"/>
    </w:rPr>
  </w:style>
  <w:style w:type="character" w:customStyle="1" w:styleId="30">
    <w:name w:val="批注框文本 Char"/>
    <w:basedOn w:val="24"/>
    <w:link w:val="18"/>
    <w:semiHidden/>
    <w:qFormat/>
    <w:uiPriority w:val="99"/>
    <w:rPr>
      <w:kern w:val="2"/>
      <w:sz w:val="18"/>
      <w:szCs w:val="18"/>
    </w:rPr>
  </w:style>
  <w:style w:type="paragraph" w:styleId="31">
    <w:name w:val="List Paragraph"/>
    <w:basedOn w:val="1"/>
    <w:unhideWhenUsed/>
    <w:qFormat/>
    <w:uiPriority w:val="99"/>
    <w:pPr>
      <w:ind w:firstLine="420" w:firstLineChars="200"/>
    </w:pPr>
  </w:style>
  <w:style w:type="character" w:customStyle="1" w:styleId="32">
    <w:name w:val="正文首行缩进 2 Char"/>
    <w:basedOn w:val="24"/>
    <w:link w:val="2"/>
    <w:qFormat/>
    <w:uiPriority w:val="0"/>
    <w:rPr>
      <w:kern w:val="2"/>
      <w:sz w:val="21"/>
    </w:rPr>
  </w:style>
  <w:style w:type="character" w:customStyle="1" w:styleId="33">
    <w:name w:val="正文文本缩进 Char"/>
    <w:basedOn w:val="24"/>
    <w:link w:val="3"/>
    <w:semiHidden/>
    <w:qFormat/>
    <w:uiPriority w:val="99"/>
    <w:rPr>
      <w:kern w:val="2"/>
      <w:sz w:val="21"/>
      <w:szCs w:val="22"/>
    </w:rPr>
  </w:style>
  <w:style w:type="character" w:customStyle="1" w:styleId="34">
    <w:name w:val="正文首行缩进 2 Char1"/>
    <w:basedOn w:val="33"/>
    <w:link w:val="2"/>
    <w:semiHidden/>
    <w:qFormat/>
    <w:uiPriority w:val="99"/>
  </w:style>
  <w:style w:type="paragraph" w:customStyle="1" w:styleId="35">
    <w:name w:val="正1"/>
    <w:basedOn w:val="1"/>
    <w:qFormat/>
    <w:uiPriority w:val="0"/>
    <w:pPr>
      <w:spacing w:line="360" w:lineRule="auto"/>
      <w:ind w:firstLine="200" w:firstLineChars="200"/>
      <w:jc w:val="left"/>
    </w:pPr>
    <w:rPr>
      <w:rFonts w:eastAsia="楷体_GB2312"/>
      <w:sz w:val="24"/>
    </w:rPr>
  </w:style>
  <w:style w:type="paragraph" w:customStyle="1" w:styleId="36">
    <w:name w:val="报告"/>
    <w:basedOn w:val="1"/>
    <w:qFormat/>
    <w:uiPriority w:val="0"/>
    <w:pPr>
      <w:spacing w:line="360" w:lineRule="auto"/>
      <w:ind w:firstLine="505"/>
      <w:jc w:val="left"/>
    </w:pPr>
  </w:style>
  <w:style w:type="paragraph" w:customStyle="1" w:styleId="37">
    <w:name w:val="张 正文"/>
    <w:basedOn w:val="1"/>
    <w:qFormat/>
    <w:uiPriority w:val="0"/>
    <w:pPr>
      <w:spacing w:line="360" w:lineRule="auto"/>
      <w:ind w:firstLine="200" w:firstLineChars="200"/>
      <w:textAlignment w:val="baseline"/>
    </w:pPr>
    <w:rPr>
      <w:rFonts w:ascii="Times New Roman" w:hAnsi="Times New Roman"/>
      <w:color w:val="000000"/>
      <w:sz w:val="24"/>
    </w:rPr>
  </w:style>
  <w:style w:type="paragraph" w:customStyle="1" w:styleId="38">
    <w:name w:val="样式 样式 正文 首行缩进:  2 字符 + (中文) 楷体_GB2312 + 首行缩进:  2 字符"/>
    <w:basedOn w:val="1"/>
    <w:unhideWhenUsed/>
    <w:qFormat/>
    <w:uiPriority w:val="0"/>
    <w:pPr>
      <w:adjustRightInd w:val="0"/>
      <w:snapToGrid w:val="0"/>
      <w:spacing w:line="500" w:lineRule="exact"/>
      <w:ind w:firstLine="480" w:firstLineChars="200"/>
    </w:pPr>
    <w:rPr>
      <w:rFonts w:ascii="Times New Roman" w:hAnsi="Times New Roman"/>
      <w:sz w:val="24"/>
      <w:szCs w:val="20"/>
    </w:rPr>
  </w:style>
  <w:style w:type="paragraph" w:customStyle="1" w:styleId="39">
    <w:name w:val="陈光的正文"/>
    <w:basedOn w:val="1"/>
    <w:qFormat/>
    <w:uiPriority w:val="0"/>
    <w:pPr>
      <w:adjustRightInd w:val="0"/>
      <w:snapToGrid w:val="0"/>
      <w:spacing w:beforeLines="10" w:afterLines="10" w:line="360" w:lineRule="auto"/>
      <w:ind w:firstLine="560" w:firstLineChars="200"/>
    </w:pPr>
    <w:rPr>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99D44D-7DA1-42DC-9004-B828F6F03B0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10501</Words>
  <Characters>11546</Characters>
  <Lines>83</Lines>
  <Paragraphs>23</Paragraphs>
  <TotalTime>10</TotalTime>
  <ScaleCrop>false</ScaleCrop>
  <LinksUpToDate>false</LinksUpToDate>
  <CharactersWithSpaces>11615</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2018-06-23T08:53:00Z</dcterms:created>
  <dc:creator>微软用户</dc:creator>
  <cp:lastModifiedBy>ちょうていてい</cp:lastModifiedBy>
  <cp:lastPrinted>2022-10-05T09:28:00Z</cp:lastPrinted>
  <dcterms:modified xsi:type="dcterms:W3CDTF">2022-10-10T01:23:39Z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049D0B43055B42DBA92964D7A69CBC60</vt:lpwstr>
  </property>
</Properties>
</file>