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哈密博伦有限责任公司2022年度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哈密博伦矿业有限责任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企业名称：哈密博伦有限责任公司</w:t>
      </w:r>
    </w:p>
    <w:p>
      <w:pPr>
        <w:ind w:firstLine="560" w:firstLineChars="200"/>
        <w:rPr>
          <w:rFonts w:hint="eastAsia"/>
          <w:sz w:val="28"/>
          <w:szCs w:val="36"/>
          <w:lang w:val="en-US" w:eastAsia="zh-CN"/>
        </w:rPr>
      </w:pPr>
      <w:r>
        <w:rPr>
          <w:rFonts w:hint="eastAsia"/>
          <w:sz w:val="28"/>
          <w:szCs w:val="36"/>
          <w:lang w:val="en-US" w:eastAsia="zh-CN"/>
        </w:rPr>
        <w:t>注册地址：新疆哈密市伊州区双井子乡</w:t>
      </w:r>
    </w:p>
    <w:p>
      <w:pPr>
        <w:ind w:firstLine="560" w:firstLineChars="200"/>
        <w:rPr>
          <w:rFonts w:hint="default"/>
          <w:sz w:val="28"/>
          <w:szCs w:val="36"/>
          <w:lang w:val="en-US" w:eastAsia="zh-CN"/>
        </w:rPr>
      </w:pPr>
      <w:r>
        <w:rPr>
          <w:rFonts w:hint="eastAsia"/>
          <w:sz w:val="28"/>
          <w:szCs w:val="36"/>
          <w:lang w:val="en-US" w:eastAsia="zh-CN"/>
        </w:rPr>
        <w:t>生产地址： 新疆哈密市伊州区双井子乡博伦矿业</w:t>
      </w:r>
    </w:p>
    <w:p>
      <w:pPr>
        <w:ind w:firstLine="560" w:firstLineChars="200"/>
        <w:rPr>
          <w:rFonts w:hint="default"/>
          <w:sz w:val="28"/>
          <w:szCs w:val="36"/>
          <w:lang w:val="en-US" w:eastAsia="zh-CN"/>
        </w:rPr>
      </w:pPr>
      <w:r>
        <w:rPr>
          <w:rFonts w:hint="eastAsia"/>
          <w:sz w:val="28"/>
          <w:szCs w:val="36"/>
          <w:lang w:val="en-US" w:eastAsia="zh-CN"/>
        </w:rPr>
        <w:t>危险废物贮存设施数量：1座（1库房，0个罐区）</w:t>
      </w:r>
    </w:p>
    <w:p>
      <w:pPr>
        <w:ind w:firstLine="560" w:firstLineChars="200"/>
        <w:rPr>
          <w:rFonts w:hint="eastAsia"/>
          <w:sz w:val="28"/>
          <w:szCs w:val="36"/>
          <w:lang w:val="en-US" w:eastAsia="zh-CN"/>
        </w:rPr>
      </w:pPr>
      <w:r>
        <w:rPr>
          <w:rFonts w:hint="eastAsia"/>
          <w:sz w:val="28"/>
          <w:szCs w:val="36"/>
          <w:lang w:val="en-US" w:eastAsia="zh-CN"/>
        </w:rPr>
        <w:t>危险废物贮存设施面积：库房：25㎡，</w:t>
      </w:r>
    </w:p>
    <w:p>
      <w:pPr>
        <w:ind w:firstLine="560" w:firstLineChars="200"/>
        <w:rPr>
          <w:rFonts w:hint="default"/>
          <w:sz w:val="28"/>
          <w:szCs w:val="36"/>
          <w:lang w:val="en-US" w:eastAsia="zh-CN"/>
        </w:rPr>
      </w:pPr>
      <w:r>
        <w:rPr>
          <w:rFonts w:hint="eastAsia"/>
          <w:sz w:val="28"/>
          <w:szCs w:val="36"/>
          <w:lang w:val="en-US" w:eastAsia="zh-CN"/>
        </w:rPr>
        <w:t>法人代表：程武忠</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725"/>
        <w:gridCol w:w="1518"/>
        <w:gridCol w:w="1307"/>
        <w:gridCol w:w="1574"/>
        <w:gridCol w:w="2070"/>
        <w:gridCol w:w="30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7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51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307"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574"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2070"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025"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14:textFill>
                  <w14:solidFill>
                    <w14:schemeClr w14:val="tx1"/>
                  </w14:solidFill>
                </w14:textFill>
              </w:rPr>
            </w:pPr>
          </w:p>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p>
        </w:tc>
        <w:tc>
          <w:tcPr>
            <w:tcW w:w="1788" w:type="dxa"/>
            <w:tcBorders>
              <w:top w:val="single" w:color="000000" w:sz="2" w:space="0"/>
              <w:bottom w:val="single" w:color="000000" w:sz="2" w:space="0"/>
            </w:tcBorders>
            <w:vAlign w:val="center"/>
          </w:tcPr>
          <w:p>
            <w:pPr>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废矿物油</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900-</w:t>
            </w:r>
            <w:r>
              <w:rPr>
                <w:rFonts w:hint="eastAsia" w:ascii="宋体" w:hAnsi="宋体" w:eastAsia="宋体" w:cs="宋体"/>
                <w:color w:val="000000" w:themeColor="text1"/>
                <w:sz w:val="22"/>
                <w:szCs w:val="22"/>
                <w:lang w:val="en-US" w:eastAsia="zh-CN"/>
                <w14:textFill>
                  <w14:solidFill>
                    <w14:schemeClr w14:val="tx1"/>
                  </w14:solidFill>
                </w14:textFill>
              </w:rPr>
              <w:t>214</w:t>
            </w:r>
            <w:r>
              <w:rPr>
                <w:rFonts w:hint="eastAsia" w:ascii="宋体" w:hAnsi="宋体" w:eastAsia="宋体" w:cs="宋体"/>
                <w:color w:val="000000" w:themeColor="text1"/>
                <w:sz w:val="22"/>
                <w:szCs w:val="22"/>
                <w14:textFill>
                  <w14:solidFill>
                    <w14:schemeClr w14:val="tx1"/>
                  </w14:solidFill>
                </w14:textFill>
              </w:rPr>
              <w:t>-0</w:t>
            </w:r>
            <w:r>
              <w:rPr>
                <w:rFonts w:hint="eastAsia" w:ascii="宋体" w:hAnsi="宋体" w:eastAsia="宋体" w:cs="宋体"/>
                <w:color w:val="000000" w:themeColor="text1"/>
                <w:sz w:val="22"/>
                <w:szCs w:val="22"/>
                <w:lang w:val="en-US" w:eastAsia="zh-CN"/>
                <w14:textFill>
                  <w14:solidFill>
                    <w14:schemeClr w14:val="tx1"/>
                  </w14:solidFill>
                </w14:textFill>
              </w:rPr>
              <w:t>8</w:t>
            </w:r>
          </w:p>
        </w:tc>
        <w:tc>
          <w:tcPr>
            <w:tcW w:w="1518"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选矿、采矿过程中机械设备运行产生的废油</w:t>
            </w:r>
            <w:r>
              <w:rPr>
                <w:rFonts w:hint="eastAsia" w:ascii="宋体" w:hAnsi="宋体" w:eastAsia="宋体" w:cs="宋体"/>
                <w:color w:val="000000" w:themeColor="text1"/>
                <w:sz w:val="22"/>
                <w:szCs w:val="22"/>
                <w14:textFill>
                  <w14:solidFill>
                    <w14:schemeClr w14:val="tx1"/>
                  </w14:solidFill>
                </w14:textFill>
              </w:rPr>
              <w:t xml:space="preserve"> </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液态</w:t>
            </w:r>
          </w:p>
        </w:tc>
        <w:tc>
          <w:tcPr>
            <w:tcW w:w="1574" w:type="dxa"/>
            <w:tcBorders>
              <w:top w:val="single" w:color="000000" w:sz="2" w:space="0"/>
              <w:bottom w:val="single" w:color="000000" w:sz="2" w:space="0"/>
            </w:tcBorders>
            <w:vAlign w:val="center"/>
          </w:tcPr>
          <w:p>
            <w:pPr>
              <w:jc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毒性</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易燃性</w:t>
            </w:r>
            <w:bookmarkStart w:id="0" w:name="_GoBack"/>
            <w:bookmarkEnd w:id="0"/>
          </w:p>
        </w:tc>
        <w:tc>
          <w:tcPr>
            <w:tcW w:w="2070" w:type="dxa"/>
            <w:vMerge w:val="restart"/>
            <w:vAlign w:val="center"/>
          </w:tcPr>
          <w:p>
            <w:pPr>
              <w:jc w:val="right"/>
              <w:rPr>
                <w:rFonts w:hint="default"/>
                <w:b w:val="0"/>
                <w:bCs w:val="0"/>
                <w:sz w:val="32"/>
                <w:szCs w:val="40"/>
                <w:lang w:val="en-US" w:eastAsia="zh-CN"/>
              </w:rPr>
            </w:pPr>
            <w:r>
              <w:rPr>
                <w:rFonts w:hint="eastAsia" w:ascii="宋体" w:hAnsi="宋体" w:eastAsia="宋体" w:cs="宋体"/>
                <w:sz w:val="22"/>
                <w:szCs w:val="22"/>
                <w:lang w:val="en-US" w:eastAsia="zh-CN"/>
              </w:rPr>
              <w:t>按照危险废物管制度进行分类收集、贮存，远离火源，防渗漏，严禁随意倾倒丢失，委托由有资质的单位新疆普惠环境有限公司进行处置。并定期对下游处置利用企业危险废物处置情况进行跟踪回访。</w:t>
            </w:r>
          </w:p>
          <w:p>
            <w:pPr>
              <w:jc w:val="center"/>
              <w:rPr>
                <w:rFonts w:hint="eastAsia" w:ascii="宋体" w:hAnsi="宋体" w:eastAsia="宋体" w:cs="宋体"/>
                <w:sz w:val="22"/>
                <w:szCs w:val="22"/>
                <w:lang w:val="en-US" w:eastAsia="zh-CN"/>
              </w:rPr>
            </w:pPr>
          </w:p>
        </w:tc>
        <w:tc>
          <w:tcPr>
            <w:tcW w:w="3025" w:type="dxa"/>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新疆普惠环境有限公司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废油漆桶</w:t>
            </w:r>
          </w:p>
        </w:tc>
        <w:tc>
          <w:tcPr>
            <w:tcW w:w="1725"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900-041-49</w:t>
            </w:r>
          </w:p>
        </w:tc>
        <w:tc>
          <w:tcPr>
            <w:tcW w:w="1518"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非生产过程产 生</w:t>
            </w:r>
          </w:p>
        </w:tc>
        <w:tc>
          <w:tcPr>
            <w:tcW w:w="1307"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固态</w:t>
            </w:r>
          </w:p>
        </w:tc>
        <w:tc>
          <w:tcPr>
            <w:tcW w:w="1574" w:type="dxa"/>
            <w:tcBorders>
              <w:top w:val="single" w:color="000000" w:sz="2" w:space="0"/>
              <w:bottom w:val="single" w:color="000000" w:sz="2" w:space="0"/>
            </w:tcBorders>
            <w:vAlign w:val="center"/>
          </w:tcPr>
          <w:p>
            <w:pPr>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感染性,毒性</w:t>
            </w:r>
          </w:p>
        </w:tc>
        <w:tc>
          <w:tcPr>
            <w:tcW w:w="2070" w:type="dxa"/>
            <w:vMerge w:val="continue"/>
            <w:vAlign w:val="center"/>
          </w:tcPr>
          <w:p>
            <w:pPr>
              <w:jc w:val="center"/>
              <w:rPr>
                <w:rFonts w:hint="eastAsia" w:ascii="宋体" w:hAnsi="宋体" w:eastAsia="宋体" w:cs="宋体"/>
                <w:color w:val="FF0000"/>
                <w:sz w:val="22"/>
                <w:szCs w:val="22"/>
                <w:lang w:val="en-US" w:eastAsia="zh-CN"/>
              </w:rPr>
            </w:pPr>
          </w:p>
        </w:tc>
        <w:tc>
          <w:tcPr>
            <w:tcW w:w="3025" w:type="dxa"/>
            <w:vAlign w:val="center"/>
          </w:tcPr>
          <w:p>
            <w:pPr>
              <w:jc w:val="center"/>
              <w:rPr>
                <w:rFonts w:hint="eastAsia" w:ascii="宋体" w:hAnsi="宋体" w:eastAsia="宋体" w:cs="宋体"/>
                <w:color w:val="FF0000"/>
                <w:sz w:val="22"/>
                <w:szCs w:val="22"/>
                <w:lang w:val="en-US" w:eastAsia="zh-CN"/>
              </w:rPr>
            </w:pPr>
            <w:r>
              <w:rPr>
                <w:rFonts w:hint="eastAsia" w:ascii="宋体" w:hAnsi="宋体" w:eastAsia="宋体" w:cs="宋体"/>
                <w:sz w:val="22"/>
                <w:szCs w:val="22"/>
                <w:lang w:val="en-US" w:eastAsia="zh-CN"/>
              </w:rPr>
              <w:t>新疆普惠环境有限公司</w:t>
            </w:r>
          </w:p>
        </w:tc>
      </w:tr>
    </w:tbl>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pPr>
        <w:jc w:val="right"/>
        <w:rPr>
          <w:rFonts w:hint="default"/>
          <w:b w:val="0"/>
          <w:bCs w:val="0"/>
          <w:sz w:val="32"/>
          <w:szCs w:val="40"/>
          <w:lang w:val="en-US" w:eastAsia="zh-CN"/>
        </w:rPr>
      </w:pPr>
      <w:r>
        <w:rPr>
          <w:rFonts w:hint="eastAsia"/>
          <w:b/>
          <w:bCs/>
          <w:sz w:val="32"/>
          <w:szCs w:val="40"/>
          <w:highlight w:val="none"/>
          <w:lang w:val="en-US" w:eastAsia="zh-CN"/>
        </w:rPr>
        <w:t>哈密博伦矿业有限责任公司</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3NjNlOWIwYTg1MDg3OWE2MjcxMGNlY2MzOWZiNGY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74698D"/>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7473CA"/>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813ECF"/>
    <w:rsid w:val="228F59D9"/>
    <w:rsid w:val="229D16A5"/>
    <w:rsid w:val="22B83494"/>
    <w:rsid w:val="22C741C4"/>
    <w:rsid w:val="22D21251"/>
    <w:rsid w:val="22D63CA0"/>
    <w:rsid w:val="22D7380C"/>
    <w:rsid w:val="22D9005D"/>
    <w:rsid w:val="22DA66E3"/>
    <w:rsid w:val="22EF555B"/>
    <w:rsid w:val="230404CF"/>
    <w:rsid w:val="23357DCC"/>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06D42"/>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3749C3"/>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4653B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B95B5A"/>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3B0390"/>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466588"/>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214E9"/>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6FF46EB5"/>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21652A"/>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962</Words>
  <Characters>990</Characters>
  <Lines>0</Lines>
  <Paragraphs>0</Paragraphs>
  <TotalTime>13</TotalTime>
  <ScaleCrop>false</ScaleCrop>
  <LinksUpToDate>false</LinksUpToDate>
  <CharactersWithSpaces>996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李万海</cp:lastModifiedBy>
  <dcterms:modified xsi:type="dcterms:W3CDTF">2023-01-05T09:39:42Z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D7FB7CD5A6EA4DB288B5D05B2647950C</vt:lpwstr>
  </property>
</Properties>
</file>