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440" w:lineRule="exact"/>
        <w:jc w:val="center"/>
        <w:rPr>
          <w:rFonts w:hint="eastAsia"/>
          <w:b/>
          <w:color w:val="000000"/>
          <w:sz w:val="30"/>
          <w:szCs w:val="30"/>
        </w:rPr>
      </w:pPr>
      <w:bookmarkStart w:id="0" w:name="_Hlk50972399"/>
      <w:r>
        <w:rPr>
          <w:rFonts w:hint="eastAsia"/>
          <w:b/>
          <w:color w:val="000000"/>
          <w:sz w:val="30"/>
          <w:szCs w:val="30"/>
        </w:rPr>
        <w:t>山西聂建新风味食品有限公司</w:t>
      </w:r>
    </w:p>
    <w:p>
      <w:pPr>
        <w:spacing w:after="156" w:afterLines="50" w:line="440" w:lineRule="exact"/>
        <w:jc w:val="center"/>
        <w:rPr>
          <w:b/>
          <w:color w:val="000000"/>
          <w:sz w:val="30"/>
          <w:szCs w:val="30"/>
        </w:rPr>
      </w:pPr>
      <w:r>
        <w:rPr>
          <w:rFonts w:hint="eastAsia"/>
          <w:b/>
          <w:color w:val="000000"/>
          <w:sz w:val="30"/>
          <w:szCs w:val="30"/>
        </w:rPr>
        <w:t>新建凉粉加工生产线项目环境保护验收</w:t>
      </w:r>
      <w:bookmarkEnd w:id="0"/>
      <w:r>
        <w:rPr>
          <w:b/>
          <w:color w:val="000000"/>
          <w:sz w:val="30"/>
          <w:szCs w:val="30"/>
        </w:rPr>
        <w:t>意见</w:t>
      </w:r>
    </w:p>
    <w:p>
      <w:pPr>
        <w:widowControl/>
        <w:spacing w:line="360" w:lineRule="auto"/>
        <w:ind w:firstLine="480" w:firstLineChars="200"/>
        <w:rPr>
          <w:sz w:val="24"/>
          <w:szCs w:val="24"/>
        </w:rPr>
      </w:pPr>
      <w:r>
        <w:rPr>
          <w:rFonts w:hint="eastAsia"/>
          <w:kern w:val="0"/>
          <w:sz w:val="24"/>
          <w:szCs w:val="24"/>
        </w:rPr>
        <w:t>202</w:t>
      </w:r>
      <w:r>
        <w:rPr>
          <w:kern w:val="0"/>
          <w:sz w:val="24"/>
          <w:szCs w:val="24"/>
        </w:rPr>
        <w:t>3</w:t>
      </w:r>
      <w:r>
        <w:rPr>
          <w:rFonts w:hint="eastAsia"/>
          <w:kern w:val="0"/>
          <w:sz w:val="24"/>
          <w:szCs w:val="24"/>
        </w:rPr>
        <w:t>年</w:t>
      </w:r>
      <w:r>
        <w:rPr>
          <w:kern w:val="0"/>
          <w:sz w:val="24"/>
          <w:szCs w:val="24"/>
        </w:rPr>
        <w:t>7</w:t>
      </w:r>
      <w:r>
        <w:rPr>
          <w:rFonts w:hint="eastAsia"/>
          <w:kern w:val="0"/>
          <w:sz w:val="24"/>
          <w:szCs w:val="24"/>
        </w:rPr>
        <w:t>月</w:t>
      </w:r>
      <w:r>
        <w:rPr>
          <w:kern w:val="0"/>
          <w:sz w:val="24"/>
          <w:szCs w:val="24"/>
        </w:rPr>
        <w:t>3</w:t>
      </w:r>
      <w:r>
        <w:rPr>
          <w:rFonts w:hint="eastAsia"/>
          <w:kern w:val="0"/>
          <w:sz w:val="24"/>
          <w:szCs w:val="24"/>
        </w:rPr>
        <w:t>日，山西聂建新风味食品有限公司根据《山西聂建新风味食品有限公司新建凉粉加工生产线项目环境影响报告表》并对照《建设项目竣工环境保护验收暂行办法》，严格依照国家有关法律法规、建设项目竣工环境保护验收技术指南、本项目环境影响报告表和</w:t>
      </w:r>
      <w:r>
        <w:rPr>
          <w:rFonts w:hint="eastAsia"/>
          <w:sz w:val="24"/>
          <w:szCs w:val="24"/>
        </w:rPr>
        <w:t>原平市行政审批服务管理局出具的原审管生态函[2021]26号文</w:t>
      </w:r>
      <w:r>
        <w:rPr>
          <w:sz w:val="24"/>
          <w:szCs w:val="24"/>
        </w:rPr>
        <w:t>《关于</w:t>
      </w:r>
      <w:r>
        <w:rPr>
          <w:rFonts w:hint="eastAsia"/>
          <w:color w:val="000000"/>
          <w:sz w:val="24"/>
          <w:szCs w:val="24"/>
        </w:rPr>
        <w:t>山西聂建新风味食品有限公司新建凉粉加工生产线项目</w:t>
      </w:r>
      <w:r>
        <w:rPr>
          <w:sz w:val="24"/>
          <w:szCs w:val="24"/>
        </w:rPr>
        <w:t>环境影响报告表的批复》对项目</w:t>
      </w:r>
      <w:r>
        <w:rPr>
          <w:rFonts w:hint="eastAsia"/>
          <w:sz w:val="24"/>
          <w:szCs w:val="24"/>
        </w:rPr>
        <w:t>的</w:t>
      </w:r>
      <w:r>
        <w:rPr>
          <w:sz w:val="24"/>
          <w:szCs w:val="24"/>
        </w:rPr>
        <w:t>批复</w:t>
      </w:r>
      <w:r>
        <w:rPr>
          <w:rFonts w:hint="eastAsia"/>
          <w:kern w:val="0"/>
          <w:sz w:val="24"/>
          <w:szCs w:val="24"/>
        </w:rPr>
        <w:t>等要求对本项目进行验收，提出意见如下：</w:t>
      </w:r>
    </w:p>
    <w:p>
      <w:pPr>
        <w:widowControl/>
        <w:spacing w:line="360" w:lineRule="auto"/>
        <w:ind w:firstLine="482" w:firstLineChars="200"/>
        <w:rPr>
          <w:rFonts w:ascii="宋体" w:hAnsi="宋体"/>
          <w:b/>
          <w:bCs/>
          <w:sz w:val="24"/>
          <w:szCs w:val="24"/>
        </w:rPr>
      </w:pPr>
      <w:r>
        <w:rPr>
          <w:rFonts w:ascii="宋体" w:hAnsi="宋体"/>
          <w:b/>
          <w:bCs/>
          <w:sz w:val="24"/>
          <w:szCs w:val="24"/>
        </w:rPr>
        <w:t>一、工程建设基本情况</w:t>
      </w:r>
    </w:p>
    <w:p>
      <w:pPr>
        <w:widowControl/>
        <w:spacing w:line="360" w:lineRule="auto"/>
        <w:ind w:firstLine="480" w:firstLineChars="200"/>
        <w:rPr>
          <w:sz w:val="24"/>
        </w:rPr>
      </w:pPr>
      <w:r>
        <w:rPr>
          <w:sz w:val="24"/>
        </w:rPr>
        <w:t>（一）建设地点、规模、主要建设内容</w:t>
      </w:r>
    </w:p>
    <w:p>
      <w:pPr>
        <w:spacing w:line="360" w:lineRule="auto"/>
        <w:ind w:firstLine="480" w:firstLineChars="200"/>
        <w:rPr>
          <w:sz w:val="24"/>
          <w:szCs w:val="24"/>
        </w:rPr>
      </w:pPr>
      <w:bookmarkStart w:id="1" w:name="_Hlk91662706"/>
      <w:r>
        <w:rPr>
          <w:rFonts w:hint="eastAsia" w:ascii="宋体" w:hAnsi="宋体"/>
          <w:sz w:val="24"/>
          <w:szCs w:val="24"/>
        </w:rPr>
        <w:t>山西聂建新风味食品有限公司位于山西省忻州市原平市新原乡南滩村</w:t>
      </w:r>
      <w:r>
        <w:rPr>
          <w:rFonts w:hint="eastAsia"/>
          <w:sz w:val="24"/>
          <w:szCs w:val="24"/>
        </w:rPr>
        <w:t>，主要建设内容为800m</w:t>
      </w:r>
      <w:r>
        <w:rPr>
          <w:rFonts w:hint="eastAsia"/>
          <w:sz w:val="24"/>
          <w:szCs w:val="24"/>
          <w:vertAlign w:val="superscript"/>
        </w:rPr>
        <w:t>2</w:t>
      </w:r>
      <w:r>
        <w:rPr>
          <w:rFonts w:hint="eastAsia"/>
          <w:sz w:val="24"/>
          <w:szCs w:val="24"/>
        </w:rPr>
        <w:t>产品生产车间 1 座（生产车间包含：生产线一套，成品库房 1 座，仓储库房1座），综合办公室1座，宿舍1座，场地硬化400m</w:t>
      </w:r>
      <w:bookmarkStart w:id="4" w:name="_GoBack"/>
      <w:r>
        <w:rPr>
          <w:rFonts w:hint="eastAsia"/>
          <w:sz w:val="24"/>
          <w:szCs w:val="24"/>
          <w:vertAlign w:val="superscript"/>
        </w:rPr>
        <w:t>2</w:t>
      </w:r>
      <w:bookmarkEnd w:id="4"/>
      <w:r>
        <w:rPr>
          <w:rFonts w:hint="eastAsia"/>
          <w:sz w:val="24"/>
          <w:szCs w:val="24"/>
        </w:rPr>
        <w:t>等相关配套设施；并完成供电，供水等公用工程。</w:t>
      </w:r>
    </w:p>
    <w:p>
      <w:pPr>
        <w:spacing w:line="360" w:lineRule="auto"/>
        <w:ind w:firstLine="480" w:firstLineChars="200"/>
        <w:rPr>
          <w:sz w:val="24"/>
          <w:szCs w:val="24"/>
        </w:rPr>
      </w:pPr>
      <w:r>
        <w:rPr>
          <w:rFonts w:hint="eastAsia"/>
          <w:sz w:val="24"/>
          <w:szCs w:val="24"/>
        </w:rPr>
        <w:t>本项目2021年11月开始建设，2022年5月竣工。</w:t>
      </w:r>
      <w:bookmarkEnd w:id="1"/>
    </w:p>
    <w:p>
      <w:pPr>
        <w:widowControl/>
        <w:spacing w:line="360" w:lineRule="auto"/>
        <w:ind w:firstLine="480" w:firstLineChars="200"/>
        <w:rPr>
          <w:kern w:val="0"/>
          <w:sz w:val="24"/>
          <w:szCs w:val="24"/>
        </w:rPr>
      </w:pPr>
      <w:r>
        <w:rPr>
          <w:kern w:val="0"/>
          <w:sz w:val="24"/>
          <w:szCs w:val="24"/>
        </w:rPr>
        <w:t>主要工程内容见表</w:t>
      </w:r>
      <w:r>
        <w:rPr>
          <w:rFonts w:hint="eastAsia"/>
          <w:kern w:val="0"/>
          <w:sz w:val="24"/>
          <w:szCs w:val="24"/>
        </w:rPr>
        <w:t>1。</w:t>
      </w:r>
    </w:p>
    <w:p>
      <w:pPr>
        <w:pStyle w:val="2"/>
        <w:ind w:firstLine="422"/>
        <w:jc w:val="center"/>
        <w:rPr>
          <w:b/>
          <w:bCs/>
        </w:rPr>
      </w:pPr>
      <w:r>
        <w:rPr>
          <w:rFonts w:hint="eastAsia"/>
          <w:b/>
          <w:bCs/>
        </w:rPr>
        <w:t>表1主要工程内容一览表</w:t>
      </w:r>
    </w:p>
    <w:tbl>
      <w:tblPr>
        <w:tblStyle w:val="4"/>
        <w:tblW w:w="4991"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407"/>
        <w:gridCol w:w="367"/>
        <w:gridCol w:w="713"/>
        <w:gridCol w:w="2332"/>
        <w:gridCol w:w="2707"/>
        <w:gridCol w:w="180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jc w:val="center"/>
        </w:trPr>
        <w:tc>
          <w:tcPr>
            <w:tcW w:w="893" w:type="pct"/>
            <w:gridSpan w:val="3"/>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rPr>
              <w:t>工程类别</w:t>
            </w:r>
          </w:p>
        </w:tc>
        <w:tc>
          <w:tcPr>
            <w:tcW w:w="1399" w:type="pct"/>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rPr>
              <w:t>环评建设内容</w:t>
            </w:r>
          </w:p>
        </w:tc>
        <w:tc>
          <w:tcPr>
            <w:tcW w:w="1624" w:type="pct"/>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rPr>
              <w:t>实际建设情况</w:t>
            </w:r>
          </w:p>
        </w:tc>
        <w:tc>
          <w:tcPr>
            <w:tcW w:w="1081" w:type="pct"/>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rPr>
              <w:t>变化情况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47" w:hRule="atLeast"/>
          <w:jc w:val="center"/>
        </w:trPr>
        <w:tc>
          <w:tcPr>
            <w:tcW w:w="245" w:type="pct"/>
            <w:vMerge w:val="restart"/>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rPr>
              <w:t>主体工程</w:t>
            </w:r>
          </w:p>
        </w:tc>
        <w:tc>
          <w:tcPr>
            <w:tcW w:w="648" w:type="pct"/>
            <w:gridSpan w:val="2"/>
            <w:vAlign w:val="center"/>
          </w:tcPr>
          <w:p>
            <w:pPr>
              <w:pStyle w:val="11"/>
              <w:spacing w:line="240" w:lineRule="auto"/>
              <w:rPr>
                <w:rFonts w:ascii="仿宋" w:hAnsi="仿宋" w:eastAsia="仿宋" w:cs="仿宋"/>
                <w:szCs w:val="21"/>
              </w:rPr>
            </w:pPr>
            <w:r>
              <w:rPr>
                <w:rFonts w:hint="eastAsia" w:ascii="仿宋" w:hAnsi="仿宋" w:eastAsia="仿宋" w:cs="仿宋"/>
                <w:szCs w:val="21"/>
              </w:rPr>
              <w:t>天然气</w:t>
            </w:r>
          </w:p>
          <w:p>
            <w:pPr>
              <w:pStyle w:val="11"/>
              <w:spacing w:line="240" w:lineRule="auto"/>
              <w:rPr>
                <w:rFonts w:ascii="仿宋" w:hAnsi="仿宋" w:eastAsia="仿宋" w:cs="仿宋"/>
                <w:bCs w:val="0"/>
                <w:szCs w:val="21"/>
              </w:rPr>
            </w:pPr>
            <w:r>
              <w:rPr>
                <w:rFonts w:hint="eastAsia" w:ascii="仿宋" w:hAnsi="仿宋" w:eastAsia="仿宋" w:cs="仿宋"/>
                <w:szCs w:val="21"/>
              </w:rPr>
              <w:t>锅炉</w:t>
            </w:r>
          </w:p>
        </w:tc>
        <w:tc>
          <w:tcPr>
            <w:tcW w:w="1399" w:type="pct"/>
            <w:vAlign w:val="center"/>
          </w:tcPr>
          <w:p>
            <w:pPr>
              <w:adjustRightInd w:val="0"/>
              <w:snapToGrid w:val="0"/>
              <w:spacing w:line="240" w:lineRule="atLeast"/>
              <w:rPr>
                <w:rFonts w:ascii="仿宋" w:hAnsi="仿宋" w:eastAsia="仿宋" w:cs="仿宋"/>
                <w:szCs w:val="21"/>
              </w:rPr>
            </w:pPr>
            <w:r>
              <w:rPr>
                <w:rFonts w:hint="eastAsia" w:ascii="仿宋" w:hAnsi="仿宋" w:eastAsia="仿宋" w:cs="仿宋"/>
                <w:szCs w:val="21"/>
              </w:rPr>
              <w:t>2 台天然气锅炉，各自配置低氮燃烧器一套及配</w:t>
            </w:r>
          </w:p>
          <w:p>
            <w:pPr>
              <w:pStyle w:val="11"/>
              <w:spacing w:line="240" w:lineRule="atLeast"/>
              <w:jc w:val="both"/>
              <w:rPr>
                <w:rFonts w:ascii="仿宋" w:hAnsi="仿宋" w:eastAsia="仿宋" w:cs="仿宋"/>
                <w:bCs w:val="0"/>
                <w:szCs w:val="21"/>
              </w:rPr>
            </w:pPr>
            <w:r>
              <w:rPr>
                <w:rFonts w:hint="eastAsia" w:ascii="仿宋" w:hAnsi="仿宋" w:eastAsia="仿宋" w:cs="仿宋"/>
                <w:bCs w:val="0"/>
                <w:szCs w:val="21"/>
              </w:rPr>
              <w:t>套烟气再循环技术（FGR）</w:t>
            </w:r>
          </w:p>
        </w:tc>
        <w:tc>
          <w:tcPr>
            <w:tcW w:w="1624" w:type="pct"/>
            <w:vAlign w:val="center"/>
          </w:tcPr>
          <w:p>
            <w:pPr>
              <w:adjustRightInd w:val="0"/>
              <w:snapToGrid w:val="0"/>
              <w:spacing w:line="240" w:lineRule="atLeast"/>
              <w:rPr>
                <w:rFonts w:ascii="仿宋" w:hAnsi="仿宋" w:eastAsia="仿宋" w:cs="仿宋"/>
                <w:szCs w:val="21"/>
                <w:highlight w:val="green"/>
              </w:rPr>
            </w:pPr>
            <w:r>
              <w:rPr>
                <w:rFonts w:hint="eastAsia" w:ascii="仿宋" w:hAnsi="仿宋" w:eastAsia="仿宋" w:cs="仿宋"/>
                <w:color w:val="000000"/>
                <w:szCs w:val="21"/>
                <w:highlight w:val="none"/>
              </w:rPr>
              <w:t>LWS0.5-0.7- YQ</w:t>
            </w:r>
            <w:r>
              <w:rPr>
                <w:rFonts w:hint="eastAsia" w:ascii="仿宋" w:hAnsi="仿宋" w:eastAsia="仿宋" w:cs="仿宋"/>
                <w:szCs w:val="21"/>
                <w:highlight w:val="none"/>
              </w:rPr>
              <w:t>天然气锅炉一台</w:t>
            </w:r>
            <w:r>
              <w:rPr>
                <w:rFonts w:hint="eastAsia" w:ascii="仿宋" w:hAnsi="仿宋" w:eastAsia="仿宋" w:cs="仿宋"/>
                <w:szCs w:val="21"/>
                <w:highlight w:val="none"/>
                <w:lang w:eastAsia="zh-CN"/>
              </w:rPr>
              <w:t>，环评设计使用一台</w:t>
            </w:r>
            <w:r>
              <w:rPr>
                <w:rFonts w:hint="eastAsia" w:ascii="仿宋" w:hAnsi="仿宋" w:eastAsia="仿宋" w:cs="仿宋"/>
                <w:color w:val="000000"/>
                <w:szCs w:val="21"/>
                <w:highlight w:val="none"/>
              </w:rPr>
              <w:t>LWS0.</w:t>
            </w:r>
            <w:r>
              <w:rPr>
                <w:rFonts w:hint="eastAsia" w:ascii="仿宋" w:hAnsi="仿宋" w:eastAsia="仿宋" w:cs="仿宋"/>
                <w:color w:val="000000"/>
                <w:szCs w:val="21"/>
                <w:highlight w:val="none"/>
                <w:lang w:val="en-US" w:eastAsia="zh-CN"/>
              </w:rPr>
              <w:t>6</w:t>
            </w:r>
            <w:r>
              <w:rPr>
                <w:rFonts w:hint="eastAsia" w:ascii="仿宋" w:hAnsi="仿宋" w:eastAsia="仿宋" w:cs="仿宋"/>
                <w:color w:val="000000"/>
                <w:szCs w:val="21"/>
                <w:highlight w:val="none"/>
              </w:rPr>
              <w:t>-0.7- YQ</w:t>
            </w:r>
            <w:r>
              <w:rPr>
                <w:rFonts w:hint="eastAsia" w:ascii="仿宋" w:hAnsi="仿宋" w:eastAsia="仿宋" w:cs="仿宋"/>
                <w:color w:val="000000"/>
                <w:szCs w:val="21"/>
                <w:highlight w:val="none"/>
                <w:lang w:eastAsia="zh-CN"/>
              </w:rPr>
              <w:t>锅炉</w:t>
            </w:r>
            <w:r>
              <w:rPr>
                <w:rFonts w:hint="eastAsia" w:ascii="仿宋" w:hAnsi="仿宋" w:eastAsia="仿宋" w:cs="仿宋"/>
                <w:szCs w:val="21"/>
                <w:highlight w:val="none"/>
              </w:rPr>
              <w:t>，</w:t>
            </w:r>
            <w:r>
              <w:rPr>
                <w:rFonts w:hint="eastAsia" w:ascii="仿宋" w:hAnsi="仿宋" w:eastAsia="仿宋" w:cs="仿宋"/>
                <w:szCs w:val="21"/>
                <w:highlight w:val="none"/>
                <w:lang w:eastAsia="zh-CN"/>
              </w:rPr>
              <w:t>实际变更为</w:t>
            </w:r>
            <w:r>
              <w:rPr>
                <w:rFonts w:hint="eastAsia" w:ascii="仿宋" w:hAnsi="仿宋" w:eastAsia="仿宋" w:cs="仿宋"/>
                <w:szCs w:val="21"/>
                <w:highlight w:val="none"/>
              </w:rPr>
              <w:t>2台</w:t>
            </w:r>
            <w:r>
              <w:rPr>
                <w:rFonts w:hint="eastAsia" w:ascii="仿宋" w:hAnsi="仿宋" w:eastAsia="仿宋" w:cs="仿宋"/>
                <w:color w:val="000000"/>
                <w:szCs w:val="21"/>
                <w:highlight w:val="none"/>
              </w:rPr>
              <w:t>LWS0.</w:t>
            </w:r>
            <w:r>
              <w:rPr>
                <w:rFonts w:hint="eastAsia" w:ascii="仿宋" w:hAnsi="仿宋" w:eastAsia="仿宋" w:cs="仿宋"/>
                <w:color w:val="000000"/>
                <w:szCs w:val="21"/>
                <w:highlight w:val="none"/>
                <w:lang w:val="en-US" w:eastAsia="zh-CN"/>
              </w:rPr>
              <w:t>3</w:t>
            </w:r>
            <w:r>
              <w:rPr>
                <w:rFonts w:hint="eastAsia" w:ascii="仿宋" w:hAnsi="仿宋" w:eastAsia="仿宋" w:cs="仿宋"/>
                <w:color w:val="000000"/>
                <w:szCs w:val="21"/>
                <w:highlight w:val="none"/>
              </w:rPr>
              <w:t>-0.7- YQ</w:t>
            </w:r>
            <w:r>
              <w:rPr>
                <w:rFonts w:hint="eastAsia" w:ascii="仿宋" w:hAnsi="仿宋" w:eastAsia="仿宋" w:cs="仿宋"/>
                <w:color w:val="000000"/>
                <w:szCs w:val="21"/>
                <w:highlight w:val="none"/>
                <w:lang w:eastAsia="zh-CN"/>
              </w:rPr>
              <w:t>锅炉</w:t>
            </w:r>
            <w:r>
              <w:rPr>
                <w:rFonts w:hint="eastAsia" w:ascii="仿宋" w:hAnsi="仿宋" w:eastAsia="仿宋" w:cs="仿宋"/>
                <w:szCs w:val="21"/>
              </w:rPr>
              <w:t>（</w:t>
            </w:r>
            <w:r>
              <w:rPr>
                <w:rFonts w:hint="eastAsia" w:ascii="仿宋" w:hAnsi="仿宋" w:eastAsia="仿宋" w:cs="仿宋"/>
                <w:szCs w:val="21"/>
                <w:lang w:eastAsia="zh-CN"/>
              </w:rPr>
              <w:t>有一台备用</w:t>
            </w:r>
            <w:r>
              <w:rPr>
                <w:rFonts w:hint="eastAsia" w:ascii="仿宋" w:hAnsi="仿宋" w:eastAsia="仿宋" w:cs="仿宋"/>
                <w:szCs w:val="21"/>
              </w:rPr>
              <w:t>）</w:t>
            </w:r>
            <w:r>
              <w:rPr>
                <w:rFonts w:hint="eastAsia" w:ascii="仿宋" w:hAnsi="仿宋" w:eastAsia="仿宋" w:cs="仿宋"/>
                <w:szCs w:val="21"/>
                <w:lang w:eastAsia="zh-CN"/>
              </w:rPr>
              <w:t>，加热功率不变，</w:t>
            </w:r>
            <w:r>
              <w:rPr>
                <w:rFonts w:hint="eastAsia" w:ascii="仿宋" w:hAnsi="仿宋" w:eastAsia="仿宋" w:cs="仿宋"/>
                <w:szCs w:val="21"/>
              </w:rPr>
              <w:t>各自配置低氮燃烧器一套及配套烟气再循环技术（FGR）</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无重大变化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79" w:hRule="atLeast"/>
          <w:jc w:val="center"/>
        </w:trPr>
        <w:tc>
          <w:tcPr>
            <w:tcW w:w="245" w:type="pct"/>
            <w:vMerge w:val="continue"/>
            <w:vAlign w:val="center"/>
          </w:tcPr>
          <w:p>
            <w:pPr>
              <w:pStyle w:val="11"/>
              <w:spacing w:line="240" w:lineRule="atLeast"/>
              <w:rPr>
                <w:rFonts w:ascii="仿宋" w:hAnsi="仿宋" w:eastAsia="仿宋" w:cs="仿宋"/>
                <w:bCs w:val="0"/>
                <w:szCs w:val="21"/>
              </w:rPr>
            </w:pPr>
          </w:p>
        </w:tc>
        <w:tc>
          <w:tcPr>
            <w:tcW w:w="648" w:type="pct"/>
            <w:gridSpan w:val="2"/>
            <w:vAlign w:val="center"/>
          </w:tcPr>
          <w:p>
            <w:pPr>
              <w:pStyle w:val="11"/>
              <w:spacing w:line="240" w:lineRule="atLeast"/>
              <w:rPr>
                <w:rFonts w:ascii="仿宋" w:hAnsi="仿宋" w:eastAsia="仿宋" w:cs="仿宋"/>
                <w:szCs w:val="21"/>
              </w:rPr>
            </w:pPr>
            <w:r>
              <w:rPr>
                <w:rFonts w:hint="eastAsia" w:ascii="仿宋" w:hAnsi="仿宋" w:eastAsia="仿宋" w:cs="仿宋"/>
                <w:szCs w:val="21"/>
              </w:rPr>
              <w:t>生产车间</w:t>
            </w:r>
          </w:p>
        </w:tc>
        <w:tc>
          <w:tcPr>
            <w:tcW w:w="1399" w:type="pct"/>
            <w:vAlign w:val="center"/>
          </w:tcPr>
          <w:p>
            <w:pPr>
              <w:pStyle w:val="11"/>
              <w:spacing w:line="240" w:lineRule="atLeast"/>
              <w:jc w:val="both"/>
              <w:rPr>
                <w:rFonts w:ascii="仿宋" w:hAnsi="仿宋" w:eastAsia="仿宋" w:cs="仿宋"/>
                <w:bCs w:val="0"/>
                <w:szCs w:val="21"/>
              </w:rPr>
            </w:pPr>
            <w:r>
              <w:rPr>
                <w:rFonts w:hint="eastAsia" w:ascii="仿宋" w:hAnsi="仿宋" w:eastAsia="仿宋" w:cs="仿宋"/>
                <w:bCs w:val="0"/>
                <w:szCs w:val="21"/>
              </w:rPr>
              <w:t>建筑面积 800 平方米（含灭菌区，搅拌区，内包装区，外包装区，冷却区，原料区，产品区），彩钢全封闭</w:t>
            </w:r>
          </w:p>
        </w:tc>
        <w:tc>
          <w:tcPr>
            <w:tcW w:w="3152" w:type="dxa"/>
            <w:vAlign w:val="center"/>
          </w:tcPr>
          <w:p>
            <w:pPr>
              <w:pStyle w:val="11"/>
              <w:spacing w:line="240" w:lineRule="atLeast"/>
              <w:jc w:val="both"/>
              <w:rPr>
                <w:rFonts w:ascii="仿宋" w:hAnsi="仿宋" w:eastAsia="仿宋" w:cs="仿宋"/>
                <w:bCs w:val="0"/>
                <w:szCs w:val="21"/>
                <w:highlight w:val="green"/>
              </w:rPr>
            </w:pPr>
            <w:r>
              <w:rPr>
                <w:rFonts w:hint="eastAsia" w:ascii="仿宋" w:hAnsi="仿宋" w:eastAsia="仿宋" w:cs="仿宋"/>
                <w:bCs w:val="0"/>
                <w:szCs w:val="21"/>
              </w:rPr>
              <w:t>建筑面积 800 平方米（含灭菌区，搅拌区，内包装区，外包装区，冷却区，原料区，产品区），彩钢全封闭</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23" w:hRule="atLeast"/>
          <w:jc w:val="center"/>
        </w:trPr>
        <w:tc>
          <w:tcPr>
            <w:tcW w:w="245" w:type="pct"/>
            <w:vMerge w:val="restart"/>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lang w:val="de-DE"/>
              </w:rPr>
              <w:t>公用工程</w:t>
            </w:r>
          </w:p>
        </w:tc>
        <w:tc>
          <w:tcPr>
            <w:tcW w:w="648" w:type="pct"/>
            <w:gridSpan w:val="2"/>
            <w:vAlign w:val="center"/>
          </w:tcPr>
          <w:p>
            <w:pPr>
              <w:adjustRightInd w:val="0"/>
              <w:snapToGrid w:val="0"/>
              <w:jc w:val="center"/>
              <w:rPr>
                <w:rFonts w:ascii="仿宋" w:hAnsi="仿宋" w:eastAsia="仿宋" w:cs="仿宋"/>
                <w:szCs w:val="21"/>
              </w:rPr>
            </w:pPr>
            <w:r>
              <w:rPr>
                <w:rFonts w:hint="eastAsia" w:ascii="仿宋" w:hAnsi="仿宋" w:eastAsia="仿宋" w:cs="仿宋"/>
                <w:szCs w:val="21"/>
              </w:rPr>
              <w:t>供气</w:t>
            </w:r>
          </w:p>
        </w:tc>
        <w:tc>
          <w:tcPr>
            <w:tcW w:w="1399" w:type="pct"/>
            <w:vAlign w:val="center"/>
          </w:tcPr>
          <w:p>
            <w:pPr>
              <w:adjustRightInd w:val="0"/>
              <w:snapToGrid w:val="0"/>
              <w:ind w:firstLine="420" w:firstLineChars="200"/>
              <w:rPr>
                <w:rFonts w:ascii="仿宋" w:hAnsi="仿宋" w:eastAsia="仿宋" w:cs="仿宋"/>
                <w:szCs w:val="21"/>
                <w:lang w:val="de-DE"/>
              </w:rPr>
            </w:pPr>
            <w:r>
              <w:rPr>
                <w:rFonts w:hint="eastAsia" w:ascii="仿宋" w:hAnsi="仿宋" w:eastAsia="仿宋" w:cs="仿宋"/>
                <w:szCs w:val="21"/>
              </w:rPr>
              <w:t>由场内 LNG 储罐供给</w:t>
            </w:r>
          </w:p>
        </w:tc>
        <w:tc>
          <w:tcPr>
            <w:tcW w:w="3152" w:type="dxa"/>
            <w:vAlign w:val="center"/>
          </w:tcPr>
          <w:p>
            <w:pPr>
              <w:adjustRightInd w:val="0"/>
              <w:snapToGrid w:val="0"/>
              <w:ind w:firstLine="420" w:firstLineChars="200"/>
              <w:rPr>
                <w:rFonts w:ascii="仿宋" w:hAnsi="仿宋" w:eastAsia="仿宋" w:cs="仿宋"/>
                <w:szCs w:val="21"/>
              </w:rPr>
            </w:pPr>
            <w:r>
              <w:rPr>
                <w:rFonts w:hint="eastAsia" w:ascii="仿宋" w:hAnsi="仿宋" w:eastAsia="仿宋" w:cs="仿宋"/>
                <w:szCs w:val="21"/>
              </w:rPr>
              <w:t>由场内 LNG 储罐供给</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jc w:val="center"/>
        </w:trPr>
        <w:tc>
          <w:tcPr>
            <w:tcW w:w="245" w:type="pct"/>
            <w:vMerge w:val="continue"/>
            <w:vAlign w:val="center"/>
          </w:tcPr>
          <w:p>
            <w:pPr>
              <w:pStyle w:val="11"/>
              <w:spacing w:line="240" w:lineRule="atLeast"/>
              <w:rPr>
                <w:rFonts w:ascii="仿宋" w:hAnsi="仿宋" w:eastAsia="仿宋" w:cs="仿宋"/>
                <w:bCs w:val="0"/>
                <w:szCs w:val="21"/>
              </w:rPr>
            </w:pPr>
          </w:p>
        </w:tc>
        <w:tc>
          <w:tcPr>
            <w:tcW w:w="648" w:type="pct"/>
            <w:gridSpan w:val="2"/>
            <w:vAlign w:val="center"/>
          </w:tcPr>
          <w:p>
            <w:pPr>
              <w:adjustRightInd w:val="0"/>
              <w:snapToGrid w:val="0"/>
              <w:jc w:val="center"/>
              <w:rPr>
                <w:rFonts w:ascii="仿宋" w:hAnsi="仿宋" w:eastAsia="仿宋" w:cs="仿宋"/>
                <w:szCs w:val="21"/>
              </w:rPr>
            </w:pPr>
            <w:r>
              <w:rPr>
                <w:rFonts w:hint="eastAsia" w:ascii="仿宋" w:hAnsi="仿宋" w:eastAsia="仿宋" w:cs="仿宋"/>
                <w:szCs w:val="21"/>
              </w:rPr>
              <w:t>供水</w:t>
            </w:r>
          </w:p>
        </w:tc>
        <w:tc>
          <w:tcPr>
            <w:tcW w:w="1399"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 xml:space="preserve">由南滩村供水管网提供 </w:t>
            </w:r>
          </w:p>
        </w:tc>
        <w:tc>
          <w:tcPr>
            <w:tcW w:w="31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 xml:space="preserve">由南滩村供水管网提供 </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45" w:type="pct"/>
            <w:vMerge w:val="continue"/>
            <w:vAlign w:val="center"/>
          </w:tcPr>
          <w:p>
            <w:pPr>
              <w:pStyle w:val="11"/>
              <w:spacing w:line="240" w:lineRule="atLeast"/>
              <w:rPr>
                <w:rFonts w:ascii="仿宋" w:hAnsi="仿宋" w:eastAsia="仿宋" w:cs="仿宋"/>
                <w:bCs w:val="0"/>
                <w:szCs w:val="21"/>
              </w:rPr>
            </w:pPr>
          </w:p>
        </w:tc>
        <w:tc>
          <w:tcPr>
            <w:tcW w:w="648" w:type="pct"/>
            <w:gridSpan w:val="2"/>
            <w:vAlign w:val="center"/>
          </w:tcPr>
          <w:p>
            <w:pPr>
              <w:adjustRightInd w:val="0"/>
              <w:snapToGrid w:val="0"/>
              <w:jc w:val="center"/>
              <w:rPr>
                <w:rFonts w:ascii="仿宋" w:hAnsi="仿宋" w:eastAsia="仿宋" w:cs="仿宋"/>
                <w:szCs w:val="21"/>
              </w:rPr>
            </w:pPr>
            <w:r>
              <w:rPr>
                <w:rFonts w:hint="eastAsia" w:ascii="仿宋" w:hAnsi="仿宋" w:eastAsia="仿宋" w:cs="仿宋"/>
                <w:szCs w:val="21"/>
              </w:rPr>
              <w:t>供电</w:t>
            </w:r>
          </w:p>
        </w:tc>
        <w:tc>
          <w:tcPr>
            <w:tcW w:w="1399"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由新原乡变电所提供，厂区设</w:t>
            </w:r>
          </w:p>
          <w:p>
            <w:pPr>
              <w:adjustRightInd w:val="0"/>
              <w:snapToGrid w:val="0"/>
              <w:rPr>
                <w:rFonts w:ascii="仿宋" w:hAnsi="仿宋" w:eastAsia="仿宋" w:cs="仿宋"/>
                <w:szCs w:val="21"/>
              </w:rPr>
            </w:pPr>
            <w:r>
              <w:rPr>
                <w:rFonts w:hint="eastAsia" w:ascii="仿宋" w:hAnsi="仿宋" w:eastAsia="仿宋" w:cs="仿宋"/>
                <w:szCs w:val="21"/>
              </w:rPr>
              <w:t>有 100KVA 变压器 1 台</w:t>
            </w:r>
          </w:p>
        </w:tc>
        <w:tc>
          <w:tcPr>
            <w:tcW w:w="31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由新原乡变电所提供，厂区设</w:t>
            </w:r>
          </w:p>
          <w:p>
            <w:pPr>
              <w:adjustRightInd w:val="0"/>
              <w:snapToGrid w:val="0"/>
              <w:rPr>
                <w:rFonts w:ascii="仿宋" w:hAnsi="仿宋" w:eastAsia="仿宋" w:cs="仿宋"/>
                <w:szCs w:val="21"/>
              </w:rPr>
            </w:pPr>
            <w:r>
              <w:rPr>
                <w:rFonts w:hint="eastAsia" w:ascii="仿宋" w:hAnsi="仿宋" w:eastAsia="仿宋" w:cs="仿宋"/>
                <w:szCs w:val="21"/>
              </w:rPr>
              <w:t>有 100KVA 变压器 1 台</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45" w:type="pct"/>
            <w:vMerge w:val="restart"/>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rPr>
              <w:t>辅助工程</w:t>
            </w:r>
          </w:p>
        </w:tc>
        <w:tc>
          <w:tcPr>
            <w:tcW w:w="648" w:type="pct"/>
            <w:gridSpan w:val="2"/>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天然气储</w:t>
            </w:r>
          </w:p>
          <w:p>
            <w:pPr>
              <w:adjustRightInd w:val="0"/>
              <w:snapToGrid w:val="0"/>
              <w:jc w:val="center"/>
              <w:rPr>
                <w:rFonts w:ascii="仿宋" w:hAnsi="仿宋" w:eastAsia="仿宋" w:cs="仿宋"/>
                <w:szCs w:val="21"/>
              </w:rPr>
            </w:pPr>
            <w:r>
              <w:rPr>
                <w:rFonts w:hint="eastAsia" w:ascii="仿宋" w:hAnsi="仿宋" w:eastAsia="仿宋" w:cs="仿宋"/>
                <w:szCs w:val="21"/>
              </w:rPr>
              <w:t>罐及辅助</w:t>
            </w:r>
          </w:p>
          <w:p>
            <w:pPr>
              <w:adjustRightInd w:val="0"/>
              <w:snapToGrid w:val="0"/>
              <w:jc w:val="center"/>
              <w:rPr>
                <w:rFonts w:ascii="仿宋" w:hAnsi="仿宋" w:eastAsia="仿宋" w:cs="仿宋"/>
                <w:szCs w:val="21"/>
              </w:rPr>
            </w:pPr>
            <w:r>
              <w:rPr>
                <w:rFonts w:hint="eastAsia" w:ascii="仿宋" w:hAnsi="仿宋" w:eastAsia="仿宋" w:cs="仿宋"/>
                <w:szCs w:val="21"/>
              </w:rPr>
              <w:t>设施</w:t>
            </w:r>
          </w:p>
        </w:tc>
        <w:tc>
          <w:tcPr>
            <w:tcW w:w="1399" w:type="pct"/>
            <w:vAlign w:val="center"/>
          </w:tcPr>
          <w:p>
            <w:pPr>
              <w:adjustRightInd w:val="0"/>
              <w:snapToGrid w:val="0"/>
              <w:rPr>
                <w:rFonts w:ascii="仿宋" w:hAnsi="仿宋" w:eastAsia="仿宋" w:cs="仿宋"/>
                <w:szCs w:val="21"/>
              </w:rPr>
            </w:pPr>
            <w:r>
              <w:rPr>
                <w:rFonts w:hint="eastAsia" w:ascii="仿宋" w:hAnsi="仿宋" w:eastAsia="仿宋" w:cs="仿宋"/>
                <w:szCs w:val="21"/>
              </w:rPr>
              <w:t>1 座 5m</w:t>
            </w:r>
            <w:r>
              <w:rPr>
                <w:rFonts w:hint="eastAsia" w:ascii="仿宋" w:hAnsi="仿宋" w:eastAsia="仿宋" w:cs="仿宋"/>
                <w:szCs w:val="21"/>
                <w:vertAlign w:val="superscript"/>
              </w:rPr>
              <w:t>3</w:t>
            </w:r>
            <w:r>
              <w:rPr>
                <w:rFonts w:hint="eastAsia" w:ascii="仿宋" w:hAnsi="仿宋" w:eastAsia="仿宋" w:cs="仿宋"/>
                <w:szCs w:val="21"/>
              </w:rPr>
              <w:t xml:space="preserve"> 天然气储罐，1 台天然气调压柜，厂内输送管道采用 PEdn160 无缝钢管，送至 2 台天然气锅炉</w:t>
            </w:r>
          </w:p>
        </w:tc>
        <w:tc>
          <w:tcPr>
            <w:tcW w:w="3152" w:type="dxa"/>
            <w:vAlign w:val="center"/>
          </w:tcPr>
          <w:p>
            <w:pPr>
              <w:adjustRightInd w:val="0"/>
              <w:snapToGrid w:val="0"/>
              <w:rPr>
                <w:rFonts w:ascii="仿宋" w:hAnsi="仿宋" w:eastAsia="仿宋" w:cs="仿宋"/>
                <w:szCs w:val="21"/>
              </w:rPr>
            </w:pPr>
            <w:r>
              <w:rPr>
                <w:rFonts w:hint="eastAsia" w:ascii="仿宋" w:hAnsi="仿宋" w:eastAsia="仿宋" w:cs="仿宋"/>
                <w:szCs w:val="21"/>
              </w:rPr>
              <w:t>1 座 5m</w:t>
            </w:r>
            <w:r>
              <w:rPr>
                <w:rFonts w:hint="eastAsia" w:ascii="仿宋" w:hAnsi="仿宋" w:eastAsia="仿宋" w:cs="仿宋"/>
                <w:szCs w:val="21"/>
                <w:vertAlign w:val="superscript"/>
              </w:rPr>
              <w:t>3</w:t>
            </w:r>
            <w:r>
              <w:rPr>
                <w:rFonts w:hint="eastAsia" w:ascii="仿宋" w:hAnsi="仿宋" w:eastAsia="仿宋" w:cs="仿宋"/>
                <w:szCs w:val="21"/>
              </w:rPr>
              <w:t xml:space="preserve"> 天然气储罐，1 台天然气调压柜，厂内输送管道采用 PEdn160 无缝钢管，送至 2 台天然气锅炉</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29" w:hRule="atLeast"/>
          <w:jc w:val="center"/>
        </w:trPr>
        <w:tc>
          <w:tcPr>
            <w:tcW w:w="245" w:type="pct"/>
            <w:vMerge w:val="continue"/>
            <w:vAlign w:val="center"/>
          </w:tcPr>
          <w:p>
            <w:pPr>
              <w:pStyle w:val="11"/>
              <w:spacing w:line="240" w:lineRule="atLeast"/>
              <w:rPr>
                <w:rFonts w:ascii="仿宋" w:hAnsi="仿宋" w:eastAsia="仿宋" w:cs="仿宋"/>
                <w:bCs w:val="0"/>
                <w:szCs w:val="21"/>
              </w:rPr>
            </w:pPr>
          </w:p>
        </w:tc>
        <w:tc>
          <w:tcPr>
            <w:tcW w:w="648" w:type="pct"/>
            <w:gridSpan w:val="2"/>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冷却</w:t>
            </w:r>
          </w:p>
          <w:p>
            <w:pPr>
              <w:adjustRightInd w:val="0"/>
              <w:snapToGrid w:val="0"/>
              <w:jc w:val="center"/>
              <w:rPr>
                <w:rFonts w:ascii="仿宋" w:hAnsi="仿宋" w:eastAsia="仿宋" w:cs="仿宋"/>
                <w:szCs w:val="21"/>
              </w:rPr>
            </w:pPr>
            <w:r>
              <w:rPr>
                <w:rFonts w:hint="eastAsia" w:ascii="仿宋" w:hAnsi="仿宋" w:eastAsia="仿宋" w:cs="仿宋"/>
                <w:szCs w:val="21"/>
              </w:rPr>
              <w:t>储水罐</w:t>
            </w:r>
          </w:p>
        </w:tc>
        <w:tc>
          <w:tcPr>
            <w:tcW w:w="1399"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3 座规格为 5m</w:t>
            </w:r>
            <w:r>
              <w:rPr>
                <w:rFonts w:hint="eastAsia" w:ascii="仿宋" w:hAnsi="仿宋" w:eastAsia="仿宋" w:cs="仿宋"/>
                <w:szCs w:val="21"/>
                <w:vertAlign w:val="superscript"/>
              </w:rPr>
              <w:t>3</w:t>
            </w:r>
            <w:r>
              <w:rPr>
                <w:rFonts w:hint="eastAsia" w:ascii="仿宋" w:hAnsi="仿宋" w:eastAsia="仿宋" w:cs="仿宋"/>
                <w:szCs w:val="21"/>
              </w:rPr>
              <w:t xml:space="preserve"> 储水罐 </w:t>
            </w:r>
          </w:p>
        </w:tc>
        <w:tc>
          <w:tcPr>
            <w:tcW w:w="31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3 座规格为 5m</w:t>
            </w:r>
            <w:r>
              <w:rPr>
                <w:rFonts w:hint="eastAsia" w:ascii="仿宋" w:hAnsi="仿宋" w:eastAsia="仿宋" w:cs="仿宋"/>
                <w:szCs w:val="21"/>
                <w:vertAlign w:val="superscript"/>
              </w:rPr>
              <w:t>3</w:t>
            </w:r>
            <w:r>
              <w:rPr>
                <w:rFonts w:hint="eastAsia" w:ascii="仿宋" w:hAnsi="仿宋" w:eastAsia="仿宋" w:cs="仿宋"/>
                <w:szCs w:val="21"/>
              </w:rPr>
              <w:t xml:space="preserve"> 储水罐 </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20" w:hRule="atLeast"/>
          <w:jc w:val="center"/>
        </w:trPr>
        <w:tc>
          <w:tcPr>
            <w:tcW w:w="245" w:type="pct"/>
            <w:vMerge w:val="continue"/>
            <w:vAlign w:val="center"/>
          </w:tcPr>
          <w:p>
            <w:pPr>
              <w:pStyle w:val="11"/>
              <w:spacing w:line="240" w:lineRule="atLeast"/>
              <w:rPr>
                <w:rFonts w:ascii="仿宋" w:hAnsi="仿宋" w:eastAsia="仿宋" w:cs="仿宋"/>
                <w:bCs w:val="0"/>
                <w:szCs w:val="21"/>
              </w:rPr>
            </w:pPr>
          </w:p>
        </w:tc>
        <w:tc>
          <w:tcPr>
            <w:tcW w:w="648" w:type="pct"/>
            <w:gridSpan w:val="2"/>
            <w:vAlign w:val="center"/>
          </w:tcPr>
          <w:p>
            <w:pPr>
              <w:adjustRightInd w:val="0"/>
              <w:snapToGrid w:val="0"/>
              <w:jc w:val="center"/>
              <w:rPr>
                <w:rFonts w:ascii="仿宋" w:hAnsi="仿宋" w:eastAsia="仿宋" w:cs="仿宋"/>
                <w:b/>
                <w:bCs/>
                <w:szCs w:val="21"/>
              </w:rPr>
            </w:pPr>
            <w:r>
              <w:rPr>
                <w:rFonts w:hint="eastAsia" w:ascii="仿宋" w:hAnsi="仿宋" w:eastAsia="仿宋" w:cs="仿宋"/>
                <w:szCs w:val="21"/>
              </w:rPr>
              <w:t>化粪池</w:t>
            </w:r>
          </w:p>
        </w:tc>
        <w:tc>
          <w:tcPr>
            <w:tcW w:w="1399"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容积 10m</w:t>
            </w:r>
            <w:r>
              <w:rPr>
                <w:rFonts w:hint="eastAsia" w:ascii="仿宋" w:hAnsi="仿宋" w:eastAsia="仿宋" w:cs="仿宋"/>
                <w:szCs w:val="21"/>
                <w:vertAlign w:val="superscript"/>
              </w:rPr>
              <w:t>3</w:t>
            </w:r>
            <w:r>
              <w:rPr>
                <w:rFonts w:hint="eastAsia" w:ascii="仿宋" w:hAnsi="仿宋" w:eastAsia="仿宋" w:cs="仿宋"/>
                <w:szCs w:val="21"/>
              </w:rPr>
              <w:t>，地埋式，做防渗处理</w:t>
            </w:r>
          </w:p>
        </w:tc>
        <w:tc>
          <w:tcPr>
            <w:tcW w:w="31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容积 10m</w:t>
            </w:r>
            <w:r>
              <w:rPr>
                <w:rFonts w:hint="eastAsia" w:ascii="仿宋" w:hAnsi="仿宋" w:eastAsia="仿宋" w:cs="仿宋"/>
                <w:szCs w:val="21"/>
                <w:vertAlign w:val="superscript"/>
              </w:rPr>
              <w:t>3</w:t>
            </w:r>
            <w:r>
              <w:rPr>
                <w:rFonts w:hint="eastAsia" w:ascii="仿宋" w:hAnsi="仿宋" w:eastAsia="仿宋" w:cs="仿宋"/>
                <w:szCs w:val="21"/>
              </w:rPr>
              <w:t>，地埋式，做防渗处理</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245" w:type="pct"/>
            <w:vMerge w:val="continue"/>
            <w:vAlign w:val="center"/>
          </w:tcPr>
          <w:p>
            <w:pPr>
              <w:pStyle w:val="11"/>
              <w:spacing w:line="240" w:lineRule="atLeast"/>
              <w:rPr>
                <w:rFonts w:ascii="仿宋" w:hAnsi="仿宋" w:eastAsia="仿宋" w:cs="仿宋"/>
                <w:bCs w:val="0"/>
                <w:szCs w:val="21"/>
              </w:rPr>
            </w:pPr>
          </w:p>
        </w:tc>
        <w:tc>
          <w:tcPr>
            <w:tcW w:w="648" w:type="pct"/>
            <w:gridSpan w:val="2"/>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办公区</w:t>
            </w:r>
          </w:p>
        </w:tc>
        <w:tc>
          <w:tcPr>
            <w:tcW w:w="1399"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办公室 40m</w:t>
            </w:r>
            <w:r>
              <w:rPr>
                <w:rFonts w:hint="eastAsia" w:ascii="仿宋" w:hAnsi="仿宋" w:eastAsia="仿宋" w:cs="仿宋"/>
                <w:szCs w:val="21"/>
                <w:vertAlign w:val="superscript"/>
              </w:rPr>
              <w:t>2</w:t>
            </w:r>
            <w:r>
              <w:rPr>
                <w:rFonts w:hint="eastAsia" w:ascii="仿宋" w:hAnsi="仿宋" w:eastAsia="仿宋" w:cs="仿宋"/>
                <w:szCs w:val="21"/>
              </w:rPr>
              <w:t xml:space="preserve"> 砖混结构，宿舍 53m</w:t>
            </w:r>
            <w:r>
              <w:rPr>
                <w:rFonts w:hint="eastAsia" w:ascii="仿宋" w:hAnsi="仿宋" w:eastAsia="仿宋" w:cs="仿宋"/>
                <w:szCs w:val="21"/>
                <w:vertAlign w:val="superscript"/>
              </w:rPr>
              <w:t>2</w:t>
            </w:r>
            <w:r>
              <w:rPr>
                <w:rFonts w:hint="eastAsia" w:ascii="仿宋" w:hAnsi="仿宋" w:eastAsia="仿宋" w:cs="仿宋"/>
                <w:szCs w:val="21"/>
              </w:rPr>
              <w:t xml:space="preserve"> 砖混结构</w:t>
            </w:r>
          </w:p>
        </w:tc>
        <w:tc>
          <w:tcPr>
            <w:tcW w:w="31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办公室 40m</w:t>
            </w:r>
            <w:r>
              <w:rPr>
                <w:rFonts w:hint="eastAsia" w:ascii="仿宋" w:hAnsi="仿宋" w:eastAsia="仿宋" w:cs="仿宋"/>
                <w:szCs w:val="21"/>
                <w:vertAlign w:val="superscript"/>
              </w:rPr>
              <w:t>2</w:t>
            </w:r>
            <w:r>
              <w:rPr>
                <w:rFonts w:hint="eastAsia" w:ascii="仿宋" w:hAnsi="仿宋" w:eastAsia="仿宋" w:cs="仿宋"/>
                <w:szCs w:val="21"/>
              </w:rPr>
              <w:t xml:space="preserve"> 砖混结构，宿舍 53m</w:t>
            </w:r>
            <w:r>
              <w:rPr>
                <w:rFonts w:hint="eastAsia" w:ascii="仿宋" w:hAnsi="仿宋" w:eastAsia="仿宋" w:cs="仿宋"/>
                <w:szCs w:val="21"/>
                <w:vertAlign w:val="superscript"/>
              </w:rPr>
              <w:t>2</w:t>
            </w:r>
            <w:r>
              <w:rPr>
                <w:rFonts w:hint="eastAsia" w:ascii="仿宋" w:hAnsi="仿宋" w:eastAsia="仿宋" w:cs="仿宋"/>
                <w:szCs w:val="21"/>
              </w:rPr>
              <w:t xml:space="preserve"> 砖混结构</w:t>
            </w:r>
          </w:p>
        </w:tc>
        <w:tc>
          <w:tcPr>
            <w:tcW w:w="1081" w:type="pct"/>
            <w:vAlign w:val="center"/>
          </w:tcPr>
          <w:p>
            <w:pPr>
              <w:adjustRightInd w:val="0"/>
              <w:snapToGrid w:val="0"/>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245" w:type="pct"/>
            <w:vMerge w:val="restart"/>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rPr>
              <w:t>环保工程</w:t>
            </w:r>
          </w:p>
        </w:tc>
        <w:tc>
          <w:tcPr>
            <w:tcW w:w="220" w:type="pct"/>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大气</w:t>
            </w:r>
          </w:p>
          <w:p>
            <w:pPr>
              <w:adjustRightInd w:val="0"/>
              <w:snapToGrid w:val="0"/>
              <w:jc w:val="center"/>
              <w:rPr>
                <w:rFonts w:ascii="仿宋" w:hAnsi="仿宋" w:eastAsia="仿宋" w:cs="仿宋"/>
                <w:szCs w:val="21"/>
              </w:rPr>
            </w:pPr>
            <w:r>
              <w:rPr>
                <w:rFonts w:hint="eastAsia" w:ascii="仿宋" w:hAnsi="仿宋" w:eastAsia="仿宋" w:cs="仿宋"/>
                <w:szCs w:val="21"/>
              </w:rPr>
              <w:t>防治</w:t>
            </w:r>
          </w:p>
        </w:tc>
        <w:tc>
          <w:tcPr>
            <w:tcW w:w="428"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废气</w:t>
            </w:r>
          </w:p>
        </w:tc>
        <w:tc>
          <w:tcPr>
            <w:tcW w:w="1399" w:type="pct"/>
            <w:vAlign w:val="center"/>
          </w:tcPr>
          <w:p>
            <w:pPr>
              <w:adjustRightInd w:val="0"/>
              <w:rPr>
                <w:rFonts w:ascii="仿宋" w:hAnsi="仿宋" w:eastAsia="仿宋" w:cs="仿宋"/>
                <w:szCs w:val="21"/>
              </w:rPr>
            </w:pPr>
            <w:r>
              <w:rPr>
                <w:rFonts w:hint="eastAsia" w:ascii="仿宋" w:hAnsi="仿宋" w:eastAsia="仿宋" w:cs="仿宋"/>
                <w:szCs w:val="21"/>
              </w:rPr>
              <w:t>2 台天然气锅炉各自配置 1 套低氮燃烧装置及配套烟气再循环技术（FGR），处理的燃烧废气通过各自的 8m 高排气筒排放</w:t>
            </w:r>
          </w:p>
        </w:tc>
        <w:tc>
          <w:tcPr>
            <w:tcW w:w="3152" w:type="dxa"/>
            <w:vAlign w:val="center"/>
          </w:tcPr>
          <w:p>
            <w:pPr>
              <w:adjustRightInd w:val="0"/>
              <w:rPr>
                <w:rFonts w:ascii="仿宋" w:hAnsi="仿宋" w:eastAsia="仿宋" w:cs="仿宋"/>
                <w:szCs w:val="21"/>
              </w:rPr>
            </w:pPr>
            <w:r>
              <w:rPr>
                <w:rFonts w:hint="eastAsia" w:ascii="仿宋" w:hAnsi="仿宋" w:eastAsia="仿宋" w:cs="仿宋"/>
                <w:szCs w:val="21"/>
                <w:highlight w:val="none"/>
              </w:rPr>
              <w:t>2 台天然气锅炉各</w:t>
            </w:r>
            <w:r>
              <w:rPr>
                <w:rFonts w:hint="eastAsia" w:ascii="仿宋" w:hAnsi="仿宋" w:eastAsia="仿宋" w:cs="仿宋"/>
                <w:szCs w:val="21"/>
              </w:rPr>
              <w:t>自配置 1 套低氮燃烧装置及配套烟气再循环技术（FGR），处理的燃烧废气通过各自的 8m 高排气筒排放</w:t>
            </w:r>
          </w:p>
        </w:tc>
        <w:tc>
          <w:tcPr>
            <w:tcW w:w="1081" w:type="pct"/>
            <w:vAlign w:val="center"/>
          </w:tcPr>
          <w:p>
            <w:pPr>
              <w:adjustRightInd w:val="0"/>
              <w:snapToGrid w:val="0"/>
              <w:spacing w:line="240" w:lineRule="atLeast"/>
              <w:jc w:val="center"/>
              <w:rPr>
                <w:rFonts w:ascii="仿宋" w:hAnsi="仿宋" w:eastAsia="仿宋" w:cs="仿宋"/>
                <w:szCs w:val="21"/>
                <w:highlight w:val="green"/>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Merge w:val="continue"/>
            <w:vAlign w:val="center"/>
          </w:tcPr>
          <w:p>
            <w:pPr>
              <w:pStyle w:val="11"/>
              <w:spacing w:line="240" w:lineRule="atLeast"/>
              <w:rPr>
                <w:rFonts w:ascii="仿宋" w:hAnsi="仿宋" w:eastAsia="仿宋" w:cs="仿宋"/>
                <w:bCs w:val="0"/>
                <w:szCs w:val="21"/>
              </w:rPr>
            </w:pPr>
          </w:p>
        </w:tc>
        <w:tc>
          <w:tcPr>
            <w:tcW w:w="220" w:type="pct"/>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废水</w:t>
            </w:r>
          </w:p>
          <w:p>
            <w:pPr>
              <w:adjustRightInd w:val="0"/>
              <w:snapToGrid w:val="0"/>
              <w:jc w:val="center"/>
              <w:rPr>
                <w:rFonts w:ascii="仿宋" w:hAnsi="仿宋" w:eastAsia="仿宋" w:cs="仿宋"/>
                <w:szCs w:val="21"/>
              </w:rPr>
            </w:pPr>
            <w:r>
              <w:rPr>
                <w:rFonts w:hint="eastAsia" w:ascii="仿宋" w:hAnsi="仿宋" w:eastAsia="仿宋" w:cs="仿宋"/>
                <w:szCs w:val="21"/>
              </w:rPr>
              <w:t>防治</w:t>
            </w:r>
          </w:p>
        </w:tc>
        <w:tc>
          <w:tcPr>
            <w:tcW w:w="428"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生活污水</w:t>
            </w:r>
          </w:p>
        </w:tc>
        <w:tc>
          <w:tcPr>
            <w:tcW w:w="1399" w:type="pct"/>
            <w:vAlign w:val="center"/>
          </w:tcPr>
          <w:p>
            <w:pPr>
              <w:adjustRightInd w:val="0"/>
              <w:rPr>
                <w:rFonts w:ascii="仿宋" w:hAnsi="仿宋" w:eastAsia="仿宋" w:cs="仿宋"/>
                <w:szCs w:val="21"/>
              </w:rPr>
            </w:pPr>
            <w:r>
              <w:rPr>
                <w:rFonts w:hint="eastAsia" w:ascii="仿宋" w:hAnsi="仿宋" w:eastAsia="仿宋" w:cs="仿宋"/>
                <w:szCs w:val="21"/>
              </w:rPr>
              <w:t xml:space="preserve">少量生活污水排入化粪池，定期清掏用于农肥 </w:t>
            </w:r>
          </w:p>
        </w:tc>
        <w:tc>
          <w:tcPr>
            <w:tcW w:w="3152" w:type="dxa"/>
            <w:vAlign w:val="center"/>
          </w:tcPr>
          <w:p>
            <w:pPr>
              <w:adjustRightInd w:val="0"/>
              <w:rPr>
                <w:rFonts w:ascii="仿宋" w:hAnsi="仿宋" w:eastAsia="仿宋" w:cs="仿宋"/>
                <w:szCs w:val="21"/>
              </w:rPr>
            </w:pPr>
            <w:r>
              <w:rPr>
                <w:rFonts w:hint="eastAsia" w:ascii="仿宋" w:hAnsi="仿宋" w:eastAsia="仿宋" w:cs="仿宋"/>
                <w:szCs w:val="21"/>
              </w:rPr>
              <w:t xml:space="preserve">少量生活污水排入化粪池，定期清掏用于农肥 </w:t>
            </w:r>
          </w:p>
        </w:tc>
        <w:tc>
          <w:tcPr>
            <w:tcW w:w="1081" w:type="pct"/>
            <w:vAlign w:val="center"/>
          </w:tcPr>
          <w:p>
            <w:pPr>
              <w:tabs>
                <w:tab w:val="left" w:pos="452"/>
              </w:tabs>
              <w:spacing w:line="240" w:lineRule="atLeast"/>
              <w:ind w:firstLine="630" w:firstLineChars="300"/>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245" w:type="pct"/>
            <w:vMerge w:val="continue"/>
            <w:vAlign w:val="center"/>
          </w:tcPr>
          <w:p>
            <w:pPr>
              <w:pStyle w:val="11"/>
              <w:spacing w:line="240" w:lineRule="atLeast"/>
              <w:rPr>
                <w:rFonts w:ascii="仿宋" w:hAnsi="仿宋" w:eastAsia="仿宋" w:cs="仿宋"/>
                <w:bCs w:val="0"/>
                <w:szCs w:val="21"/>
              </w:rPr>
            </w:pPr>
          </w:p>
        </w:tc>
        <w:tc>
          <w:tcPr>
            <w:tcW w:w="220" w:type="pct"/>
            <w:vMerge w:val="continue"/>
            <w:vAlign w:val="center"/>
          </w:tcPr>
          <w:p>
            <w:pPr>
              <w:adjustRightInd w:val="0"/>
              <w:snapToGrid w:val="0"/>
              <w:jc w:val="center"/>
              <w:rPr>
                <w:rFonts w:ascii="仿宋" w:hAnsi="仿宋" w:eastAsia="仿宋" w:cs="仿宋"/>
                <w:szCs w:val="21"/>
              </w:rPr>
            </w:pPr>
          </w:p>
        </w:tc>
        <w:tc>
          <w:tcPr>
            <w:tcW w:w="428"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生产废水</w:t>
            </w:r>
          </w:p>
        </w:tc>
        <w:tc>
          <w:tcPr>
            <w:tcW w:w="1399" w:type="pct"/>
            <w:vAlign w:val="center"/>
          </w:tcPr>
          <w:p>
            <w:pPr>
              <w:adjustRightInd w:val="0"/>
              <w:rPr>
                <w:rFonts w:ascii="仿宋" w:hAnsi="仿宋" w:eastAsia="仿宋" w:cs="仿宋"/>
                <w:b/>
                <w:bCs/>
                <w:szCs w:val="21"/>
              </w:rPr>
            </w:pPr>
            <w:r>
              <w:rPr>
                <w:rFonts w:hint="eastAsia" w:ascii="仿宋" w:hAnsi="仿宋" w:eastAsia="仿宋" w:cs="仿宋"/>
                <w:szCs w:val="21"/>
              </w:rPr>
              <w:t xml:space="preserve">排入化粪池定期清掏用于农肥 </w:t>
            </w:r>
          </w:p>
        </w:tc>
        <w:tc>
          <w:tcPr>
            <w:tcW w:w="3152" w:type="dxa"/>
            <w:vAlign w:val="center"/>
          </w:tcPr>
          <w:p>
            <w:pPr>
              <w:adjustRightInd w:val="0"/>
              <w:rPr>
                <w:rFonts w:ascii="仿宋" w:hAnsi="仿宋" w:eastAsia="仿宋" w:cs="仿宋"/>
                <w:szCs w:val="21"/>
              </w:rPr>
            </w:pPr>
            <w:r>
              <w:rPr>
                <w:rFonts w:hint="eastAsia" w:ascii="仿宋" w:hAnsi="仿宋" w:eastAsia="仿宋" w:cs="仿宋"/>
                <w:szCs w:val="21"/>
              </w:rPr>
              <w:t xml:space="preserve">排入化粪池定期清掏用于农肥 </w:t>
            </w:r>
          </w:p>
        </w:tc>
        <w:tc>
          <w:tcPr>
            <w:tcW w:w="1081" w:type="pct"/>
            <w:vAlign w:val="center"/>
          </w:tcPr>
          <w:p>
            <w:pPr>
              <w:spacing w:line="240" w:lineRule="atLeast"/>
              <w:ind w:firstLine="630" w:firstLineChars="300"/>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245" w:type="pct"/>
            <w:vMerge w:val="continue"/>
            <w:vAlign w:val="center"/>
          </w:tcPr>
          <w:p>
            <w:pPr>
              <w:pStyle w:val="11"/>
              <w:spacing w:line="240" w:lineRule="atLeast"/>
              <w:rPr>
                <w:rFonts w:ascii="仿宋" w:hAnsi="仿宋" w:eastAsia="仿宋" w:cs="仿宋"/>
                <w:bCs w:val="0"/>
                <w:szCs w:val="21"/>
              </w:rPr>
            </w:pPr>
          </w:p>
        </w:tc>
        <w:tc>
          <w:tcPr>
            <w:tcW w:w="220"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固废</w:t>
            </w:r>
          </w:p>
          <w:p>
            <w:pPr>
              <w:adjustRightInd w:val="0"/>
              <w:snapToGrid w:val="0"/>
              <w:jc w:val="center"/>
              <w:rPr>
                <w:rFonts w:ascii="仿宋" w:hAnsi="仿宋" w:eastAsia="仿宋" w:cs="仿宋"/>
                <w:szCs w:val="21"/>
              </w:rPr>
            </w:pPr>
            <w:r>
              <w:rPr>
                <w:rFonts w:hint="eastAsia" w:ascii="仿宋" w:hAnsi="仿宋" w:eastAsia="仿宋" w:cs="仿宋"/>
                <w:szCs w:val="21"/>
              </w:rPr>
              <w:t>防治</w:t>
            </w:r>
          </w:p>
        </w:tc>
        <w:tc>
          <w:tcPr>
            <w:tcW w:w="428" w:type="pc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固废</w:t>
            </w:r>
          </w:p>
        </w:tc>
        <w:tc>
          <w:tcPr>
            <w:tcW w:w="1399" w:type="pct"/>
            <w:vAlign w:val="center"/>
          </w:tcPr>
          <w:p>
            <w:pPr>
              <w:adjustRightInd w:val="0"/>
              <w:snapToGrid w:val="0"/>
              <w:rPr>
                <w:rFonts w:ascii="仿宋" w:hAnsi="仿宋" w:eastAsia="仿宋" w:cs="仿宋"/>
                <w:szCs w:val="21"/>
              </w:rPr>
            </w:pPr>
            <w:r>
              <w:rPr>
                <w:rFonts w:hint="eastAsia" w:ascii="仿宋" w:hAnsi="仿宋" w:eastAsia="仿宋" w:cs="仿宋"/>
                <w:szCs w:val="21"/>
              </w:rPr>
              <w:t>生活垃圾、凉粉废料、废包装袋集中收集，定</w:t>
            </w:r>
          </w:p>
          <w:p>
            <w:pPr>
              <w:adjustRightInd w:val="0"/>
              <w:snapToGrid w:val="0"/>
              <w:rPr>
                <w:rFonts w:ascii="仿宋" w:hAnsi="仿宋" w:eastAsia="仿宋" w:cs="仿宋"/>
                <w:szCs w:val="21"/>
              </w:rPr>
            </w:pPr>
            <w:r>
              <w:rPr>
                <w:rFonts w:hint="eastAsia" w:ascii="仿宋" w:hAnsi="仿宋" w:eastAsia="仿宋" w:cs="仿宋"/>
                <w:szCs w:val="21"/>
              </w:rPr>
              <w:t>期清运，统一交环卫部门处置</w:t>
            </w:r>
          </w:p>
        </w:tc>
        <w:tc>
          <w:tcPr>
            <w:tcW w:w="3152" w:type="dxa"/>
            <w:vAlign w:val="center"/>
          </w:tcPr>
          <w:p>
            <w:pPr>
              <w:adjustRightInd w:val="0"/>
              <w:snapToGrid w:val="0"/>
              <w:rPr>
                <w:rFonts w:ascii="仿宋" w:hAnsi="仿宋" w:eastAsia="仿宋" w:cs="仿宋"/>
                <w:szCs w:val="21"/>
              </w:rPr>
            </w:pPr>
            <w:r>
              <w:rPr>
                <w:rFonts w:hint="eastAsia" w:ascii="仿宋" w:hAnsi="仿宋" w:eastAsia="仿宋" w:cs="仿宋"/>
                <w:szCs w:val="21"/>
              </w:rPr>
              <w:t>生活垃圾、凉粉废料、废包装袋集中收集，定</w:t>
            </w:r>
          </w:p>
          <w:p>
            <w:pPr>
              <w:adjustRightInd w:val="0"/>
              <w:snapToGrid w:val="0"/>
              <w:rPr>
                <w:rFonts w:ascii="仿宋" w:hAnsi="仿宋" w:eastAsia="仿宋" w:cs="仿宋"/>
                <w:szCs w:val="21"/>
              </w:rPr>
            </w:pPr>
            <w:r>
              <w:rPr>
                <w:rFonts w:hint="eastAsia" w:ascii="仿宋" w:hAnsi="仿宋" w:eastAsia="仿宋" w:cs="仿宋"/>
                <w:szCs w:val="21"/>
              </w:rPr>
              <w:t>期清运，统一交环卫部门处置</w:t>
            </w:r>
          </w:p>
        </w:tc>
        <w:tc>
          <w:tcPr>
            <w:tcW w:w="1081" w:type="pct"/>
            <w:vAlign w:val="center"/>
          </w:tcPr>
          <w:p>
            <w:pPr>
              <w:pStyle w:val="11"/>
              <w:spacing w:line="240" w:lineRule="atLeast"/>
              <w:rPr>
                <w:rFonts w:ascii="仿宋" w:hAnsi="仿宋" w:eastAsia="仿宋" w:cs="仿宋"/>
                <w:bCs w:val="0"/>
                <w:szCs w:val="21"/>
              </w:rPr>
            </w:pPr>
            <w:r>
              <w:rPr>
                <w:rFonts w:hint="eastAsia" w:ascii="仿宋" w:hAnsi="仿宋" w:eastAsia="仿宋" w:cs="仿宋"/>
                <w:bCs w:val="0"/>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Merge w:val="continue"/>
            <w:vAlign w:val="center"/>
          </w:tcPr>
          <w:p>
            <w:pPr>
              <w:pStyle w:val="11"/>
              <w:spacing w:line="240" w:lineRule="atLeast"/>
              <w:rPr>
                <w:rFonts w:ascii="仿宋" w:hAnsi="仿宋" w:eastAsia="仿宋" w:cs="仿宋"/>
                <w:bCs w:val="0"/>
                <w:szCs w:val="21"/>
              </w:rPr>
            </w:pPr>
          </w:p>
        </w:tc>
        <w:tc>
          <w:tcPr>
            <w:tcW w:w="648" w:type="pct"/>
            <w:gridSpan w:val="2"/>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噪声防治</w:t>
            </w:r>
          </w:p>
        </w:tc>
        <w:tc>
          <w:tcPr>
            <w:tcW w:w="1399" w:type="pct"/>
            <w:vAlign w:val="center"/>
          </w:tcPr>
          <w:p>
            <w:pPr>
              <w:adjustRightInd w:val="0"/>
              <w:snapToGrid w:val="0"/>
              <w:rPr>
                <w:rFonts w:ascii="仿宋" w:hAnsi="仿宋" w:eastAsia="仿宋" w:cs="仿宋"/>
                <w:szCs w:val="21"/>
              </w:rPr>
            </w:pPr>
            <w:r>
              <w:rPr>
                <w:rFonts w:hint="eastAsia" w:ascii="仿宋" w:hAnsi="仿宋" w:eastAsia="仿宋" w:cs="仿宋"/>
                <w:szCs w:val="21"/>
              </w:rPr>
              <w:t>选用低噪声设备，基础减振，厂房隔音</w:t>
            </w:r>
          </w:p>
        </w:tc>
        <w:tc>
          <w:tcPr>
            <w:tcW w:w="3152" w:type="dxa"/>
            <w:vAlign w:val="center"/>
          </w:tcPr>
          <w:p>
            <w:pPr>
              <w:adjustRightInd w:val="0"/>
              <w:snapToGrid w:val="0"/>
              <w:rPr>
                <w:rFonts w:ascii="仿宋" w:hAnsi="仿宋" w:eastAsia="仿宋" w:cs="仿宋"/>
                <w:szCs w:val="21"/>
              </w:rPr>
            </w:pPr>
            <w:r>
              <w:rPr>
                <w:rFonts w:hint="eastAsia" w:ascii="仿宋" w:hAnsi="仿宋" w:eastAsia="仿宋" w:cs="仿宋"/>
                <w:szCs w:val="21"/>
              </w:rPr>
              <w:t>选用低噪声设备，基础减振，厂房隔音</w:t>
            </w:r>
          </w:p>
        </w:tc>
        <w:tc>
          <w:tcPr>
            <w:tcW w:w="1081" w:type="pct"/>
            <w:vAlign w:val="center"/>
          </w:tcPr>
          <w:p>
            <w:pPr>
              <w:spacing w:line="240" w:lineRule="atLeast"/>
              <w:jc w:val="center"/>
              <w:rPr>
                <w:rFonts w:ascii="仿宋" w:hAnsi="仿宋" w:eastAsia="仿宋" w:cs="仿宋"/>
                <w:szCs w:val="21"/>
              </w:rPr>
            </w:pPr>
            <w:r>
              <w:rPr>
                <w:rFonts w:hint="eastAsia" w:ascii="仿宋" w:hAnsi="仿宋" w:eastAsia="仿宋" w:cs="仿宋"/>
                <w:szCs w:val="21"/>
              </w:rPr>
              <w:t>无变化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Merge w:val="continue"/>
            <w:vAlign w:val="center"/>
          </w:tcPr>
          <w:p>
            <w:pPr>
              <w:pStyle w:val="11"/>
              <w:spacing w:line="240" w:lineRule="atLeast"/>
              <w:rPr>
                <w:rFonts w:ascii="仿宋" w:hAnsi="仿宋" w:eastAsia="仿宋" w:cs="仿宋"/>
                <w:bCs w:val="0"/>
                <w:szCs w:val="21"/>
              </w:rPr>
            </w:pPr>
          </w:p>
        </w:tc>
        <w:tc>
          <w:tcPr>
            <w:tcW w:w="648" w:type="pct"/>
            <w:gridSpan w:val="2"/>
            <w:vAlign w:val="center"/>
          </w:tcPr>
          <w:p>
            <w:pPr>
              <w:adjustRightInd w:val="0"/>
              <w:snapToGrid w:val="0"/>
              <w:jc w:val="center"/>
              <w:rPr>
                <w:rFonts w:ascii="仿宋" w:hAnsi="仿宋" w:eastAsia="仿宋" w:cs="仿宋"/>
                <w:szCs w:val="21"/>
              </w:rPr>
            </w:pPr>
            <w:r>
              <w:rPr>
                <w:rFonts w:hint="eastAsia" w:ascii="仿宋" w:hAnsi="仿宋" w:eastAsia="仿宋" w:cs="仿宋"/>
                <w:szCs w:val="21"/>
              </w:rPr>
              <w:t xml:space="preserve">绿化 </w:t>
            </w:r>
          </w:p>
        </w:tc>
        <w:tc>
          <w:tcPr>
            <w:tcW w:w="1399" w:type="pct"/>
            <w:vAlign w:val="center"/>
          </w:tcPr>
          <w:p>
            <w:pPr>
              <w:adjustRightInd w:val="0"/>
              <w:snapToGrid w:val="0"/>
              <w:rPr>
                <w:rFonts w:ascii="仿宋" w:hAnsi="仿宋" w:eastAsia="仿宋" w:cs="仿宋"/>
                <w:szCs w:val="21"/>
              </w:rPr>
            </w:pPr>
            <w:r>
              <w:rPr>
                <w:rFonts w:hint="eastAsia" w:ascii="仿宋" w:hAnsi="仿宋" w:eastAsia="仿宋" w:cs="仿宋"/>
                <w:szCs w:val="21"/>
              </w:rPr>
              <w:t>绿化面积 100m</w:t>
            </w:r>
            <w:r>
              <w:rPr>
                <w:rFonts w:hint="eastAsia" w:ascii="仿宋" w:hAnsi="仿宋" w:eastAsia="仿宋" w:cs="仿宋"/>
                <w:szCs w:val="21"/>
                <w:vertAlign w:val="superscript"/>
              </w:rPr>
              <w:t>2</w:t>
            </w:r>
            <w:r>
              <w:rPr>
                <w:rFonts w:hint="eastAsia" w:ascii="仿宋" w:hAnsi="仿宋" w:eastAsia="仿宋" w:cs="仿宋"/>
                <w:szCs w:val="21"/>
              </w:rPr>
              <w:t xml:space="preserve"> </w:t>
            </w:r>
          </w:p>
        </w:tc>
        <w:tc>
          <w:tcPr>
            <w:tcW w:w="1624" w:type="pct"/>
            <w:vAlign w:val="center"/>
          </w:tcPr>
          <w:p>
            <w:pPr>
              <w:spacing w:line="360" w:lineRule="exact"/>
              <w:ind w:firstLine="360"/>
              <w:rPr>
                <w:rFonts w:ascii="仿宋" w:hAnsi="仿宋" w:eastAsia="仿宋" w:cs="仿宋"/>
                <w:szCs w:val="21"/>
              </w:rPr>
            </w:pPr>
            <w:r>
              <w:rPr>
                <w:rFonts w:hint="eastAsia" w:ascii="仿宋" w:hAnsi="仿宋" w:eastAsia="仿宋" w:cs="仿宋"/>
                <w:szCs w:val="21"/>
              </w:rPr>
              <w:t>厂区硬化，四周绿化</w:t>
            </w:r>
          </w:p>
        </w:tc>
        <w:tc>
          <w:tcPr>
            <w:tcW w:w="1081" w:type="pct"/>
            <w:vAlign w:val="center"/>
          </w:tcPr>
          <w:p>
            <w:pPr>
              <w:spacing w:line="240" w:lineRule="atLeast"/>
              <w:jc w:val="center"/>
              <w:rPr>
                <w:rFonts w:ascii="仿宋" w:hAnsi="仿宋" w:eastAsia="仿宋" w:cs="仿宋"/>
                <w:szCs w:val="21"/>
              </w:rPr>
            </w:pPr>
            <w:r>
              <w:rPr>
                <w:rFonts w:hint="eastAsia" w:ascii="仿宋" w:hAnsi="仿宋" w:eastAsia="仿宋" w:cs="仿宋"/>
                <w:szCs w:val="21"/>
              </w:rPr>
              <w:t>无变化</w:t>
            </w:r>
          </w:p>
        </w:tc>
      </w:tr>
    </w:tbl>
    <w:p>
      <w:pPr>
        <w:pStyle w:val="2"/>
        <w:ind w:firstLine="422"/>
        <w:jc w:val="center"/>
        <w:rPr>
          <w:b/>
          <w:bCs/>
        </w:rPr>
      </w:pPr>
    </w:p>
    <w:p>
      <w:pPr>
        <w:widowControl/>
        <w:spacing w:line="360" w:lineRule="auto"/>
        <w:ind w:firstLine="480" w:firstLineChars="200"/>
        <w:rPr>
          <w:rFonts w:ascii="宋体" w:hAnsi="宋体"/>
          <w:color w:val="000000"/>
          <w:sz w:val="24"/>
          <w:szCs w:val="24"/>
        </w:rPr>
      </w:pPr>
      <w:r>
        <w:rPr>
          <w:rFonts w:ascii="宋体" w:hAnsi="宋体"/>
          <w:color w:val="333333"/>
          <w:kern w:val="0"/>
          <w:sz w:val="24"/>
          <w:szCs w:val="24"/>
        </w:rPr>
        <w:t>（二）</w:t>
      </w:r>
      <w:r>
        <w:rPr>
          <w:rFonts w:ascii="宋体" w:hAnsi="宋体"/>
          <w:color w:val="000000"/>
          <w:sz w:val="24"/>
          <w:szCs w:val="24"/>
        </w:rPr>
        <w:t>建设过程及环保审批情况</w:t>
      </w:r>
    </w:p>
    <w:p>
      <w:pPr>
        <w:spacing w:line="360" w:lineRule="auto"/>
        <w:ind w:firstLine="480" w:firstLineChars="200"/>
        <w:rPr>
          <w:rFonts w:ascii="宋体" w:hAnsi="宋体"/>
          <w:sz w:val="24"/>
          <w:szCs w:val="24"/>
          <w:highlight w:val="none"/>
        </w:rPr>
      </w:pPr>
      <w:r>
        <w:rPr>
          <w:rFonts w:hint="eastAsia" w:ascii="宋体" w:hAnsi="宋体"/>
          <w:sz w:val="24"/>
          <w:szCs w:val="24"/>
          <w:highlight w:val="none"/>
        </w:rPr>
        <w:t>本项目于2021年9月委托山西绿洲阳光环保科技有限公司编制完成了《山西聂建新风味食品有限公司新建凉粉加工生产线项目环境影响报告表》，2021年9月29日经原平市行政审批服务管理局以原审管生态函[2021]26号文关于对《山西聂建新风味食品有限公司新建凉粉加工生产线项目环境影响报告表》的批复对项目进行了批复。202</w:t>
      </w:r>
      <w:r>
        <w:rPr>
          <w:rFonts w:hint="eastAsia" w:ascii="宋体" w:hAnsi="宋体"/>
          <w:sz w:val="24"/>
          <w:szCs w:val="24"/>
          <w:highlight w:val="none"/>
          <w:lang w:val="en-US" w:eastAsia="zh-CN"/>
        </w:rPr>
        <w:t>2</w:t>
      </w:r>
      <w:r>
        <w:rPr>
          <w:rFonts w:hint="eastAsia" w:ascii="宋体" w:hAnsi="宋体"/>
          <w:sz w:val="24"/>
          <w:szCs w:val="24"/>
          <w:highlight w:val="none"/>
        </w:rPr>
        <w:t>年5月项目建设完成，并进行了建成公示。公司于202</w:t>
      </w:r>
      <w:r>
        <w:rPr>
          <w:rFonts w:hint="eastAsia" w:ascii="宋体" w:hAnsi="宋体"/>
          <w:sz w:val="24"/>
          <w:szCs w:val="24"/>
          <w:highlight w:val="none"/>
          <w:lang w:val="en-US" w:eastAsia="zh-CN"/>
        </w:rPr>
        <w:t>2</w:t>
      </w:r>
      <w:r>
        <w:rPr>
          <w:rFonts w:hint="eastAsia" w:ascii="宋体" w:hAnsi="宋体"/>
          <w:sz w:val="24"/>
          <w:szCs w:val="24"/>
          <w:highlight w:val="none"/>
        </w:rPr>
        <w:t>年</w:t>
      </w:r>
      <w:r>
        <w:rPr>
          <w:rFonts w:hint="eastAsia" w:ascii="宋体" w:hAnsi="宋体"/>
          <w:sz w:val="24"/>
          <w:szCs w:val="24"/>
          <w:highlight w:val="none"/>
          <w:lang w:val="en-US" w:eastAsia="zh-CN"/>
        </w:rPr>
        <w:t>8</w:t>
      </w:r>
      <w:r>
        <w:rPr>
          <w:rFonts w:hint="eastAsia" w:ascii="宋体" w:hAnsi="宋体"/>
          <w:sz w:val="24"/>
          <w:szCs w:val="24"/>
          <w:highlight w:val="none"/>
        </w:rPr>
        <w:t>月</w:t>
      </w:r>
      <w:r>
        <w:rPr>
          <w:rFonts w:hint="eastAsia" w:ascii="宋体" w:hAnsi="宋体"/>
          <w:sz w:val="24"/>
          <w:szCs w:val="24"/>
          <w:highlight w:val="none"/>
          <w:lang w:val="en-US" w:eastAsia="zh-CN"/>
        </w:rPr>
        <w:t>8</w:t>
      </w:r>
      <w:r>
        <w:rPr>
          <w:rFonts w:hint="eastAsia" w:ascii="宋体" w:hAnsi="宋体"/>
          <w:sz w:val="24"/>
          <w:szCs w:val="24"/>
          <w:highlight w:val="none"/>
        </w:rPr>
        <w:t>日按照国家要求登记了排污许可，登记回执编号：91140981MA0GX02716001Z；有效期：202</w:t>
      </w:r>
      <w:r>
        <w:rPr>
          <w:rFonts w:hint="eastAsia" w:ascii="宋体" w:hAnsi="宋体"/>
          <w:sz w:val="24"/>
          <w:szCs w:val="24"/>
          <w:highlight w:val="none"/>
          <w:lang w:val="en-US" w:eastAsia="zh-CN"/>
        </w:rPr>
        <w:t>2</w:t>
      </w:r>
      <w:r>
        <w:rPr>
          <w:rFonts w:hint="eastAsia" w:ascii="宋体" w:hAnsi="宋体"/>
          <w:sz w:val="24"/>
          <w:szCs w:val="24"/>
          <w:highlight w:val="none"/>
        </w:rPr>
        <w:t>年0</w:t>
      </w:r>
      <w:r>
        <w:rPr>
          <w:rFonts w:hint="eastAsia" w:ascii="宋体" w:hAnsi="宋体"/>
          <w:sz w:val="24"/>
          <w:szCs w:val="24"/>
          <w:highlight w:val="none"/>
          <w:lang w:val="en-US" w:eastAsia="zh-CN"/>
        </w:rPr>
        <w:t>8</w:t>
      </w:r>
      <w:r>
        <w:rPr>
          <w:rFonts w:hint="eastAsia" w:ascii="宋体" w:hAnsi="宋体"/>
          <w:sz w:val="24"/>
          <w:szCs w:val="24"/>
          <w:highlight w:val="none"/>
        </w:rPr>
        <w:t>月</w:t>
      </w:r>
      <w:r>
        <w:rPr>
          <w:rFonts w:hint="eastAsia" w:ascii="宋体" w:hAnsi="宋体"/>
          <w:sz w:val="24"/>
          <w:szCs w:val="24"/>
          <w:highlight w:val="none"/>
          <w:lang w:val="en-US" w:eastAsia="zh-CN"/>
        </w:rPr>
        <w:t>8</w:t>
      </w:r>
      <w:r>
        <w:rPr>
          <w:rFonts w:hint="eastAsia" w:ascii="宋体" w:hAnsi="宋体"/>
          <w:sz w:val="24"/>
          <w:szCs w:val="24"/>
          <w:highlight w:val="none"/>
        </w:rPr>
        <w:t>日至202</w:t>
      </w:r>
      <w:r>
        <w:rPr>
          <w:rFonts w:hint="eastAsia" w:ascii="宋体" w:hAnsi="宋体"/>
          <w:sz w:val="24"/>
          <w:szCs w:val="24"/>
          <w:highlight w:val="none"/>
          <w:lang w:val="en-US" w:eastAsia="zh-CN"/>
        </w:rPr>
        <w:t>7</w:t>
      </w:r>
      <w:r>
        <w:rPr>
          <w:rFonts w:hint="eastAsia" w:ascii="宋体" w:hAnsi="宋体"/>
          <w:sz w:val="24"/>
          <w:szCs w:val="24"/>
          <w:highlight w:val="none"/>
        </w:rPr>
        <w:t>年0</w:t>
      </w:r>
      <w:r>
        <w:rPr>
          <w:rFonts w:hint="eastAsia" w:ascii="宋体" w:hAnsi="宋体"/>
          <w:sz w:val="24"/>
          <w:szCs w:val="24"/>
          <w:highlight w:val="none"/>
          <w:lang w:val="en-US" w:eastAsia="zh-CN"/>
        </w:rPr>
        <w:t>8</w:t>
      </w:r>
      <w:r>
        <w:rPr>
          <w:rFonts w:hint="eastAsia" w:ascii="宋体" w:hAnsi="宋体"/>
          <w:sz w:val="24"/>
          <w:szCs w:val="24"/>
          <w:highlight w:val="none"/>
        </w:rPr>
        <w:t>月</w:t>
      </w:r>
      <w:r>
        <w:rPr>
          <w:rFonts w:hint="eastAsia" w:ascii="宋体" w:hAnsi="宋体"/>
          <w:sz w:val="24"/>
          <w:szCs w:val="24"/>
          <w:highlight w:val="none"/>
          <w:lang w:val="en-US" w:eastAsia="zh-CN"/>
        </w:rPr>
        <w:t>07</w:t>
      </w:r>
      <w:r>
        <w:rPr>
          <w:rFonts w:hint="eastAsia" w:ascii="宋体" w:hAnsi="宋体"/>
          <w:sz w:val="24"/>
          <w:szCs w:val="24"/>
          <w:highlight w:val="none"/>
        </w:rPr>
        <w:t>日。</w:t>
      </w:r>
    </w:p>
    <w:p>
      <w:pPr>
        <w:spacing w:line="360" w:lineRule="auto"/>
        <w:ind w:firstLine="480" w:firstLineChars="200"/>
        <w:rPr>
          <w:rFonts w:ascii="宋体" w:hAnsi="宋体"/>
          <w:bCs/>
          <w:color w:val="000000"/>
          <w:sz w:val="24"/>
          <w:szCs w:val="24"/>
        </w:rPr>
      </w:pPr>
      <w:r>
        <w:rPr>
          <w:rFonts w:hint="eastAsia" w:ascii="宋体" w:hAnsi="宋体"/>
          <w:bCs/>
          <w:color w:val="000000"/>
          <w:sz w:val="24"/>
          <w:szCs w:val="24"/>
        </w:rPr>
        <w:t>（三）投资情况</w:t>
      </w:r>
    </w:p>
    <w:p>
      <w:pPr>
        <w:widowControl/>
        <w:spacing w:line="360" w:lineRule="auto"/>
        <w:ind w:firstLine="480" w:firstLineChars="200"/>
        <w:rPr>
          <w:rFonts w:ascii="宋体" w:hAnsi="宋体"/>
          <w:bCs/>
          <w:color w:val="000000"/>
          <w:sz w:val="24"/>
          <w:szCs w:val="24"/>
        </w:rPr>
      </w:pPr>
      <w:r>
        <w:rPr>
          <w:rFonts w:ascii="宋体" w:hAnsi="宋体"/>
          <w:bCs/>
          <w:color w:val="000000"/>
          <w:sz w:val="24"/>
          <w:szCs w:val="24"/>
        </w:rPr>
        <w:t>实际总投资121万元，</w:t>
      </w:r>
      <w:r>
        <w:rPr>
          <w:rFonts w:hint="eastAsia" w:ascii="宋体" w:hAnsi="宋体"/>
          <w:bCs/>
          <w:color w:val="000000"/>
          <w:sz w:val="24"/>
          <w:szCs w:val="24"/>
        </w:rPr>
        <w:t>环保投资</w:t>
      </w:r>
      <w:r>
        <w:rPr>
          <w:rFonts w:ascii="宋体" w:hAnsi="宋体"/>
          <w:bCs/>
          <w:color w:val="000000"/>
          <w:sz w:val="24"/>
          <w:szCs w:val="24"/>
        </w:rPr>
        <w:t>21</w:t>
      </w:r>
      <w:r>
        <w:rPr>
          <w:rFonts w:hint="eastAsia" w:ascii="宋体" w:hAnsi="宋体"/>
          <w:bCs/>
          <w:color w:val="000000"/>
          <w:sz w:val="24"/>
          <w:szCs w:val="24"/>
        </w:rPr>
        <w:t>万元</w:t>
      </w:r>
      <w:r>
        <w:rPr>
          <w:rFonts w:ascii="宋体" w:hAnsi="宋体"/>
          <w:bCs/>
          <w:color w:val="000000"/>
          <w:sz w:val="24"/>
          <w:szCs w:val="24"/>
        </w:rPr>
        <w:t>，占实际总投资的17%。</w:t>
      </w:r>
    </w:p>
    <w:p>
      <w:pPr>
        <w:widowControl/>
        <w:spacing w:line="360" w:lineRule="auto"/>
        <w:ind w:firstLine="480" w:firstLineChars="200"/>
        <w:rPr>
          <w:rFonts w:ascii="宋体" w:hAnsi="宋体"/>
          <w:bCs/>
          <w:color w:val="000000"/>
          <w:sz w:val="24"/>
          <w:szCs w:val="24"/>
        </w:rPr>
      </w:pPr>
      <w:r>
        <w:rPr>
          <w:rFonts w:ascii="宋体" w:hAnsi="宋体"/>
          <w:bCs/>
          <w:color w:val="000000"/>
          <w:sz w:val="24"/>
          <w:szCs w:val="24"/>
        </w:rPr>
        <w:t>（四）验收范围</w:t>
      </w:r>
    </w:p>
    <w:p>
      <w:pPr>
        <w:widowControl/>
        <w:spacing w:line="360" w:lineRule="auto"/>
        <w:ind w:firstLine="480" w:firstLineChars="200"/>
        <w:rPr>
          <w:rFonts w:ascii="宋体" w:hAnsi="宋体"/>
          <w:bCs/>
          <w:color w:val="000000"/>
          <w:sz w:val="24"/>
          <w:szCs w:val="24"/>
        </w:rPr>
      </w:pPr>
      <w:r>
        <w:rPr>
          <w:rFonts w:hint="eastAsia" w:ascii="宋体" w:hAnsi="宋体"/>
          <w:sz w:val="24"/>
          <w:szCs w:val="24"/>
          <w:highlight w:val="none"/>
        </w:rPr>
        <w:t>山西聂建新风味食品有限公司凉粉加工生产线</w:t>
      </w:r>
      <w:r>
        <w:rPr>
          <w:rFonts w:hint="eastAsia" w:ascii="宋体" w:hAnsi="宋体"/>
          <w:bCs/>
          <w:color w:val="000000"/>
          <w:sz w:val="24"/>
          <w:szCs w:val="24"/>
        </w:rPr>
        <w:t>主体工程、公用工程、辅助工程和环保工程。</w:t>
      </w:r>
    </w:p>
    <w:p>
      <w:pPr>
        <w:widowControl/>
        <w:spacing w:line="360" w:lineRule="auto"/>
        <w:ind w:firstLine="482" w:firstLineChars="200"/>
        <w:rPr>
          <w:rFonts w:ascii="宋体" w:hAnsi="宋体"/>
          <w:b/>
          <w:bCs/>
          <w:sz w:val="24"/>
          <w:szCs w:val="24"/>
          <w:highlight w:val="none"/>
        </w:rPr>
      </w:pPr>
      <w:r>
        <w:rPr>
          <w:rFonts w:ascii="宋体" w:hAnsi="宋体"/>
          <w:b/>
          <w:bCs/>
          <w:sz w:val="24"/>
          <w:szCs w:val="24"/>
          <w:highlight w:val="none"/>
        </w:rPr>
        <w:t>二、工程变动情况</w:t>
      </w:r>
    </w:p>
    <w:p>
      <w:pPr>
        <w:pStyle w:val="9"/>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环评阶段：</w:t>
      </w:r>
      <w:r>
        <w:rPr>
          <w:rFonts w:hint="eastAsia" w:ascii="宋体" w:hAnsi="宋体" w:eastAsia="宋体" w:cs="宋体"/>
          <w:szCs w:val="24"/>
          <w:highlight w:val="none"/>
          <w:lang w:eastAsia="zh-CN"/>
        </w:rPr>
        <w:t>共设置两台锅炉（一台为</w:t>
      </w:r>
      <w:r>
        <w:rPr>
          <w:rFonts w:hint="eastAsia" w:ascii="宋体" w:hAnsi="宋体" w:eastAsia="宋体" w:cs="宋体"/>
          <w:color w:val="000000"/>
          <w:szCs w:val="21"/>
          <w:highlight w:val="none"/>
        </w:rPr>
        <w:t>LWS0.5-0.7- YQ</w:t>
      </w:r>
      <w:r>
        <w:rPr>
          <w:rFonts w:hint="eastAsia" w:ascii="宋体" w:hAnsi="宋体" w:eastAsia="宋体" w:cs="宋体"/>
          <w:color w:val="000000"/>
          <w:szCs w:val="21"/>
          <w:highlight w:val="none"/>
          <w:lang w:eastAsia="zh-CN"/>
        </w:rPr>
        <w:t>，另一台为</w:t>
      </w:r>
      <w:r>
        <w:rPr>
          <w:rFonts w:hint="eastAsia" w:ascii="宋体" w:hAnsi="宋体" w:eastAsia="宋体" w:cs="宋体"/>
          <w:color w:val="000000"/>
          <w:szCs w:val="21"/>
          <w:highlight w:val="none"/>
        </w:rPr>
        <w:t>LWS0.</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-0.7- YQ</w:t>
      </w:r>
      <w:r>
        <w:rPr>
          <w:rFonts w:hint="eastAsia" w:ascii="宋体" w:hAnsi="宋体" w:eastAsia="宋体" w:cs="宋体"/>
          <w:szCs w:val="24"/>
          <w:highlight w:val="none"/>
          <w:lang w:eastAsia="zh-CN"/>
        </w:rPr>
        <w:t>）</w:t>
      </w:r>
      <w:r>
        <w:rPr>
          <w:rFonts w:hint="eastAsia" w:ascii="宋体" w:hAnsi="宋体" w:eastAsia="宋体" w:cs="宋体"/>
          <w:szCs w:val="21"/>
          <w:highlight w:val="none"/>
          <w:lang w:eastAsia="zh-CN"/>
        </w:rPr>
        <w:t>，</w:t>
      </w:r>
    </w:p>
    <w:p>
      <w:pPr>
        <w:pStyle w:val="9"/>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验收阶段：</w:t>
      </w:r>
      <w:r>
        <w:rPr>
          <w:rFonts w:hint="eastAsia" w:ascii="宋体" w:hAnsi="宋体" w:eastAsia="宋体" w:cs="宋体"/>
          <w:color w:val="000000"/>
          <w:szCs w:val="21"/>
          <w:highlight w:val="none"/>
        </w:rPr>
        <w:t>LWS0.5-0.7- YQ</w:t>
      </w:r>
      <w:r>
        <w:rPr>
          <w:rFonts w:hint="eastAsia" w:ascii="宋体" w:hAnsi="宋体" w:eastAsia="宋体" w:cs="宋体"/>
          <w:szCs w:val="21"/>
          <w:highlight w:val="none"/>
        </w:rPr>
        <w:t>天然气锅炉一台</w:t>
      </w:r>
      <w:r>
        <w:rPr>
          <w:rFonts w:hint="eastAsia" w:ascii="宋体" w:hAnsi="宋体" w:eastAsia="宋体" w:cs="宋体"/>
          <w:szCs w:val="21"/>
          <w:highlight w:val="none"/>
          <w:lang w:eastAsia="zh-CN"/>
        </w:rPr>
        <w:t>，</w:t>
      </w:r>
      <w:r>
        <w:rPr>
          <w:rFonts w:hint="eastAsia" w:ascii="宋体" w:hAnsi="宋体" w:eastAsia="宋体" w:cs="宋体"/>
          <w:szCs w:val="21"/>
          <w:highlight w:val="none"/>
        </w:rPr>
        <w:t>2台</w:t>
      </w:r>
      <w:r>
        <w:rPr>
          <w:rFonts w:hint="eastAsia" w:ascii="宋体" w:hAnsi="宋体" w:eastAsia="宋体" w:cs="宋体"/>
          <w:color w:val="000000"/>
          <w:szCs w:val="21"/>
          <w:highlight w:val="none"/>
        </w:rPr>
        <w:t>LWS0.</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-0.7- YQ</w:t>
      </w:r>
      <w:r>
        <w:rPr>
          <w:rFonts w:hint="eastAsia" w:ascii="宋体" w:hAnsi="宋体" w:eastAsia="宋体" w:cs="宋体"/>
          <w:color w:val="000000"/>
          <w:szCs w:val="21"/>
          <w:highlight w:val="none"/>
          <w:lang w:eastAsia="zh-CN"/>
        </w:rPr>
        <w:t>锅炉</w:t>
      </w:r>
      <w:r>
        <w:rPr>
          <w:rFonts w:hint="eastAsia" w:ascii="宋体" w:hAnsi="宋体" w:eastAsia="宋体" w:cs="宋体"/>
          <w:szCs w:val="21"/>
          <w:highlight w:val="none"/>
        </w:rPr>
        <w:t>（</w:t>
      </w:r>
      <w:r>
        <w:rPr>
          <w:rFonts w:hint="eastAsia" w:ascii="宋体" w:hAnsi="宋体" w:eastAsia="宋体" w:cs="宋体"/>
          <w:szCs w:val="21"/>
          <w:highlight w:val="none"/>
          <w:lang w:eastAsia="zh-CN"/>
        </w:rPr>
        <w:t>有一台备用</w:t>
      </w:r>
      <w:r>
        <w:rPr>
          <w:rFonts w:hint="eastAsia" w:ascii="宋体" w:hAnsi="宋体" w:eastAsia="宋体" w:cs="宋体"/>
          <w:szCs w:val="21"/>
          <w:highlight w:val="none"/>
        </w:rPr>
        <w:t>）</w:t>
      </w:r>
      <w:r>
        <w:rPr>
          <w:rFonts w:hint="eastAsia" w:ascii="宋体" w:hAnsi="宋体" w:eastAsia="宋体" w:cs="宋体"/>
          <w:szCs w:val="21"/>
          <w:highlight w:val="none"/>
          <w:lang w:eastAsia="zh-CN"/>
        </w:rPr>
        <w:t>，加热功率不变，</w:t>
      </w:r>
      <w:r>
        <w:rPr>
          <w:rFonts w:hint="eastAsia" w:ascii="宋体" w:hAnsi="宋体" w:eastAsia="宋体" w:cs="宋体"/>
          <w:szCs w:val="21"/>
          <w:highlight w:val="none"/>
        </w:rPr>
        <w:t>各自配置低氮燃烧器一套及配套烟气再循环技术（FGR）</w:t>
      </w:r>
    </w:p>
    <w:p>
      <w:pPr>
        <w:pStyle w:val="9"/>
        <w:spacing w:line="360" w:lineRule="auto"/>
        <w:ind w:firstLine="480" w:firstLineChars="200"/>
        <w:rPr>
          <w:rFonts w:hint="default"/>
          <w:szCs w:val="24"/>
          <w:highlight w:val="none"/>
        </w:rPr>
      </w:pPr>
      <w:r>
        <w:rPr>
          <w:rFonts w:hint="eastAsia" w:ascii="宋体" w:hAnsi="宋体" w:eastAsia="宋体" w:cs="宋体"/>
          <w:szCs w:val="24"/>
          <w:highlight w:val="none"/>
        </w:rPr>
        <w:t>根据环办环评函〔2020〕688号“关于印发《污染影响类建设项目重大变动清单（试行）》的通知”，本项目生产工艺</w:t>
      </w:r>
      <w:r>
        <w:rPr>
          <w:rFonts w:hint="eastAsia" w:ascii="宋体" w:hAnsi="宋体" w:eastAsia="宋体" w:cs="宋体"/>
          <w:szCs w:val="24"/>
          <w:highlight w:val="none"/>
          <w:lang w:eastAsia="zh-CN"/>
        </w:rPr>
        <w:t>未</w:t>
      </w:r>
      <w:r>
        <w:rPr>
          <w:rFonts w:hint="eastAsia" w:ascii="宋体" w:hAnsi="宋体" w:eastAsia="宋体" w:cs="宋体"/>
          <w:szCs w:val="24"/>
          <w:highlight w:val="none"/>
        </w:rPr>
        <w:t>发生变更，经分析，</w:t>
      </w:r>
      <w:r>
        <w:rPr>
          <w:rFonts w:hint="eastAsia" w:ascii="宋体" w:hAnsi="宋体" w:eastAsia="宋体" w:cs="宋体"/>
          <w:szCs w:val="24"/>
          <w:highlight w:val="none"/>
          <w:lang w:eastAsia="zh-CN"/>
        </w:rPr>
        <w:t>锅炉</w:t>
      </w:r>
      <w:r>
        <w:rPr>
          <w:rFonts w:hint="eastAsia" w:ascii="宋体" w:hAnsi="宋体" w:eastAsia="宋体" w:cs="宋体"/>
          <w:szCs w:val="24"/>
          <w:highlight w:val="none"/>
        </w:rPr>
        <w:t>变动</w:t>
      </w:r>
      <w:r>
        <w:rPr>
          <w:rFonts w:hint="eastAsia" w:ascii="宋体" w:hAnsi="宋体" w:eastAsia="宋体" w:cs="宋体"/>
          <w:szCs w:val="24"/>
          <w:highlight w:val="none"/>
          <w:lang w:eastAsia="zh-CN"/>
        </w:rPr>
        <w:t>为一用一备</w:t>
      </w:r>
      <w:r>
        <w:rPr>
          <w:rFonts w:hint="eastAsia" w:ascii="宋体" w:hAnsi="宋体" w:eastAsia="宋体" w:cs="宋体"/>
          <w:szCs w:val="24"/>
          <w:highlight w:val="none"/>
        </w:rPr>
        <w:t>后污染物排放减少，不会导致不利环境影</w:t>
      </w:r>
      <w:r>
        <w:rPr>
          <w:szCs w:val="24"/>
          <w:highlight w:val="none"/>
        </w:rPr>
        <w:t>响加重，确定为不属于重大变动，可纳入竣工环境保护验收管理。</w:t>
      </w:r>
    </w:p>
    <w:p>
      <w:pPr>
        <w:spacing w:line="360" w:lineRule="auto"/>
        <w:ind w:firstLine="482" w:firstLineChars="200"/>
        <w:rPr>
          <w:rFonts w:ascii="宋体" w:hAnsi="宋体"/>
          <w:b/>
          <w:bCs/>
          <w:sz w:val="24"/>
        </w:rPr>
      </w:pPr>
      <w:r>
        <w:rPr>
          <w:rFonts w:hint="eastAsia" w:ascii="宋体" w:hAnsi="宋体"/>
          <w:b/>
          <w:bCs/>
          <w:sz w:val="24"/>
        </w:rPr>
        <w:t xml:space="preserve">三、环境保护设施建设情况 </w:t>
      </w: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1、废气污染物及其防治措施</w:t>
      </w:r>
    </w:p>
    <w:p>
      <w:pPr>
        <w:pStyle w:val="2"/>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pacing w:val="4"/>
          <w:sz w:val="24"/>
          <w:szCs w:val="24"/>
        </w:rPr>
        <w:t>2台天然气锅炉（0.3t/h，0.5t/h，）燃烧工序，各自配一套天然气蒸汽锅炉配置低氮式燃烧器及配套烟气再循环技术（FGR），废气脱硝处理后经一根8m 高排气筒排放。</w:t>
      </w:r>
    </w:p>
    <w:p>
      <w:pPr>
        <w:keepNext w:val="0"/>
        <w:keepLines w:val="0"/>
        <w:pageBreakBefore w:val="0"/>
        <w:widowControl w:val="0"/>
        <w:numPr>
          <w:numId w:val="0"/>
        </w:numPr>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废水污染物及其防治措施 </w:t>
      </w:r>
    </w:p>
    <w:p>
      <w:pPr>
        <w:pStyle w:val="2"/>
        <w:keepNext w:val="0"/>
        <w:keepLines w:val="0"/>
        <w:pageBreakBefore w:val="0"/>
        <w:widowControl w:val="0"/>
        <w:numPr>
          <w:numId w:val="0"/>
        </w:numPr>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员工生活污水和生产废水直接排入化粪池，定期清掏，用于农肥，不外排。</w:t>
      </w:r>
    </w:p>
    <w:p>
      <w:pPr>
        <w:keepNext w:val="0"/>
        <w:keepLines w:val="0"/>
        <w:pageBreakBefore w:val="0"/>
        <w:widowControl w:val="0"/>
        <w:numPr>
          <w:numId w:val="0"/>
        </w:numPr>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噪声污染物及其防治措施 </w:t>
      </w:r>
    </w:p>
    <w:p>
      <w:pPr>
        <w:pStyle w:val="3"/>
        <w:keepNext w:val="0"/>
        <w:keepLines w:val="0"/>
        <w:pageBreakBefore w:val="0"/>
        <w:widowControl w:val="0"/>
        <w:numPr>
          <w:ilvl w:val="0"/>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设置全封闭出料库，装载机及车辆装卸设备置于库内，充分利用厂房的隔声作用防止噪声外泄。</w:t>
      </w:r>
    </w:p>
    <w:p>
      <w:pPr>
        <w:pStyle w:val="3"/>
        <w:keepNext w:val="0"/>
        <w:keepLines w:val="0"/>
        <w:pageBreakBefore w:val="0"/>
        <w:widowControl w:val="0"/>
        <w:numPr>
          <w:ilvl w:val="0"/>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加强厂房的隔声措施，例如，厂房维护材料采用强隔音彩板、双层塑钢门窗等。</w:t>
      </w:r>
    </w:p>
    <w:p>
      <w:pPr>
        <w:pStyle w:val="3"/>
        <w:keepNext w:val="0"/>
        <w:keepLines w:val="0"/>
        <w:pageBreakBefore w:val="0"/>
        <w:widowControl w:val="0"/>
        <w:numPr>
          <w:ilvl w:val="0"/>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在厂界四周、道路两侧、生产装置周围种植阻噪、吸噪效果较好的绿化带。</w:t>
      </w:r>
    </w:p>
    <w:p>
      <w:pPr>
        <w:pStyle w:val="3"/>
        <w:keepNext w:val="0"/>
        <w:keepLines w:val="0"/>
        <w:pageBreakBefore w:val="0"/>
        <w:widowControl w:val="0"/>
        <w:numPr>
          <w:ilvl w:val="0"/>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夜间不进行生产。</w:t>
      </w:r>
    </w:p>
    <w:p>
      <w:pPr>
        <w:keepNext w:val="0"/>
        <w:keepLines w:val="0"/>
        <w:pageBreakBefore w:val="0"/>
        <w:widowControl w:val="0"/>
        <w:numPr>
          <w:ilvl w:val="0"/>
          <w:numId w:val="1"/>
        </w:numPr>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运输物料过程若经过沿线村庄，要注意做到夜间禁行，减速慢行，禁止鸣笛，尽量避免村庄等，因此不会对居民生活造成严重影响。</w:t>
      </w:r>
    </w:p>
    <w:p>
      <w:pPr>
        <w:pStyle w:val="2"/>
        <w:keepNext w:val="0"/>
        <w:keepLines w:val="0"/>
        <w:pageBreakBefore w:val="0"/>
        <w:widowControl w:val="0"/>
        <w:numPr>
          <w:numId w:val="0"/>
        </w:numPr>
        <w:kinsoku/>
        <w:wordWrap/>
        <w:overflowPunct/>
        <w:topLinePunct w:val="0"/>
        <w:autoSpaceDE/>
        <w:autoSpaceDN/>
        <w:bidi w:val="0"/>
        <w:adjustRightInd/>
        <w:spacing w:line="360" w:lineRule="auto"/>
        <w:ind w:leftChars="200"/>
        <w:textAlignment w:val="auto"/>
        <w:rPr>
          <w:rFonts w:hint="eastAsia" w:ascii="宋体" w:hAnsi="宋体" w:eastAsia="宋体" w:cs="宋体"/>
          <w:sz w:val="24"/>
          <w:szCs w:val="24"/>
        </w:rPr>
      </w:pPr>
    </w:p>
    <w:p>
      <w:pPr>
        <w:keepNext w:val="0"/>
        <w:keepLines w:val="0"/>
        <w:pageBreakBefore w:val="0"/>
        <w:widowControl w:val="0"/>
        <w:numPr>
          <w:numId w:val="0"/>
        </w:numPr>
        <w:kinsoku/>
        <w:wordWrap/>
        <w:overflowPunct/>
        <w:topLinePunct w:val="0"/>
        <w:autoSpaceDE/>
        <w:autoSpaceDN/>
        <w:bidi w:val="0"/>
        <w:adjustRightIn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固体废物及防治措施 </w:t>
      </w:r>
    </w:p>
    <w:p>
      <w:pPr>
        <w:pStyle w:val="2"/>
        <w:keepNext w:val="0"/>
        <w:keepLines w:val="0"/>
        <w:pageBreakBefore w:val="0"/>
        <w:widowControl w:val="0"/>
        <w:numPr>
          <w:numId w:val="0"/>
        </w:numPr>
        <w:kinsoku/>
        <w:wordWrap/>
        <w:overflowPunct/>
        <w:topLinePunct w:val="0"/>
        <w:autoSpaceDE/>
        <w:autoSpaceDN/>
        <w:bidi w:val="0"/>
        <w:adjustRightInd/>
        <w:spacing w:line="360" w:lineRule="auto"/>
        <w:ind w:firstLine="240" w:firstLineChars="100"/>
        <w:textAlignment w:val="auto"/>
        <w:rPr>
          <w:rFonts w:hint="eastAsia" w:ascii="宋体" w:hAnsi="宋体" w:eastAsia="宋体" w:cs="宋体"/>
          <w:sz w:val="24"/>
          <w:szCs w:val="24"/>
          <w:lang w:eastAsia="zh-CN"/>
        </w:rPr>
      </w:pPr>
      <w:r>
        <w:rPr>
          <w:rFonts w:hint="eastAsia" w:ascii="宋体" w:hAnsi="宋体" w:eastAsia="宋体" w:cs="宋体"/>
          <w:sz w:val="24"/>
          <w:szCs w:val="24"/>
        </w:rPr>
        <w:t>生产过程中会产生凉粉废料、废包装袋，生活垃圾定期交由环卫部门处置</w:t>
      </w:r>
      <w:r>
        <w:rPr>
          <w:rFonts w:hint="eastAsia" w:ascii="宋体" w:hAnsi="宋体" w:cs="宋体"/>
          <w:sz w:val="24"/>
          <w:szCs w:val="24"/>
          <w:lang w:eastAsia="zh-CN"/>
        </w:rPr>
        <w:t>。</w:t>
      </w:r>
    </w:p>
    <w:p>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 xml:space="preserve">四、环境保护设施调试效果 </w:t>
      </w:r>
    </w:p>
    <w:p>
      <w:pPr>
        <w:spacing w:line="360" w:lineRule="auto"/>
        <w:ind w:firstLine="480" w:firstLineChars="200"/>
        <w:rPr>
          <w:rFonts w:hint="eastAsia" w:ascii="宋体" w:hAnsi="宋体" w:eastAsia="宋体" w:cs="宋体"/>
          <w:sz w:val="24"/>
          <w:highlight w:val="none"/>
        </w:rPr>
      </w:pPr>
      <w:bookmarkStart w:id="2" w:name="_Hlk101450701"/>
      <w:r>
        <w:rPr>
          <w:rFonts w:hint="eastAsia" w:ascii="宋体" w:hAnsi="宋体" w:eastAsia="宋体" w:cs="宋体"/>
          <w:sz w:val="24"/>
          <w:szCs w:val="24"/>
          <w:highlight w:val="none"/>
        </w:rPr>
        <w:t>2023年6月</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日，河北盈通检测技术服务有限公司对本项目废气及厂界噪声进行了验收监测</w:t>
      </w:r>
      <w:bookmarkEnd w:id="2"/>
      <w:r>
        <w:rPr>
          <w:rFonts w:hint="eastAsia" w:ascii="宋体" w:hAnsi="宋体" w:eastAsia="宋体" w:cs="宋体"/>
          <w:sz w:val="24"/>
          <w:highlight w:val="none"/>
        </w:rPr>
        <w:t>，</w:t>
      </w:r>
      <w:r>
        <w:rPr>
          <w:rFonts w:hint="eastAsia" w:ascii="宋体" w:hAnsi="宋体" w:eastAsia="宋体" w:cs="宋体"/>
          <w:snapToGrid w:val="0"/>
          <w:sz w:val="24"/>
          <w:szCs w:val="24"/>
          <w:highlight w:val="none"/>
        </w:rPr>
        <w:t>监测期间，工况正常，</w:t>
      </w:r>
      <w:r>
        <w:rPr>
          <w:rFonts w:hint="eastAsia" w:ascii="宋体" w:hAnsi="宋体" w:eastAsia="宋体" w:cs="宋体"/>
          <w:sz w:val="24"/>
          <w:szCs w:val="24"/>
          <w:highlight w:val="none"/>
        </w:rPr>
        <w:t>监测结果为：</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锅炉</w:t>
      </w:r>
      <w:r>
        <w:rPr>
          <w:rFonts w:hint="eastAsia" w:ascii="宋体" w:hAnsi="宋体" w:eastAsia="宋体" w:cs="宋体"/>
          <w:sz w:val="24"/>
          <w:highlight w:val="none"/>
        </w:rPr>
        <w:t>装置出口有组织颗粒物浓度3.7</w:t>
      </w:r>
      <w:r>
        <w:rPr>
          <w:rFonts w:hint="eastAsia" w:ascii="宋体" w:hAnsi="宋体" w:eastAsia="宋体" w:cs="宋体"/>
          <w:sz w:val="24"/>
          <w:highlight w:val="none"/>
          <w:lang w:val="en-US" w:eastAsia="zh-CN"/>
        </w:rPr>
        <w:t>-4.1</w:t>
      </w:r>
      <w:r>
        <w:rPr>
          <w:rFonts w:hint="eastAsia" w:ascii="宋体" w:hAnsi="宋体" w:eastAsia="宋体" w:cs="宋体"/>
          <w:sz w:val="24"/>
          <w:highlight w:val="none"/>
        </w:rPr>
        <w:t xml:space="preserve"> mg/m</w:t>
      </w:r>
      <w:r>
        <w:rPr>
          <w:rFonts w:hint="eastAsia" w:ascii="宋体" w:hAnsi="宋体" w:eastAsia="宋体" w:cs="宋体"/>
          <w:sz w:val="24"/>
          <w:highlight w:val="none"/>
          <w:vertAlign w:val="superscript"/>
        </w:rPr>
        <w:t>3</w:t>
      </w:r>
      <w:r>
        <w:rPr>
          <w:rFonts w:hint="eastAsia" w:ascii="宋体" w:hAnsi="宋体" w:eastAsia="宋体" w:cs="宋体"/>
          <w:sz w:val="24"/>
          <w:highlight w:val="none"/>
        </w:rPr>
        <w:t>，二氧化硫未检出，氮氧化物浓度为20 mg/m</w:t>
      </w:r>
      <w:r>
        <w:rPr>
          <w:rFonts w:hint="eastAsia" w:ascii="宋体" w:hAnsi="宋体" w:eastAsia="宋体" w:cs="宋体"/>
          <w:sz w:val="24"/>
          <w:highlight w:val="none"/>
          <w:vertAlign w:val="superscript"/>
        </w:rPr>
        <w:t>3,</w:t>
      </w:r>
      <w:r>
        <w:rPr>
          <w:rFonts w:hint="eastAsia" w:ascii="宋体" w:hAnsi="宋体" w:eastAsia="宋体" w:cs="宋体"/>
          <w:sz w:val="24"/>
          <w:highlight w:val="none"/>
        </w:rPr>
        <w:t>，满足《DB14/1929-2019》排放标准。验收监测期间厂界四周噪声昼间等效声级为56.3-57.8dB(A)，夜间为45.3-47.0dB(A)，满足《工业企业厂界环境噪声排放标准》（GB12348-2008）中2类区标准值（昼间：60dB(A)，夜间：50dB(A)）</w:t>
      </w:r>
    </w:p>
    <w:p>
      <w:pPr>
        <w:spacing w:line="360" w:lineRule="auto"/>
        <w:ind w:firstLine="482" w:firstLineChars="200"/>
        <w:rPr>
          <w:rFonts w:ascii="宋体" w:hAnsi="宋体"/>
          <w:b/>
          <w:bCs/>
          <w:sz w:val="24"/>
        </w:rPr>
      </w:pPr>
      <w:r>
        <w:rPr>
          <w:rFonts w:hint="eastAsia" w:ascii="宋体" w:hAnsi="宋体"/>
          <w:b/>
          <w:bCs/>
          <w:sz w:val="24"/>
        </w:rPr>
        <w:t xml:space="preserve">五、工程建设对环境的影响 </w:t>
      </w:r>
    </w:p>
    <w:p>
      <w:pPr>
        <w:spacing w:line="360" w:lineRule="auto"/>
        <w:ind w:firstLine="480" w:firstLineChars="200"/>
        <w:rPr>
          <w:rFonts w:ascii="宋体" w:hAnsi="宋体"/>
          <w:sz w:val="24"/>
        </w:rPr>
      </w:pPr>
      <w:r>
        <w:rPr>
          <w:rFonts w:hint="eastAsia" w:ascii="宋体" w:hAnsi="宋体"/>
          <w:sz w:val="24"/>
        </w:rPr>
        <w:t>本项目废气、噪声、废水均达标排放，固体废物均妥善处置，对周边环境影响较小。</w:t>
      </w:r>
    </w:p>
    <w:p>
      <w:pPr>
        <w:spacing w:line="360" w:lineRule="auto"/>
        <w:ind w:firstLine="482" w:firstLineChars="200"/>
        <w:rPr>
          <w:rFonts w:ascii="宋体" w:hAnsi="宋体"/>
          <w:b/>
          <w:bCs/>
          <w:sz w:val="24"/>
        </w:rPr>
      </w:pPr>
      <w:r>
        <w:rPr>
          <w:rFonts w:hint="eastAsia" w:ascii="宋体" w:hAnsi="宋体"/>
          <w:b/>
          <w:bCs/>
          <w:sz w:val="24"/>
        </w:rPr>
        <w:t xml:space="preserve">六、验收结论 </w:t>
      </w:r>
    </w:p>
    <w:p>
      <w:pPr>
        <w:spacing w:line="360" w:lineRule="auto"/>
        <w:ind w:firstLine="480" w:firstLineChars="200"/>
        <w:rPr>
          <w:rFonts w:ascii="宋体" w:hAnsi="宋体"/>
          <w:sz w:val="24"/>
        </w:rPr>
      </w:pPr>
      <w:r>
        <w:rPr>
          <w:rFonts w:hint="eastAsia" w:ascii="宋体" w:hAnsi="宋体"/>
          <w:sz w:val="24"/>
        </w:rPr>
        <w:t>建议该项目通过竣工环境保护验收。</w:t>
      </w:r>
    </w:p>
    <w:p>
      <w:pPr>
        <w:spacing w:line="360" w:lineRule="auto"/>
        <w:ind w:firstLine="482" w:firstLineChars="200"/>
        <w:rPr>
          <w:rFonts w:ascii="宋体" w:hAnsi="宋体"/>
          <w:b/>
          <w:bCs/>
          <w:sz w:val="24"/>
        </w:rPr>
      </w:pPr>
      <w:bookmarkStart w:id="3" w:name="_Hlk50971891"/>
      <w:r>
        <w:rPr>
          <w:rFonts w:hint="eastAsia" w:ascii="宋体" w:hAnsi="宋体"/>
          <w:b/>
          <w:bCs/>
          <w:sz w:val="24"/>
        </w:rPr>
        <w:t>七、后续要求</w:t>
      </w:r>
      <w:bookmarkEnd w:id="3"/>
    </w:p>
    <w:p>
      <w:pPr>
        <w:pStyle w:val="2"/>
        <w:ind w:firstLine="480"/>
        <w:rPr>
          <w:sz w:val="24"/>
          <w:szCs w:val="28"/>
        </w:rPr>
      </w:pPr>
      <w:r>
        <w:rPr>
          <w:rFonts w:hint="eastAsia"/>
          <w:sz w:val="24"/>
          <w:szCs w:val="28"/>
        </w:rPr>
        <w:t>符合相关验收要求。</w:t>
      </w:r>
    </w:p>
    <w:p>
      <w:pPr>
        <w:spacing w:line="360" w:lineRule="auto"/>
        <w:ind w:firstLine="482" w:firstLineChars="200"/>
        <w:rPr>
          <w:rFonts w:ascii="宋体" w:hAnsi="宋体"/>
          <w:b/>
          <w:bCs/>
          <w:sz w:val="24"/>
        </w:rPr>
      </w:pPr>
      <w:r>
        <w:rPr>
          <w:rFonts w:hint="eastAsia" w:ascii="宋体" w:hAnsi="宋体"/>
          <w:b/>
          <w:bCs/>
          <w:sz w:val="24"/>
        </w:rPr>
        <w:t>八、验收人员信息</w:t>
      </w:r>
    </w:p>
    <w:p>
      <w:pPr>
        <w:pStyle w:val="2"/>
        <w:ind w:firstLine="0" w:firstLineChars="0"/>
        <w:sectPr>
          <w:pgSz w:w="11906" w:h="16838"/>
          <w:pgMar w:top="1440" w:right="1797" w:bottom="1440" w:left="1797" w:header="851" w:footer="992" w:gutter="0"/>
          <w:cols w:space="720" w:num="1"/>
          <w:docGrid w:type="lines" w:linePitch="312" w:charSpace="0"/>
        </w:sectPr>
      </w:pPr>
    </w:p>
    <w:p>
      <w:pPr>
        <w:spacing w:line="360" w:lineRule="auto"/>
        <w:jc w:val="center"/>
        <w:rPr>
          <w:rFonts w:ascii="仿宋" w:hAnsi="仿宋" w:eastAsia="仿宋"/>
          <w:b/>
          <w:sz w:val="44"/>
          <w:szCs w:val="24"/>
        </w:rPr>
      </w:pPr>
      <w:r>
        <w:rPr>
          <w:rFonts w:hint="eastAsia" w:ascii="仿宋" w:hAnsi="仿宋" w:eastAsia="仿宋"/>
          <w:b/>
          <w:sz w:val="44"/>
          <w:szCs w:val="24"/>
        </w:rPr>
        <w:t>山西聂建新风味食品有限公司新建凉粉加工生产线项目</w:t>
      </w:r>
    </w:p>
    <w:p>
      <w:pPr>
        <w:spacing w:line="360" w:lineRule="auto"/>
        <w:jc w:val="center"/>
        <w:rPr>
          <w:rFonts w:ascii="仿宋" w:hAnsi="仿宋" w:eastAsia="仿宋"/>
          <w:b/>
          <w:sz w:val="44"/>
          <w:szCs w:val="24"/>
        </w:rPr>
      </w:pPr>
      <w:r>
        <w:rPr>
          <w:rFonts w:hint="eastAsia" w:ascii="仿宋" w:hAnsi="仿宋" w:eastAsia="仿宋"/>
          <w:b/>
          <w:sz w:val="44"/>
          <w:szCs w:val="24"/>
        </w:rPr>
        <w:t>环境保护验收组成员签字表</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9"/>
        <w:gridCol w:w="1559"/>
        <w:gridCol w:w="5534"/>
        <w:gridCol w:w="2010"/>
        <w:gridCol w:w="2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pct"/>
            <w:vAlign w:val="center"/>
          </w:tcPr>
          <w:p>
            <w:pPr>
              <w:jc w:val="center"/>
              <w:rPr>
                <w:sz w:val="28"/>
                <w:szCs w:val="32"/>
              </w:rPr>
            </w:pPr>
            <w:r>
              <w:rPr>
                <w:rFonts w:hint="eastAsia"/>
                <w:sz w:val="28"/>
                <w:szCs w:val="32"/>
              </w:rPr>
              <w:t>组成</w:t>
            </w:r>
          </w:p>
        </w:tc>
        <w:tc>
          <w:tcPr>
            <w:tcW w:w="550" w:type="pct"/>
            <w:vAlign w:val="center"/>
          </w:tcPr>
          <w:p>
            <w:pPr>
              <w:jc w:val="center"/>
              <w:rPr>
                <w:sz w:val="28"/>
                <w:szCs w:val="32"/>
              </w:rPr>
            </w:pPr>
            <w:r>
              <w:rPr>
                <w:rFonts w:hint="eastAsia"/>
                <w:sz w:val="28"/>
                <w:szCs w:val="32"/>
              </w:rPr>
              <w:t>姓名</w:t>
            </w:r>
          </w:p>
        </w:tc>
        <w:tc>
          <w:tcPr>
            <w:tcW w:w="1952" w:type="pct"/>
            <w:vAlign w:val="center"/>
          </w:tcPr>
          <w:p>
            <w:pPr>
              <w:jc w:val="center"/>
              <w:rPr>
                <w:sz w:val="28"/>
                <w:szCs w:val="32"/>
              </w:rPr>
            </w:pPr>
            <w:r>
              <w:rPr>
                <w:rFonts w:hint="eastAsia"/>
                <w:sz w:val="28"/>
                <w:szCs w:val="32"/>
              </w:rPr>
              <w:t>工作单位</w:t>
            </w:r>
          </w:p>
        </w:tc>
        <w:tc>
          <w:tcPr>
            <w:tcW w:w="709" w:type="pct"/>
            <w:vAlign w:val="center"/>
          </w:tcPr>
          <w:p>
            <w:pPr>
              <w:jc w:val="center"/>
              <w:rPr>
                <w:sz w:val="28"/>
                <w:szCs w:val="32"/>
              </w:rPr>
            </w:pPr>
            <w:r>
              <w:rPr>
                <w:rFonts w:hint="eastAsia"/>
                <w:sz w:val="28"/>
                <w:szCs w:val="32"/>
              </w:rPr>
              <w:t>职称/职务</w:t>
            </w:r>
          </w:p>
        </w:tc>
        <w:tc>
          <w:tcPr>
            <w:tcW w:w="999" w:type="pct"/>
            <w:vAlign w:val="center"/>
          </w:tcPr>
          <w:p>
            <w:pPr>
              <w:jc w:val="center"/>
              <w:rPr>
                <w:sz w:val="28"/>
                <w:szCs w:val="32"/>
              </w:rPr>
            </w:pPr>
            <w:r>
              <w:rPr>
                <w:rFonts w:hint="eastAsia"/>
                <w:sz w:val="28"/>
                <w:szCs w:val="32"/>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pct"/>
            <w:vAlign w:val="center"/>
          </w:tcPr>
          <w:p>
            <w:pPr>
              <w:jc w:val="center"/>
              <w:rPr>
                <w:sz w:val="28"/>
                <w:szCs w:val="32"/>
              </w:rPr>
            </w:pPr>
            <w:r>
              <w:rPr>
                <w:rFonts w:hint="eastAsia"/>
                <w:sz w:val="28"/>
                <w:szCs w:val="32"/>
              </w:rPr>
              <w:t>建设单位</w:t>
            </w:r>
          </w:p>
        </w:tc>
        <w:tc>
          <w:tcPr>
            <w:tcW w:w="550" w:type="pct"/>
            <w:vAlign w:val="center"/>
          </w:tcPr>
          <w:p>
            <w:pPr>
              <w:jc w:val="center"/>
              <w:rPr>
                <w:sz w:val="28"/>
                <w:szCs w:val="32"/>
              </w:rPr>
            </w:pPr>
            <w:r>
              <w:rPr>
                <w:rFonts w:hint="eastAsia"/>
                <w:sz w:val="28"/>
                <w:szCs w:val="32"/>
              </w:rPr>
              <w:t>聂建新</w:t>
            </w:r>
          </w:p>
        </w:tc>
        <w:tc>
          <w:tcPr>
            <w:tcW w:w="1952" w:type="pct"/>
            <w:vAlign w:val="center"/>
          </w:tcPr>
          <w:p>
            <w:pPr>
              <w:jc w:val="center"/>
              <w:rPr>
                <w:sz w:val="28"/>
                <w:szCs w:val="32"/>
              </w:rPr>
            </w:pPr>
            <w:r>
              <w:rPr>
                <w:rFonts w:hint="eastAsia"/>
                <w:sz w:val="28"/>
                <w:szCs w:val="32"/>
              </w:rPr>
              <w:t>山西聂建新风味食品有限公司</w:t>
            </w:r>
          </w:p>
        </w:tc>
        <w:tc>
          <w:tcPr>
            <w:tcW w:w="709" w:type="pct"/>
            <w:vAlign w:val="center"/>
          </w:tcPr>
          <w:p>
            <w:pPr>
              <w:jc w:val="center"/>
              <w:rPr>
                <w:sz w:val="28"/>
                <w:szCs w:val="32"/>
              </w:rPr>
            </w:pPr>
            <w:r>
              <w:rPr>
                <w:rFonts w:hint="eastAsia"/>
                <w:sz w:val="28"/>
                <w:szCs w:val="32"/>
              </w:rPr>
              <w:t>总经理</w:t>
            </w:r>
          </w:p>
        </w:tc>
        <w:tc>
          <w:tcPr>
            <w:tcW w:w="999" w:type="pct"/>
            <w:vAlign w:val="center"/>
          </w:tcPr>
          <w:p>
            <w:pPr>
              <w:jc w:val="center"/>
              <w:rPr>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pct"/>
            <w:vAlign w:val="center"/>
          </w:tcPr>
          <w:p>
            <w:pPr>
              <w:jc w:val="center"/>
              <w:rPr>
                <w:rFonts w:hint="eastAsia"/>
                <w:sz w:val="28"/>
                <w:szCs w:val="32"/>
              </w:rPr>
            </w:pPr>
            <w:r>
              <w:rPr>
                <w:rFonts w:hint="eastAsia"/>
                <w:sz w:val="28"/>
                <w:szCs w:val="32"/>
              </w:rPr>
              <w:t>编制单位</w:t>
            </w:r>
          </w:p>
        </w:tc>
        <w:tc>
          <w:tcPr>
            <w:tcW w:w="550" w:type="pct"/>
            <w:vAlign w:val="center"/>
          </w:tcPr>
          <w:p>
            <w:pPr>
              <w:jc w:val="center"/>
              <w:rPr>
                <w:rFonts w:hint="eastAsia"/>
                <w:sz w:val="28"/>
                <w:szCs w:val="32"/>
              </w:rPr>
            </w:pPr>
            <w:r>
              <w:rPr>
                <w:rFonts w:hint="eastAsia"/>
                <w:sz w:val="28"/>
                <w:szCs w:val="32"/>
              </w:rPr>
              <w:t>张煦</w:t>
            </w:r>
          </w:p>
        </w:tc>
        <w:tc>
          <w:tcPr>
            <w:tcW w:w="1952" w:type="pct"/>
            <w:vAlign w:val="center"/>
          </w:tcPr>
          <w:p>
            <w:pPr>
              <w:jc w:val="center"/>
              <w:rPr>
                <w:rFonts w:hint="eastAsia"/>
                <w:sz w:val="28"/>
                <w:szCs w:val="32"/>
              </w:rPr>
            </w:pPr>
            <w:r>
              <w:rPr>
                <w:rFonts w:hint="eastAsia"/>
                <w:sz w:val="28"/>
                <w:szCs w:val="32"/>
              </w:rPr>
              <w:t>山西清澈高登环保科技有限公司</w:t>
            </w:r>
          </w:p>
        </w:tc>
        <w:tc>
          <w:tcPr>
            <w:tcW w:w="709" w:type="pct"/>
            <w:vAlign w:val="center"/>
          </w:tcPr>
          <w:p>
            <w:pPr>
              <w:jc w:val="center"/>
              <w:rPr>
                <w:rFonts w:hint="eastAsia"/>
                <w:sz w:val="28"/>
                <w:szCs w:val="32"/>
              </w:rPr>
            </w:pPr>
            <w:r>
              <w:rPr>
                <w:rFonts w:hint="eastAsia"/>
                <w:sz w:val="28"/>
                <w:szCs w:val="32"/>
              </w:rPr>
              <w:t>经理</w:t>
            </w:r>
          </w:p>
        </w:tc>
        <w:tc>
          <w:tcPr>
            <w:tcW w:w="999" w:type="pct"/>
            <w:vAlign w:val="center"/>
          </w:tcPr>
          <w:p>
            <w:pPr>
              <w:jc w:val="center"/>
              <w:rPr>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pct"/>
            <w:vAlign w:val="center"/>
          </w:tcPr>
          <w:p>
            <w:pPr>
              <w:jc w:val="center"/>
              <w:rPr>
                <w:sz w:val="28"/>
                <w:szCs w:val="32"/>
              </w:rPr>
            </w:pPr>
            <w:r>
              <w:rPr>
                <w:rFonts w:hint="eastAsia"/>
                <w:sz w:val="28"/>
                <w:szCs w:val="32"/>
              </w:rPr>
              <w:t>监测单位</w:t>
            </w:r>
          </w:p>
        </w:tc>
        <w:tc>
          <w:tcPr>
            <w:tcW w:w="550" w:type="pct"/>
            <w:vAlign w:val="center"/>
          </w:tcPr>
          <w:p>
            <w:pPr>
              <w:jc w:val="center"/>
              <w:rPr>
                <w:sz w:val="28"/>
                <w:szCs w:val="32"/>
              </w:rPr>
            </w:pPr>
            <w:r>
              <w:rPr>
                <w:rFonts w:hint="eastAsia"/>
                <w:sz w:val="28"/>
                <w:szCs w:val="32"/>
              </w:rPr>
              <w:t>田宁</w:t>
            </w:r>
          </w:p>
        </w:tc>
        <w:tc>
          <w:tcPr>
            <w:tcW w:w="1952" w:type="pct"/>
            <w:vAlign w:val="center"/>
          </w:tcPr>
          <w:p>
            <w:pPr>
              <w:jc w:val="center"/>
              <w:rPr>
                <w:sz w:val="28"/>
                <w:szCs w:val="32"/>
              </w:rPr>
            </w:pPr>
            <w:r>
              <w:rPr>
                <w:rFonts w:hint="eastAsia"/>
                <w:sz w:val="28"/>
                <w:szCs w:val="32"/>
              </w:rPr>
              <w:t>河北盈通检测技术服务有限公司</w:t>
            </w:r>
          </w:p>
        </w:tc>
        <w:tc>
          <w:tcPr>
            <w:tcW w:w="709" w:type="pct"/>
            <w:vAlign w:val="center"/>
          </w:tcPr>
          <w:p>
            <w:pPr>
              <w:jc w:val="center"/>
              <w:rPr>
                <w:sz w:val="28"/>
                <w:szCs w:val="32"/>
              </w:rPr>
            </w:pPr>
            <w:r>
              <w:rPr>
                <w:rFonts w:hint="eastAsia"/>
                <w:sz w:val="28"/>
                <w:szCs w:val="32"/>
              </w:rPr>
              <w:t>经理</w:t>
            </w:r>
          </w:p>
        </w:tc>
        <w:tc>
          <w:tcPr>
            <w:tcW w:w="999" w:type="pct"/>
            <w:vAlign w:val="center"/>
          </w:tcPr>
          <w:p>
            <w:pPr>
              <w:jc w:val="center"/>
              <w:rPr>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pct"/>
            <w:vAlign w:val="center"/>
          </w:tcPr>
          <w:p>
            <w:pPr>
              <w:jc w:val="center"/>
              <w:rPr>
                <w:sz w:val="28"/>
                <w:szCs w:val="32"/>
              </w:rPr>
            </w:pPr>
            <w:r>
              <w:rPr>
                <w:rFonts w:hint="eastAsia"/>
                <w:sz w:val="28"/>
                <w:szCs w:val="32"/>
              </w:rPr>
              <w:t>专家</w:t>
            </w:r>
          </w:p>
        </w:tc>
        <w:tc>
          <w:tcPr>
            <w:tcW w:w="550" w:type="pct"/>
            <w:vAlign w:val="center"/>
          </w:tcPr>
          <w:p>
            <w:pPr>
              <w:jc w:val="center"/>
              <w:rPr>
                <w:sz w:val="28"/>
                <w:szCs w:val="32"/>
              </w:rPr>
            </w:pPr>
            <w:r>
              <w:rPr>
                <w:rFonts w:hint="eastAsia"/>
                <w:sz w:val="28"/>
                <w:szCs w:val="32"/>
              </w:rPr>
              <w:t>郭志明</w:t>
            </w:r>
          </w:p>
        </w:tc>
        <w:tc>
          <w:tcPr>
            <w:tcW w:w="1952" w:type="pct"/>
            <w:vAlign w:val="center"/>
          </w:tcPr>
          <w:p>
            <w:pPr>
              <w:jc w:val="center"/>
              <w:rPr>
                <w:sz w:val="28"/>
                <w:szCs w:val="32"/>
              </w:rPr>
            </w:pPr>
            <w:r>
              <w:rPr>
                <w:rFonts w:hint="eastAsia"/>
                <w:sz w:val="28"/>
                <w:szCs w:val="32"/>
              </w:rPr>
              <w:t>中国辐射防护研究院</w:t>
            </w:r>
          </w:p>
        </w:tc>
        <w:tc>
          <w:tcPr>
            <w:tcW w:w="709" w:type="pct"/>
            <w:vAlign w:val="center"/>
          </w:tcPr>
          <w:p>
            <w:pPr>
              <w:jc w:val="center"/>
              <w:rPr>
                <w:sz w:val="28"/>
                <w:szCs w:val="32"/>
              </w:rPr>
            </w:pPr>
            <w:r>
              <w:rPr>
                <w:rFonts w:hint="eastAsia"/>
                <w:sz w:val="28"/>
                <w:szCs w:val="32"/>
              </w:rPr>
              <w:t>高工</w:t>
            </w:r>
          </w:p>
        </w:tc>
        <w:tc>
          <w:tcPr>
            <w:tcW w:w="999" w:type="pct"/>
            <w:vAlign w:val="center"/>
          </w:tcPr>
          <w:p>
            <w:pPr>
              <w:jc w:val="center"/>
              <w:rPr>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pct"/>
            <w:vAlign w:val="center"/>
          </w:tcPr>
          <w:p>
            <w:pPr>
              <w:jc w:val="center"/>
              <w:rPr>
                <w:sz w:val="28"/>
                <w:szCs w:val="32"/>
              </w:rPr>
            </w:pPr>
            <w:r>
              <w:rPr>
                <w:rFonts w:hint="eastAsia"/>
                <w:sz w:val="28"/>
                <w:szCs w:val="32"/>
              </w:rPr>
              <w:t>专家</w:t>
            </w:r>
          </w:p>
        </w:tc>
        <w:tc>
          <w:tcPr>
            <w:tcW w:w="550" w:type="pct"/>
            <w:vAlign w:val="center"/>
          </w:tcPr>
          <w:p>
            <w:pPr>
              <w:jc w:val="center"/>
              <w:rPr>
                <w:sz w:val="28"/>
                <w:szCs w:val="32"/>
              </w:rPr>
            </w:pPr>
            <w:r>
              <w:rPr>
                <w:rFonts w:hint="eastAsia"/>
                <w:sz w:val="28"/>
                <w:szCs w:val="32"/>
              </w:rPr>
              <w:t>李晓渊</w:t>
            </w:r>
          </w:p>
        </w:tc>
        <w:tc>
          <w:tcPr>
            <w:tcW w:w="1952" w:type="pct"/>
            <w:vAlign w:val="center"/>
          </w:tcPr>
          <w:p>
            <w:pPr>
              <w:jc w:val="center"/>
              <w:rPr>
                <w:sz w:val="28"/>
                <w:szCs w:val="32"/>
              </w:rPr>
            </w:pPr>
            <w:r>
              <w:rPr>
                <w:rFonts w:hint="eastAsia"/>
                <w:sz w:val="28"/>
                <w:szCs w:val="32"/>
              </w:rPr>
              <w:t>山西省生态环境规划和技术研究院</w:t>
            </w:r>
          </w:p>
        </w:tc>
        <w:tc>
          <w:tcPr>
            <w:tcW w:w="709" w:type="pct"/>
            <w:vAlign w:val="center"/>
          </w:tcPr>
          <w:p>
            <w:pPr>
              <w:jc w:val="center"/>
              <w:rPr>
                <w:sz w:val="28"/>
                <w:szCs w:val="32"/>
              </w:rPr>
            </w:pPr>
            <w:r>
              <w:rPr>
                <w:rFonts w:hint="eastAsia"/>
                <w:sz w:val="28"/>
                <w:szCs w:val="32"/>
              </w:rPr>
              <w:t>高工</w:t>
            </w:r>
          </w:p>
        </w:tc>
        <w:tc>
          <w:tcPr>
            <w:tcW w:w="999" w:type="pct"/>
            <w:vAlign w:val="center"/>
          </w:tcPr>
          <w:p>
            <w:pPr>
              <w:jc w:val="center"/>
              <w:rPr>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pct"/>
            <w:vAlign w:val="center"/>
          </w:tcPr>
          <w:p>
            <w:pPr>
              <w:jc w:val="center"/>
              <w:rPr>
                <w:sz w:val="28"/>
                <w:szCs w:val="32"/>
              </w:rPr>
            </w:pPr>
            <w:r>
              <w:rPr>
                <w:rFonts w:hint="eastAsia"/>
                <w:sz w:val="28"/>
                <w:szCs w:val="32"/>
              </w:rPr>
              <w:t>专家</w:t>
            </w:r>
          </w:p>
        </w:tc>
        <w:tc>
          <w:tcPr>
            <w:tcW w:w="550" w:type="pct"/>
            <w:vAlign w:val="center"/>
          </w:tcPr>
          <w:p>
            <w:pPr>
              <w:jc w:val="center"/>
              <w:rPr>
                <w:sz w:val="28"/>
                <w:szCs w:val="32"/>
              </w:rPr>
            </w:pPr>
            <w:r>
              <w:rPr>
                <w:rFonts w:hint="eastAsia"/>
                <w:sz w:val="28"/>
                <w:szCs w:val="32"/>
              </w:rPr>
              <w:t>王少存</w:t>
            </w:r>
          </w:p>
        </w:tc>
        <w:tc>
          <w:tcPr>
            <w:tcW w:w="1952" w:type="pct"/>
            <w:vAlign w:val="center"/>
          </w:tcPr>
          <w:p>
            <w:pPr>
              <w:jc w:val="center"/>
              <w:rPr>
                <w:sz w:val="28"/>
                <w:szCs w:val="32"/>
              </w:rPr>
            </w:pPr>
            <w:r>
              <w:rPr>
                <w:rFonts w:hint="eastAsia"/>
                <w:sz w:val="28"/>
                <w:szCs w:val="32"/>
              </w:rPr>
              <w:t>山西邑洁环保咨询服务有限公司</w:t>
            </w:r>
          </w:p>
        </w:tc>
        <w:tc>
          <w:tcPr>
            <w:tcW w:w="709" w:type="pct"/>
            <w:vAlign w:val="center"/>
          </w:tcPr>
          <w:p>
            <w:pPr>
              <w:jc w:val="center"/>
              <w:rPr>
                <w:sz w:val="28"/>
                <w:szCs w:val="32"/>
              </w:rPr>
            </w:pPr>
            <w:r>
              <w:rPr>
                <w:rFonts w:hint="eastAsia"/>
                <w:sz w:val="28"/>
                <w:szCs w:val="32"/>
              </w:rPr>
              <w:t>工程师</w:t>
            </w:r>
          </w:p>
        </w:tc>
        <w:tc>
          <w:tcPr>
            <w:tcW w:w="999" w:type="pct"/>
            <w:vAlign w:val="center"/>
          </w:tcPr>
          <w:p>
            <w:pPr>
              <w:jc w:val="center"/>
              <w:rPr>
                <w:sz w:val="28"/>
                <w:szCs w:val="32"/>
              </w:rPr>
            </w:pPr>
          </w:p>
        </w:tc>
      </w:tr>
    </w:tbl>
    <w:p>
      <w:pPr>
        <w:pStyle w:val="2"/>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4228D3"/>
    <w:multiLevelType w:val="multilevel"/>
    <w:tmpl w:val="674228D3"/>
    <w:lvl w:ilvl="0" w:tentative="0">
      <w:start w:val="1"/>
      <w:numFmt w:val="decimalEnclosedCircle"/>
      <w:lvlText w:val="%1"/>
      <w:lvlJc w:val="left"/>
      <w:pPr>
        <w:ind w:left="785" w:hanging="360"/>
      </w:pPr>
      <w:rPr>
        <w:rFonts w:hint="eastAsia" w:ascii="宋体" w:hAnsi="宋体" w:cs="宋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Q2ZjYzMWNiZTJkYmZlZThmZTk2MDhiZmNlOWM2YTQifQ=="/>
  </w:docVars>
  <w:rsids>
    <w:rsidRoot w:val="00D9583F"/>
    <w:rsid w:val="00001850"/>
    <w:rsid w:val="00040ED1"/>
    <w:rsid w:val="00077864"/>
    <w:rsid w:val="000B58B7"/>
    <w:rsid w:val="000C7EDC"/>
    <w:rsid w:val="000D2E8A"/>
    <w:rsid w:val="00146E13"/>
    <w:rsid w:val="001671A4"/>
    <w:rsid w:val="00175DD4"/>
    <w:rsid w:val="00185D22"/>
    <w:rsid w:val="001A24E2"/>
    <w:rsid w:val="001A6ABA"/>
    <w:rsid w:val="001E5E06"/>
    <w:rsid w:val="001E707A"/>
    <w:rsid w:val="00255756"/>
    <w:rsid w:val="002A0DA4"/>
    <w:rsid w:val="002C16F3"/>
    <w:rsid w:val="002E15DE"/>
    <w:rsid w:val="003300FA"/>
    <w:rsid w:val="00343DE9"/>
    <w:rsid w:val="0034436B"/>
    <w:rsid w:val="003443A6"/>
    <w:rsid w:val="00377469"/>
    <w:rsid w:val="00386972"/>
    <w:rsid w:val="003A14E7"/>
    <w:rsid w:val="003F2070"/>
    <w:rsid w:val="00414469"/>
    <w:rsid w:val="00414F83"/>
    <w:rsid w:val="004171DC"/>
    <w:rsid w:val="00483CC7"/>
    <w:rsid w:val="004A4777"/>
    <w:rsid w:val="004A54A3"/>
    <w:rsid w:val="004A62F8"/>
    <w:rsid w:val="004A7C92"/>
    <w:rsid w:val="004B6DB3"/>
    <w:rsid w:val="00560D54"/>
    <w:rsid w:val="00560FA9"/>
    <w:rsid w:val="005777B3"/>
    <w:rsid w:val="00583354"/>
    <w:rsid w:val="005C24BE"/>
    <w:rsid w:val="00637347"/>
    <w:rsid w:val="006505CA"/>
    <w:rsid w:val="00653B9D"/>
    <w:rsid w:val="006B6BE7"/>
    <w:rsid w:val="006D465F"/>
    <w:rsid w:val="006E048F"/>
    <w:rsid w:val="007064B8"/>
    <w:rsid w:val="00737B6B"/>
    <w:rsid w:val="00737C07"/>
    <w:rsid w:val="00740D2A"/>
    <w:rsid w:val="0074429F"/>
    <w:rsid w:val="00790F4B"/>
    <w:rsid w:val="0080229D"/>
    <w:rsid w:val="00804780"/>
    <w:rsid w:val="00817332"/>
    <w:rsid w:val="00855CE7"/>
    <w:rsid w:val="008A7483"/>
    <w:rsid w:val="009002F3"/>
    <w:rsid w:val="0090407A"/>
    <w:rsid w:val="00927EAC"/>
    <w:rsid w:val="009305E6"/>
    <w:rsid w:val="0093107B"/>
    <w:rsid w:val="00935E30"/>
    <w:rsid w:val="0096028B"/>
    <w:rsid w:val="009675B8"/>
    <w:rsid w:val="00984791"/>
    <w:rsid w:val="009C5B52"/>
    <w:rsid w:val="009D2729"/>
    <w:rsid w:val="009F45BA"/>
    <w:rsid w:val="009F5A49"/>
    <w:rsid w:val="00A2669C"/>
    <w:rsid w:val="00A51CFF"/>
    <w:rsid w:val="00A56F21"/>
    <w:rsid w:val="00A761A9"/>
    <w:rsid w:val="00A92160"/>
    <w:rsid w:val="00AA3C62"/>
    <w:rsid w:val="00AB2993"/>
    <w:rsid w:val="00AC3D1D"/>
    <w:rsid w:val="00AC71F7"/>
    <w:rsid w:val="00B02DB3"/>
    <w:rsid w:val="00B079A6"/>
    <w:rsid w:val="00B40710"/>
    <w:rsid w:val="00B70772"/>
    <w:rsid w:val="00B8750B"/>
    <w:rsid w:val="00B93A3E"/>
    <w:rsid w:val="00BA0DBD"/>
    <w:rsid w:val="00BB2F2C"/>
    <w:rsid w:val="00BB43FA"/>
    <w:rsid w:val="00BC0151"/>
    <w:rsid w:val="00BC4EE1"/>
    <w:rsid w:val="00BC5FB9"/>
    <w:rsid w:val="00BD64FC"/>
    <w:rsid w:val="00BE07ED"/>
    <w:rsid w:val="00C7637B"/>
    <w:rsid w:val="00C80EA4"/>
    <w:rsid w:val="00CA4503"/>
    <w:rsid w:val="00CC1EEE"/>
    <w:rsid w:val="00CD407E"/>
    <w:rsid w:val="00CD66EE"/>
    <w:rsid w:val="00CE2031"/>
    <w:rsid w:val="00D01B2F"/>
    <w:rsid w:val="00D24170"/>
    <w:rsid w:val="00D93503"/>
    <w:rsid w:val="00D9583F"/>
    <w:rsid w:val="00DF038D"/>
    <w:rsid w:val="00E12F12"/>
    <w:rsid w:val="00E2123B"/>
    <w:rsid w:val="00E45979"/>
    <w:rsid w:val="00E618AD"/>
    <w:rsid w:val="00EA2E5A"/>
    <w:rsid w:val="00EF27A7"/>
    <w:rsid w:val="00F85F33"/>
    <w:rsid w:val="00FA49A2"/>
    <w:rsid w:val="1B863E52"/>
    <w:rsid w:val="4CB42D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Normal Indent"/>
    <w:basedOn w:val="1"/>
    <w:next w:val="1"/>
    <w:semiHidden/>
    <w:unhideWhenUsed/>
    <w:qFormat/>
    <w:uiPriority w:val="99"/>
    <w:pPr>
      <w:ind w:firstLine="420" w:firstLineChars="200"/>
    </w:pPr>
  </w:style>
  <w:style w:type="paragraph" w:styleId="3">
    <w:name w:val="Plain Text"/>
    <w:basedOn w:val="1"/>
    <w:link w:val="10"/>
    <w:semiHidden/>
    <w:unhideWhenUsed/>
    <w:qFormat/>
    <w:uiPriority w:val="99"/>
    <w:rPr>
      <w:rFonts w:hAnsi="Courier New" w:cs="Courier New" w:asciiTheme="minorEastAsia" w:eastAsiaTheme="minorEastAsia"/>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网格型1"/>
    <w:basedOn w:val="4"/>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9">
    <w:name w:val="Default"/>
    <w:basedOn w:val="1"/>
    <w:next w:val="3"/>
    <w:unhideWhenUsed/>
    <w:qFormat/>
    <w:uiPriority w:val="0"/>
    <w:pPr>
      <w:autoSpaceDE w:val="0"/>
      <w:autoSpaceDN w:val="0"/>
      <w:adjustRightInd w:val="0"/>
    </w:pPr>
    <w:rPr>
      <w:rFonts w:hint="eastAsia" w:ascii="宋体" w:hAnsi="宋体"/>
      <w:color w:val="000000"/>
      <w:sz w:val="24"/>
      <w:szCs w:val="20"/>
    </w:rPr>
  </w:style>
  <w:style w:type="character" w:customStyle="1" w:styleId="10">
    <w:name w:val="纯文本 字符"/>
    <w:basedOn w:val="6"/>
    <w:link w:val="3"/>
    <w:semiHidden/>
    <w:qFormat/>
    <w:uiPriority w:val="99"/>
    <w:rPr>
      <w:rFonts w:hAnsi="Courier New" w:cs="Courier New" w:asciiTheme="minorEastAsia"/>
    </w:rPr>
  </w:style>
  <w:style w:type="paragraph" w:customStyle="1" w:styleId="11">
    <w:name w:val="表格文字"/>
    <w:basedOn w:val="1"/>
    <w:next w:val="1"/>
    <w:qFormat/>
    <w:uiPriority w:val="0"/>
    <w:pPr>
      <w:autoSpaceDE w:val="0"/>
      <w:autoSpaceDN w:val="0"/>
      <w:adjustRightInd w:val="0"/>
      <w:snapToGrid w:val="0"/>
      <w:spacing w:line="300" w:lineRule="exact"/>
      <w:jc w:val="center"/>
    </w:pPr>
    <w:rPr>
      <w:rFonts w:ascii="宋体" w:hAnsi="宋体"/>
      <w:bCs/>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2633</Words>
  <Characters>2968</Characters>
  <Lines>25</Lines>
  <Paragraphs>7</Paragraphs>
  <TotalTime>3</TotalTime>
  <ScaleCrop>false</ScaleCrop>
  <LinksUpToDate>false</LinksUpToDate>
  <CharactersWithSpaces>3060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2020-09-14T01:28:00Z</dcterms:created>
  <dc:creator>刘 瑛</dc:creator>
  <cp:lastModifiedBy>zhangxu</cp:lastModifiedBy>
  <cp:lastPrinted>2023-07-03T02:15:00Z</cp:lastPrinted>
  <dcterms:modified xsi:type="dcterms:W3CDTF">2023-07-03T08:31:27Z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9A87EF2BC56B4FEF8DB036DE2D45E5E9_13</vt:lpwstr>
  </property>
</Properties>
</file>