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color w:val="auto"/>
          <w:sz w:val="28"/>
          <w:highlight w:val="none"/>
        </w:rPr>
      </w:pPr>
    </w:p>
    <w:p>
      <w:pPr>
        <w:jc w:val="center"/>
        <w:rPr>
          <w:color w:val="auto"/>
          <w:sz w:val="28"/>
          <w:highlight w:val="none"/>
        </w:rPr>
      </w:pPr>
    </w:p>
    <w:p>
      <w:pPr>
        <w:ind w:firstLine="0" w:firstLineChars="0"/>
        <w:jc w:val="center"/>
        <w:rPr>
          <w:rFonts w:hint="eastAsia" w:eastAsia="宋体"/>
          <w:b/>
          <w:color w:val="auto"/>
          <w:sz w:val="44"/>
          <w:szCs w:val="44"/>
          <w:highlight w:val="none"/>
          <w:lang w:eastAsia="zh-CN"/>
        </w:rPr>
      </w:pPr>
      <w:r>
        <w:rPr>
          <w:rFonts w:hint="eastAsia"/>
          <w:b/>
          <w:color w:val="auto"/>
          <w:sz w:val="44"/>
          <w:szCs w:val="44"/>
          <w:highlight w:val="none"/>
          <w:lang w:eastAsia="zh-CN"/>
        </w:rPr>
        <w:t>中车山东机车车辆有限公司原钢构喷漆房改造为打砂房项目</w:t>
      </w:r>
    </w:p>
    <w:p>
      <w:pPr>
        <w:spacing w:line="720" w:lineRule="auto"/>
        <w:ind w:firstLine="0" w:firstLineChars="0"/>
        <w:jc w:val="center"/>
        <w:rPr>
          <w:b/>
          <w:bCs/>
          <w:color w:val="auto"/>
          <w:sz w:val="72"/>
          <w:szCs w:val="72"/>
          <w:highlight w:val="none"/>
        </w:rPr>
      </w:pPr>
      <w:r>
        <w:rPr>
          <w:b/>
          <w:bCs/>
          <w:color w:val="auto"/>
          <w:sz w:val="72"/>
          <w:szCs w:val="72"/>
          <w:highlight w:val="none"/>
        </w:rPr>
        <w:t>竣工环境保护验收</w:t>
      </w:r>
    </w:p>
    <w:p>
      <w:pPr>
        <w:spacing w:line="720" w:lineRule="auto"/>
        <w:ind w:firstLine="0" w:firstLineChars="0"/>
        <w:jc w:val="center"/>
        <w:rPr>
          <w:b/>
          <w:bCs/>
          <w:color w:val="auto"/>
          <w:sz w:val="48"/>
          <w:szCs w:val="48"/>
          <w:highlight w:val="none"/>
        </w:rPr>
      </w:pPr>
      <w:r>
        <w:rPr>
          <w:b/>
          <w:bCs/>
          <w:color w:val="auto"/>
          <w:sz w:val="72"/>
          <w:szCs w:val="72"/>
          <w:highlight w:val="none"/>
        </w:rPr>
        <w:t>监测报告表</w:t>
      </w:r>
    </w:p>
    <w:p>
      <w:pPr>
        <w:ind w:firstLine="883"/>
        <w:jc w:val="center"/>
        <w:rPr>
          <w:b/>
          <w:color w:val="auto"/>
          <w:sz w:val="44"/>
          <w:szCs w:val="44"/>
          <w:highlight w:val="none"/>
        </w:rPr>
      </w:pPr>
    </w:p>
    <w:p>
      <w:pPr>
        <w:ind w:firstLine="883"/>
        <w:jc w:val="center"/>
        <w:rPr>
          <w:b/>
          <w:color w:val="auto"/>
          <w:sz w:val="44"/>
          <w:szCs w:val="44"/>
          <w:highlight w:val="none"/>
        </w:rPr>
      </w:pPr>
    </w:p>
    <w:p>
      <w:pPr>
        <w:ind w:firstLine="883"/>
        <w:jc w:val="center"/>
        <w:rPr>
          <w:b/>
          <w:color w:val="auto"/>
          <w:sz w:val="44"/>
          <w:szCs w:val="44"/>
          <w:highlight w:val="none"/>
        </w:rPr>
      </w:pPr>
    </w:p>
    <w:p>
      <w:pPr>
        <w:ind w:firstLine="883"/>
        <w:rPr>
          <w:b/>
          <w:color w:val="auto"/>
          <w:sz w:val="44"/>
          <w:szCs w:val="44"/>
          <w:highlight w:val="none"/>
        </w:rPr>
      </w:pPr>
    </w:p>
    <w:p>
      <w:pPr>
        <w:ind w:firstLine="883"/>
        <w:rPr>
          <w:b/>
          <w:color w:val="auto"/>
          <w:sz w:val="44"/>
          <w:szCs w:val="44"/>
          <w:highlight w:val="none"/>
        </w:rPr>
      </w:pPr>
    </w:p>
    <w:p>
      <w:pPr>
        <w:ind w:firstLine="883"/>
        <w:rPr>
          <w:b/>
          <w:color w:val="auto"/>
          <w:sz w:val="44"/>
          <w:szCs w:val="44"/>
          <w:highlight w:val="none"/>
        </w:rPr>
      </w:pPr>
    </w:p>
    <w:p>
      <w:pPr>
        <w:ind w:firstLine="883"/>
        <w:rPr>
          <w:b/>
          <w:color w:val="auto"/>
          <w:sz w:val="44"/>
          <w:szCs w:val="44"/>
          <w:highlight w:val="none"/>
        </w:rPr>
      </w:pPr>
    </w:p>
    <w:p>
      <w:pPr>
        <w:ind w:firstLine="480"/>
        <w:rPr>
          <w:color w:val="auto"/>
          <w:highlight w:val="none"/>
        </w:rPr>
      </w:pPr>
    </w:p>
    <w:p>
      <w:pPr>
        <w:pStyle w:val="27"/>
        <w:ind w:firstLine="883"/>
        <w:rPr>
          <w:rFonts w:ascii="Times New Roman" w:hAnsi="Times New Roman"/>
          <w:b/>
          <w:color w:val="auto"/>
          <w:sz w:val="44"/>
          <w:szCs w:val="44"/>
          <w:highlight w:val="none"/>
        </w:rPr>
      </w:pPr>
    </w:p>
    <w:p>
      <w:pPr>
        <w:tabs>
          <w:tab w:val="left" w:pos="2100"/>
        </w:tabs>
        <w:ind w:right="-706" w:rightChars="-294" w:firstLine="0" w:firstLineChars="0"/>
        <w:rPr>
          <w:b/>
          <w:bCs/>
          <w:color w:val="auto"/>
          <w:sz w:val="32"/>
          <w:szCs w:val="32"/>
          <w:highlight w:val="none"/>
        </w:rPr>
      </w:pPr>
    </w:p>
    <w:p>
      <w:pPr>
        <w:tabs>
          <w:tab w:val="left" w:pos="2100"/>
        </w:tabs>
        <w:ind w:right="-706" w:rightChars="-294" w:firstLine="0" w:firstLineChars="0"/>
        <w:rPr>
          <w:b/>
          <w:bCs/>
          <w:color w:val="auto"/>
          <w:sz w:val="32"/>
          <w:szCs w:val="32"/>
          <w:highlight w:val="none"/>
        </w:rPr>
      </w:pPr>
    </w:p>
    <w:p>
      <w:pPr>
        <w:tabs>
          <w:tab w:val="left" w:pos="2100"/>
        </w:tabs>
        <w:ind w:right="-706" w:rightChars="-294" w:firstLine="0" w:firstLineChars="0"/>
        <w:jc w:val="center"/>
        <w:rPr>
          <w:rFonts w:hint="eastAsia" w:eastAsia="宋体"/>
          <w:b/>
          <w:bCs/>
          <w:color w:val="auto"/>
          <w:sz w:val="32"/>
          <w:szCs w:val="32"/>
          <w:highlight w:val="none"/>
          <w:lang w:eastAsia="zh-CN"/>
        </w:rPr>
      </w:pPr>
      <w:r>
        <w:rPr>
          <w:b/>
          <w:bCs/>
          <w:color w:val="auto"/>
          <w:sz w:val="32"/>
          <w:szCs w:val="32"/>
          <w:highlight w:val="none"/>
        </w:rPr>
        <w:t>建设单位：</w:t>
      </w:r>
      <w:r>
        <w:rPr>
          <w:rFonts w:hint="eastAsia"/>
          <w:b/>
          <w:bCs/>
          <w:color w:val="auto"/>
          <w:sz w:val="32"/>
          <w:szCs w:val="32"/>
          <w:highlight w:val="none"/>
          <w:lang w:eastAsia="zh-CN"/>
        </w:rPr>
        <w:t>中车山东机车车辆有限公司</w:t>
      </w:r>
    </w:p>
    <w:p>
      <w:pPr>
        <w:ind w:firstLine="643"/>
        <w:jc w:val="center"/>
        <w:rPr>
          <w:rFonts w:hint="eastAsia" w:eastAsia="宋体"/>
          <w:b/>
          <w:bCs/>
          <w:color w:val="auto"/>
          <w:sz w:val="32"/>
          <w:szCs w:val="32"/>
          <w:highlight w:val="none"/>
          <w:lang w:eastAsia="zh-CN"/>
        </w:rPr>
      </w:pPr>
      <w:r>
        <w:rPr>
          <w:rFonts w:hint="eastAsia"/>
          <w:b/>
          <w:bCs/>
          <w:color w:val="auto"/>
          <w:sz w:val="32"/>
          <w:szCs w:val="32"/>
          <w:highlight w:val="none"/>
          <w:lang w:eastAsia="zh-CN"/>
        </w:rPr>
        <w:t>2023年</w:t>
      </w:r>
      <w:r>
        <w:rPr>
          <w:rFonts w:hint="eastAsia"/>
          <w:b/>
          <w:bCs/>
          <w:color w:val="auto"/>
          <w:sz w:val="32"/>
          <w:szCs w:val="32"/>
          <w:highlight w:val="none"/>
          <w:lang w:val="en-US" w:eastAsia="zh-CN"/>
        </w:rPr>
        <w:t>9</w:t>
      </w:r>
      <w:r>
        <w:rPr>
          <w:rFonts w:hint="eastAsia"/>
          <w:b/>
          <w:bCs/>
          <w:color w:val="auto"/>
          <w:sz w:val="32"/>
          <w:szCs w:val="32"/>
          <w:highlight w:val="none"/>
          <w:lang w:eastAsia="zh-CN"/>
        </w:rPr>
        <w:t>月</w:t>
      </w:r>
    </w:p>
    <w:p>
      <w:pPr>
        <w:ind w:firstLine="643"/>
        <w:rPr>
          <w:b/>
          <w:bCs/>
          <w:color w:val="auto"/>
          <w:sz w:val="32"/>
          <w:szCs w:val="32"/>
          <w:highlight w:val="none"/>
        </w:rPr>
      </w:pPr>
    </w:p>
    <w:p>
      <w:pPr>
        <w:ind w:firstLine="0" w:firstLineChars="0"/>
        <w:rPr>
          <w:b/>
          <w:bCs/>
          <w:color w:val="auto"/>
          <w:sz w:val="32"/>
          <w:szCs w:val="32"/>
          <w:highlight w:val="none"/>
        </w:rPr>
      </w:pPr>
    </w:p>
    <w:p>
      <w:pPr>
        <w:pStyle w:val="3"/>
        <w:rPr>
          <w:color w:val="auto"/>
          <w:sz w:val="36"/>
          <w:szCs w:val="22"/>
          <w:highlight w:val="none"/>
        </w:rPr>
        <w:sectPr>
          <w:pgSz w:w="11906" w:h="16838"/>
          <w:pgMar w:top="1440" w:right="1800" w:bottom="1440" w:left="1800" w:header="851" w:footer="992" w:gutter="0"/>
          <w:cols w:space="720" w:num="1"/>
          <w:docGrid w:type="lines" w:linePitch="312" w:charSpace="0"/>
        </w:sectPr>
      </w:pPr>
      <w:bookmarkStart w:id="0" w:name="_Toc14548"/>
      <w:bookmarkStart w:id="1" w:name="_Toc16879"/>
      <w:bookmarkStart w:id="2" w:name="_Toc21306"/>
    </w:p>
    <w:p>
      <w:pPr>
        <w:ind w:firstLine="0" w:firstLineChars="0"/>
        <w:jc w:val="center"/>
        <w:rPr>
          <w:b/>
          <w:bCs/>
          <w:color w:val="auto"/>
          <w:sz w:val="36"/>
          <w:szCs w:val="36"/>
          <w:highlight w:val="none"/>
        </w:rPr>
      </w:pPr>
      <w:r>
        <w:rPr>
          <w:b/>
          <w:bCs/>
          <w:color w:val="auto"/>
          <w:sz w:val="36"/>
          <w:szCs w:val="36"/>
          <w:highlight w:val="none"/>
        </w:rPr>
        <w:t>前言</w:t>
      </w:r>
      <w:bookmarkEnd w:id="0"/>
      <w:bookmarkEnd w:id="1"/>
      <w:bookmarkEnd w:id="2"/>
    </w:p>
    <w:p>
      <w:pPr>
        <w:pStyle w:val="2"/>
        <w:rPr>
          <w:rFonts w:hint="eastAsia" w:cs="Times New Roman"/>
          <w:color w:val="auto"/>
          <w:szCs w:val="24"/>
          <w:highlight w:val="none"/>
        </w:rPr>
      </w:pPr>
      <w:r>
        <w:rPr>
          <w:rFonts w:hint="eastAsia" w:cs="Times New Roman"/>
          <w:color w:val="auto"/>
          <w:szCs w:val="24"/>
          <w:highlight w:val="none"/>
        </w:rPr>
        <w:t>中车山东机车车辆有限公司始建于1910年，前身为济南轨道交通装备有限责任公司，是中国中车股份有限公司的全资子公司。厂址位于济南市槐荫区槐村街73号，总占地面积489499.1</w:t>
      </w:r>
      <w:r>
        <w:rPr>
          <w:rFonts w:hint="eastAsia" w:cs="Times New Roman"/>
          <w:color w:val="auto"/>
          <w:szCs w:val="24"/>
          <w:highlight w:val="none"/>
          <w:lang w:eastAsia="zh-CN"/>
        </w:rPr>
        <w:t>㎡</w:t>
      </w:r>
      <w:r>
        <w:rPr>
          <w:rFonts w:hint="eastAsia" w:cs="Times New Roman"/>
          <w:color w:val="auto"/>
          <w:szCs w:val="24"/>
          <w:highlight w:val="none"/>
        </w:rPr>
        <w:t>，主营业务为轨道交通领域中的铁路货车。</w:t>
      </w:r>
    </w:p>
    <w:p>
      <w:pPr>
        <w:jc w:val="left"/>
        <w:rPr>
          <w:rFonts w:hint="eastAsia" w:ascii="Times New Roman" w:hAnsi="Times New Roman" w:eastAsia="宋体" w:cs="宋体"/>
          <w:color w:val="auto"/>
          <w:szCs w:val="20"/>
          <w:highlight w:val="none"/>
          <w:lang w:eastAsia="zh-CN"/>
        </w:rPr>
      </w:pPr>
      <w:r>
        <w:rPr>
          <w:rFonts w:hint="eastAsia" w:cs="Times New Roman"/>
          <w:color w:val="auto"/>
          <w:szCs w:val="24"/>
          <w:highlight w:val="none"/>
          <w:lang w:eastAsia="zh-CN"/>
        </w:rPr>
        <w:t>中车山东机车车辆有限公司原有</w:t>
      </w:r>
      <w:r>
        <w:rPr>
          <w:rFonts w:cs="Times New Roman"/>
          <w:color w:val="auto"/>
          <w:szCs w:val="24"/>
          <w:highlight w:val="none"/>
        </w:rPr>
        <w:t>项目</w:t>
      </w:r>
      <w:r>
        <w:rPr>
          <w:rFonts w:hint="eastAsia" w:cs="Times New Roman"/>
          <w:color w:val="auto"/>
          <w:szCs w:val="24"/>
          <w:highlight w:val="none"/>
          <w:lang w:eastAsia="zh-CN"/>
        </w:rPr>
        <w:t>为</w:t>
      </w:r>
      <w:r>
        <w:rPr>
          <w:rFonts w:cs="Times New Roman"/>
          <w:color w:val="auto"/>
          <w:szCs w:val="24"/>
          <w:highlight w:val="none"/>
        </w:rPr>
        <w:t>：</w:t>
      </w:r>
      <w:r>
        <w:rPr>
          <w:rFonts w:hint="eastAsia" w:cs="Times New Roman"/>
          <w:color w:val="auto"/>
          <w:szCs w:val="24"/>
          <w:highlight w:val="none"/>
          <w:lang w:eastAsia="zh-CN"/>
        </w:rPr>
        <w:t>《济南机车工厂转造货车工程项目》于1993年6月取得济南市环境保护局（</w:t>
      </w:r>
      <w:r>
        <w:rPr>
          <w:rFonts w:hint="eastAsia"/>
          <w:color w:val="auto"/>
          <w:highlight w:val="none"/>
          <w:lang w:eastAsia="zh-CN"/>
        </w:rPr>
        <w:t>现</w:t>
      </w:r>
      <w:r>
        <w:rPr>
          <w:color w:val="auto"/>
          <w:highlight w:val="none"/>
        </w:rPr>
        <w:t>济南市生态环境局</w:t>
      </w:r>
      <w:r>
        <w:rPr>
          <w:rFonts w:hint="eastAsia" w:cs="Times New Roman"/>
          <w:color w:val="auto"/>
          <w:szCs w:val="24"/>
          <w:highlight w:val="none"/>
          <w:lang w:eastAsia="zh-CN"/>
        </w:rPr>
        <w:t>）的审批（济环便[1993]11号）（仅大纲获得批复），该项目于2000年实现一控双达标（无有效证明文件）；《内总装分厂变压器油箱喷丸打砂、喷漆生产线建设项目》于2002年9月取得济南市环境保护局（</w:t>
      </w:r>
      <w:r>
        <w:rPr>
          <w:rFonts w:hint="eastAsia"/>
          <w:color w:val="auto"/>
          <w:highlight w:val="none"/>
          <w:lang w:eastAsia="zh-CN"/>
        </w:rPr>
        <w:t>现</w:t>
      </w:r>
      <w:r>
        <w:rPr>
          <w:color w:val="auto"/>
          <w:highlight w:val="none"/>
        </w:rPr>
        <w:t>济南市生态环境局</w:t>
      </w:r>
      <w:r>
        <w:rPr>
          <w:rFonts w:hint="eastAsia" w:cs="Times New Roman"/>
          <w:color w:val="auto"/>
          <w:szCs w:val="24"/>
          <w:highlight w:val="none"/>
          <w:lang w:eastAsia="zh-CN"/>
        </w:rPr>
        <w:t>）的审批（济环建审[2002]115号），</w:t>
      </w:r>
      <w:r>
        <w:rPr>
          <w:rFonts w:hint="default" w:ascii="Times New Roman" w:hAnsi="Times New Roman" w:eastAsia="宋体" w:cs="Times New Roman"/>
          <w:color w:val="auto"/>
          <w:szCs w:val="24"/>
          <w:highlight w:val="none"/>
          <w:lang w:eastAsia="zh-CN"/>
        </w:rPr>
        <w:t>该项目于</w:t>
      </w:r>
      <w:r>
        <w:rPr>
          <w:rFonts w:hint="default" w:ascii="Times New Roman" w:hAnsi="Times New Roman" w:eastAsia="宋体" w:cs="Times New Roman"/>
          <w:color w:val="auto"/>
          <w:szCs w:val="24"/>
          <w:highlight w:val="none"/>
          <w:lang w:val="en-US" w:eastAsia="zh-CN"/>
        </w:rPr>
        <w:t>2003年6月通过验收（济环监验字[2003]20号），现已停产</w:t>
      </w:r>
      <w:r>
        <w:rPr>
          <w:rFonts w:hint="eastAsia"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《开发旅客列车集便器生产项目》于2003年6月</w:t>
      </w:r>
      <w:r>
        <w:rPr>
          <w:rFonts w:hint="default" w:ascii="Times New Roman" w:hAnsi="Times New Roman" w:eastAsia="宋体" w:cs="Times New Roman"/>
          <w:color w:val="auto"/>
          <w:szCs w:val="24"/>
          <w:highlight w:val="none"/>
          <w:lang w:eastAsia="zh-CN"/>
        </w:rPr>
        <w:t>取得济南市环境保护局（现</w:t>
      </w:r>
      <w:r>
        <w:rPr>
          <w:rFonts w:ascii="Times New Roman" w:hAnsi="Times New Roman" w:eastAsia="宋体" w:cs="Times New Roman"/>
          <w:color w:val="auto"/>
          <w:szCs w:val="24"/>
          <w:highlight w:val="none"/>
        </w:rPr>
        <w:t>济南市生态环境局</w:t>
      </w:r>
      <w:r>
        <w:rPr>
          <w:rFonts w:hint="default" w:ascii="Times New Roman" w:hAnsi="Times New Roman" w:eastAsia="宋体" w:cs="Times New Roman"/>
          <w:color w:val="auto"/>
          <w:szCs w:val="24"/>
          <w:highlight w:val="none"/>
          <w:lang w:eastAsia="zh-CN"/>
        </w:rPr>
        <w:t>）的审批（济环建审[2003]36号），该项目于2007年11月</w:t>
      </w:r>
      <w:r>
        <w:rPr>
          <w:rFonts w:hint="default" w:ascii="Times New Roman" w:hAnsi="Times New Roman" w:eastAsia="宋体" w:cs="Times New Roman"/>
          <w:color w:val="auto"/>
          <w:szCs w:val="24"/>
          <w:highlight w:val="none"/>
          <w:lang w:val="en-US" w:eastAsia="zh-CN"/>
        </w:rPr>
        <w:t>通过验收（济环监验字[2007]50号），现已搬迁</w:t>
      </w:r>
      <w:r>
        <w:rPr>
          <w:rFonts w:hint="eastAsia"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《罐车生产工艺布局调整项目》于2003年6月</w:t>
      </w:r>
      <w:r>
        <w:rPr>
          <w:rFonts w:hint="default" w:ascii="Times New Roman" w:hAnsi="Times New Roman" w:eastAsia="宋体" w:cs="Times New Roman"/>
          <w:color w:val="auto"/>
          <w:szCs w:val="24"/>
          <w:highlight w:val="none"/>
          <w:lang w:eastAsia="zh-CN"/>
        </w:rPr>
        <w:t>取得济南市环境保护局（现</w:t>
      </w:r>
      <w:r>
        <w:rPr>
          <w:rFonts w:ascii="Times New Roman" w:hAnsi="Times New Roman" w:eastAsia="宋体" w:cs="Times New Roman"/>
          <w:color w:val="auto"/>
          <w:szCs w:val="24"/>
          <w:highlight w:val="none"/>
        </w:rPr>
        <w:t>济南市生态环境局</w:t>
      </w:r>
      <w:r>
        <w:rPr>
          <w:rFonts w:hint="default" w:ascii="Times New Roman" w:hAnsi="Times New Roman" w:eastAsia="宋体" w:cs="Times New Roman"/>
          <w:color w:val="auto"/>
          <w:szCs w:val="24"/>
          <w:highlight w:val="none"/>
          <w:lang w:eastAsia="zh-CN"/>
        </w:rPr>
        <w:t>）的审批（济环建审[2003]37号），该项目于2007年11月</w:t>
      </w:r>
      <w:r>
        <w:rPr>
          <w:rFonts w:hint="default" w:ascii="Times New Roman" w:hAnsi="Times New Roman" w:eastAsia="宋体" w:cs="Times New Roman"/>
          <w:color w:val="auto"/>
          <w:szCs w:val="24"/>
          <w:highlight w:val="none"/>
          <w:lang w:val="en-US" w:eastAsia="zh-CN"/>
        </w:rPr>
        <w:t>通过验收（济环监验字[2007]49号），现已停产</w:t>
      </w:r>
      <w:r>
        <w:rPr>
          <w:rFonts w:hint="eastAsia"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《内燃分厂变压器油箱喷漆烘干房技术改造项目》于</w:t>
      </w:r>
      <w:r>
        <w:rPr>
          <w:rFonts w:hint="default" w:ascii="Times New Roman" w:hAnsi="Times New Roman" w:eastAsia="宋体" w:cs="Times New Roman"/>
          <w:color w:val="auto"/>
          <w:kern w:val="2"/>
          <w:sz w:val="24"/>
          <w:szCs w:val="24"/>
          <w:highlight w:val="none"/>
          <w:lang w:val="en-US"/>
        </w:rPr>
        <w:t>2005年</w:t>
      </w:r>
      <w:r>
        <w:rPr>
          <w:rFonts w:hint="default" w:ascii="Times New Roman" w:hAnsi="Times New Roman" w:eastAsia="宋体" w:cs="Times New Roman"/>
          <w:color w:val="auto"/>
          <w:szCs w:val="24"/>
          <w:highlight w:val="none"/>
          <w:lang w:eastAsia="zh-CN"/>
        </w:rPr>
        <w:t>取得济南市环境保护局（现</w:t>
      </w:r>
      <w:r>
        <w:rPr>
          <w:rFonts w:ascii="Times New Roman" w:hAnsi="Times New Roman" w:eastAsia="宋体" w:cs="Times New Roman"/>
          <w:color w:val="auto"/>
          <w:szCs w:val="24"/>
          <w:highlight w:val="none"/>
        </w:rPr>
        <w:t>济南市生态环境局</w:t>
      </w:r>
      <w:r>
        <w:rPr>
          <w:rFonts w:hint="default" w:ascii="Times New Roman" w:hAnsi="Times New Roman" w:eastAsia="宋体" w:cs="Times New Roman"/>
          <w:color w:val="auto"/>
          <w:szCs w:val="24"/>
          <w:highlight w:val="none"/>
          <w:lang w:eastAsia="zh-CN"/>
        </w:rPr>
        <w:t>）的审批（</w:t>
      </w:r>
      <w:r>
        <w:rPr>
          <w:rFonts w:hint="default" w:ascii="Times New Roman" w:hAnsi="Times New Roman" w:eastAsia="宋体" w:cs="Times New Roman"/>
          <w:color w:val="auto"/>
          <w:kern w:val="2"/>
          <w:sz w:val="24"/>
          <w:szCs w:val="24"/>
          <w:highlight w:val="none"/>
        </w:rPr>
        <w:t>济环建审[2005]136号</w:t>
      </w:r>
      <w:r>
        <w:rPr>
          <w:rFonts w:hint="default" w:ascii="Times New Roman" w:hAnsi="Times New Roman" w:eastAsia="宋体" w:cs="Times New Roman"/>
          <w:color w:val="auto"/>
          <w:szCs w:val="24"/>
          <w:highlight w:val="none"/>
          <w:lang w:eastAsia="zh-CN"/>
        </w:rPr>
        <w:t>），该项目于</w:t>
      </w:r>
      <w:r>
        <w:rPr>
          <w:rFonts w:hint="default" w:ascii="Times New Roman" w:hAnsi="Times New Roman" w:eastAsia="宋体" w:cs="Times New Roman"/>
          <w:color w:val="auto"/>
          <w:kern w:val="2"/>
          <w:sz w:val="24"/>
          <w:szCs w:val="24"/>
          <w:highlight w:val="none"/>
        </w:rPr>
        <w:t>2007年11月</w:t>
      </w:r>
      <w:r>
        <w:rPr>
          <w:rFonts w:hint="default" w:ascii="Times New Roman" w:hAnsi="Times New Roman" w:eastAsia="宋体" w:cs="Times New Roman"/>
          <w:color w:val="auto"/>
          <w:kern w:val="2"/>
          <w:sz w:val="24"/>
          <w:szCs w:val="24"/>
          <w:highlight w:val="none"/>
          <w:lang w:eastAsia="zh-CN"/>
        </w:rPr>
        <w:t>通过验收（</w:t>
      </w:r>
      <w:r>
        <w:rPr>
          <w:rFonts w:hint="default" w:ascii="Times New Roman" w:hAnsi="Times New Roman" w:eastAsia="宋体" w:cs="Times New Roman"/>
          <w:color w:val="auto"/>
          <w:kern w:val="2"/>
          <w:sz w:val="24"/>
          <w:szCs w:val="24"/>
          <w:highlight w:val="none"/>
        </w:rPr>
        <w:t>济环监验字[2007]51号</w:t>
      </w:r>
      <w:r>
        <w:rPr>
          <w:rFonts w:hint="default" w:ascii="Times New Roman" w:hAnsi="Times New Roman" w:eastAsia="宋体" w:cs="Times New Roman"/>
          <w:color w:val="auto"/>
          <w:kern w:val="2"/>
          <w:sz w:val="24"/>
          <w:szCs w:val="24"/>
          <w:highlight w:val="none"/>
          <w:lang w:eastAsia="zh-CN"/>
        </w:rPr>
        <w:t>），现已停产</w:t>
      </w:r>
      <w:r>
        <w:rPr>
          <w:rFonts w:hint="eastAsia"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生产工艺布局调整技术改造项目</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szCs w:val="24"/>
          <w:highlight w:val="none"/>
          <w:lang w:val="en-US" w:eastAsia="zh-CN"/>
        </w:rPr>
        <w:t>于</w:t>
      </w:r>
      <w:r>
        <w:rPr>
          <w:rFonts w:hint="default" w:ascii="Times New Roman" w:hAnsi="Times New Roman" w:eastAsia="宋体" w:cs="Times New Roman"/>
          <w:color w:val="auto"/>
          <w:kern w:val="2"/>
          <w:sz w:val="24"/>
          <w:szCs w:val="24"/>
          <w:highlight w:val="none"/>
          <w:lang w:val="en-US"/>
        </w:rPr>
        <w:t>2005年</w:t>
      </w:r>
      <w:r>
        <w:rPr>
          <w:rFonts w:hint="default" w:ascii="Times New Roman" w:hAnsi="Times New Roman" w:eastAsia="宋体" w:cs="Times New Roman"/>
          <w:color w:val="auto"/>
          <w:szCs w:val="24"/>
          <w:highlight w:val="none"/>
          <w:lang w:eastAsia="zh-CN"/>
        </w:rPr>
        <w:t>取得济南市环境保护局（现</w:t>
      </w:r>
      <w:r>
        <w:rPr>
          <w:rFonts w:ascii="Times New Roman" w:hAnsi="Times New Roman" w:eastAsia="宋体" w:cs="Times New Roman"/>
          <w:color w:val="auto"/>
          <w:szCs w:val="24"/>
          <w:highlight w:val="none"/>
        </w:rPr>
        <w:t>济南市生态环境局</w:t>
      </w:r>
      <w:r>
        <w:rPr>
          <w:rFonts w:hint="default" w:ascii="Times New Roman" w:hAnsi="Times New Roman" w:eastAsia="宋体" w:cs="Times New Roman"/>
          <w:color w:val="auto"/>
          <w:szCs w:val="24"/>
          <w:highlight w:val="none"/>
          <w:lang w:eastAsia="zh-CN"/>
        </w:rPr>
        <w:t>）的审批（</w:t>
      </w:r>
      <w:r>
        <w:rPr>
          <w:rFonts w:hint="default" w:ascii="Times New Roman" w:hAnsi="Times New Roman" w:eastAsia="宋体" w:cs="Times New Roman"/>
          <w:color w:val="auto"/>
          <w:kern w:val="2"/>
          <w:sz w:val="24"/>
          <w:szCs w:val="24"/>
          <w:highlight w:val="none"/>
        </w:rPr>
        <w:t>济环建审[2005]71号</w:t>
      </w:r>
      <w:r>
        <w:rPr>
          <w:rFonts w:hint="default" w:ascii="Times New Roman" w:hAnsi="Times New Roman" w:eastAsia="宋体" w:cs="Times New Roman"/>
          <w:color w:val="auto"/>
          <w:szCs w:val="24"/>
          <w:highlight w:val="none"/>
          <w:lang w:eastAsia="zh-CN"/>
        </w:rPr>
        <w:t>），该项目未建设</w:t>
      </w:r>
      <w:r>
        <w:rPr>
          <w:rFonts w:hint="eastAsia" w:cs="Times New Roman"/>
          <w:color w:val="auto"/>
          <w:szCs w:val="24"/>
          <w:highlight w:val="none"/>
          <w:lang w:eastAsia="zh-CN"/>
        </w:rPr>
        <w:t>；</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kern w:val="2"/>
          <w:sz w:val="24"/>
          <w:szCs w:val="24"/>
          <w:highlight w:val="none"/>
        </w:rPr>
        <w:t>铁路旅客列车集便器生产线扩能项目</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lang w:val="en-US" w:eastAsia="zh-CN"/>
        </w:rPr>
        <w:t>于</w:t>
      </w:r>
      <w:r>
        <w:rPr>
          <w:rFonts w:hint="default" w:ascii="Times New Roman" w:hAnsi="Times New Roman" w:eastAsia="宋体" w:cs="Times New Roman"/>
          <w:color w:val="auto"/>
          <w:kern w:val="2"/>
          <w:sz w:val="24"/>
          <w:szCs w:val="24"/>
          <w:highlight w:val="none"/>
          <w:lang w:val="en-US"/>
        </w:rPr>
        <w:t>200</w:t>
      </w:r>
      <w:r>
        <w:rPr>
          <w:rFonts w:hint="default" w:ascii="Times New Roman" w:hAnsi="Times New Roman" w:eastAsia="宋体" w:cs="Times New Roman"/>
          <w:color w:val="auto"/>
          <w:kern w:val="2"/>
          <w:sz w:val="24"/>
          <w:szCs w:val="24"/>
          <w:highlight w:val="none"/>
          <w:lang w:val="en-US" w:eastAsia="zh-CN"/>
        </w:rPr>
        <w:t>7</w:t>
      </w:r>
      <w:r>
        <w:rPr>
          <w:rFonts w:hint="default" w:ascii="Times New Roman" w:hAnsi="Times New Roman" w:eastAsia="宋体" w:cs="Times New Roman"/>
          <w:color w:val="auto"/>
          <w:kern w:val="2"/>
          <w:sz w:val="24"/>
          <w:szCs w:val="24"/>
          <w:highlight w:val="none"/>
          <w:lang w:val="en-US"/>
        </w:rPr>
        <w:t>年</w:t>
      </w:r>
      <w:r>
        <w:rPr>
          <w:rFonts w:hint="default" w:ascii="Times New Roman" w:hAnsi="Times New Roman" w:eastAsia="宋体" w:cs="Times New Roman"/>
          <w:color w:val="auto"/>
          <w:szCs w:val="24"/>
          <w:highlight w:val="none"/>
          <w:lang w:eastAsia="zh-CN"/>
        </w:rPr>
        <w:t>取得济南市环境保护局（现</w:t>
      </w:r>
      <w:r>
        <w:rPr>
          <w:rFonts w:ascii="Times New Roman" w:hAnsi="Times New Roman" w:eastAsia="宋体" w:cs="Times New Roman"/>
          <w:color w:val="auto"/>
          <w:szCs w:val="24"/>
          <w:highlight w:val="none"/>
        </w:rPr>
        <w:t>济南市生态环境局</w:t>
      </w:r>
      <w:r>
        <w:rPr>
          <w:rFonts w:hint="default" w:ascii="Times New Roman" w:hAnsi="Times New Roman" w:eastAsia="宋体" w:cs="Times New Roman"/>
          <w:color w:val="auto"/>
          <w:szCs w:val="24"/>
          <w:highlight w:val="none"/>
          <w:lang w:eastAsia="zh-CN"/>
        </w:rPr>
        <w:t>）的审批（</w:t>
      </w:r>
      <w:r>
        <w:rPr>
          <w:rFonts w:hint="default" w:ascii="Times New Roman" w:hAnsi="Times New Roman" w:eastAsia="宋体" w:cs="Times New Roman"/>
          <w:color w:val="auto"/>
          <w:kern w:val="2"/>
          <w:sz w:val="24"/>
          <w:szCs w:val="24"/>
          <w:highlight w:val="none"/>
        </w:rPr>
        <w:t>济环建审[2007]272号</w:t>
      </w:r>
      <w:r>
        <w:rPr>
          <w:rFonts w:hint="default" w:ascii="Times New Roman" w:hAnsi="Times New Roman" w:eastAsia="宋体" w:cs="Times New Roman"/>
          <w:color w:val="auto"/>
          <w:szCs w:val="24"/>
          <w:highlight w:val="none"/>
          <w:lang w:eastAsia="zh-CN"/>
        </w:rPr>
        <w:t>），该项目未建设</w:t>
      </w:r>
      <w:r>
        <w:rPr>
          <w:rFonts w:hint="eastAsia" w:cs="Times New Roman"/>
          <w:color w:val="auto"/>
          <w:szCs w:val="24"/>
          <w:highlight w:val="none"/>
          <w:lang w:eastAsia="zh-CN"/>
        </w:rPr>
        <w:t>；</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kern w:val="2"/>
          <w:sz w:val="24"/>
          <w:szCs w:val="24"/>
          <w:highlight w:val="none"/>
        </w:rPr>
        <w:t>符合欧洲TSI规范的新型快速轨道交通车辆产业项目</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lang w:val="en-US" w:eastAsia="zh-CN"/>
        </w:rPr>
        <w:t>于</w:t>
      </w:r>
      <w:r>
        <w:rPr>
          <w:rFonts w:hint="default" w:ascii="Times New Roman" w:hAnsi="Times New Roman" w:eastAsia="宋体" w:cs="Times New Roman"/>
          <w:color w:val="auto"/>
          <w:kern w:val="2"/>
          <w:sz w:val="24"/>
          <w:szCs w:val="24"/>
          <w:highlight w:val="none"/>
          <w:lang w:val="en-US"/>
        </w:rPr>
        <w:t>20</w:t>
      </w:r>
      <w:r>
        <w:rPr>
          <w:rFonts w:hint="default" w:ascii="Times New Roman" w:hAnsi="Times New Roman" w:eastAsia="宋体" w:cs="Times New Roman"/>
          <w:color w:val="auto"/>
          <w:kern w:val="2"/>
          <w:sz w:val="24"/>
          <w:szCs w:val="24"/>
          <w:highlight w:val="none"/>
          <w:lang w:val="en-US" w:eastAsia="zh-CN"/>
        </w:rPr>
        <w:t>11</w:t>
      </w:r>
      <w:r>
        <w:rPr>
          <w:rFonts w:hint="default" w:ascii="Times New Roman" w:hAnsi="Times New Roman" w:eastAsia="宋体" w:cs="Times New Roman"/>
          <w:color w:val="auto"/>
          <w:kern w:val="2"/>
          <w:sz w:val="24"/>
          <w:szCs w:val="24"/>
          <w:highlight w:val="none"/>
          <w:lang w:val="en-US"/>
        </w:rPr>
        <w:t>年</w:t>
      </w:r>
      <w:r>
        <w:rPr>
          <w:rFonts w:hint="default" w:ascii="Times New Roman" w:hAnsi="Times New Roman" w:eastAsia="宋体" w:cs="Times New Roman"/>
          <w:color w:val="auto"/>
          <w:szCs w:val="24"/>
          <w:highlight w:val="none"/>
          <w:lang w:eastAsia="zh-CN"/>
        </w:rPr>
        <w:t>取得济南市环境保护局（现</w:t>
      </w:r>
      <w:r>
        <w:rPr>
          <w:rFonts w:ascii="Times New Roman" w:hAnsi="Times New Roman" w:eastAsia="宋体" w:cs="Times New Roman"/>
          <w:color w:val="auto"/>
          <w:szCs w:val="24"/>
          <w:highlight w:val="none"/>
        </w:rPr>
        <w:t>济南市生态环境局</w:t>
      </w:r>
      <w:r>
        <w:rPr>
          <w:rFonts w:hint="default" w:ascii="Times New Roman" w:hAnsi="Times New Roman" w:eastAsia="宋体" w:cs="Times New Roman"/>
          <w:color w:val="auto"/>
          <w:szCs w:val="24"/>
          <w:highlight w:val="none"/>
          <w:lang w:eastAsia="zh-CN"/>
        </w:rPr>
        <w:t>）的审批（</w:t>
      </w:r>
      <w:r>
        <w:rPr>
          <w:rFonts w:hint="default" w:ascii="Times New Roman" w:hAnsi="Times New Roman" w:eastAsia="宋体" w:cs="Times New Roman"/>
          <w:color w:val="auto"/>
          <w:kern w:val="2"/>
          <w:sz w:val="24"/>
          <w:szCs w:val="24"/>
          <w:highlight w:val="none"/>
        </w:rPr>
        <w:t>济环建审[2011]65号</w:t>
      </w:r>
      <w:r>
        <w:rPr>
          <w:rFonts w:hint="default" w:ascii="Times New Roman" w:hAnsi="Times New Roman" w:eastAsia="宋体" w:cs="Times New Roman"/>
          <w:color w:val="auto"/>
          <w:szCs w:val="24"/>
          <w:highlight w:val="none"/>
          <w:lang w:eastAsia="zh-CN"/>
        </w:rPr>
        <w:t>），该项目未建设</w:t>
      </w:r>
      <w:r>
        <w:rPr>
          <w:rFonts w:hint="eastAsia" w:cs="Times New Roman"/>
          <w:color w:val="auto"/>
          <w:szCs w:val="24"/>
          <w:highlight w:val="none"/>
          <w:lang w:eastAsia="zh-CN"/>
        </w:rPr>
        <w:t>；</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bCs w:val="0"/>
          <w:color w:val="auto"/>
          <w:kern w:val="2"/>
          <w:sz w:val="24"/>
          <w:szCs w:val="24"/>
          <w:highlight w:val="none"/>
        </w:rPr>
        <w:t>台车式热处理炉建设项目</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lang w:val="en-US" w:eastAsia="zh-CN"/>
        </w:rPr>
        <w:t>于</w:t>
      </w:r>
      <w:r>
        <w:rPr>
          <w:rFonts w:hint="default" w:ascii="Times New Roman" w:hAnsi="Times New Roman" w:eastAsia="宋体" w:cs="Times New Roman"/>
          <w:color w:val="auto"/>
          <w:kern w:val="2"/>
          <w:sz w:val="24"/>
          <w:szCs w:val="24"/>
          <w:highlight w:val="none"/>
        </w:rPr>
        <w:t>2015年2月</w:t>
      </w:r>
      <w:r>
        <w:rPr>
          <w:rFonts w:hint="default" w:ascii="Times New Roman" w:hAnsi="Times New Roman" w:eastAsia="宋体" w:cs="Times New Roman"/>
          <w:color w:val="auto"/>
          <w:kern w:val="2"/>
          <w:sz w:val="24"/>
          <w:szCs w:val="24"/>
          <w:highlight w:val="none"/>
          <w:lang w:val="en-US"/>
        </w:rPr>
        <w:t>年</w:t>
      </w:r>
      <w:r>
        <w:rPr>
          <w:rFonts w:hint="default" w:ascii="Times New Roman" w:hAnsi="Times New Roman" w:eastAsia="宋体" w:cs="Times New Roman"/>
          <w:color w:val="auto"/>
          <w:szCs w:val="24"/>
          <w:highlight w:val="none"/>
          <w:lang w:eastAsia="zh-CN"/>
        </w:rPr>
        <w:t>取得</w:t>
      </w:r>
      <w:r>
        <w:rPr>
          <w:rFonts w:hint="default" w:ascii="Times New Roman" w:hAnsi="Times New Roman" w:eastAsia="宋体" w:cs="Times New Roman"/>
          <w:color w:val="auto"/>
          <w:kern w:val="2"/>
          <w:sz w:val="24"/>
          <w:szCs w:val="24"/>
          <w:highlight w:val="none"/>
        </w:rPr>
        <w:t>济南市槐荫区环境保护局</w:t>
      </w:r>
      <w:r>
        <w:rPr>
          <w:rFonts w:hint="default" w:ascii="Times New Roman" w:hAnsi="Times New Roman" w:eastAsia="宋体" w:cs="Times New Roman"/>
          <w:color w:val="auto"/>
          <w:szCs w:val="24"/>
          <w:highlight w:val="none"/>
          <w:lang w:eastAsia="zh-CN"/>
        </w:rPr>
        <w:t>（现</w:t>
      </w:r>
      <w:r>
        <w:rPr>
          <w:rFonts w:hint="default" w:ascii="Times New Roman" w:hAnsi="Times New Roman" w:eastAsia="宋体" w:cs="Times New Roman"/>
          <w:color w:val="auto"/>
          <w:sz w:val="24"/>
          <w:szCs w:val="24"/>
          <w:highlight w:val="none"/>
          <w:lang w:val="en-US" w:eastAsia="zh-CN"/>
        </w:rPr>
        <w:t>济南市生态环境局</w:t>
      </w:r>
      <w:r>
        <w:rPr>
          <w:rFonts w:hint="default" w:ascii="Times New Roman" w:hAnsi="Times New Roman" w:eastAsia="宋体" w:cs="Times New Roman"/>
          <w:color w:val="auto"/>
          <w:kern w:val="2"/>
          <w:sz w:val="24"/>
          <w:szCs w:val="24"/>
          <w:highlight w:val="none"/>
        </w:rPr>
        <w:t>槐荫</w:t>
      </w:r>
      <w:r>
        <w:rPr>
          <w:rFonts w:hint="default" w:ascii="Times New Roman" w:hAnsi="Times New Roman" w:eastAsia="宋体" w:cs="Times New Roman"/>
          <w:color w:val="auto"/>
          <w:sz w:val="24"/>
          <w:szCs w:val="24"/>
          <w:highlight w:val="none"/>
          <w:lang w:val="en-US" w:eastAsia="zh-CN"/>
        </w:rPr>
        <w:t>分局</w:t>
      </w:r>
      <w:r>
        <w:rPr>
          <w:rFonts w:hint="default" w:ascii="Times New Roman" w:hAnsi="Times New Roman" w:eastAsia="宋体" w:cs="Times New Roman"/>
          <w:color w:val="auto"/>
          <w:szCs w:val="24"/>
          <w:highlight w:val="none"/>
          <w:lang w:eastAsia="zh-CN"/>
        </w:rPr>
        <w:t>）的审批（</w:t>
      </w:r>
      <w:r>
        <w:rPr>
          <w:rFonts w:hint="default" w:ascii="Times New Roman" w:hAnsi="Times New Roman" w:eastAsia="宋体" w:cs="Times New Roman"/>
          <w:color w:val="auto"/>
          <w:kern w:val="2"/>
          <w:sz w:val="24"/>
          <w:szCs w:val="24"/>
          <w:highlight w:val="none"/>
        </w:rPr>
        <w:t>济槐环建审[2015]037号</w:t>
      </w:r>
      <w:r>
        <w:rPr>
          <w:rFonts w:hint="default" w:ascii="Times New Roman" w:hAnsi="Times New Roman" w:eastAsia="宋体" w:cs="Times New Roman"/>
          <w:color w:val="auto"/>
          <w:szCs w:val="24"/>
          <w:highlight w:val="none"/>
          <w:lang w:eastAsia="zh-CN"/>
        </w:rPr>
        <w:t>），该项目于</w:t>
      </w:r>
      <w:r>
        <w:rPr>
          <w:rFonts w:hint="default" w:ascii="Times New Roman" w:hAnsi="Times New Roman" w:eastAsia="宋体" w:cs="Times New Roman"/>
          <w:color w:val="auto"/>
          <w:kern w:val="2"/>
          <w:sz w:val="24"/>
          <w:szCs w:val="24"/>
          <w:highlight w:val="none"/>
        </w:rPr>
        <w:t>2015年11月</w:t>
      </w:r>
      <w:r>
        <w:rPr>
          <w:rFonts w:hint="default" w:ascii="Times New Roman" w:hAnsi="Times New Roman" w:eastAsia="宋体" w:cs="Times New Roman"/>
          <w:color w:val="auto"/>
          <w:kern w:val="2"/>
          <w:sz w:val="24"/>
          <w:szCs w:val="24"/>
          <w:highlight w:val="none"/>
          <w:lang w:eastAsia="zh-CN"/>
        </w:rPr>
        <w:t>通过验收（</w:t>
      </w:r>
      <w:r>
        <w:rPr>
          <w:rFonts w:hint="default" w:ascii="Times New Roman" w:hAnsi="Times New Roman" w:eastAsia="宋体" w:cs="Times New Roman"/>
          <w:color w:val="auto"/>
          <w:kern w:val="2"/>
          <w:sz w:val="24"/>
          <w:szCs w:val="24"/>
          <w:highlight w:val="none"/>
        </w:rPr>
        <w:t>济槐环建验[2015]032号</w:t>
      </w:r>
      <w:r>
        <w:rPr>
          <w:rFonts w:hint="default" w:ascii="Times New Roman" w:hAnsi="Times New Roman" w:eastAsia="宋体" w:cs="Times New Roman"/>
          <w:color w:val="auto"/>
          <w:kern w:val="2"/>
          <w:sz w:val="24"/>
          <w:szCs w:val="24"/>
          <w:highlight w:val="none"/>
          <w:lang w:eastAsia="zh-CN"/>
        </w:rPr>
        <w:t>）</w:t>
      </w:r>
      <w:r>
        <w:rPr>
          <w:rFonts w:hint="eastAsia"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bCs w:val="0"/>
          <w:color w:val="auto"/>
          <w:kern w:val="2"/>
          <w:sz w:val="24"/>
          <w:szCs w:val="24"/>
          <w:highlight w:val="none"/>
        </w:rPr>
        <w:t>厂区供暖改造项目</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szCs w:val="24"/>
          <w:highlight w:val="none"/>
          <w:lang w:val="en-US" w:eastAsia="zh-CN"/>
        </w:rPr>
        <w:t>于</w:t>
      </w:r>
      <w:r>
        <w:rPr>
          <w:rFonts w:hint="default" w:ascii="Times New Roman" w:hAnsi="Times New Roman" w:eastAsia="宋体" w:cs="Times New Roman"/>
          <w:color w:val="auto"/>
          <w:kern w:val="2"/>
          <w:sz w:val="24"/>
          <w:szCs w:val="24"/>
          <w:highlight w:val="none"/>
        </w:rPr>
        <w:t>2016年10月</w:t>
      </w:r>
      <w:r>
        <w:rPr>
          <w:rFonts w:hint="default" w:ascii="Times New Roman" w:hAnsi="Times New Roman" w:eastAsia="宋体" w:cs="Times New Roman"/>
          <w:color w:val="auto"/>
          <w:kern w:val="2"/>
          <w:sz w:val="24"/>
          <w:szCs w:val="24"/>
          <w:highlight w:val="none"/>
          <w:lang w:val="en-US"/>
        </w:rPr>
        <w:t>年</w:t>
      </w:r>
      <w:r>
        <w:rPr>
          <w:rFonts w:hint="default" w:ascii="Times New Roman" w:hAnsi="Times New Roman" w:eastAsia="宋体" w:cs="Times New Roman"/>
          <w:color w:val="auto"/>
          <w:szCs w:val="24"/>
          <w:highlight w:val="none"/>
          <w:lang w:eastAsia="zh-CN"/>
        </w:rPr>
        <w:t>取得</w:t>
      </w:r>
      <w:r>
        <w:rPr>
          <w:rFonts w:hint="default" w:ascii="Times New Roman" w:hAnsi="Times New Roman" w:eastAsia="宋体" w:cs="Times New Roman"/>
          <w:color w:val="auto"/>
          <w:kern w:val="2"/>
          <w:sz w:val="24"/>
          <w:szCs w:val="24"/>
          <w:highlight w:val="none"/>
        </w:rPr>
        <w:t>济南市槐荫区环境保护局</w:t>
      </w:r>
      <w:r>
        <w:rPr>
          <w:rFonts w:hint="default" w:ascii="Times New Roman" w:hAnsi="Times New Roman" w:eastAsia="宋体" w:cs="Times New Roman"/>
          <w:color w:val="auto"/>
          <w:szCs w:val="24"/>
          <w:highlight w:val="none"/>
          <w:lang w:eastAsia="zh-CN"/>
        </w:rPr>
        <w:t>（现</w:t>
      </w:r>
      <w:r>
        <w:rPr>
          <w:rFonts w:hint="default" w:ascii="Times New Roman" w:hAnsi="Times New Roman" w:eastAsia="宋体" w:cs="Times New Roman"/>
          <w:color w:val="auto"/>
          <w:sz w:val="24"/>
          <w:szCs w:val="24"/>
          <w:highlight w:val="none"/>
          <w:lang w:val="en-US" w:eastAsia="zh-CN"/>
        </w:rPr>
        <w:t>济南市生态环境局</w:t>
      </w:r>
      <w:r>
        <w:rPr>
          <w:rFonts w:hint="default" w:ascii="Times New Roman" w:hAnsi="Times New Roman" w:eastAsia="宋体" w:cs="Times New Roman"/>
          <w:color w:val="auto"/>
          <w:kern w:val="2"/>
          <w:sz w:val="24"/>
          <w:szCs w:val="24"/>
          <w:highlight w:val="none"/>
        </w:rPr>
        <w:t>槐荫</w:t>
      </w:r>
      <w:r>
        <w:rPr>
          <w:rFonts w:hint="default" w:ascii="Times New Roman" w:hAnsi="Times New Roman" w:eastAsia="宋体" w:cs="Times New Roman"/>
          <w:color w:val="auto"/>
          <w:sz w:val="24"/>
          <w:szCs w:val="24"/>
          <w:highlight w:val="none"/>
          <w:lang w:val="en-US" w:eastAsia="zh-CN"/>
        </w:rPr>
        <w:t>分局</w:t>
      </w:r>
      <w:r>
        <w:rPr>
          <w:rFonts w:hint="default" w:ascii="Times New Roman" w:hAnsi="Times New Roman" w:eastAsia="宋体" w:cs="Times New Roman"/>
          <w:color w:val="auto"/>
          <w:szCs w:val="24"/>
          <w:highlight w:val="none"/>
          <w:lang w:eastAsia="zh-CN"/>
        </w:rPr>
        <w:t>）的审批（</w:t>
      </w:r>
      <w:r>
        <w:rPr>
          <w:rFonts w:hint="default" w:ascii="Times New Roman" w:hAnsi="Times New Roman" w:eastAsia="宋体" w:cs="Times New Roman"/>
          <w:color w:val="auto"/>
          <w:kern w:val="2"/>
          <w:sz w:val="24"/>
          <w:szCs w:val="24"/>
          <w:highlight w:val="none"/>
        </w:rPr>
        <w:t>济槐环建审[2016]95号</w:t>
      </w:r>
      <w:r>
        <w:rPr>
          <w:rFonts w:hint="default" w:ascii="Times New Roman" w:hAnsi="Times New Roman" w:eastAsia="宋体" w:cs="Times New Roman"/>
          <w:color w:val="auto"/>
          <w:szCs w:val="24"/>
          <w:highlight w:val="none"/>
          <w:lang w:eastAsia="zh-CN"/>
        </w:rPr>
        <w:t>），该项目于</w:t>
      </w:r>
      <w:r>
        <w:rPr>
          <w:rFonts w:hint="default" w:ascii="Times New Roman" w:hAnsi="Times New Roman" w:eastAsia="宋体" w:cs="Times New Roman"/>
          <w:color w:val="auto"/>
          <w:kern w:val="2"/>
          <w:sz w:val="24"/>
          <w:szCs w:val="24"/>
          <w:highlight w:val="none"/>
        </w:rPr>
        <w:t>2017年2月</w:t>
      </w:r>
      <w:r>
        <w:rPr>
          <w:rFonts w:hint="default" w:ascii="Times New Roman" w:hAnsi="Times New Roman" w:eastAsia="宋体" w:cs="Times New Roman"/>
          <w:color w:val="auto"/>
          <w:kern w:val="2"/>
          <w:sz w:val="24"/>
          <w:szCs w:val="24"/>
          <w:highlight w:val="none"/>
          <w:lang w:eastAsia="zh-CN"/>
        </w:rPr>
        <w:t>通过验收（</w:t>
      </w:r>
      <w:r>
        <w:rPr>
          <w:rFonts w:hint="default" w:ascii="Times New Roman" w:hAnsi="Times New Roman" w:eastAsia="宋体" w:cs="Times New Roman"/>
          <w:color w:val="auto"/>
          <w:kern w:val="2"/>
          <w:sz w:val="24"/>
          <w:szCs w:val="24"/>
          <w:highlight w:val="none"/>
        </w:rPr>
        <w:t>济槐环建验[2017]4号</w:t>
      </w:r>
      <w:r>
        <w:rPr>
          <w:rFonts w:hint="default" w:ascii="Times New Roman" w:hAnsi="Times New Roman" w:eastAsia="宋体" w:cs="Times New Roman"/>
          <w:color w:val="auto"/>
          <w:kern w:val="2"/>
          <w:sz w:val="24"/>
          <w:szCs w:val="24"/>
          <w:highlight w:val="none"/>
          <w:lang w:eastAsia="zh-CN"/>
        </w:rPr>
        <w:t>）</w:t>
      </w:r>
      <w:r>
        <w:rPr>
          <w:rFonts w:hint="eastAsia"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中车山东机车车辆有限公司</w:t>
      </w:r>
      <w:r>
        <w:rPr>
          <w:rFonts w:hint="default" w:ascii="Times New Roman" w:hAnsi="Times New Roman" w:eastAsia="宋体" w:cs="Times New Roman"/>
          <w:color w:val="auto"/>
          <w:kern w:val="2"/>
          <w:sz w:val="24"/>
          <w:szCs w:val="24"/>
          <w:highlight w:val="none"/>
          <w:lang w:eastAsia="zh-CN"/>
        </w:rPr>
        <w:t>酸洗工艺改造项目》</w:t>
      </w:r>
      <w:r>
        <w:rPr>
          <w:rFonts w:hint="default" w:ascii="Times New Roman" w:hAnsi="Times New Roman" w:eastAsia="宋体" w:cs="Times New Roman"/>
          <w:color w:val="auto"/>
          <w:szCs w:val="24"/>
          <w:highlight w:val="none"/>
          <w:lang w:val="en-US" w:eastAsia="zh-CN"/>
        </w:rPr>
        <w:t>于</w:t>
      </w:r>
      <w:r>
        <w:rPr>
          <w:rFonts w:hint="default" w:ascii="Times New Roman" w:hAnsi="Times New Roman" w:eastAsia="宋体" w:cs="Times New Roman"/>
          <w:color w:val="auto"/>
          <w:kern w:val="2"/>
          <w:sz w:val="24"/>
          <w:szCs w:val="24"/>
          <w:highlight w:val="none"/>
          <w:lang w:val="en-US" w:eastAsia="zh-CN"/>
        </w:rPr>
        <w:t>2018年11月</w:t>
      </w:r>
      <w:r>
        <w:rPr>
          <w:rFonts w:hint="default" w:ascii="Times New Roman" w:hAnsi="Times New Roman" w:eastAsia="宋体" w:cs="Times New Roman"/>
          <w:color w:val="auto"/>
          <w:kern w:val="2"/>
          <w:sz w:val="24"/>
          <w:szCs w:val="24"/>
          <w:highlight w:val="none"/>
          <w:lang w:val="en-US"/>
        </w:rPr>
        <w:t>年</w:t>
      </w:r>
      <w:r>
        <w:rPr>
          <w:rFonts w:hint="default" w:ascii="Times New Roman" w:hAnsi="Times New Roman" w:eastAsia="宋体" w:cs="Times New Roman"/>
          <w:color w:val="auto"/>
          <w:szCs w:val="24"/>
          <w:highlight w:val="none"/>
          <w:lang w:eastAsia="zh-CN"/>
        </w:rPr>
        <w:t>取得</w:t>
      </w:r>
      <w:r>
        <w:rPr>
          <w:rFonts w:hint="default" w:ascii="Times New Roman" w:hAnsi="Times New Roman" w:eastAsia="宋体" w:cs="Times New Roman"/>
          <w:color w:val="auto"/>
          <w:kern w:val="2"/>
          <w:sz w:val="24"/>
          <w:szCs w:val="24"/>
          <w:highlight w:val="none"/>
        </w:rPr>
        <w:t>济南市槐荫区环境保护局</w:t>
      </w:r>
      <w:r>
        <w:rPr>
          <w:rFonts w:hint="default" w:ascii="Times New Roman" w:hAnsi="Times New Roman" w:eastAsia="宋体" w:cs="Times New Roman"/>
          <w:color w:val="auto"/>
          <w:szCs w:val="24"/>
          <w:highlight w:val="none"/>
          <w:lang w:eastAsia="zh-CN"/>
        </w:rPr>
        <w:t>（现</w:t>
      </w:r>
      <w:r>
        <w:rPr>
          <w:rFonts w:hint="default" w:ascii="Times New Roman" w:hAnsi="Times New Roman" w:eastAsia="宋体" w:cs="Times New Roman"/>
          <w:color w:val="auto"/>
          <w:sz w:val="24"/>
          <w:szCs w:val="24"/>
          <w:highlight w:val="none"/>
          <w:lang w:val="en-US" w:eastAsia="zh-CN"/>
        </w:rPr>
        <w:t>济南市生态环境局</w:t>
      </w:r>
      <w:r>
        <w:rPr>
          <w:rFonts w:hint="default" w:ascii="Times New Roman" w:hAnsi="Times New Roman" w:eastAsia="宋体" w:cs="Times New Roman"/>
          <w:color w:val="auto"/>
          <w:kern w:val="2"/>
          <w:sz w:val="24"/>
          <w:szCs w:val="24"/>
          <w:highlight w:val="none"/>
        </w:rPr>
        <w:t>槐荫</w:t>
      </w:r>
      <w:r>
        <w:rPr>
          <w:rFonts w:hint="default" w:ascii="Times New Roman" w:hAnsi="Times New Roman" w:eastAsia="宋体" w:cs="Times New Roman"/>
          <w:color w:val="auto"/>
          <w:sz w:val="24"/>
          <w:szCs w:val="24"/>
          <w:highlight w:val="none"/>
          <w:lang w:val="en-US" w:eastAsia="zh-CN"/>
        </w:rPr>
        <w:t>分局</w:t>
      </w:r>
      <w:r>
        <w:rPr>
          <w:rFonts w:hint="default" w:ascii="Times New Roman" w:hAnsi="Times New Roman" w:eastAsia="宋体" w:cs="Times New Roman"/>
          <w:color w:val="auto"/>
          <w:szCs w:val="24"/>
          <w:highlight w:val="none"/>
          <w:lang w:eastAsia="zh-CN"/>
        </w:rPr>
        <w:t>）的审批（</w:t>
      </w:r>
      <w:r>
        <w:rPr>
          <w:rFonts w:hint="default" w:ascii="Times New Roman" w:hAnsi="Times New Roman" w:eastAsia="宋体" w:cs="Times New Roman"/>
          <w:color w:val="auto"/>
          <w:kern w:val="2"/>
          <w:sz w:val="24"/>
          <w:szCs w:val="24"/>
          <w:highlight w:val="none"/>
        </w:rPr>
        <w:t>济槐环建审[201</w:t>
      </w:r>
      <w:r>
        <w:rPr>
          <w:rFonts w:hint="default" w:ascii="Times New Roman" w:hAnsi="Times New Roman" w:eastAsia="宋体" w:cs="Times New Roman"/>
          <w:color w:val="auto"/>
          <w:kern w:val="2"/>
          <w:sz w:val="24"/>
          <w:szCs w:val="24"/>
          <w:highlight w:val="none"/>
          <w:lang w:val="en-US" w:eastAsia="zh-CN"/>
        </w:rPr>
        <w:t>8</w:t>
      </w:r>
      <w:r>
        <w:rPr>
          <w:rFonts w:hint="default" w:ascii="Times New Roman" w:hAnsi="Times New Roman" w:eastAsia="宋体" w:cs="Times New Roman"/>
          <w:color w:val="auto"/>
          <w:kern w:val="2"/>
          <w:sz w:val="24"/>
          <w:szCs w:val="24"/>
          <w:highlight w:val="none"/>
        </w:rPr>
        <w:t>]</w:t>
      </w:r>
      <w:r>
        <w:rPr>
          <w:rFonts w:hint="default" w:ascii="Times New Roman" w:hAnsi="Times New Roman" w:eastAsia="宋体" w:cs="Times New Roman"/>
          <w:color w:val="auto"/>
          <w:kern w:val="2"/>
          <w:sz w:val="24"/>
          <w:szCs w:val="24"/>
          <w:highlight w:val="none"/>
          <w:lang w:val="en-US" w:eastAsia="zh-CN"/>
        </w:rPr>
        <w:t>44</w:t>
      </w:r>
      <w:r>
        <w:rPr>
          <w:rFonts w:hint="default" w:ascii="Times New Roman" w:hAnsi="Times New Roman" w:eastAsia="宋体" w:cs="Times New Roman"/>
          <w:color w:val="auto"/>
          <w:kern w:val="2"/>
          <w:sz w:val="24"/>
          <w:szCs w:val="24"/>
          <w:highlight w:val="none"/>
        </w:rPr>
        <w:t>号</w:t>
      </w:r>
      <w:r>
        <w:rPr>
          <w:rFonts w:hint="default" w:ascii="Times New Roman" w:hAnsi="Times New Roman" w:eastAsia="宋体" w:cs="Times New Roman"/>
          <w:color w:val="auto"/>
          <w:szCs w:val="24"/>
          <w:highlight w:val="none"/>
          <w:lang w:eastAsia="zh-CN"/>
        </w:rPr>
        <w:t>），该项目于</w:t>
      </w:r>
      <w:r>
        <w:rPr>
          <w:rFonts w:hint="default" w:ascii="Times New Roman" w:hAnsi="Times New Roman" w:eastAsia="宋体" w:cs="Times New Roman"/>
          <w:color w:val="auto"/>
          <w:kern w:val="2"/>
          <w:sz w:val="24"/>
          <w:szCs w:val="24"/>
          <w:highlight w:val="none"/>
          <w:lang w:val="en-US" w:eastAsia="zh-CN"/>
        </w:rPr>
        <w:t>2019年6月通过验收（</w:t>
      </w:r>
      <w:r>
        <w:rPr>
          <w:rFonts w:hint="default" w:ascii="Times New Roman" w:hAnsi="Times New Roman" w:eastAsia="宋体" w:cs="Times New Roman"/>
          <w:color w:val="auto"/>
          <w:kern w:val="2"/>
          <w:sz w:val="24"/>
          <w:szCs w:val="24"/>
          <w:highlight w:val="none"/>
        </w:rPr>
        <w:t>济槐环建验[2019]</w:t>
      </w:r>
      <w:r>
        <w:rPr>
          <w:rFonts w:hint="default" w:ascii="Times New Roman" w:hAnsi="Times New Roman" w:eastAsia="宋体" w:cs="Times New Roman"/>
          <w:color w:val="auto"/>
          <w:kern w:val="2"/>
          <w:sz w:val="24"/>
          <w:szCs w:val="24"/>
          <w:highlight w:val="none"/>
          <w:lang w:val="en-US" w:eastAsia="zh-CN"/>
        </w:rPr>
        <w:t>20</w:t>
      </w:r>
      <w:r>
        <w:rPr>
          <w:rFonts w:hint="default" w:ascii="Times New Roman" w:hAnsi="Times New Roman" w:eastAsia="宋体" w:cs="Times New Roman"/>
          <w:color w:val="auto"/>
          <w:kern w:val="2"/>
          <w:sz w:val="24"/>
          <w:szCs w:val="24"/>
          <w:highlight w:val="none"/>
        </w:rPr>
        <w:t>号</w:t>
      </w:r>
      <w:r>
        <w:rPr>
          <w:rFonts w:hint="default" w:ascii="Times New Roman" w:hAnsi="Times New Roman" w:eastAsia="宋体" w:cs="Times New Roman"/>
          <w:color w:val="auto"/>
          <w:kern w:val="2"/>
          <w:sz w:val="24"/>
          <w:szCs w:val="24"/>
          <w:highlight w:val="none"/>
          <w:lang w:val="en-US" w:eastAsia="zh-CN"/>
        </w:rPr>
        <w:t>）</w:t>
      </w:r>
      <w:r>
        <w:rPr>
          <w:rFonts w:hint="eastAsia"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rPr>
        <w:t>中车山东机车车辆有限公司货车涂装生产线改造项目</w:t>
      </w:r>
      <w:r>
        <w:rPr>
          <w:rFonts w:hint="default"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szCs w:val="24"/>
          <w:highlight w:val="none"/>
          <w:lang w:val="en-US" w:eastAsia="zh-CN"/>
        </w:rPr>
        <w:t>于</w:t>
      </w:r>
      <w:r>
        <w:rPr>
          <w:rFonts w:hint="default" w:ascii="Times New Roman" w:hAnsi="Times New Roman" w:eastAsia="宋体" w:cs="Times New Roman"/>
          <w:color w:val="auto"/>
          <w:kern w:val="2"/>
          <w:sz w:val="24"/>
          <w:szCs w:val="24"/>
          <w:highlight w:val="none"/>
          <w:lang w:val="en-US" w:eastAsia="zh-CN"/>
        </w:rPr>
        <w:t>2018年12月</w:t>
      </w:r>
      <w:r>
        <w:rPr>
          <w:rFonts w:hint="default" w:ascii="Times New Roman" w:hAnsi="Times New Roman" w:eastAsia="宋体" w:cs="Times New Roman"/>
          <w:color w:val="auto"/>
          <w:kern w:val="2"/>
          <w:sz w:val="24"/>
          <w:szCs w:val="24"/>
          <w:highlight w:val="none"/>
          <w:lang w:val="en-US"/>
        </w:rPr>
        <w:t>年</w:t>
      </w:r>
      <w:r>
        <w:rPr>
          <w:rFonts w:hint="default" w:ascii="Times New Roman" w:hAnsi="Times New Roman" w:eastAsia="宋体" w:cs="Times New Roman"/>
          <w:color w:val="auto"/>
          <w:szCs w:val="24"/>
          <w:highlight w:val="none"/>
          <w:lang w:eastAsia="zh-CN"/>
        </w:rPr>
        <w:t>取得</w:t>
      </w:r>
      <w:r>
        <w:rPr>
          <w:rFonts w:hint="default" w:ascii="Times New Roman" w:hAnsi="Times New Roman" w:eastAsia="宋体" w:cs="Times New Roman"/>
          <w:color w:val="auto"/>
          <w:kern w:val="2"/>
          <w:sz w:val="24"/>
          <w:szCs w:val="24"/>
          <w:highlight w:val="none"/>
        </w:rPr>
        <w:t>济南市槐荫区环境保护局</w:t>
      </w:r>
      <w:r>
        <w:rPr>
          <w:rFonts w:hint="default" w:ascii="Times New Roman" w:hAnsi="Times New Roman" w:eastAsia="宋体" w:cs="Times New Roman"/>
          <w:color w:val="auto"/>
          <w:szCs w:val="24"/>
          <w:highlight w:val="none"/>
          <w:lang w:eastAsia="zh-CN"/>
        </w:rPr>
        <w:t>（现</w:t>
      </w:r>
      <w:r>
        <w:rPr>
          <w:rFonts w:hint="default" w:ascii="Times New Roman" w:hAnsi="Times New Roman" w:eastAsia="宋体" w:cs="Times New Roman"/>
          <w:color w:val="auto"/>
          <w:sz w:val="24"/>
          <w:szCs w:val="24"/>
          <w:highlight w:val="none"/>
          <w:lang w:val="en-US" w:eastAsia="zh-CN"/>
        </w:rPr>
        <w:t>济南市生态环境局</w:t>
      </w:r>
      <w:r>
        <w:rPr>
          <w:rFonts w:hint="default" w:ascii="Times New Roman" w:hAnsi="Times New Roman" w:eastAsia="宋体" w:cs="Times New Roman"/>
          <w:color w:val="auto"/>
          <w:kern w:val="2"/>
          <w:sz w:val="24"/>
          <w:szCs w:val="24"/>
          <w:highlight w:val="none"/>
        </w:rPr>
        <w:t>槐荫</w:t>
      </w:r>
      <w:r>
        <w:rPr>
          <w:rFonts w:hint="default" w:ascii="Times New Roman" w:hAnsi="Times New Roman" w:eastAsia="宋体" w:cs="Times New Roman"/>
          <w:color w:val="auto"/>
          <w:sz w:val="24"/>
          <w:szCs w:val="24"/>
          <w:highlight w:val="none"/>
          <w:lang w:val="en-US" w:eastAsia="zh-CN"/>
        </w:rPr>
        <w:t>分局</w:t>
      </w:r>
      <w:r>
        <w:rPr>
          <w:rFonts w:hint="default" w:ascii="Times New Roman" w:hAnsi="Times New Roman" w:eastAsia="宋体" w:cs="Times New Roman"/>
          <w:color w:val="auto"/>
          <w:szCs w:val="24"/>
          <w:highlight w:val="none"/>
          <w:lang w:eastAsia="zh-CN"/>
        </w:rPr>
        <w:t>）的审批（</w:t>
      </w:r>
      <w:r>
        <w:rPr>
          <w:rFonts w:hint="default" w:ascii="Times New Roman" w:hAnsi="Times New Roman" w:eastAsia="宋体" w:cs="Times New Roman"/>
          <w:color w:val="auto"/>
          <w:kern w:val="2"/>
          <w:sz w:val="24"/>
          <w:szCs w:val="24"/>
          <w:highlight w:val="none"/>
          <w:lang w:eastAsia="zh-CN"/>
        </w:rPr>
        <w:t>济槐环字[2018]39号</w:t>
      </w:r>
      <w:r>
        <w:rPr>
          <w:rFonts w:hint="default" w:ascii="Times New Roman" w:hAnsi="Times New Roman" w:eastAsia="宋体" w:cs="Times New Roman"/>
          <w:color w:val="auto"/>
          <w:szCs w:val="24"/>
          <w:highlight w:val="none"/>
          <w:lang w:eastAsia="zh-CN"/>
        </w:rPr>
        <w:t>），该项目于</w:t>
      </w:r>
      <w:r>
        <w:rPr>
          <w:rFonts w:hint="default" w:ascii="Times New Roman" w:hAnsi="Times New Roman" w:eastAsia="宋体" w:cs="Times New Roman"/>
          <w:color w:val="auto"/>
          <w:kern w:val="2"/>
          <w:sz w:val="24"/>
          <w:szCs w:val="24"/>
          <w:highlight w:val="none"/>
          <w:lang w:val="en-US" w:eastAsia="zh-CN"/>
        </w:rPr>
        <w:t>2019年6月通过验收（</w:t>
      </w:r>
      <w:r>
        <w:rPr>
          <w:rFonts w:hint="default" w:ascii="Times New Roman" w:hAnsi="Times New Roman" w:eastAsia="宋体" w:cs="Times New Roman"/>
          <w:color w:val="auto"/>
          <w:kern w:val="2"/>
          <w:sz w:val="24"/>
          <w:szCs w:val="24"/>
          <w:highlight w:val="none"/>
        </w:rPr>
        <w:t>济槐环建验[2019]19号</w:t>
      </w:r>
      <w:r>
        <w:rPr>
          <w:rFonts w:hint="default" w:ascii="Times New Roman" w:hAnsi="Times New Roman" w:eastAsia="宋体" w:cs="Times New Roman"/>
          <w:color w:val="auto"/>
          <w:kern w:val="2"/>
          <w:sz w:val="24"/>
          <w:szCs w:val="24"/>
          <w:highlight w:val="none"/>
          <w:lang w:val="en-US" w:eastAsia="zh-CN"/>
        </w:rPr>
        <w:t>）</w:t>
      </w:r>
      <w:r>
        <w:rPr>
          <w:rFonts w:hint="eastAsia" w:cs="Times New Roman"/>
          <w:color w:val="auto"/>
          <w:kern w:val="2"/>
          <w:sz w:val="24"/>
          <w:szCs w:val="24"/>
          <w:highlight w:val="none"/>
          <w:lang w:val="en-US" w:eastAsia="zh-CN"/>
        </w:rPr>
        <w:t>；</w:t>
      </w:r>
      <w:r>
        <w:rPr>
          <w:rFonts w:hint="eastAsia" w:ascii="Times New Roman" w:hAnsi="Times New Roman" w:eastAsia="宋体" w:cs="Times New Roman"/>
          <w:color w:val="auto"/>
          <w:kern w:val="2"/>
          <w:sz w:val="24"/>
          <w:szCs w:val="24"/>
          <w:highlight w:val="none"/>
          <w:lang w:val="en-US" w:eastAsia="zh-CN"/>
        </w:rPr>
        <w:t>《中车山东机车车辆有限公司焊接保护气体集中化供气项目》于2022年3月21日</w:t>
      </w:r>
      <w:r>
        <w:rPr>
          <w:rFonts w:hint="default" w:ascii="Times New Roman" w:hAnsi="Times New Roman" w:eastAsia="宋体" w:cs="Times New Roman"/>
          <w:color w:val="auto"/>
          <w:szCs w:val="24"/>
          <w:highlight w:val="none"/>
          <w:lang w:eastAsia="zh-CN"/>
        </w:rPr>
        <w:t>取得</w:t>
      </w:r>
      <w:r>
        <w:rPr>
          <w:rFonts w:hint="default" w:ascii="Times New Roman" w:hAnsi="Times New Roman" w:eastAsia="宋体" w:cs="Times New Roman"/>
          <w:color w:val="auto"/>
          <w:sz w:val="24"/>
          <w:szCs w:val="24"/>
          <w:highlight w:val="none"/>
          <w:lang w:val="en-US" w:eastAsia="zh-CN"/>
        </w:rPr>
        <w:t>济南市生态环境局</w:t>
      </w:r>
      <w:r>
        <w:rPr>
          <w:rFonts w:hint="default" w:ascii="Times New Roman" w:hAnsi="Times New Roman" w:eastAsia="宋体" w:cs="Times New Roman"/>
          <w:color w:val="auto"/>
          <w:kern w:val="2"/>
          <w:sz w:val="24"/>
          <w:szCs w:val="24"/>
          <w:highlight w:val="none"/>
        </w:rPr>
        <w:t>槐荫</w:t>
      </w:r>
      <w:r>
        <w:rPr>
          <w:rFonts w:hint="default" w:ascii="Times New Roman" w:hAnsi="Times New Roman" w:eastAsia="宋体" w:cs="Times New Roman"/>
          <w:color w:val="auto"/>
          <w:sz w:val="24"/>
          <w:szCs w:val="24"/>
          <w:highlight w:val="none"/>
          <w:lang w:val="en-US" w:eastAsia="zh-CN"/>
        </w:rPr>
        <w:t>分局</w:t>
      </w:r>
      <w:r>
        <w:rPr>
          <w:rFonts w:hint="eastAsia" w:ascii="Times New Roman" w:hAnsi="Times New Roman" w:eastAsia="宋体" w:cs="Times New Roman"/>
          <w:color w:val="auto"/>
          <w:sz w:val="24"/>
          <w:szCs w:val="24"/>
          <w:highlight w:val="none"/>
          <w:lang w:val="en-US" w:eastAsia="zh-CN"/>
        </w:rPr>
        <w:t>的审批（济槐环建审</w:t>
      </w:r>
      <w:r>
        <w:rPr>
          <w:rFonts w:hint="default" w:ascii="Times New Roman" w:hAnsi="Times New Roman" w:eastAsia="宋体" w:cs="Times New Roman"/>
          <w:color w:val="auto"/>
          <w:kern w:val="2"/>
          <w:sz w:val="24"/>
          <w:szCs w:val="24"/>
          <w:highlight w:val="none"/>
        </w:rPr>
        <w:t>[20</w:t>
      </w:r>
      <w:r>
        <w:rPr>
          <w:rFonts w:hint="eastAsia" w:ascii="Times New Roman" w:hAnsi="Times New Roman" w:eastAsia="宋体" w:cs="Times New Roman"/>
          <w:color w:val="auto"/>
          <w:kern w:val="2"/>
          <w:sz w:val="24"/>
          <w:szCs w:val="24"/>
          <w:highlight w:val="none"/>
          <w:lang w:val="en-US" w:eastAsia="zh-CN"/>
        </w:rPr>
        <w:t>22</w:t>
      </w:r>
      <w:r>
        <w:rPr>
          <w:rFonts w:hint="default" w:ascii="Times New Roman" w:hAnsi="Times New Roman" w:eastAsia="宋体" w:cs="Times New Roman"/>
          <w:color w:val="auto"/>
          <w:kern w:val="2"/>
          <w:sz w:val="24"/>
          <w:szCs w:val="24"/>
          <w:highlight w:val="none"/>
        </w:rPr>
        <w:t>]</w:t>
      </w:r>
      <w:r>
        <w:rPr>
          <w:rFonts w:hint="eastAsia" w:ascii="Times New Roman" w:hAnsi="Times New Roman" w:eastAsia="宋体" w:cs="Times New Roman"/>
          <w:color w:val="auto"/>
          <w:sz w:val="24"/>
          <w:szCs w:val="24"/>
          <w:highlight w:val="none"/>
          <w:lang w:val="en-US" w:eastAsia="zh-CN"/>
        </w:rPr>
        <w:t>4号）。</w:t>
      </w:r>
    </w:p>
    <w:p>
      <w:pPr>
        <w:ind w:firstLine="480"/>
        <w:rPr>
          <w:color w:val="auto"/>
          <w:highlight w:val="none"/>
        </w:rPr>
      </w:pPr>
      <w:r>
        <w:rPr>
          <w:rFonts w:hint="eastAsia"/>
          <w:color w:val="auto"/>
          <w:highlight w:val="none"/>
          <w:lang w:eastAsia="zh-CN"/>
        </w:rPr>
        <w:t>中车山东机车车辆有限公司2020年11月</w:t>
      </w:r>
      <w:r>
        <w:rPr>
          <w:color w:val="auto"/>
          <w:highlight w:val="none"/>
        </w:rPr>
        <w:t>委托</w:t>
      </w:r>
      <w:r>
        <w:rPr>
          <w:rFonts w:hint="eastAsia"/>
          <w:color w:val="auto"/>
          <w:highlight w:val="none"/>
          <w:lang w:eastAsia="zh-CN"/>
        </w:rPr>
        <w:t>山东国环环保科技有限公司</w:t>
      </w:r>
      <w:r>
        <w:rPr>
          <w:color w:val="auto"/>
          <w:kern w:val="21"/>
          <w:highlight w:val="none"/>
        </w:rPr>
        <w:t>编制完成了</w:t>
      </w:r>
      <w:r>
        <w:rPr>
          <w:color w:val="auto"/>
          <w:highlight w:val="none"/>
        </w:rPr>
        <w:t>《</w:t>
      </w:r>
      <w:r>
        <w:rPr>
          <w:rFonts w:hint="eastAsia"/>
          <w:color w:val="auto"/>
          <w:highlight w:val="none"/>
          <w:lang w:eastAsia="zh-CN"/>
        </w:rPr>
        <w:t>中车山东机车车辆有限公司原钢构喷漆房改造为打砂房项目</w:t>
      </w:r>
      <w:r>
        <w:rPr>
          <w:color w:val="auto"/>
          <w:highlight w:val="none"/>
        </w:rPr>
        <w:t>环境影响报告表》，并于</w:t>
      </w:r>
      <w:r>
        <w:rPr>
          <w:rFonts w:hint="eastAsia"/>
          <w:color w:val="auto"/>
          <w:highlight w:val="none"/>
          <w:lang w:eastAsia="zh-CN"/>
        </w:rPr>
        <w:t>2020年11月</w:t>
      </w:r>
      <w:r>
        <w:rPr>
          <w:rFonts w:hint="eastAsia"/>
          <w:color w:val="auto"/>
          <w:highlight w:val="none"/>
        </w:rPr>
        <w:t>26日</w:t>
      </w:r>
      <w:r>
        <w:rPr>
          <w:color w:val="auto"/>
          <w:highlight w:val="none"/>
        </w:rPr>
        <w:t>经</w:t>
      </w:r>
      <w:r>
        <w:rPr>
          <w:rFonts w:hint="eastAsia"/>
          <w:color w:val="auto"/>
          <w:highlight w:val="none"/>
          <w:lang w:eastAsia="zh-CN"/>
        </w:rPr>
        <w:t>济南市生态环境局槐荫分局</w:t>
      </w:r>
      <w:r>
        <w:rPr>
          <w:color w:val="auto"/>
          <w:highlight w:val="none"/>
        </w:rPr>
        <w:t>审批（</w:t>
      </w:r>
      <w:r>
        <w:rPr>
          <w:rFonts w:hint="eastAsia"/>
          <w:color w:val="auto"/>
          <w:highlight w:val="none"/>
          <w:lang w:eastAsia="zh-CN"/>
        </w:rPr>
        <w:t>济槐环建审[2020]45号</w:t>
      </w:r>
      <w:r>
        <w:rPr>
          <w:color w:val="auto"/>
          <w:highlight w:val="none"/>
        </w:rPr>
        <w:t>）。</w:t>
      </w:r>
    </w:p>
    <w:p>
      <w:pPr>
        <w:pStyle w:val="2"/>
        <w:rPr>
          <w:rFonts w:cs="Times New Roman"/>
          <w:color w:val="auto"/>
          <w:spacing w:val="8"/>
          <w:highlight w:val="none"/>
        </w:rPr>
      </w:pPr>
      <w:r>
        <w:rPr>
          <w:rFonts w:hint="eastAsia" w:cs="Times New Roman"/>
          <w:color w:val="auto"/>
          <w:kern w:val="21"/>
          <w:szCs w:val="24"/>
          <w:highlight w:val="none"/>
          <w:lang w:eastAsia="zh-CN"/>
        </w:rPr>
        <w:t>中车山东机车车辆有限公司原钢构喷漆房改造为打砂房项目</w:t>
      </w:r>
      <w:r>
        <w:rPr>
          <w:rFonts w:hint="eastAsia" w:cs="Times New Roman"/>
          <w:color w:val="auto"/>
          <w:kern w:val="21"/>
          <w:szCs w:val="24"/>
          <w:highlight w:val="none"/>
        </w:rPr>
        <w:t>（以下简称“项目”）</w:t>
      </w:r>
      <w:r>
        <w:rPr>
          <w:rFonts w:cs="Times New Roman"/>
          <w:color w:val="auto"/>
          <w:szCs w:val="24"/>
          <w:highlight w:val="none"/>
        </w:rPr>
        <w:t>行业类别及代码为</w:t>
      </w:r>
      <w:r>
        <w:rPr>
          <w:rFonts w:hint="eastAsia" w:cs="Times New Roman"/>
          <w:color w:val="auto"/>
          <w:szCs w:val="24"/>
          <w:highlight w:val="none"/>
        </w:rPr>
        <w:t>C3712铁路机车车辆制造</w:t>
      </w:r>
      <w:r>
        <w:rPr>
          <w:rFonts w:cs="Times New Roman"/>
          <w:color w:val="auto"/>
          <w:szCs w:val="24"/>
          <w:highlight w:val="none"/>
        </w:rPr>
        <w:t>。</w:t>
      </w:r>
      <w:r>
        <w:rPr>
          <w:rFonts w:hint="eastAsia" w:cs="Times New Roman"/>
          <w:color w:val="auto"/>
          <w:szCs w:val="24"/>
          <w:highlight w:val="none"/>
        </w:rPr>
        <w:t>公司为了满足车体交检后局部返修打砂的需要，</w:t>
      </w:r>
      <w:r>
        <w:rPr>
          <w:rFonts w:hint="default" w:ascii="Times New Roman" w:hAnsi="Times New Roman" w:eastAsia="宋体" w:cs="Times New Roman"/>
          <w:sz w:val="24"/>
          <w:szCs w:val="24"/>
          <w:lang w:eastAsia="zh-CN"/>
        </w:rPr>
        <w:t>将厂区内东北</w:t>
      </w:r>
      <w:r>
        <w:rPr>
          <w:rFonts w:hint="eastAsia" w:ascii="Times New Roman" w:hAnsi="Times New Roman" w:eastAsia="宋体" w:cs="Times New Roman"/>
          <w:sz w:val="24"/>
          <w:szCs w:val="24"/>
          <w:lang w:eastAsia="zh-CN"/>
        </w:rPr>
        <w:t>侧</w:t>
      </w:r>
      <w:r>
        <w:rPr>
          <w:rFonts w:hint="default" w:ascii="Times New Roman" w:hAnsi="Times New Roman" w:eastAsia="宋体" w:cs="Times New Roman"/>
          <w:sz w:val="24"/>
          <w:szCs w:val="24"/>
          <w:lang w:eastAsia="zh-CN"/>
        </w:rPr>
        <w:t>闲置的喷漆室进行简单隔断</w:t>
      </w:r>
      <w:r>
        <w:rPr>
          <w:rFonts w:hint="eastAsia" w:ascii="Times New Roman" w:hAnsi="Times New Roman" w:eastAsia="宋体" w:cs="Times New Roman"/>
          <w:sz w:val="24"/>
          <w:szCs w:val="24"/>
          <w:lang w:eastAsia="zh-CN"/>
        </w:rPr>
        <w:t>改造</w:t>
      </w:r>
      <w:r>
        <w:rPr>
          <w:rFonts w:hint="default" w:ascii="Times New Roman" w:hAnsi="Times New Roman" w:eastAsia="宋体" w:cs="Times New Roman"/>
          <w:sz w:val="24"/>
          <w:szCs w:val="24"/>
          <w:lang w:eastAsia="zh-CN"/>
        </w:rPr>
        <w:t>成打砂</w:t>
      </w:r>
      <w:r>
        <w:rPr>
          <w:rFonts w:hint="eastAsia" w:ascii="Times New Roman" w:hAnsi="Times New Roman" w:eastAsia="宋体" w:cs="Times New Roman"/>
          <w:sz w:val="24"/>
          <w:szCs w:val="24"/>
          <w:lang w:eastAsia="zh-CN"/>
        </w:rPr>
        <w:t>房</w:t>
      </w:r>
      <w:r>
        <w:rPr>
          <w:rFonts w:hint="eastAsia" w:cs="Times New Roman"/>
          <w:color w:val="auto"/>
          <w:szCs w:val="24"/>
          <w:highlight w:val="none"/>
        </w:rPr>
        <w:t>，并配套建设打砂房的除尘系统和部分打砂设施、回砂系统</w:t>
      </w:r>
      <w:r>
        <w:rPr>
          <w:rFonts w:hint="eastAsia" w:cs="Times New Roman"/>
          <w:color w:val="auto"/>
          <w:szCs w:val="24"/>
          <w:highlight w:val="none"/>
          <w:lang w:eastAsia="zh-CN"/>
        </w:rPr>
        <w:t>。项目总投资</w:t>
      </w:r>
      <w:r>
        <w:rPr>
          <w:rFonts w:hint="eastAsia" w:cs="Times New Roman"/>
          <w:color w:val="auto"/>
          <w:szCs w:val="24"/>
          <w:highlight w:val="none"/>
          <w:lang w:val="en-US" w:eastAsia="zh-CN"/>
        </w:rPr>
        <w:t>84万元，</w:t>
      </w:r>
      <w:r>
        <w:rPr>
          <w:rFonts w:cs="Times New Roman"/>
          <w:color w:val="auto"/>
          <w:szCs w:val="24"/>
          <w:highlight w:val="none"/>
        </w:rPr>
        <w:t>其中环保投资</w:t>
      </w:r>
      <w:r>
        <w:rPr>
          <w:rFonts w:hint="eastAsia" w:cs="Times New Roman"/>
          <w:color w:val="auto"/>
          <w:szCs w:val="24"/>
          <w:highlight w:val="none"/>
          <w:lang w:val="en-US" w:eastAsia="zh-CN"/>
        </w:rPr>
        <w:t>45</w:t>
      </w:r>
      <w:r>
        <w:rPr>
          <w:rFonts w:cs="Times New Roman"/>
          <w:color w:val="auto"/>
          <w:szCs w:val="24"/>
          <w:highlight w:val="none"/>
        </w:rPr>
        <w:t>万元，</w:t>
      </w:r>
      <w:r>
        <w:rPr>
          <w:rFonts w:hint="eastAsia" w:cs="Times New Roman"/>
          <w:color w:val="auto"/>
          <w:szCs w:val="24"/>
          <w:highlight w:val="none"/>
        </w:rPr>
        <w:t>不新增占地（原喷漆房占地面积217.5</w:t>
      </w:r>
      <w:r>
        <w:rPr>
          <w:rFonts w:hint="eastAsia" w:cs="Times New Roman"/>
          <w:color w:val="auto"/>
          <w:szCs w:val="24"/>
          <w:highlight w:val="none"/>
          <w:lang w:eastAsia="zh-CN"/>
        </w:rPr>
        <w:t>㎡）</w:t>
      </w:r>
      <w:r>
        <w:rPr>
          <w:rFonts w:hint="eastAsia" w:cs="Times New Roman"/>
          <w:color w:val="auto"/>
          <w:szCs w:val="24"/>
          <w:highlight w:val="none"/>
        </w:rPr>
        <w:t>。项目不新增产能，仅对返修货车底架进行局部打砂处理</w:t>
      </w:r>
      <w:r>
        <w:rPr>
          <w:rFonts w:hint="eastAsia" w:cs="Times New Roman"/>
          <w:color w:val="auto"/>
          <w:szCs w:val="24"/>
          <w:highlight w:val="none"/>
          <w:lang w:eastAsia="zh-CN"/>
        </w:rPr>
        <w:t>，年</w:t>
      </w:r>
      <w:r>
        <w:rPr>
          <w:rFonts w:hint="default" w:ascii="Times New Roman" w:hAnsi="Times New Roman" w:eastAsia="宋体" w:cs="Times New Roman"/>
          <w:sz w:val="24"/>
          <w:szCs w:val="24"/>
          <w:highlight w:val="none"/>
          <w:lang w:eastAsia="zh-CN"/>
        </w:rPr>
        <w:t>返修打砂底架</w:t>
      </w:r>
      <w:r>
        <w:rPr>
          <w:rFonts w:hint="default" w:ascii="Times New Roman" w:hAnsi="Times New Roman" w:eastAsia="宋体" w:cs="Times New Roman"/>
          <w:sz w:val="24"/>
          <w:szCs w:val="24"/>
          <w:highlight w:val="none"/>
          <w:lang w:val="en-US" w:eastAsia="zh-CN"/>
        </w:rPr>
        <w:t>780个</w:t>
      </w:r>
      <w:r>
        <w:rPr>
          <w:rFonts w:cs="Times New Roman"/>
          <w:color w:val="auto"/>
          <w:szCs w:val="24"/>
          <w:highlight w:val="none"/>
        </w:rPr>
        <w:t>。</w:t>
      </w:r>
      <w:r>
        <w:rPr>
          <w:rFonts w:hint="eastAsia" w:cs="Times New Roman"/>
          <w:color w:val="auto"/>
          <w:szCs w:val="24"/>
          <w:highlight w:val="none"/>
        </w:rPr>
        <w:t>项目员工进行内部调剂，从现有打砂房调配2名作业人员，不新增员工</w:t>
      </w:r>
      <w:r>
        <w:rPr>
          <w:rFonts w:cs="Times New Roman"/>
          <w:color w:val="auto"/>
          <w:szCs w:val="24"/>
          <w:highlight w:val="none"/>
        </w:rPr>
        <w:t>，实行单班白班制，每天工作8小时，年工作</w:t>
      </w:r>
      <w:r>
        <w:rPr>
          <w:rFonts w:hint="eastAsia" w:cs="Times New Roman"/>
          <w:color w:val="auto"/>
          <w:szCs w:val="24"/>
          <w:highlight w:val="none"/>
          <w:lang w:val="en-US" w:eastAsia="zh-CN"/>
        </w:rPr>
        <w:t>260</w:t>
      </w:r>
      <w:r>
        <w:rPr>
          <w:rFonts w:cs="Times New Roman"/>
          <w:color w:val="auto"/>
          <w:szCs w:val="24"/>
          <w:highlight w:val="none"/>
        </w:rPr>
        <w:t>天</w:t>
      </w:r>
      <w:r>
        <w:rPr>
          <w:rFonts w:hint="eastAsia" w:cs="Times New Roman"/>
          <w:color w:val="auto"/>
          <w:szCs w:val="24"/>
          <w:highlight w:val="none"/>
        </w:rPr>
        <w:t>，夜间不运行</w:t>
      </w:r>
      <w:r>
        <w:rPr>
          <w:rFonts w:cs="Times New Roman"/>
          <w:color w:val="auto"/>
          <w:szCs w:val="24"/>
          <w:highlight w:val="none"/>
        </w:rPr>
        <w:t>。</w:t>
      </w:r>
    </w:p>
    <w:p>
      <w:pPr>
        <w:ind w:firstLine="480"/>
        <w:rPr>
          <w:color w:val="auto"/>
          <w:highlight w:val="none"/>
        </w:rPr>
      </w:pPr>
      <w:r>
        <w:rPr>
          <w:rFonts w:hint="eastAsia"/>
          <w:color w:val="auto"/>
          <w:highlight w:val="none"/>
          <w:lang w:eastAsia="zh-CN"/>
        </w:rPr>
        <w:t>本项目于2021年4月开工建设，2021年7月建成，2022年10月进行调试</w:t>
      </w:r>
      <w:r>
        <w:rPr>
          <w:color w:val="auto"/>
          <w:kern w:val="0"/>
          <w:highlight w:val="none"/>
        </w:rPr>
        <w:t>，</w:t>
      </w:r>
      <w:r>
        <w:rPr>
          <w:rFonts w:hint="eastAsia"/>
          <w:color w:val="auto"/>
          <w:kern w:val="0"/>
          <w:highlight w:val="none"/>
          <w:lang w:eastAsia="zh-CN"/>
        </w:rPr>
        <w:t>环保设施同时设计、同时施工并同时进行调试，调试期间运行状况良好</w:t>
      </w:r>
      <w:r>
        <w:rPr>
          <w:rFonts w:hint="eastAsia"/>
          <w:color w:val="auto"/>
          <w:kern w:val="0"/>
          <w:highlight w:val="none"/>
        </w:rPr>
        <w:t>，具备竣工验收条件。</w:t>
      </w:r>
    </w:p>
    <w:p>
      <w:pPr>
        <w:ind w:firstLine="480"/>
        <w:rPr>
          <w:color w:val="auto"/>
          <w:highlight w:val="none"/>
        </w:rPr>
      </w:pPr>
      <w:r>
        <w:rPr>
          <w:color w:val="auto"/>
          <w:kern w:val="21"/>
          <w:highlight w:val="none"/>
        </w:rPr>
        <w:t>本次验收内容为</w:t>
      </w:r>
      <w:r>
        <w:rPr>
          <w:rFonts w:hint="eastAsia"/>
          <w:color w:val="auto"/>
          <w:kern w:val="21"/>
          <w:highlight w:val="none"/>
          <w:lang w:eastAsia="zh-CN"/>
        </w:rPr>
        <w:t>中车山东机车车辆有限公司原钢构喷漆房改造为打砂房项目</w:t>
      </w:r>
      <w:r>
        <w:rPr>
          <w:color w:val="auto"/>
          <w:kern w:val="21"/>
          <w:highlight w:val="none"/>
        </w:rPr>
        <w:t>建成后的全部内容。</w:t>
      </w:r>
    </w:p>
    <w:p>
      <w:pPr>
        <w:ind w:firstLine="480"/>
        <w:rPr>
          <w:rFonts w:hint="eastAsia"/>
          <w:color w:val="auto"/>
          <w:kern w:val="21"/>
          <w:highlight w:val="none"/>
        </w:rPr>
      </w:pPr>
      <w:r>
        <w:rPr>
          <w:color w:val="auto"/>
          <w:kern w:val="0"/>
          <w:highlight w:val="none"/>
        </w:rPr>
        <w:t>根据</w:t>
      </w:r>
      <w:r>
        <w:rPr>
          <w:color w:val="auto"/>
          <w:highlight w:val="none"/>
        </w:rPr>
        <w:t>生态环境部＜关于发布《建设项目竣工环境保护验收技术指南 污染影响类》的公告＞（公告2018年 第9号）及《建设项目竣工环境保护验收暂行办法》（国环规环评[2017] 4号）</w:t>
      </w:r>
      <w:r>
        <w:rPr>
          <w:color w:val="auto"/>
          <w:kern w:val="0"/>
          <w:highlight w:val="none"/>
        </w:rPr>
        <w:t>要求，需对</w:t>
      </w:r>
      <w:r>
        <w:rPr>
          <w:rFonts w:hint="eastAsia"/>
          <w:color w:val="auto"/>
          <w:highlight w:val="none"/>
          <w:lang w:eastAsia="zh-CN"/>
        </w:rPr>
        <w:t>中车山东机车车辆有限公司原钢构喷漆房改造为打砂房项目</w:t>
      </w:r>
      <w:r>
        <w:rPr>
          <w:color w:val="auto"/>
          <w:kern w:val="0"/>
          <w:highlight w:val="none"/>
        </w:rPr>
        <w:t>进行竣工环境保护验收。</w:t>
      </w:r>
      <w:r>
        <w:rPr>
          <w:rFonts w:hint="eastAsia"/>
          <w:color w:val="auto"/>
          <w:kern w:val="0"/>
          <w:highlight w:val="none"/>
        </w:rPr>
        <w:t>因不具备检测能力，</w:t>
      </w:r>
      <w:r>
        <w:rPr>
          <w:rFonts w:hint="eastAsia"/>
          <w:color w:val="auto"/>
          <w:highlight w:val="none"/>
          <w:lang w:eastAsia="zh-CN"/>
        </w:rPr>
        <w:t>中车山东机车车辆有限公司</w:t>
      </w:r>
      <w:r>
        <w:rPr>
          <w:rFonts w:hint="eastAsia" w:cs="Times New Roman"/>
          <w:sz w:val="24"/>
          <w:szCs w:val="24"/>
          <w:lang w:eastAsia="zh-CN"/>
        </w:rPr>
        <w:t>委托</w:t>
      </w:r>
      <w:r>
        <w:rPr>
          <w:rFonts w:hint="default" w:cs="Times New Roman"/>
          <w:color w:val="000000"/>
          <w:spacing w:val="0"/>
          <w:kern w:val="0"/>
          <w:sz w:val="24"/>
          <w:lang w:eastAsia="zh-CN"/>
        </w:rPr>
        <w:t>山东华晟环境检测有限公司</w:t>
      </w:r>
      <w:r>
        <w:rPr>
          <w:rFonts w:hint="eastAsia" w:cs="Times New Roman"/>
          <w:color w:val="000000"/>
          <w:spacing w:val="0"/>
          <w:kern w:val="0"/>
          <w:sz w:val="24"/>
          <w:lang w:eastAsia="zh-CN"/>
        </w:rPr>
        <w:t>于</w:t>
      </w:r>
      <w:r>
        <w:rPr>
          <w:rFonts w:hint="eastAsia"/>
          <w:color w:val="auto"/>
          <w:kern w:val="0"/>
          <w:highlight w:val="none"/>
          <w:lang w:eastAsia="zh-CN"/>
        </w:rPr>
        <w:t>2023年9月5日~2023年9月6日</w:t>
      </w:r>
      <w:r>
        <w:rPr>
          <w:rFonts w:hint="eastAsia"/>
          <w:color w:val="auto"/>
          <w:kern w:val="0"/>
          <w:highlight w:val="none"/>
        </w:rPr>
        <w:t>，</w:t>
      </w:r>
      <w:r>
        <w:rPr>
          <w:color w:val="auto"/>
          <w:kern w:val="0"/>
          <w:highlight w:val="none"/>
        </w:rPr>
        <w:t>对本项目</w:t>
      </w:r>
      <w:r>
        <w:rPr>
          <w:rFonts w:hint="eastAsia"/>
          <w:color w:val="auto"/>
          <w:kern w:val="0"/>
          <w:highlight w:val="none"/>
        </w:rPr>
        <w:t>废气、噪声</w:t>
      </w:r>
      <w:r>
        <w:rPr>
          <w:color w:val="auto"/>
          <w:kern w:val="0"/>
          <w:highlight w:val="none"/>
        </w:rPr>
        <w:t>进行了</w:t>
      </w:r>
      <w:r>
        <w:rPr>
          <w:rFonts w:hint="eastAsia"/>
          <w:color w:val="auto"/>
          <w:kern w:val="0"/>
          <w:highlight w:val="none"/>
        </w:rPr>
        <w:t>竣工</w:t>
      </w:r>
      <w:r>
        <w:rPr>
          <w:color w:val="auto"/>
          <w:kern w:val="0"/>
          <w:highlight w:val="none"/>
        </w:rPr>
        <w:t>验收监测</w:t>
      </w:r>
      <w:r>
        <w:rPr>
          <w:rFonts w:hint="eastAsia"/>
          <w:color w:val="auto"/>
          <w:kern w:val="0"/>
          <w:highlight w:val="none"/>
        </w:rPr>
        <w:t>并出具检测报告</w:t>
      </w:r>
      <w:r>
        <w:rPr>
          <w:bCs/>
          <w:caps/>
          <w:color w:val="auto"/>
          <w:kern w:val="0"/>
          <w:highlight w:val="none"/>
        </w:rPr>
        <w:t>。</w:t>
      </w:r>
      <w:r>
        <w:rPr>
          <w:rFonts w:hint="eastAsia"/>
          <w:bCs/>
          <w:caps/>
          <w:color w:val="auto"/>
          <w:kern w:val="0"/>
          <w:highlight w:val="none"/>
        </w:rPr>
        <w:t>根据项目情况及检测报告，</w:t>
      </w:r>
      <w:r>
        <w:rPr>
          <w:rFonts w:hint="eastAsia"/>
          <w:color w:val="auto"/>
          <w:kern w:val="21"/>
          <w:highlight w:val="none"/>
          <w:lang w:eastAsia="zh-CN"/>
        </w:rPr>
        <w:t>中车山东机车车辆有限公司</w:t>
      </w:r>
      <w:r>
        <w:rPr>
          <w:rFonts w:hint="eastAsia"/>
          <w:color w:val="auto"/>
          <w:kern w:val="21"/>
          <w:highlight w:val="none"/>
        </w:rPr>
        <w:t>于</w:t>
      </w:r>
      <w:r>
        <w:rPr>
          <w:rFonts w:hint="eastAsia"/>
          <w:color w:val="auto"/>
          <w:kern w:val="21"/>
          <w:highlight w:val="none"/>
          <w:lang w:eastAsia="zh-CN"/>
        </w:rPr>
        <w:t>2023年9月主导编制完成</w:t>
      </w:r>
      <w:r>
        <w:rPr>
          <w:rFonts w:hint="eastAsia"/>
          <w:color w:val="auto"/>
          <w:kern w:val="21"/>
          <w:highlight w:val="none"/>
        </w:rPr>
        <w:t>了《</w:t>
      </w:r>
      <w:r>
        <w:rPr>
          <w:rFonts w:hint="eastAsia"/>
          <w:color w:val="auto"/>
          <w:highlight w:val="none"/>
          <w:lang w:eastAsia="zh-CN"/>
        </w:rPr>
        <w:t>中车山东机车车辆有限公司原钢构喷漆房改造为打砂房项目</w:t>
      </w:r>
      <w:r>
        <w:rPr>
          <w:rFonts w:hint="eastAsia"/>
          <w:color w:val="auto"/>
          <w:highlight w:val="none"/>
        </w:rPr>
        <w:t>竣工环境保护验收监测报告表</w:t>
      </w:r>
      <w:r>
        <w:rPr>
          <w:rFonts w:hint="eastAsia"/>
          <w:color w:val="auto"/>
          <w:kern w:val="21"/>
          <w:highlight w:val="none"/>
        </w:rPr>
        <w:t>》。</w:t>
      </w:r>
    </w:p>
    <w:p>
      <w:pPr>
        <w:pStyle w:val="2"/>
        <w:spacing w:line="360" w:lineRule="auto"/>
        <w:ind w:firstLine="480" w:firstLineChars="200"/>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color w:val="auto"/>
          <w:sz w:val="24"/>
          <w:szCs w:val="24"/>
          <w:lang w:val="en-US" w:eastAsia="zh-CN"/>
        </w:rPr>
        <w:t>2023年9月12日，中车山东机车车辆有限公司在济南市槐荫区组织了项目竣工环境保护验收会</w:t>
      </w:r>
      <w:r>
        <w:rPr>
          <w:rFonts w:hint="eastAsia" w:ascii="Times New Roman" w:hAnsi="Times New Roman" w:eastAsia="宋体" w:cs="Times New Roman"/>
          <w:sz w:val="24"/>
          <w:szCs w:val="24"/>
          <w:lang w:val="en-US" w:eastAsia="zh-CN"/>
        </w:rPr>
        <w:t>。验收组由建设单位/验收监测报告编制单位中车山东机车车辆有限公司、检测单位山东华晟环境检测有限公司等单位的代表和专业技术专家组成，对中车山东机车车辆有限公司原钢构喷漆房改造为打砂房项目开展环保验收工作，</w:t>
      </w:r>
      <w:r>
        <w:rPr>
          <w:rFonts w:hint="eastAsia" w:ascii="Times New Roman" w:hAnsi="Times New Roman" w:eastAsia="宋体" w:cs="Times New Roman"/>
          <w:color w:val="auto"/>
          <w:sz w:val="24"/>
          <w:szCs w:val="24"/>
          <w:lang w:val="en-US" w:eastAsia="zh-CN"/>
        </w:rPr>
        <w:t>验收工作组对现场进行了检查，听取了竣工环保验收监测报告编制单位的工作成果汇报，并进行了技术质询及评议后，验收组同意通过验收，验收合格。</w:t>
      </w:r>
    </w:p>
    <w:p>
      <w:pPr>
        <w:ind w:firstLine="480"/>
        <w:rPr>
          <w:rFonts w:hint="eastAsia"/>
          <w:color w:val="auto"/>
          <w:kern w:val="21"/>
          <w:highlight w:val="none"/>
        </w:rPr>
      </w:pPr>
    </w:p>
    <w:p>
      <w:pPr>
        <w:pStyle w:val="27"/>
        <w:ind w:firstLine="560"/>
        <w:rPr>
          <w:rFonts w:ascii="Times New Roman" w:hAnsi="Times New Roman"/>
          <w:color w:val="auto"/>
          <w:highlight w:val="none"/>
        </w:rPr>
        <w:sectPr>
          <w:footerReference r:id="rId5" w:type="default"/>
          <w:pgSz w:w="11906" w:h="16838"/>
          <w:pgMar w:top="1440" w:right="1800" w:bottom="1440" w:left="1800" w:header="851" w:footer="992" w:gutter="0"/>
          <w:pgNumType w:start="1"/>
          <w:cols w:space="720" w:num="1"/>
          <w:docGrid w:type="lines" w:linePitch="312" w:charSpace="0"/>
        </w:sectPr>
      </w:pPr>
    </w:p>
    <w:p>
      <w:pPr>
        <w:ind w:firstLine="0" w:firstLineChars="0"/>
        <w:jc w:val="center"/>
        <w:rPr>
          <w:b/>
          <w:bCs/>
          <w:color w:val="auto"/>
          <w:sz w:val="36"/>
          <w:szCs w:val="36"/>
          <w:highlight w:val="none"/>
        </w:rPr>
      </w:pPr>
      <w:bookmarkStart w:id="3" w:name="_Toc4792"/>
      <w:r>
        <w:rPr>
          <w:b/>
          <w:bCs/>
          <w:color w:val="auto"/>
          <w:sz w:val="36"/>
          <w:szCs w:val="36"/>
          <w:highlight w:val="none"/>
        </w:rPr>
        <w:t>目</w:t>
      </w:r>
      <w:r>
        <w:rPr>
          <w:rFonts w:hint="eastAsia"/>
          <w:b/>
          <w:bCs/>
          <w:color w:val="auto"/>
          <w:sz w:val="36"/>
          <w:szCs w:val="36"/>
          <w:highlight w:val="none"/>
        </w:rPr>
        <w:t xml:space="preserve"> </w:t>
      </w:r>
      <w:r>
        <w:rPr>
          <w:b/>
          <w:bCs/>
          <w:color w:val="auto"/>
          <w:sz w:val="36"/>
          <w:szCs w:val="36"/>
          <w:highlight w:val="none"/>
        </w:rPr>
        <w:t>录</w:t>
      </w:r>
      <w:bookmarkEnd w:id="3"/>
    </w:p>
    <w:p>
      <w:pPr>
        <w:pStyle w:val="2"/>
        <w:ind w:firstLine="0" w:firstLineChars="0"/>
        <w:jc w:val="center"/>
        <w:rPr>
          <w:rFonts w:cs="Times New Roman"/>
          <w:b/>
          <w:bCs/>
          <w:color w:val="auto"/>
          <w:sz w:val="36"/>
          <w:szCs w:val="36"/>
          <w:highlight w:val="none"/>
        </w:rPr>
      </w:pPr>
    </w:p>
    <w:p>
      <w:pPr>
        <w:pStyle w:val="24"/>
        <w:tabs>
          <w:tab w:val="right" w:leader="dot" w:pos="8924"/>
          <w:tab w:val="clear" w:pos="8836"/>
        </w:tabs>
        <w:rPr>
          <w:sz w:val="28"/>
          <w:szCs w:val="28"/>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TOC \o "1-3" \h \u </w:instrText>
      </w:r>
      <w:r>
        <w:rPr>
          <w:rFonts w:ascii="Times New Roman" w:hAnsi="Times New Roman"/>
          <w:color w:val="auto"/>
          <w:sz w:val="28"/>
          <w:szCs w:val="28"/>
          <w:highlight w:val="none"/>
        </w:rPr>
        <w:fldChar w:fldCharType="separate"/>
      </w:r>
      <w:r>
        <w:rPr>
          <w:rFonts w:cs="Times New Roman"/>
          <w:color w:val="auto"/>
          <w:sz w:val="28"/>
          <w:szCs w:val="28"/>
          <w:highlight w:val="none"/>
        </w:rPr>
        <w:fldChar w:fldCharType="begin"/>
      </w:r>
      <w:r>
        <w:rPr>
          <w:rFonts w:cs="Times New Roman"/>
          <w:sz w:val="28"/>
          <w:szCs w:val="28"/>
          <w:highlight w:val="none"/>
        </w:rPr>
        <w:instrText xml:space="preserve"> HYPERLINK \l _Toc23331 </w:instrText>
      </w:r>
      <w:r>
        <w:rPr>
          <w:rFonts w:cs="Times New Roman"/>
          <w:sz w:val="28"/>
          <w:szCs w:val="28"/>
          <w:highlight w:val="none"/>
        </w:rPr>
        <w:fldChar w:fldCharType="separate"/>
      </w:r>
      <w:r>
        <w:rPr>
          <w:bCs/>
          <w:sz w:val="28"/>
          <w:szCs w:val="28"/>
          <w:highlight w:val="none"/>
        </w:rPr>
        <w:t>表1  基本情况</w:t>
      </w:r>
      <w:r>
        <w:rPr>
          <w:sz w:val="28"/>
          <w:szCs w:val="28"/>
        </w:rPr>
        <w:tab/>
      </w:r>
      <w:r>
        <w:rPr>
          <w:sz w:val="28"/>
          <w:szCs w:val="28"/>
        </w:rPr>
        <w:fldChar w:fldCharType="begin"/>
      </w:r>
      <w:r>
        <w:rPr>
          <w:sz w:val="28"/>
          <w:szCs w:val="28"/>
        </w:rPr>
        <w:instrText xml:space="preserve"> PAGEREF _Toc23331 \h </w:instrText>
      </w:r>
      <w:r>
        <w:rPr>
          <w:sz w:val="28"/>
          <w:szCs w:val="28"/>
        </w:rPr>
        <w:fldChar w:fldCharType="separate"/>
      </w:r>
      <w:r>
        <w:rPr>
          <w:sz w:val="28"/>
          <w:szCs w:val="28"/>
        </w:rPr>
        <w:t>1</w:t>
      </w:r>
      <w:r>
        <w:rPr>
          <w:sz w:val="28"/>
          <w:szCs w:val="28"/>
        </w:rPr>
        <w:fldChar w:fldCharType="end"/>
      </w:r>
      <w:r>
        <w:rPr>
          <w:rFonts w:cs="Times New Roman"/>
          <w:color w:val="auto"/>
          <w:sz w:val="28"/>
          <w:szCs w:val="28"/>
          <w:highlight w:val="none"/>
        </w:rPr>
        <w:fldChar w:fldCharType="end"/>
      </w:r>
    </w:p>
    <w:p>
      <w:pPr>
        <w:pStyle w:val="24"/>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_Toc25724 </w:instrText>
      </w:r>
      <w:r>
        <w:rPr>
          <w:rFonts w:cs="Times New Roman"/>
          <w:sz w:val="28"/>
          <w:szCs w:val="28"/>
          <w:highlight w:val="none"/>
        </w:rPr>
        <w:fldChar w:fldCharType="separate"/>
      </w:r>
      <w:r>
        <w:rPr>
          <w:bCs/>
          <w:sz w:val="28"/>
          <w:szCs w:val="28"/>
          <w:highlight w:val="none"/>
        </w:rPr>
        <w:t>表2  建设项目概况及工艺流程</w:t>
      </w:r>
      <w:r>
        <w:rPr>
          <w:sz w:val="28"/>
          <w:szCs w:val="28"/>
        </w:rPr>
        <w:tab/>
      </w:r>
      <w:r>
        <w:rPr>
          <w:sz w:val="28"/>
          <w:szCs w:val="28"/>
        </w:rPr>
        <w:fldChar w:fldCharType="begin"/>
      </w:r>
      <w:r>
        <w:rPr>
          <w:sz w:val="28"/>
          <w:szCs w:val="28"/>
        </w:rPr>
        <w:instrText xml:space="preserve"> PAGEREF _Toc25724 \h </w:instrText>
      </w:r>
      <w:r>
        <w:rPr>
          <w:sz w:val="28"/>
          <w:szCs w:val="28"/>
        </w:rPr>
        <w:fldChar w:fldCharType="separate"/>
      </w:r>
      <w:r>
        <w:rPr>
          <w:sz w:val="28"/>
          <w:szCs w:val="28"/>
        </w:rPr>
        <w:t>4</w:t>
      </w:r>
      <w:r>
        <w:rPr>
          <w:sz w:val="28"/>
          <w:szCs w:val="28"/>
        </w:rPr>
        <w:fldChar w:fldCharType="end"/>
      </w:r>
      <w:r>
        <w:rPr>
          <w:rFonts w:cs="Times New Roman"/>
          <w:color w:val="auto"/>
          <w:sz w:val="28"/>
          <w:szCs w:val="28"/>
          <w:highlight w:val="none"/>
        </w:rPr>
        <w:fldChar w:fldCharType="end"/>
      </w:r>
    </w:p>
    <w:p>
      <w:pPr>
        <w:pStyle w:val="24"/>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_Toc32150 </w:instrText>
      </w:r>
      <w:r>
        <w:rPr>
          <w:rFonts w:cs="Times New Roman"/>
          <w:sz w:val="28"/>
          <w:szCs w:val="28"/>
          <w:highlight w:val="none"/>
        </w:rPr>
        <w:fldChar w:fldCharType="separate"/>
      </w:r>
      <w:r>
        <w:rPr>
          <w:bCs/>
          <w:sz w:val="28"/>
          <w:szCs w:val="28"/>
          <w:highlight w:val="none"/>
        </w:rPr>
        <w:t>表3  主要污染源、污染物处理和排放情况</w:t>
      </w:r>
      <w:r>
        <w:rPr>
          <w:sz w:val="28"/>
          <w:szCs w:val="28"/>
        </w:rPr>
        <w:tab/>
      </w:r>
      <w:r>
        <w:rPr>
          <w:sz w:val="28"/>
          <w:szCs w:val="28"/>
        </w:rPr>
        <w:fldChar w:fldCharType="begin"/>
      </w:r>
      <w:r>
        <w:rPr>
          <w:sz w:val="28"/>
          <w:szCs w:val="28"/>
        </w:rPr>
        <w:instrText xml:space="preserve"> PAGEREF _Toc32150 \h </w:instrText>
      </w:r>
      <w:r>
        <w:rPr>
          <w:sz w:val="28"/>
          <w:szCs w:val="28"/>
        </w:rPr>
        <w:fldChar w:fldCharType="separate"/>
      </w:r>
      <w:r>
        <w:rPr>
          <w:sz w:val="28"/>
          <w:szCs w:val="28"/>
        </w:rPr>
        <w:t>13</w:t>
      </w:r>
      <w:r>
        <w:rPr>
          <w:sz w:val="28"/>
          <w:szCs w:val="28"/>
        </w:rPr>
        <w:fldChar w:fldCharType="end"/>
      </w:r>
      <w:r>
        <w:rPr>
          <w:rFonts w:cs="Times New Roman"/>
          <w:color w:val="auto"/>
          <w:sz w:val="28"/>
          <w:szCs w:val="28"/>
          <w:highlight w:val="none"/>
        </w:rPr>
        <w:fldChar w:fldCharType="end"/>
      </w:r>
    </w:p>
    <w:p>
      <w:pPr>
        <w:pStyle w:val="24"/>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_Toc1607 </w:instrText>
      </w:r>
      <w:r>
        <w:rPr>
          <w:rFonts w:cs="Times New Roman"/>
          <w:sz w:val="28"/>
          <w:szCs w:val="28"/>
          <w:highlight w:val="none"/>
        </w:rPr>
        <w:fldChar w:fldCharType="separate"/>
      </w:r>
      <w:r>
        <w:rPr>
          <w:bCs/>
          <w:sz w:val="28"/>
          <w:szCs w:val="28"/>
          <w:highlight w:val="none"/>
        </w:rPr>
        <w:t>表4  环评主要结论、审批部门审批决定及批复落实情况</w:t>
      </w:r>
      <w:r>
        <w:rPr>
          <w:sz w:val="28"/>
          <w:szCs w:val="28"/>
        </w:rPr>
        <w:tab/>
      </w:r>
      <w:r>
        <w:rPr>
          <w:sz w:val="28"/>
          <w:szCs w:val="28"/>
        </w:rPr>
        <w:fldChar w:fldCharType="begin"/>
      </w:r>
      <w:r>
        <w:rPr>
          <w:sz w:val="28"/>
          <w:szCs w:val="28"/>
        </w:rPr>
        <w:instrText xml:space="preserve"> PAGEREF _Toc1607 \h </w:instrText>
      </w:r>
      <w:r>
        <w:rPr>
          <w:sz w:val="28"/>
          <w:szCs w:val="28"/>
        </w:rPr>
        <w:fldChar w:fldCharType="separate"/>
      </w:r>
      <w:r>
        <w:rPr>
          <w:sz w:val="28"/>
          <w:szCs w:val="28"/>
        </w:rPr>
        <w:t>15</w:t>
      </w:r>
      <w:r>
        <w:rPr>
          <w:sz w:val="28"/>
          <w:szCs w:val="28"/>
        </w:rPr>
        <w:fldChar w:fldCharType="end"/>
      </w:r>
      <w:r>
        <w:rPr>
          <w:rFonts w:cs="Times New Roman"/>
          <w:color w:val="auto"/>
          <w:sz w:val="28"/>
          <w:szCs w:val="28"/>
          <w:highlight w:val="none"/>
        </w:rPr>
        <w:fldChar w:fldCharType="end"/>
      </w:r>
    </w:p>
    <w:p>
      <w:pPr>
        <w:pStyle w:val="24"/>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_Toc21996 </w:instrText>
      </w:r>
      <w:r>
        <w:rPr>
          <w:rFonts w:cs="Times New Roman"/>
          <w:sz w:val="28"/>
          <w:szCs w:val="28"/>
          <w:highlight w:val="none"/>
        </w:rPr>
        <w:fldChar w:fldCharType="separate"/>
      </w:r>
      <w:r>
        <w:rPr>
          <w:bCs/>
          <w:sz w:val="28"/>
          <w:szCs w:val="28"/>
          <w:highlight w:val="none"/>
        </w:rPr>
        <w:t>表</w:t>
      </w:r>
      <w:r>
        <w:rPr>
          <w:rFonts w:hint="eastAsia"/>
          <w:bCs/>
          <w:sz w:val="28"/>
          <w:szCs w:val="28"/>
          <w:highlight w:val="none"/>
          <w:lang w:val="en-US" w:eastAsia="zh-CN"/>
        </w:rPr>
        <w:t>5</w:t>
      </w:r>
      <w:r>
        <w:rPr>
          <w:bCs/>
          <w:sz w:val="28"/>
          <w:szCs w:val="28"/>
          <w:highlight w:val="none"/>
        </w:rPr>
        <w:t xml:space="preserve">  验收监测内容</w:t>
      </w:r>
      <w:r>
        <w:rPr>
          <w:sz w:val="28"/>
          <w:szCs w:val="28"/>
        </w:rPr>
        <w:tab/>
      </w:r>
      <w:r>
        <w:rPr>
          <w:sz w:val="28"/>
          <w:szCs w:val="28"/>
        </w:rPr>
        <w:fldChar w:fldCharType="begin"/>
      </w:r>
      <w:r>
        <w:rPr>
          <w:sz w:val="28"/>
          <w:szCs w:val="28"/>
        </w:rPr>
        <w:instrText xml:space="preserve"> PAGEREF _Toc21996 \h </w:instrText>
      </w:r>
      <w:r>
        <w:rPr>
          <w:sz w:val="28"/>
          <w:szCs w:val="28"/>
        </w:rPr>
        <w:fldChar w:fldCharType="separate"/>
      </w:r>
      <w:r>
        <w:rPr>
          <w:sz w:val="28"/>
          <w:szCs w:val="28"/>
        </w:rPr>
        <w:t>20</w:t>
      </w:r>
      <w:r>
        <w:rPr>
          <w:sz w:val="28"/>
          <w:szCs w:val="28"/>
        </w:rPr>
        <w:fldChar w:fldCharType="end"/>
      </w:r>
      <w:r>
        <w:rPr>
          <w:rFonts w:cs="Times New Roman"/>
          <w:color w:val="auto"/>
          <w:sz w:val="28"/>
          <w:szCs w:val="28"/>
          <w:highlight w:val="none"/>
        </w:rPr>
        <w:fldChar w:fldCharType="end"/>
      </w:r>
    </w:p>
    <w:p>
      <w:pPr>
        <w:pStyle w:val="24"/>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_Toc14536 </w:instrText>
      </w:r>
      <w:r>
        <w:rPr>
          <w:rFonts w:cs="Times New Roman"/>
          <w:sz w:val="28"/>
          <w:szCs w:val="28"/>
          <w:highlight w:val="none"/>
        </w:rPr>
        <w:fldChar w:fldCharType="separate"/>
      </w:r>
      <w:r>
        <w:rPr>
          <w:bCs/>
          <w:sz w:val="28"/>
          <w:szCs w:val="28"/>
          <w:highlight w:val="none"/>
        </w:rPr>
        <w:t>表</w:t>
      </w:r>
      <w:r>
        <w:rPr>
          <w:rFonts w:hint="eastAsia"/>
          <w:bCs/>
          <w:sz w:val="28"/>
          <w:szCs w:val="28"/>
          <w:highlight w:val="none"/>
          <w:lang w:val="en-US" w:eastAsia="zh-CN"/>
        </w:rPr>
        <w:t>6</w:t>
      </w:r>
      <w:r>
        <w:rPr>
          <w:bCs/>
          <w:sz w:val="28"/>
          <w:szCs w:val="28"/>
          <w:highlight w:val="none"/>
        </w:rPr>
        <w:t xml:space="preserve">  验收监测质量保证及质量控制</w:t>
      </w:r>
      <w:r>
        <w:rPr>
          <w:sz w:val="28"/>
          <w:szCs w:val="28"/>
        </w:rPr>
        <w:tab/>
      </w:r>
      <w:r>
        <w:rPr>
          <w:sz w:val="28"/>
          <w:szCs w:val="28"/>
        </w:rPr>
        <w:fldChar w:fldCharType="begin"/>
      </w:r>
      <w:r>
        <w:rPr>
          <w:sz w:val="28"/>
          <w:szCs w:val="28"/>
        </w:rPr>
        <w:instrText xml:space="preserve"> PAGEREF _Toc14536 \h </w:instrText>
      </w:r>
      <w:r>
        <w:rPr>
          <w:sz w:val="28"/>
          <w:szCs w:val="28"/>
        </w:rPr>
        <w:fldChar w:fldCharType="separate"/>
      </w:r>
      <w:r>
        <w:rPr>
          <w:sz w:val="28"/>
          <w:szCs w:val="28"/>
        </w:rPr>
        <w:t>23</w:t>
      </w:r>
      <w:r>
        <w:rPr>
          <w:sz w:val="28"/>
          <w:szCs w:val="28"/>
        </w:rPr>
        <w:fldChar w:fldCharType="end"/>
      </w:r>
      <w:r>
        <w:rPr>
          <w:rFonts w:cs="Times New Roman"/>
          <w:color w:val="auto"/>
          <w:sz w:val="28"/>
          <w:szCs w:val="28"/>
          <w:highlight w:val="none"/>
        </w:rPr>
        <w:fldChar w:fldCharType="end"/>
      </w:r>
    </w:p>
    <w:p>
      <w:pPr>
        <w:pStyle w:val="24"/>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_Toc11778 </w:instrText>
      </w:r>
      <w:r>
        <w:rPr>
          <w:rFonts w:cs="Times New Roman"/>
          <w:sz w:val="28"/>
          <w:szCs w:val="28"/>
          <w:highlight w:val="none"/>
        </w:rPr>
        <w:fldChar w:fldCharType="separate"/>
      </w:r>
      <w:r>
        <w:rPr>
          <w:bCs/>
          <w:sz w:val="28"/>
          <w:szCs w:val="28"/>
          <w:highlight w:val="none"/>
        </w:rPr>
        <w:t>表7  验收监测期间工况记录及验收监测结果</w:t>
      </w:r>
      <w:r>
        <w:rPr>
          <w:sz w:val="28"/>
          <w:szCs w:val="28"/>
        </w:rPr>
        <w:tab/>
      </w:r>
      <w:r>
        <w:rPr>
          <w:sz w:val="28"/>
          <w:szCs w:val="28"/>
        </w:rPr>
        <w:fldChar w:fldCharType="begin"/>
      </w:r>
      <w:r>
        <w:rPr>
          <w:sz w:val="28"/>
          <w:szCs w:val="28"/>
        </w:rPr>
        <w:instrText xml:space="preserve"> PAGEREF _Toc11778 \h </w:instrText>
      </w:r>
      <w:r>
        <w:rPr>
          <w:sz w:val="28"/>
          <w:szCs w:val="28"/>
        </w:rPr>
        <w:fldChar w:fldCharType="separate"/>
      </w:r>
      <w:r>
        <w:rPr>
          <w:sz w:val="28"/>
          <w:szCs w:val="28"/>
        </w:rPr>
        <w:t>25</w:t>
      </w:r>
      <w:r>
        <w:rPr>
          <w:sz w:val="28"/>
          <w:szCs w:val="28"/>
        </w:rPr>
        <w:fldChar w:fldCharType="end"/>
      </w:r>
      <w:r>
        <w:rPr>
          <w:rFonts w:cs="Times New Roman"/>
          <w:color w:val="auto"/>
          <w:sz w:val="28"/>
          <w:szCs w:val="28"/>
          <w:highlight w:val="none"/>
        </w:rPr>
        <w:fldChar w:fldCharType="end"/>
      </w:r>
    </w:p>
    <w:p>
      <w:pPr>
        <w:pStyle w:val="24"/>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_Toc31574 </w:instrText>
      </w:r>
      <w:r>
        <w:rPr>
          <w:rFonts w:cs="Times New Roman"/>
          <w:sz w:val="28"/>
          <w:szCs w:val="28"/>
          <w:highlight w:val="none"/>
        </w:rPr>
        <w:fldChar w:fldCharType="separate"/>
      </w:r>
      <w:r>
        <w:rPr>
          <w:bCs/>
          <w:sz w:val="28"/>
          <w:szCs w:val="28"/>
          <w:highlight w:val="none"/>
        </w:rPr>
        <w:t>表8  环境管理检查情况</w:t>
      </w:r>
      <w:r>
        <w:rPr>
          <w:sz w:val="28"/>
          <w:szCs w:val="28"/>
        </w:rPr>
        <w:tab/>
      </w:r>
      <w:r>
        <w:rPr>
          <w:sz w:val="28"/>
          <w:szCs w:val="28"/>
        </w:rPr>
        <w:fldChar w:fldCharType="begin"/>
      </w:r>
      <w:r>
        <w:rPr>
          <w:sz w:val="28"/>
          <w:szCs w:val="28"/>
        </w:rPr>
        <w:instrText xml:space="preserve"> PAGEREF _Toc31574 \h </w:instrText>
      </w:r>
      <w:r>
        <w:rPr>
          <w:sz w:val="28"/>
          <w:szCs w:val="28"/>
        </w:rPr>
        <w:fldChar w:fldCharType="separate"/>
      </w:r>
      <w:r>
        <w:rPr>
          <w:sz w:val="28"/>
          <w:szCs w:val="28"/>
        </w:rPr>
        <w:t>33</w:t>
      </w:r>
      <w:r>
        <w:rPr>
          <w:sz w:val="28"/>
          <w:szCs w:val="28"/>
        </w:rPr>
        <w:fldChar w:fldCharType="end"/>
      </w:r>
      <w:r>
        <w:rPr>
          <w:rFonts w:cs="Times New Roman"/>
          <w:color w:val="auto"/>
          <w:sz w:val="28"/>
          <w:szCs w:val="28"/>
          <w:highlight w:val="none"/>
        </w:rPr>
        <w:fldChar w:fldCharType="end"/>
      </w:r>
    </w:p>
    <w:p>
      <w:pPr>
        <w:pStyle w:val="24"/>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_Toc14593 </w:instrText>
      </w:r>
      <w:r>
        <w:rPr>
          <w:rFonts w:cs="Times New Roman"/>
          <w:sz w:val="28"/>
          <w:szCs w:val="28"/>
          <w:highlight w:val="none"/>
        </w:rPr>
        <w:fldChar w:fldCharType="separate"/>
      </w:r>
      <w:r>
        <w:rPr>
          <w:bCs/>
          <w:sz w:val="28"/>
          <w:szCs w:val="28"/>
          <w:highlight w:val="none"/>
        </w:rPr>
        <w:t>表9  验收监测结论及建议</w:t>
      </w:r>
      <w:r>
        <w:rPr>
          <w:sz w:val="28"/>
          <w:szCs w:val="28"/>
        </w:rPr>
        <w:tab/>
      </w:r>
      <w:r>
        <w:rPr>
          <w:sz w:val="28"/>
          <w:szCs w:val="28"/>
        </w:rPr>
        <w:fldChar w:fldCharType="begin"/>
      </w:r>
      <w:r>
        <w:rPr>
          <w:sz w:val="28"/>
          <w:szCs w:val="28"/>
        </w:rPr>
        <w:instrText xml:space="preserve"> PAGEREF _Toc14593 \h </w:instrText>
      </w:r>
      <w:r>
        <w:rPr>
          <w:sz w:val="28"/>
          <w:szCs w:val="28"/>
        </w:rPr>
        <w:fldChar w:fldCharType="separate"/>
      </w:r>
      <w:r>
        <w:rPr>
          <w:sz w:val="28"/>
          <w:szCs w:val="28"/>
        </w:rPr>
        <w:t>35</w:t>
      </w:r>
      <w:r>
        <w:rPr>
          <w:sz w:val="28"/>
          <w:szCs w:val="28"/>
        </w:rPr>
        <w:fldChar w:fldCharType="end"/>
      </w:r>
      <w:r>
        <w:rPr>
          <w:rFonts w:cs="Times New Roman"/>
          <w:color w:val="auto"/>
          <w:sz w:val="28"/>
          <w:szCs w:val="28"/>
          <w:highlight w:val="none"/>
        </w:rPr>
        <w:fldChar w:fldCharType="end"/>
      </w:r>
    </w:p>
    <w:p>
      <w:pPr>
        <w:pStyle w:val="2"/>
        <w:ind w:firstLine="0" w:firstLineChars="0"/>
        <w:rPr>
          <w:rFonts w:cs="Times New Roman"/>
          <w:color w:val="auto"/>
          <w:highlight w:val="none"/>
        </w:rPr>
      </w:pPr>
      <w:r>
        <w:rPr>
          <w:rFonts w:cs="Times New Roman"/>
          <w:color w:val="auto"/>
          <w:sz w:val="28"/>
          <w:szCs w:val="28"/>
          <w:highlight w:val="none"/>
        </w:rPr>
        <w:fldChar w:fldCharType="end"/>
      </w:r>
      <w:r>
        <w:rPr>
          <w:rFonts w:cs="Times New Roman"/>
          <w:color w:val="auto"/>
          <w:szCs w:val="24"/>
          <w:highlight w:val="none"/>
        </w:rPr>
        <w:t>附件：</w:t>
      </w:r>
    </w:p>
    <w:p>
      <w:pPr>
        <w:ind w:firstLine="480"/>
        <w:rPr>
          <w:color w:val="auto"/>
          <w:highlight w:val="none"/>
        </w:rPr>
      </w:pPr>
      <w:r>
        <w:rPr>
          <w:color w:val="auto"/>
          <w:highlight w:val="none"/>
        </w:rPr>
        <w:t>附件1  委托书</w:t>
      </w:r>
    </w:p>
    <w:p>
      <w:pPr>
        <w:ind w:firstLine="480"/>
        <w:rPr>
          <w:color w:val="auto"/>
          <w:highlight w:val="none"/>
        </w:rPr>
      </w:pPr>
      <w:r>
        <w:rPr>
          <w:color w:val="auto"/>
          <w:highlight w:val="none"/>
        </w:rPr>
        <w:t>附件2  环评批复</w:t>
      </w:r>
    </w:p>
    <w:p>
      <w:pPr>
        <w:ind w:firstLine="480"/>
        <w:rPr>
          <w:color w:val="auto"/>
          <w:highlight w:val="none"/>
        </w:rPr>
      </w:pPr>
      <w:r>
        <w:rPr>
          <w:color w:val="auto"/>
          <w:highlight w:val="none"/>
        </w:rPr>
        <w:t>附件</w:t>
      </w:r>
      <w:r>
        <w:rPr>
          <w:rFonts w:hint="eastAsia"/>
          <w:color w:val="auto"/>
          <w:highlight w:val="none"/>
          <w:lang w:val="en-US" w:eastAsia="zh-CN"/>
        </w:rPr>
        <w:t>2</w:t>
      </w:r>
      <w:r>
        <w:rPr>
          <w:color w:val="auto"/>
          <w:highlight w:val="none"/>
        </w:rPr>
        <w:t xml:space="preserve">  检测报告</w:t>
      </w:r>
    </w:p>
    <w:p>
      <w:pPr>
        <w:ind w:firstLine="480"/>
        <w:rPr>
          <w:color w:val="auto"/>
          <w:highlight w:val="none"/>
        </w:rPr>
      </w:pPr>
      <w:r>
        <w:rPr>
          <w:color w:val="auto"/>
          <w:highlight w:val="none"/>
        </w:rPr>
        <w:t>附件</w:t>
      </w:r>
      <w:r>
        <w:rPr>
          <w:rFonts w:hint="eastAsia"/>
          <w:color w:val="auto"/>
          <w:highlight w:val="none"/>
          <w:lang w:val="en-US" w:eastAsia="zh-CN"/>
        </w:rPr>
        <w:t>3</w:t>
      </w:r>
      <w:r>
        <w:rPr>
          <w:color w:val="auto"/>
          <w:highlight w:val="none"/>
        </w:rPr>
        <w:t xml:space="preserve">  </w:t>
      </w:r>
      <w:r>
        <w:rPr>
          <w:rFonts w:hint="eastAsia"/>
          <w:color w:val="auto"/>
          <w:highlight w:val="none"/>
        </w:rPr>
        <w:t>总量确认书</w:t>
      </w:r>
    </w:p>
    <w:p>
      <w:pPr>
        <w:ind w:firstLine="480"/>
        <w:rPr>
          <w:color w:val="auto"/>
          <w:highlight w:val="none"/>
        </w:rPr>
      </w:pPr>
      <w:r>
        <w:rPr>
          <w:color w:val="auto"/>
          <w:highlight w:val="none"/>
        </w:rPr>
        <w:t>附件</w:t>
      </w:r>
      <w:r>
        <w:rPr>
          <w:rFonts w:hint="eastAsia"/>
          <w:color w:val="auto"/>
          <w:highlight w:val="none"/>
          <w:lang w:val="en-US" w:eastAsia="zh-CN"/>
        </w:rPr>
        <w:t>4</w:t>
      </w:r>
      <w:r>
        <w:rPr>
          <w:color w:val="auto"/>
          <w:highlight w:val="none"/>
        </w:rPr>
        <w:t xml:space="preserve">  </w:t>
      </w:r>
      <w:r>
        <w:rPr>
          <w:rFonts w:hint="eastAsia"/>
          <w:color w:val="auto"/>
          <w:highlight w:val="none"/>
        </w:rPr>
        <w:t>排污许可</w:t>
      </w:r>
    </w:p>
    <w:p>
      <w:pPr>
        <w:ind w:firstLine="480"/>
        <w:rPr>
          <w:color w:val="auto"/>
          <w:highlight w:val="none"/>
        </w:rPr>
      </w:pPr>
      <w:r>
        <w:rPr>
          <w:color w:val="auto"/>
          <w:highlight w:val="none"/>
        </w:rPr>
        <w:t>附件</w:t>
      </w:r>
      <w:r>
        <w:rPr>
          <w:rFonts w:hint="eastAsia"/>
          <w:color w:val="auto"/>
          <w:highlight w:val="none"/>
          <w:lang w:val="en-US" w:eastAsia="zh-CN"/>
        </w:rPr>
        <w:t>5</w:t>
      </w:r>
      <w:r>
        <w:rPr>
          <w:color w:val="auto"/>
          <w:highlight w:val="none"/>
        </w:rPr>
        <w:t xml:space="preserve">  工况证明</w:t>
      </w:r>
    </w:p>
    <w:p>
      <w:pPr>
        <w:ind w:firstLine="480"/>
        <w:rPr>
          <w:color w:val="auto"/>
          <w:highlight w:val="none"/>
        </w:rPr>
      </w:pPr>
      <w:r>
        <w:rPr>
          <w:color w:val="auto"/>
          <w:highlight w:val="none"/>
        </w:rPr>
        <w:t>附件</w:t>
      </w:r>
      <w:r>
        <w:rPr>
          <w:rFonts w:hint="eastAsia"/>
          <w:color w:val="auto"/>
          <w:highlight w:val="none"/>
          <w:lang w:val="en-US" w:eastAsia="zh-CN"/>
        </w:rPr>
        <w:t>6</w:t>
      </w:r>
      <w:r>
        <w:rPr>
          <w:color w:val="auto"/>
          <w:highlight w:val="none"/>
        </w:rPr>
        <w:t xml:space="preserve">  </w:t>
      </w:r>
      <w:r>
        <w:rPr>
          <w:rFonts w:hint="eastAsia"/>
          <w:color w:val="auto"/>
          <w:highlight w:val="none"/>
        </w:rPr>
        <w:t>检测资质</w:t>
      </w:r>
    </w:p>
    <w:p>
      <w:pPr>
        <w:ind w:firstLine="0" w:firstLineChars="0"/>
        <w:rPr>
          <w:color w:val="auto"/>
          <w:kern w:val="0"/>
          <w:highlight w:val="none"/>
        </w:rPr>
      </w:pPr>
      <w:r>
        <w:rPr>
          <w:color w:val="auto"/>
          <w:kern w:val="0"/>
          <w:highlight w:val="none"/>
        </w:rPr>
        <w:t>附图：</w:t>
      </w:r>
    </w:p>
    <w:p>
      <w:pPr>
        <w:ind w:firstLine="480"/>
        <w:rPr>
          <w:color w:val="auto"/>
          <w:kern w:val="0"/>
          <w:highlight w:val="none"/>
        </w:rPr>
      </w:pPr>
      <w:r>
        <w:rPr>
          <w:color w:val="auto"/>
          <w:kern w:val="0"/>
          <w:highlight w:val="none"/>
        </w:rPr>
        <w:t>附图1  项目地理位置图</w:t>
      </w:r>
    </w:p>
    <w:p>
      <w:pPr>
        <w:ind w:firstLine="480"/>
        <w:rPr>
          <w:color w:val="auto"/>
          <w:kern w:val="0"/>
          <w:highlight w:val="none"/>
        </w:rPr>
      </w:pPr>
      <w:r>
        <w:rPr>
          <w:color w:val="auto"/>
          <w:kern w:val="0"/>
          <w:highlight w:val="none"/>
        </w:rPr>
        <w:t>附图2  项目周边情况图</w:t>
      </w:r>
    </w:p>
    <w:p>
      <w:pPr>
        <w:widowControl/>
        <w:ind w:firstLine="480"/>
        <w:rPr>
          <w:color w:val="auto"/>
          <w:kern w:val="0"/>
          <w:highlight w:val="none"/>
        </w:rPr>
      </w:pPr>
      <w:r>
        <w:rPr>
          <w:color w:val="auto"/>
          <w:kern w:val="0"/>
          <w:highlight w:val="none"/>
        </w:rPr>
        <w:t xml:space="preserve">附图3  </w:t>
      </w:r>
      <w:r>
        <w:rPr>
          <w:rFonts w:hint="eastAsia"/>
          <w:color w:val="auto"/>
          <w:kern w:val="0"/>
          <w:highlight w:val="none"/>
        </w:rPr>
        <w:t>项目</w:t>
      </w:r>
      <w:r>
        <w:rPr>
          <w:color w:val="auto"/>
          <w:kern w:val="0"/>
          <w:highlight w:val="none"/>
        </w:rPr>
        <w:t>平面布置图</w:t>
      </w:r>
    </w:p>
    <w:p>
      <w:pPr>
        <w:ind w:firstLine="0" w:firstLineChars="0"/>
        <w:rPr>
          <w:color w:val="auto"/>
          <w:kern w:val="0"/>
          <w:highlight w:val="none"/>
        </w:rPr>
      </w:pPr>
      <w:r>
        <w:rPr>
          <w:color w:val="auto"/>
          <w:kern w:val="0"/>
          <w:highlight w:val="none"/>
        </w:rPr>
        <w:t>附表：三同时登记表</w:t>
      </w:r>
    </w:p>
    <w:p>
      <w:pPr>
        <w:pStyle w:val="13"/>
        <w:ind w:left="0" w:leftChars="0" w:firstLine="0" w:firstLineChars="0"/>
        <w:outlineLvl w:val="0"/>
        <w:rPr>
          <w:b/>
          <w:bCs/>
          <w:color w:val="auto"/>
          <w:sz w:val="30"/>
          <w:szCs w:val="30"/>
          <w:highlight w:val="none"/>
        </w:rPr>
        <w:sectPr>
          <w:pgSz w:w="11906" w:h="16838"/>
          <w:pgMar w:top="1440" w:right="1463" w:bottom="1440" w:left="1519" w:header="851" w:footer="992" w:gutter="0"/>
          <w:cols w:space="720" w:num="1"/>
          <w:docGrid w:type="lines" w:linePitch="312" w:charSpace="0"/>
        </w:sectPr>
      </w:pPr>
      <w:bookmarkStart w:id="4" w:name="_Toc20449"/>
    </w:p>
    <w:p>
      <w:pPr>
        <w:pStyle w:val="13"/>
        <w:ind w:left="0" w:leftChars="0" w:firstLine="0" w:firstLineChars="0"/>
        <w:outlineLvl w:val="0"/>
        <w:rPr>
          <w:b/>
          <w:bCs/>
          <w:color w:val="auto"/>
          <w:highlight w:val="none"/>
        </w:rPr>
      </w:pPr>
      <w:bookmarkStart w:id="5" w:name="_Toc8129"/>
      <w:bookmarkStart w:id="6" w:name="_Toc3712"/>
      <w:bookmarkStart w:id="7" w:name="_Toc5501"/>
      <w:bookmarkStart w:id="8" w:name="_Toc29364"/>
      <w:bookmarkStart w:id="9" w:name="_Toc7452"/>
      <w:bookmarkStart w:id="10" w:name="_Toc3070"/>
      <w:bookmarkStart w:id="11" w:name="_Toc9259"/>
      <w:bookmarkStart w:id="12" w:name="_Toc11710"/>
      <w:bookmarkStart w:id="13" w:name="_Toc8692"/>
      <w:bookmarkStart w:id="14" w:name="_Toc4525"/>
      <w:bookmarkStart w:id="15" w:name="_Toc13580"/>
      <w:bookmarkStart w:id="16" w:name="_Toc5052"/>
      <w:bookmarkStart w:id="17" w:name="_Toc20976"/>
      <w:bookmarkStart w:id="18" w:name="_Toc23537"/>
      <w:bookmarkStart w:id="19" w:name="_Toc14316"/>
      <w:bookmarkStart w:id="20" w:name="_Toc2863"/>
      <w:bookmarkStart w:id="21" w:name="_Toc31764"/>
      <w:bookmarkStart w:id="22" w:name="_Toc12160"/>
      <w:bookmarkStart w:id="23" w:name="_Toc5726"/>
      <w:bookmarkStart w:id="24" w:name="_Toc6152"/>
      <w:bookmarkStart w:id="25" w:name="_Toc26925"/>
      <w:bookmarkStart w:id="26" w:name="_Toc13646"/>
      <w:bookmarkStart w:id="27" w:name="_Toc20840"/>
      <w:bookmarkStart w:id="28" w:name="_Toc18758"/>
      <w:bookmarkStart w:id="29" w:name="_Toc9055"/>
      <w:bookmarkStart w:id="30" w:name="_Toc29919"/>
      <w:bookmarkStart w:id="31" w:name="_Toc20872"/>
      <w:bookmarkStart w:id="32" w:name="_Toc1462"/>
      <w:bookmarkStart w:id="33" w:name="_Toc23331"/>
      <w:bookmarkStart w:id="34" w:name="_Toc3787"/>
      <w:bookmarkStart w:id="35" w:name="_Toc29383"/>
      <w:bookmarkStart w:id="36" w:name="_Toc6117"/>
      <w:bookmarkStart w:id="37" w:name="_Toc12317"/>
      <w:bookmarkStart w:id="38" w:name="_Toc12779"/>
      <w:bookmarkStart w:id="39" w:name="_Toc17782"/>
      <w:bookmarkStart w:id="40" w:name="_Toc572"/>
      <w:bookmarkStart w:id="41" w:name="_Toc17633"/>
      <w:bookmarkStart w:id="42" w:name="_Toc23515"/>
      <w:bookmarkStart w:id="43" w:name="_Toc27870"/>
      <w:bookmarkStart w:id="44" w:name="_Toc17601"/>
      <w:bookmarkStart w:id="45" w:name="_Toc26477"/>
      <w:bookmarkStart w:id="46" w:name="_Toc16181"/>
      <w:bookmarkStart w:id="47" w:name="_Toc4743"/>
      <w:r>
        <w:rPr>
          <w:b/>
          <w:bCs/>
          <w:color w:val="auto"/>
          <w:sz w:val="30"/>
          <w:szCs w:val="30"/>
          <w:highlight w:val="none"/>
        </w:rPr>
        <w:t>表1  基本情况</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tbl>
      <w:tblPr>
        <w:tblStyle w:val="28"/>
        <w:tblW w:w="5265"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2128"/>
        <w:gridCol w:w="1914"/>
        <w:gridCol w:w="2050"/>
        <w:gridCol w:w="1202"/>
        <w:gridCol w:w="809"/>
        <w:gridCol w:w="1326"/>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340" w:hRule="atLeast"/>
          <w:jc w:val="center"/>
        </w:trPr>
        <w:tc>
          <w:tcPr>
            <w:tcW w:w="1128" w:type="pct"/>
            <w:tcBorders>
              <w:top w:val="single" w:color="000000" w:sz="12" w:space="0"/>
            </w:tcBorders>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建设项目名称</w:t>
            </w:r>
          </w:p>
        </w:tc>
        <w:tc>
          <w:tcPr>
            <w:tcW w:w="3871" w:type="pct"/>
            <w:gridSpan w:val="5"/>
            <w:tcBorders>
              <w:top w:val="single" w:color="000000" w:sz="12" w:space="0"/>
            </w:tcBorders>
            <w:vAlign w:val="center"/>
          </w:tcPr>
          <w:p>
            <w:pPr>
              <w:adjustRightInd w:val="0"/>
              <w:snapToGrid w:val="0"/>
              <w:spacing w:line="240" w:lineRule="auto"/>
              <w:ind w:firstLine="0" w:firstLineChars="0"/>
              <w:jc w:val="center"/>
              <w:rPr>
                <w:rFonts w:hint="eastAsia" w:eastAsia="宋体"/>
                <w:color w:val="auto"/>
                <w:highlight w:val="none"/>
                <w:lang w:eastAsia="zh-CN"/>
              </w:rPr>
            </w:pPr>
            <w:r>
              <w:rPr>
                <w:rFonts w:hint="eastAsia"/>
                <w:color w:val="auto"/>
                <w:highlight w:val="none"/>
                <w:lang w:eastAsia="zh-CN"/>
              </w:rPr>
              <w:t>中车山东机车车辆有限公司原钢构喷漆房改造为打砂房项目</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建设单位名称</w:t>
            </w:r>
          </w:p>
        </w:tc>
        <w:tc>
          <w:tcPr>
            <w:tcW w:w="3871" w:type="pct"/>
            <w:gridSpan w:val="5"/>
            <w:vAlign w:val="center"/>
          </w:tcPr>
          <w:p>
            <w:pPr>
              <w:adjustRightInd w:val="0"/>
              <w:snapToGrid w:val="0"/>
              <w:spacing w:line="240" w:lineRule="auto"/>
              <w:ind w:firstLine="0" w:firstLineChars="0"/>
              <w:jc w:val="center"/>
              <w:rPr>
                <w:rFonts w:hint="eastAsia" w:eastAsia="宋体"/>
                <w:color w:val="auto"/>
                <w:highlight w:val="none"/>
                <w:lang w:eastAsia="zh-CN"/>
              </w:rPr>
            </w:pPr>
            <w:r>
              <w:rPr>
                <w:rFonts w:hint="eastAsia"/>
                <w:color w:val="auto"/>
                <w:highlight w:val="none"/>
                <w:lang w:eastAsia="zh-CN"/>
              </w:rPr>
              <w:t>中车山东机车车辆有限公司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建设项目主管部门</w:t>
            </w:r>
          </w:p>
        </w:tc>
        <w:tc>
          <w:tcPr>
            <w:tcW w:w="3871" w:type="pct"/>
            <w:gridSpan w:val="5"/>
            <w:vAlign w:val="center"/>
          </w:tcPr>
          <w:p>
            <w:pPr>
              <w:adjustRightInd w:val="0"/>
              <w:snapToGrid w:val="0"/>
              <w:spacing w:line="240" w:lineRule="auto"/>
              <w:ind w:firstLine="0" w:firstLineChars="0"/>
              <w:jc w:val="center"/>
              <w:rPr>
                <w:color w:val="auto"/>
                <w:highlight w:val="none"/>
              </w:rPr>
            </w:pPr>
            <w:r>
              <w:rPr>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建设项目性质</w:t>
            </w:r>
          </w:p>
        </w:tc>
        <w:tc>
          <w:tcPr>
            <w:tcW w:w="3871" w:type="pct"/>
            <w:gridSpan w:val="5"/>
            <w:vAlign w:val="center"/>
          </w:tcPr>
          <w:p>
            <w:pPr>
              <w:adjustRightInd w:val="0"/>
              <w:snapToGrid w:val="0"/>
              <w:spacing w:line="240" w:lineRule="auto"/>
              <w:ind w:firstLine="0" w:firstLineChars="0"/>
              <w:jc w:val="center"/>
              <w:rPr>
                <w:color w:val="auto"/>
                <w:highlight w:val="none"/>
              </w:rPr>
            </w:pPr>
            <w:r>
              <w:rPr>
                <w:color w:val="auto"/>
                <w:szCs w:val="21"/>
                <w:highlight w:val="none"/>
              </w:rPr>
              <w:sym w:font="Wingdings 2" w:char="00A3"/>
            </w:r>
            <w:r>
              <w:rPr>
                <w:color w:val="auto"/>
                <w:highlight w:val="none"/>
              </w:rPr>
              <w:t xml:space="preserve">新建  </w:t>
            </w:r>
            <w:r>
              <w:rPr>
                <w:color w:val="auto"/>
                <w:szCs w:val="21"/>
                <w:highlight w:val="none"/>
              </w:rPr>
              <w:sym w:font="Wingdings 2" w:char="0052"/>
            </w:r>
            <w:r>
              <w:rPr>
                <w:color w:val="auto"/>
                <w:highlight w:val="none"/>
              </w:rPr>
              <w:t xml:space="preserve">改扩建  </w:t>
            </w:r>
            <w:r>
              <w:rPr>
                <w:color w:val="auto"/>
                <w:szCs w:val="21"/>
                <w:highlight w:val="none"/>
              </w:rPr>
              <w:t>□</w:t>
            </w:r>
            <w:r>
              <w:rPr>
                <w:color w:val="auto"/>
                <w:highlight w:val="none"/>
              </w:rPr>
              <w:t xml:space="preserve">技术改造  </w:t>
            </w:r>
            <w:r>
              <w:rPr>
                <w:color w:val="auto"/>
                <w:szCs w:val="21"/>
                <w:highlight w:val="none"/>
              </w:rPr>
              <w:t>□</w:t>
            </w:r>
            <w:r>
              <w:rPr>
                <w:color w:val="auto"/>
                <w:highlight w:val="none"/>
              </w:rPr>
              <w:t>迁建  （划√）</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highlight w:val="none"/>
              </w:rPr>
            </w:pPr>
            <w:r>
              <w:rPr>
                <w:color w:val="auto"/>
                <w:highlight w:val="none"/>
              </w:rPr>
              <w:t>项目建设地点</w:t>
            </w:r>
          </w:p>
        </w:tc>
        <w:tc>
          <w:tcPr>
            <w:tcW w:w="3871" w:type="pct"/>
            <w:gridSpan w:val="5"/>
            <w:vAlign w:val="center"/>
          </w:tcPr>
          <w:p>
            <w:pPr>
              <w:adjustRightInd w:val="0"/>
              <w:snapToGrid w:val="0"/>
              <w:spacing w:line="240" w:lineRule="auto"/>
              <w:ind w:firstLine="0" w:firstLineChars="0"/>
              <w:jc w:val="center"/>
              <w:rPr>
                <w:rFonts w:hint="eastAsia" w:eastAsia="宋体"/>
                <w:color w:val="auto"/>
                <w:highlight w:val="none"/>
                <w:lang w:eastAsia="zh-CN"/>
              </w:rPr>
            </w:pPr>
            <w:r>
              <w:rPr>
                <w:rFonts w:hint="eastAsia"/>
                <w:color w:val="auto"/>
                <w:highlight w:val="none"/>
                <w:lang w:eastAsia="zh-CN"/>
              </w:rPr>
              <w:t>济南市槐荫区槐村街73号，中车山东机车车辆有限公司厂区内</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主要产品名称</w:t>
            </w:r>
          </w:p>
        </w:tc>
        <w:tc>
          <w:tcPr>
            <w:tcW w:w="3871" w:type="pct"/>
            <w:gridSpan w:val="5"/>
            <w:vAlign w:val="center"/>
          </w:tcPr>
          <w:p>
            <w:pPr>
              <w:adjustRightInd w:val="0"/>
              <w:snapToGrid w:val="0"/>
              <w:spacing w:line="240" w:lineRule="auto"/>
              <w:ind w:firstLine="0" w:firstLineChars="0"/>
              <w:jc w:val="left"/>
              <w:rPr>
                <w:color w:val="auto"/>
                <w:highlight w:val="none"/>
              </w:rPr>
            </w:pPr>
            <w:r>
              <w:rPr>
                <w:rFonts w:hint="eastAsia"/>
                <w:color w:val="auto"/>
                <w:highlight w:val="none"/>
              </w:rPr>
              <w:t>返修打砂底架</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highlight w:val="none"/>
              </w:rPr>
            </w:pPr>
            <w:r>
              <w:rPr>
                <w:color w:val="auto"/>
                <w:highlight w:val="none"/>
              </w:rPr>
              <w:t>设计生产能力</w:t>
            </w:r>
          </w:p>
        </w:tc>
        <w:tc>
          <w:tcPr>
            <w:tcW w:w="3871" w:type="pct"/>
            <w:gridSpan w:val="5"/>
            <w:vAlign w:val="center"/>
          </w:tcPr>
          <w:p>
            <w:pPr>
              <w:adjustRightInd w:val="0"/>
              <w:snapToGrid w:val="0"/>
              <w:spacing w:line="240" w:lineRule="auto"/>
              <w:ind w:firstLine="0" w:firstLineChars="0"/>
              <w:jc w:val="left"/>
              <w:rPr>
                <w:color w:val="auto"/>
                <w:highlight w:val="none"/>
              </w:rPr>
            </w:pPr>
            <w:r>
              <w:rPr>
                <w:rFonts w:hint="eastAsia"/>
                <w:color w:val="auto"/>
                <w:highlight w:val="none"/>
              </w:rPr>
              <w:t>年返修打砂底架780个</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highlight w:val="none"/>
              </w:rPr>
            </w:pPr>
            <w:r>
              <w:rPr>
                <w:color w:val="auto"/>
                <w:highlight w:val="none"/>
              </w:rPr>
              <w:t>实际生产能力</w:t>
            </w:r>
          </w:p>
        </w:tc>
        <w:tc>
          <w:tcPr>
            <w:tcW w:w="3871" w:type="pct"/>
            <w:gridSpan w:val="5"/>
            <w:vAlign w:val="center"/>
          </w:tcPr>
          <w:p>
            <w:pPr>
              <w:adjustRightInd w:val="0"/>
              <w:snapToGrid w:val="0"/>
              <w:spacing w:line="240" w:lineRule="auto"/>
              <w:ind w:firstLine="0" w:firstLineChars="0"/>
              <w:jc w:val="left"/>
              <w:rPr>
                <w:color w:val="auto"/>
                <w:highlight w:val="none"/>
              </w:rPr>
            </w:pPr>
            <w:r>
              <w:rPr>
                <w:rFonts w:hint="eastAsia"/>
                <w:color w:val="auto"/>
                <w:highlight w:val="none"/>
              </w:rPr>
              <w:t>年返修打砂底架780个</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eastAsia="zh-CN"/>
              </w:rPr>
              <w:t>建设项目</w:t>
            </w:r>
            <w:r>
              <w:rPr>
                <w:color w:val="auto"/>
                <w:highlight w:val="none"/>
              </w:rPr>
              <w:t>环评时间</w:t>
            </w:r>
          </w:p>
        </w:tc>
        <w:tc>
          <w:tcPr>
            <w:tcW w:w="1015"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eastAsia="zh-CN"/>
              </w:rPr>
              <w:t>2020年11月</w:t>
            </w:r>
            <w:r>
              <w:rPr>
                <w:rFonts w:hint="eastAsia"/>
                <w:color w:val="auto"/>
                <w:highlight w:val="none"/>
              </w:rPr>
              <w:t>26日</w:t>
            </w:r>
          </w:p>
        </w:tc>
        <w:tc>
          <w:tcPr>
            <w:tcW w:w="1087" w:type="pct"/>
            <w:vAlign w:val="center"/>
          </w:tcPr>
          <w:p>
            <w:pPr>
              <w:adjustRightInd w:val="0"/>
              <w:snapToGrid w:val="0"/>
              <w:spacing w:line="240" w:lineRule="auto"/>
              <w:ind w:firstLine="0" w:firstLineChars="0"/>
              <w:jc w:val="center"/>
              <w:rPr>
                <w:color w:val="auto"/>
                <w:highlight w:val="none"/>
              </w:rPr>
            </w:pPr>
            <w:r>
              <w:rPr>
                <w:color w:val="auto"/>
                <w:highlight w:val="none"/>
              </w:rPr>
              <w:t>开工</w:t>
            </w:r>
            <w:r>
              <w:rPr>
                <w:rFonts w:hint="eastAsia"/>
                <w:color w:val="auto"/>
                <w:highlight w:val="none"/>
                <w:lang w:eastAsia="zh-CN"/>
              </w:rPr>
              <w:t>建设时间</w:t>
            </w:r>
          </w:p>
        </w:tc>
        <w:tc>
          <w:tcPr>
            <w:tcW w:w="1768" w:type="pct"/>
            <w:gridSpan w:val="3"/>
            <w:vAlign w:val="center"/>
          </w:tcPr>
          <w:p>
            <w:pPr>
              <w:adjustRightInd w:val="0"/>
              <w:snapToGrid w:val="0"/>
              <w:spacing w:line="240" w:lineRule="auto"/>
              <w:ind w:firstLine="0" w:firstLineChars="0"/>
              <w:jc w:val="center"/>
              <w:rPr>
                <w:color w:val="auto"/>
                <w:highlight w:val="none"/>
              </w:rPr>
            </w:pPr>
            <w:r>
              <w:rPr>
                <w:color w:val="auto"/>
                <w:highlight w:val="none"/>
              </w:rPr>
              <w:t>202</w:t>
            </w:r>
            <w:r>
              <w:rPr>
                <w:rFonts w:hint="eastAsia"/>
                <w:color w:val="auto"/>
                <w:highlight w:val="none"/>
              </w:rPr>
              <w:t>1</w:t>
            </w:r>
            <w:r>
              <w:rPr>
                <w:color w:val="auto"/>
                <w:highlight w:val="none"/>
              </w:rPr>
              <w:t>年</w:t>
            </w:r>
            <w:r>
              <w:rPr>
                <w:rFonts w:hint="eastAsia"/>
                <w:color w:val="auto"/>
                <w:highlight w:val="none"/>
              </w:rPr>
              <w:t>4</w:t>
            </w:r>
            <w:r>
              <w:rPr>
                <w:color w:val="auto"/>
                <w:highlight w:val="none"/>
              </w:rPr>
              <w:t>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eastAsia="zh-CN"/>
              </w:rPr>
              <w:t>调试</w:t>
            </w:r>
            <w:r>
              <w:rPr>
                <w:color w:val="auto"/>
                <w:highlight w:val="none"/>
              </w:rPr>
              <w:t>时间</w:t>
            </w:r>
          </w:p>
        </w:tc>
        <w:tc>
          <w:tcPr>
            <w:tcW w:w="1015" w:type="pct"/>
            <w:vAlign w:val="center"/>
          </w:tcPr>
          <w:p>
            <w:pPr>
              <w:adjustRightInd w:val="0"/>
              <w:snapToGrid w:val="0"/>
              <w:spacing w:line="240" w:lineRule="auto"/>
              <w:ind w:firstLine="0" w:firstLineChars="0"/>
              <w:jc w:val="center"/>
              <w:rPr>
                <w:color w:val="auto"/>
                <w:highlight w:val="none"/>
              </w:rPr>
            </w:pPr>
            <w:r>
              <w:rPr>
                <w:color w:val="auto"/>
                <w:highlight w:val="none"/>
              </w:rPr>
              <w:t>202</w:t>
            </w:r>
            <w:r>
              <w:rPr>
                <w:rFonts w:hint="eastAsia"/>
                <w:color w:val="auto"/>
                <w:highlight w:val="none"/>
              </w:rPr>
              <w:t>2</w:t>
            </w:r>
            <w:r>
              <w:rPr>
                <w:color w:val="auto"/>
                <w:highlight w:val="none"/>
              </w:rPr>
              <w:t>年</w:t>
            </w:r>
            <w:r>
              <w:rPr>
                <w:rFonts w:hint="eastAsia"/>
                <w:color w:val="auto"/>
                <w:highlight w:val="none"/>
                <w:lang w:val="en-US" w:eastAsia="zh-CN"/>
              </w:rPr>
              <w:t>10</w:t>
            </w:r>
            <w:r>
              <w:rPr>
                <w:color w:val="auto"/>
                <w:highlight w:val="none"/>
              </w:rPr>
              <w:t>月</w:t>
            </w:r>
          </w:p>
        </w:tc>
        <w:tc>
          <w:tcPr>
            <w:tcW w:w="1087"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eastAsia="zh-CN"/>
              </w:rPr>
              <w:t>验收</w:t>
            </w:r>
            <w:r>
              <w:rPr>
                <w:color w:val="auto"/>
                <w:highlight w:val="none"/>
              </w:rPr>
              <w:t>现场监测时间</w:t>
            </w:r>
          </w:p>
        </w:tc>
        <w:tc>
          <w:tcPr>
            <w:tcW w:w="1768" w:type="pct"/>
            <w:gridSpan w:val="3"/>
            <w:vAlign w:val="center"/>
          </w:tcPr>
          <w:p>
            <w:pPr>
              <w:pStyle w:val="2"/>
              <w:snapToGrid w:val="0"/>
              <w:spacing w:line="240" w:lineRule="auto"/>
              <w:ind w:firstLine="0" w:firstLineChars="0"/>
              <w:textAlignment w:val="auto"/>
              <w:rPr>
                <w:rFonts w:hint="eastAsia" w:eastAsia="宋体" w:cs="Times New Roman"/>
                <w:color w:val="auto"/>
                <w:szCs w:val="24"/>
                <w:highlight w:val="none"/>
                <w:lang w:eastAsia="zh-CN"/>
              </w:rPr>
            </w:pPr>
            <w:r>
              <w:rPr>
                <w:rFonts w:hint="eastAsia" w:cs="Times New Roman"/>
                <w:color w:val="auto"/>
                <w:kern w:val="0"/>
                <w:highlight w:val="none"/>
                <w:lang w:eastAsia="zh-CN"/>
              </w:rPr>
              <w:t>2023年9月5日~2023年9月6日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28"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环评报告表</w:t>
            </w:r>
          </w:p>
          <w:p>
            <w:pPr>
              <w:adjustRightInd w:val="0"/>
              <w:snapToGrid w:val="0"/>
              <w:spacing w:line="240" w:lineRule="auto"/>
              <w:ind w:firstLine="0" w:firstLineChars="0"/>
              <w:jc w:val="center"/>
              <w:rPr>
                <w:color w:val="auto"/>
                <w:sz w:val="30"/>
                <w:szCs w:val="30"/>
                <w:highlight w:val="none"/>
              </w:rPr>
            </w:pPr>
            <w:r>
              <w:rPr>
                <w:color w:val="auto"/>
                <w:highlight w:val="none"/>
              </w:rPr>
              <w:t>审批部门</w:t>
            </w:r>
          </w:p>
        </w:tc>
        <w:tc>
          <w:tcPr>
            <w:tcW w:w="1015" w:type="pct"/>
            <w:vAlign w:val="center"/>
          </w:tcPr>
          <w:p>
            <w:pPr>
              <w:adjustRightInd w:val="0"/>
              <w:snapToGrid w:val="0"/>
              <w:spacing w:line="240" w:lineRule="auto"/>
              <w:ind w:firstLine="0" w:firstLineChars="0"/>
              <w:jc w:val="center"/>
              <w:rPr>
                <w:rFonts w:hint="eastAsia" w:eastAsia="宋体"/>
                <w:color w:val="auto"/>
                <w:highlight w:val="none"/>
                <w:lang w:eastAsia="zh-CN"/>
              </w:rPr>
            </w:pPr>
            <w:r>
              <w:rPr>
                <w:rFonts w:hint="eastAsia"/>
                <w:color w:val="auto"/>
                <w:highlight w:val="none"/>
                <w:lang w:eastAsia="zh-CN"/>
              </w:rPr>
              <w:t>济南市生态环境局槐荫分局</w:t>
            </w:r>
          </w:p>
        </w:tc>
        <w:tc>
          <w:tcPr>
            <w:tcW w:w="1087" w:type="pct"/>
            <w:vAlign w:val="center"/>
          </w:tcPr>
          <w:p>
            <w:pPr>
              <w:adjustRightInd w:val="0"/>
              <w:snapToGrid w:val="0"/>
              <w:spacing w:line="240" w:lineRule="auto"/>
              <w:ind w:firstLine="0" w:firstLineChars="0"/>
              <w:jc w:val="center"/>
              <w:rPr>
                <w:color w:val="auto"/>
                <w:highlight w:val="none"/>
              </w:rPr>
            </w:pPr>
            <w:r>
              <w:rPr>
                <w:color w:val="auto"/>
                <w:highlight w:val="none"/>
              </w:rPr>
              <w:t>环评报告表</w:t>
            </w:r>
          </w:p>
          <w:p>
            <w:pPr>
              <w:adjustRightInd w:val="0"/>
              <w:snapToGrid w:val="0"/>
              <w:spacing w:line="240" w:lineRule="auto"/>
              <w:ind w:firstLine="0" w:firstLineChars="0"/>
              <w:jc w:val="center"/>
              <w:rPr>
                <w:color w:val="auto"/>
                <w:highlight w:val="none"/>
              </w:rPr>
            </w:pPr>
            <w:r>
              <w:rPr>
                <w:color w:val="auto"/>
                <w:highlight w:val="none"/>
              </w:rPr>
              <w:t>编制单位</w:t>
            </w:r>
          </w:p>
        </w:tc>
        <w:tc>
          <w:tcPr>
            <w:tcW w:w="1768" w:type="pct"/>
            <w:gridSpan w:val="3"/>
            <w:vAlign w:val="center"/>
          </w:tcPr>
          <w:p>
            <w:pPr>
              <w:adjustRightInd w:val="0"/>
              <w:snapToGrid w:val="0"/>
              <w:spacing w:line="240" w:lineRule="auto"/>
              <w:ind w:firstLine="0" w:firstLineChars="0"/>
              <w:rPr>
                <w:rFonts w:hint="eastAsia" w:eastAsia="宋体"/>
                <w:color w:val="auto"/>
                <w:highlight w:val="none"/>
                <w:lang w:eastAsia="zh-CN"/>
              </w:rPr>
            </w:pPr>
            <w:r>
              <w:rPr>
                <w:rFonts w:hint="eastAsia"/>
                <w:color w:val="auto"/>
                <w:highlight w:val="none"/>
                <w:lang w:eastAsia="zh-CN"/>
              </w:rPr>
              <w:t>山东国环环保科技有限公司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环保设施设计单位</w:t>
            </w:r>
          </w:p>
        </w:tc>
        <w:tc>
          <w:tcPr>
            <w:tcW w:w="1015" w:type="pct"/>
            <w:vAlign w:val="center"/>
          </w:tcPr>
          <w:p>
            <w:pPr>
              <w:adjustRightInd w:val="0"/>
              <w:snapToGrid w:val="0"/>
              <w:spacing w:line="240" w:lineRule="auto"/>
              <w:ind w:firstLine="0" w:firstLineChars="0"/>
              <w:jc w:val="center"/>
              <w:rPr>
                <w:color w:val="auto"/>
                <w:highlight w:val="none"/>
              </w:rPr>
            </w:pPr>
            <w:r>
              <w:rPr>
                <w:color w:val="auto"/>
                <w:highlight w:val="none"/>
              </w:rPr>
              <w:t>——</w:t>
            </w:r>
          </w:p>
        </w:tc>
        <w:tc>
          <w:tcPr>
            <w:tcW w:w="1087" w:type="pct"/>
            <w:vAlign w:val="center"/>
          </w:tcPr>
          <w:p>
            <w:pPr>
              <w:adjustRightInd w:val="0"/>
              <w:snapToGrid w:val="0"/>
              <w:spacing w:line="240" w:lineRule="auto"/>
              <w:ind w:firstLine="0" w:firstLineChars="0"/>
              <w:jc w:val="center"/>
              <w:rPr>
                <w:color w:val="auto"/>
                <w:highlight w:val="none"/>
              </w:rPr>
            </w:pPr>
            <w:r>
              <w:rPr>
                <w:color w:val="auto"/>
                <w:highlight w:val="none"/>
              </w:rPr>
              <w:t>环保设施施工单位</w:t>
            </w:r>
          </w:p>
        </w:tc>
        <w:tc>
          <w:tcPr>
            <w:tcW w:w="1768" w:type="pct"/>
            <w:gridSpan w:val="3"/>
            <w:vAlign w:val="center"/>
          </w:tcPr>
          <w:p>
            <w:pPr>
              <w:adjustRightInd w:val="0"/>
              <w:snapToGrid w:val="0"/>
              <w:spacing w:line="240" w:lineRule="auto"/>
              <w:ind w:firstLine="0" w:firstLineChars="0"/>
              <w:jc w:val="center"/>
              <w:rPr>
                <w:color w:val="auto"/>
                <w:highlight w:val="none"/>
              </w:rPr>
            </w:pPr>
            <w:r>
              <w:rPr>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投资总概算</w:t>
            </w:r>
          </w:p>
        </w:tc>
        <w:tc>
          <w:tcPr>
            <w:tcW w:w="1015"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84</w:t>
            </w:r>
            <w:r>
              <w:rPr>
                <w:color w:val="auto"/>
                <w:highlight w:val="none"/>
              </w:rPr>
              <w:t>万元</w:t>
            </w:r>
          </w:p>
        </w:tc>
        <w:tc>
          <w:tcPr>
            <w:tcW w:w="1087" w:type="pct"/>
            <w:vAlign w:val="center"/>
          </w:tcPr>
          <w:p>
            <w:pPr>
              <w:adjustRightInd w:val="0"/>
              <w:snapToGrid w:val="0"/>
              <w:spacing w:line="240" w:lineRule="auto"/>
              <w:ind w:firstLine="0" w:firstLineChars="0"/>
              <w:jc w:val="center"/>
              <w:rPr>
                <w:color w:val="auto"/>
                <w:highlight w:val="none"/>
              </w:rPr>
            </w:pPr>
            <w:r>
              <w:rPr>
                <w:color w:val="auto"/>
                <w:highlight w:val="none"/>
              </w:rPr>
              <w:t>环保投资总概算</w:t>
            </w:r>
          </w:p>
        </w:tc>
        <w:tc>
          <w:tcPr>
            <w:tcW w:w="637"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45</w:t>
            </w:r>
            <w:r>
              <w:rPr>
                <w:color w:val="auto"/>
                <w:highlight w:val="none"/>
              </w:rPr>
              <w:t>万元</w:t>
            </w:r>
          </w:p>
        </w:tc>
        <w:tc>
          <w:tcPr>
            <w:tcW w:w="429" w:type="pct"/>
            <w:vAlign w:val="center"/>
          </w:tcPr>
          <w:p>
            <w:pPr>
              <w:adjustRightInd w:val="0"/>
              <w:snapToGrid w:val="0"/>
              <w:spacing w:line="240" w:lineRule="auto"/>
              <w:ind w:firstLine="0" w:firstLineChars="0"/>
              <w:jc w:val="center"/>
              <w:rPr>
                <w:color w:val="auto"/>
                <w:highlight w:val="none"/>
              </w:rPr>
            </w:pPr>
            <w:r>
              <w:rPr>
                <w:color w:val="auto"/>
                <w:highlight w:val="none"/>
              </w:rPr>
              <w:t>比例</w:t>
            </w:r>
          </w:p>
        </w:tc>
        <w:tc>
          <w:tcPr>
            <w:tcW w:w="701"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53.57</w:t>
            </w:r>
            <w:r>
              <w:rPr>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highlight w:val="none"/>
              </w:rPr>
            </w:pPr>
            <w:r>
              <w:rPr>
                <w:color w:val="auto"/>
                <w:highlight w:val="none"/>
              </w:rPr>
              <w:t>实际总投资</w:t>
            </w:r>
          </w:p>
        </w:tc>
        <w:tc>
          <w:tcPr>
            <w:tcW w:w="1015"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84</w:t>
            </w:r>
            <w:r>
              <w:rPr>
                <w:color w:val="auto"/>
                <w:highlight w:val="none"/>
              </w:rPr>
              <w:t>万元</w:t>
            </w:r>
          </w:p>
        </w:tc>
        <w:tc>
          <w:tcPr>
            <w:tcW w:w="1087" w:type="pct"/>
            <w:vAlign w:val="center"/>
          </w:tcPr>
          <w:p>
            <w:pPr>
              <w:adjustRightInd w:val="0"/>
              <w:snapToGrid w:val="0"/>
              <w:spacing w:line="240" w:lineRule="auto"/>
              <w:ind w:firstLine="0" w:firstLineChars="0"/>
              <w:jc w:val="center"/>
              <w:rPr>
                <w:color w:val="auto"/>
                <w:highlight w:val="none"/>
              </w:rPr>
            </w:pPr>
            <w:r>
              <w:rPr>
                <w:color w:val="auto"/>
                <w:highlight w:val="none"/>
              </w:rPr>
              <w:t>实际环保投资</w:t>
            </w:r>
          </w:p>
        </w:tc>
        <w:tc>
          <w:tcPr>
            <w:tcW w:w="637"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45</w:t>
            </w:r>
            <w:r>
              <w:rPr>
                <w:color w:val="auto"/>
                <w:highlight w:val="none"/>
              </w:rPr>
              <w:t>万元</w:t>
            </w:r>
          </w:p>
        </w:tc>
        <w:tc>
          <w:tcPr>
            <w:tcW w:w="429" w:type="pct"/>
            <w:vAlign w:val="center"/>
          </w:tcPr>
          <w:p>
            <w:pPr>
              <w:adjustRightInd w:val="0"/>
              <w:snapToGrid w:val="0"/>
              <w:spacing w:line="240" w:lineRule="auto"/>
              <w:ind w:firstLine="0" w:firstLineChars="0"/>
              <w:jc w:val="center"/>
              <w:rPr>
                <w:color w:val="auto"/>
                <w:highlight w:val="none"/>
              </w:rPr>
            </w:pPr>
            <w:r>
              <w:rPr>
                <w:color w:val="auto"/>
                <w:highlight w:val="none"/>
              </w:rPr>
              <w:t>比例</w:t>
            </w:r>
          </w:p>
        </w:tc>
        <w:tc>
          <w:tcPr>
            <w:tcW w:w="701"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53.57</w:t>
            </w:r>
            <w:r>
              <w:rPr>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28"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验收监测依据</w:t>
            </w:r>
          </w:p>
        </w:tc>
        <w:tc>
          <w:tcPr>
            <w:tcW w:w="3871" w:type="pct"/>
            <w:gridSpan w:val="5"/>
            <w:vAlign w:val="center"/>
          </w:tcPr>
          <w:p>
            <w:pPr>
              <w:adjustRightInd w:val="0"/>
              <w:snapToGrid w:val="0"/>
              <w:ind w:firstLine="0" w:firstLineChars="0"/>
              <w:jc w:val="left"/>
            </w:pPr>
            <w:r>
              <w:rPr>
                <w:rFonts w:hint="eastAsia"/>
              </w:rPr>
              <w:t>1</w:t>
            </w:r>
            <w:r>
              <w:t>、</w:t>
            </w:r>
            <w:r>
              <w:rPr>
                <w:rFonts w:hint="eastAsia"/>
              </w:rPr>
              <w:t>《国务院关于修改〈建设项目环境保护管理条例〉的决定》（国务院令第682号，2017年10月1日起施行）；</w:t>
            </w:r>
          </w:p>
          <w:p>
            <w:pPr>
              <w:adjustRightInd w:val="0"/>
              <w:snapToGrid w:val="0"/>
              <w:ind w:firstLine="0" w:firstLineChars="0"/>
              <w:jc w:val="left"/>
            </w:pPr>
            <w:r>
              <w:t>2、生态环境部＜关于发布《建设项目竣工环境保护验收技术指南 污染影响类》的公告＞（公告2018年 第9号）；</w:t>
            </w:r>
          </w:p>
          <w:p>
            <w:pPr>
              <w:adjustRightInd w:val="0"/>
              <w:snapToGrid w:val="0"/>
              <w:ind w:firstLine="0" w:firstLineChars="0"/>
              <w:jc w:val="left"/>
            </w:pPr>
            <w:r>
              <w:t>3、环境保护部办公厅函《建设项目竣工环境保护验收暂行办法》（国环规环评[2017]4号）；</w:t>
            </w:r>
          </w:p>
          <w:p>
            <w:pPr>
              <w:adjustRightInd w:val="0"/>
              <w:snapToGrid w:val="0"/>
              <w:ind w:firstLine="0" w:firstLineChars="0"/>
              <w:jc w:val="left"/>
            </w:pPr>
            <w:r>
              <w:rPr>
                <w:rFonts w:hint="eastAsia"/>
              </w:rPr>
              <w:t>4</w:t>
            </w:r>
            <w:r>
              <w:t>、关于印发《污染影响类建设项目重大变动清单（试行）的通知》（环办环评函[2020]688号）；</w:t>
            </w:r>
          </w:p>
          <w:p>
            <w:pPr>
              <w:adjustRightInd w:val="0"/>
              <w:snapToGrid w:val="0"/>
              <w:ind w:firstLine="0" w:firstLineChars="0"/>
              <w:jc w:val="left"/>
            </w:pPr>
            <w:r>
              <w:rPr>
                <w:rFonts w:hint="eastAsia"/>
              </w:rPr>
              <w:t>5</w:t>
            </w:r>
            <w:r>
              <w:t>、《关于印发建设项目竣工环境保护验收现场检查及审查要点的通知》（环办〔2015〕113号）；</w:t>
            </w:r>
          </w:p>
          <w:p>
            <w:pPr>
              <w:snapToGrid w:val="0"/>
              <w:ind w:firstLine="0" w:firstLineChars="0"/>
            </w:pPr>
            <w:r>
              <w:rPr>
                <w:rFonts w:hint="eastAsia"/>
              </w:rPr>
              <w:t>6</w:t>
            </w:r>
            <w:r>
              <w:t>、《关于进一步加强建设项目固体废物环境管理的通知》鲁环办函〔2016〕141号</w:t>
            </w:r>
            <w:r>
              <w:rPr>
                <w:rFonts w:hint="eastAsia"/>
              </w:rPr>
              <w:t>（2016年9月30日）；</w:t>
            </w:r>
          </w:p>
          <w:p>
            <w:pPr>
              <w:snapToGrid w:val="0"/>
              <w:ind w:firstLine="0" w:firstLineChars="0"/>
            </w:pPr>
            <w:r>
              <w:rPr>
                <w:rFonts w:hint="eastAsia"/>
              </w:rPr>
              <w:t>7</w:t>
            </w:r>
            <w:r>
              <w:t>、《中华人民共和国环境保护法》（2015年1月1日实施）；</w:t>
            </w:r>
          </w:p>
          <w:p>
            <w:pPr>
              <w:snapToGrid w:val="0"/>
              <w:ind w:firstLine="0" w:firstLineChars="0"/>
            </w:pPr>
            <w:r>
              <w:rPr>
                <w:rFonts w:hint="eastAsia"/>
              </w:rPr>
              <w:t>8</w:t>
            </w:r>
            <w:r>
              <w:t>、《中华人民共和国环境影响评价法》（2020年9月29日实施）；</w:t>
            </w:r>
          </w:p>
          <w:p>
            <w:pPr>
              <w:snapToGrid w:val="0"/>
              <w:ind w:firstLine="0" w:firstLineChars="0"/>
            </w:pPr>
            <w:r>
              <w:rPr>
                <w:rFonts w:hint="eastAsia"/>
              </w:rPr>
              <w:t>9</w:t>
            </w:r>
            <w:r>
              <w:t>、《中华人民共和国固体废物污染环境防治法》（2020年9月1日实施）；</w:t>
            </w:r>
          </w:p>
          <w:p>
            <w:pPr>
              <w:snapToGrid w:val="0"/>
              <w:ind w:firstLine="0" w:firstLineChars="0"/>
            </w:pPr>
            <w:r>
              <w:rPr>
                <w:rFonts w:hint="eastAsia"/>
              </w:rPr>
              <w:t>10</w:t>
            </w:r>
            <w:r>
              <w:t>、《中华人民共和国水污染防治法》（2018年1月1日施行）；</w:t>
            </w:r>
          </w:p>
          <w:p>
            <w:pPr>
              <w:snapToGrid w:val="0"/>
              <w:ind w:firstLine="0" w:firstLineChars="0"/>
            </w:pPr>
            <w:r>
              <w:t>1</w:t>
            </w:r>
            <w:r>
              <w:rPr>
                <w:rFonts w:hint="eastAsia"/>
              </w:rPr>
              <w:t>1</w:t>
            </w:r>
            <w:r>
              <w:t>、《中华人民共和国噪声污染防治法》</w:t>
            </w:r>
            <w:r>
              <w:rPr>
                <w:rFonts w:hint="eastAsia"/>
              </w:rPr>
              <w:t>（</w:t>
            </w:r>
            <w:r>
              <w:t>2022年6月5日施行</w:t>
            </w:r>
            <w:r>
              <w:rPr>
                <w:rFonts w:hint="eastAsia"/>
              </w:rPr>
              <w:t>）</w:t>
            </w:r>
            <w:r>
              <w:t>；</w:t>
            </w:r>
          </w:p>
          <w:p>
            <w:pPr>
              <w:snapToGrid w:val="0"/>
              <w:ind w:firstLine="0" w:firstLineChars="0"/>
            </w:pPr>
            <w:r>
              <w:t>1</w:t>
            </w:r>
            <w:r>
              <w:rPr>
                <w:rFonts w:hint="eastAsia"/>
              </w:rPr>
              <w:t>2</w:t>
            </w:r>
            <w:r>
              <w:t>、《中华人民共和国大气污染防治法》（2018年10月）；</w:t>
            </w:r>
          </w:p>
          <w:p>
            <w:pPr>
              <w:snapToGrid w:val="0"/>
              <w:ind w:firstLine="0" w:firstLineChars="0"/>
            </w:pPr>
            <w:r>
              <w:t>1</w:t>
            </w:r>
            <w:r>
              <w:rPr>
                <w:rFonts w:hint="eastAsia"/>
              </w:rPr>
              <w:t>3</w:t>
            </w:r>
            <w:r>
              <w:t>、《山东省环境保护条例》（2019年1月1日）；</w:t>
            </w:r>
          </w:p>
          <w:p>
            <w:pPr>
              <w:snapToGrid w:val="0"/>
              <w:ind w:firstLine="0" w:firstLineChars="0"/>
            </w:pPr>
            <w:r>
              <w:t>14、《山东省大气污染防治条例》（2018年11月30日施行）；</w:t>
            </w:r>
          </w:p>
          <w:p>
            <w:pPr>
              <w:snapToGrid w:val="0"/>
              <w:ind w:firstLine="0" w:firstLineChars="0"/>
            </w:pPr>
            <w:r>
              <w:t>15、《山东省水污染防治条例》（2020年11月27日施行）；</w:t>
            </w:r>
          </w:p>
          <w:p>
            <w:pPr>
              <w:snapToGrid w:val="0"/>
              <w:ind w:firstLine="0" w:firstLineChars="0"/>
            </w:pPr>
            <w:r>
              <w:t>16、《山东省环境噪声污染防治条例》（2018年1月23日施行）；</w:t>
            </w:r>
          </w:p>
          <w:p>
            <w:pPr>
              <w:snapToGrid w:val="0"/>
              <w:ind w:firstLine="0" w:firstLineChars="0"/>
            </w:pPr>
            <w:r>
              <w:t>17、《排污许可管理条例》（2021年3月1日施行）；</w:t>
            </w:r>
          </w:p>
          <w:p>
            <w:pPr>
              <w:snapToGrid w:val="0"/>
              <w:ind w:firstLine="0" w:firstLineChars="0"/>
            </w:pPr>
            <w:r>
              <w:t>18、《建设项目竣工环境保护自主验收须知》（2023年3月15日）；</w:t>
            </w:r>
          </w:p>
          <w:p>
            <w:pPr>
              <w:snapToGrid w:val="0"/>
              <w:ind w:firstLine="0" w:firstLineChars="0"/>
            </w:pPr>
            <w:r>
              <w:t>19、《山东省固体废物污染环境防治条例》（2023年1月1日施行）；</w:t>
            </w:r>
          </w:p>
          <w:p>
            <w:pPr>
              <w:pStyle w:val="2"/>
              <w:snapToGrid w:val="0"/>
              <w:ind w:firstLine="0" w:firstLineChars="0"/>
              <w:textAlignment w:val="auto"/>
              <w:rPr>
                <w:color w:val="auto"/>
                <w:highlight w:val="none"/>
              </w:rPr>
            </w:pPr>
            <w:r>
              <w:rPr>
                <w:rFonts w:hint="eastAsia"/>
                <w:color w:val="auto"/>
                <w:highlight w:val="none"/>
                <w:lang w:val="en-US" w:eastAsia="zh-CN"/>
              </w:rPr>
              <w:t>20</w:t>
            </w:r>
            <w:r>
              <w:rPr>
                <w:color w:val="auto"/>
                <w:highlight w:val="none"/>
              </w:rPr>
              <w:t>、</w:t>
            </w:r>
            <w:r>
              <w:rPr>
                <w:rFonts w:hint="eastAsia"/>
                <w:color w:val="auto"/>
                <w:highlight w:val="none"/>
                <w:lang w:eastAsia="zh-CN"/>
              </w:rPr>
              <w:t>山东国环环保科技有限公司</w:t>
            </w:r>
            <w:r>
              <w:rPr>
                <w:color w:val="auto"/>
                <w:highlight w:val="none"/>
              </w:rPr>
              <w:t>《</w:t>
            </w:r>
            <w:r>
              <w:rPr>
                <w:rFonts w:hint="eastAsia"/>
                <w:color w:val="auto"/>
                <w:highlight w:val="none"/>
                <w:lang w:eastAsia="zh-CN"/>
              </w:rPr>
              <w:t>中车山东机车车辆有限公司原钢构喷漆房改造为打砂房项目</w:t>
            </w:r>
            <w:r>
              <w:rPr>
                <w:color w:val="auto"/>
                <w:highlight w:val="none"/>
              </w:rPr>
              <w:t>环境影响报告表》（</w:t>
            </w:r>
            <w:r>
              <w:rPr>
                <w:rFonts w:hint="eastAsia"/>
                <w:color w:val="auto"/>
                <w:highlight w:val="none"/>
                <w:lang w:eastAsia="zh-CN"/>
              </w:rPr>
              <w:t>2020年11月</w:t>
            </w:r>
            <w:r>
              <w:rPr>
                <w:color w:val="auto"/>
                <w:highlight w:val="none"/>
              </w:rPr>
              <w:t>）；</w:t>
            </w:r>
          </w:p>
          <w:p>
            <w:pPr>
              <w:adjustRightInd w:val="0"/>
              <w:snapToGrid w:val="0"/>
              <w:ind w:firstLine="0" w:firstLineChars="0"/>
              <w:jc w:val="left"/>
              <w:rPr>
                <w:color w:val="auto"/>
                <w:highlight w:val="none"/>
              </w:rPr>
            </w:pPr>
            <w:r>
              <w:rPr>
                <w:rFonts w:hint="eastAsia"/>
                <w:color w:val="auto"/>
                <w:highlight w:val="none"/>
                <w:lang w:val="en-US" w:eastAsia="zh-CN"/>
              </w:rPr>
              <w:t>21</w:t>
            </w:r>
            <w:r>
              <w:rPr>
                <w:color w:val="auto"/>
                <w:highlight w:val="none"/>
              </w:rPr>
              <w:t>、</w:t>
            </w:r>
            <w:r>
              <w:rPr>
                <w:rFonts w:hint="eastAsia"/>
                <w:color w:val="auto"/>
                <w:highlight w:val="none"/>
                <w:lang w:eastAsia="zh-CN"/>
              </w:rPr>
              <w:t>济南市生态环境局槐荫分局</w:t>
            </w:r>
            <w:r>
              <w:rPr>
                <w:color w:val="auto"/>
                <w:highlight w:val="none"/>
              </w:rPr>
              <w:t>关于《</w:t>
            </w:r>
            <w:r>
              <w:rPr>
                <w:rFonts w:hint="eastAsia"/>
                <w:color w:val="auto"/>
                <w:highlight w:val="none"/>
                <w:lang w:eastAsia="zh-CN"/>
              </w:rPr>
              <w:t>中车山东机车车辆有限公司原钢构喷漆房改造为打砂房项目</w:t>
            </w:r>
            <w:r>
              <w:rPr>
                <w:color w:val="auto"/>
                <w:highlight w:val="none"/>
              </w:rPr>
              <w:t>环境影响报告表》的</w:t>
            </w:r>
            <w:r>
              <w:rPr>
                <w:rFonts w:hint="eastAsia"/>
                <w:color w:val="auto"/>
                <w:highlight w:val="none"/>
              </w:rPr>
              <w:t>批复</w:t>
            </w:r>
            <w:r>
              <w:rPr>
                <w:color w:val="auto"/>
                <w:highlight w:val="none"/>
              </w:rPr>
              <w:t>（</w:t>
            </w:r>
            <w:r>
              <w:rPr>
                <w:rFonts w:hint="eastAsia"/>
                <w:color w:val="auto"/>
                <w:highlight w:val="none"/>
                <w:lang w:eastAsia="zh-CN"/>
              </w:rPr>
              <w:t>济槐环建审[2020]45号</w:t>
            </w:r>
            <w:r>
              <w:rPr>
                <w:color w:val="auto"/>
                <w:highlight w:val="none"/>
              </w:rPr>
              <w:t>，</w:t>
            </w:r>
            <w:r>
              <w:rPr>
                <w:rFonts w:hint="eastAsia"/>
                <w:color w:val="auto"/>
                <w:highlight w:val="none"/>
                <w:lang w:eastAsia="zh-CN"/>
              </w:rPr>
              <w:t>2020年11月</w:t>
            </w:r>
            <w:r>
              <w:rPr>
                <w:rFonts w:hint="eastAsia"/>
                <w:color w:val="auto"/>
                <w:highlight w:val="none"/>
              </w:rPr>
              <w:t>26日</w:t>
            </w:r>
            <w:r>
              <w:rPr>
                <w:color w:val="auto"/>
                <w:highlight w:val="none"/>
              </w:rPr>
              <w:t>）；</w:t>
            </w:r>
          </w:p>
          <w:p>
            <w:pPr>
              <w:adjustRightInd w:val="0"/>
              <w:snapToGrid w:val="0"/>
              <w:ind w:firstLine="0" w:firstLineChars="0"/>
              <w:jc w:val="left"/>
              <w:rPr>
                <w:color w:val="auto"/>
                <w:highlight w:val="none"/>
              </w:rPr>
            </w:pPr>
            <w:r>
              <w:rPr>
                <w:rFonts w:hint="eastAsia"/>
                <w:color w:val="auto"/>
                <w:highlight w:val="none"/>
                <w:lang w:val="en-US" w:eastAsia="zh-CN"/>
              </w:rPr>
              <w:t>22</w:t>
            </w:r>
            <w:r>
              <w:rPr>
                <w:color w:val="auto"/>
                <w:highlight w:val="none"/>
              </w:rPr>
              <w:t>、</w:t>
            </w:r>
            <w:r>
              <w:rPr>
                <w:rFonts w:hint="eastAsia"/>
                <w:color w:val="auto"/>
                <w:highlight w:val="none"/>
                <w:lang w:eastAsia="zh-CN"/>
              </w:rPr>
              <w:t>中车山东机车车辆有限公司原钢构喷漆房改造为打砂房项目</w:t>
            </w:r>
            <w:r>
              <w:rPr>
                <w:color w:val="auto"/>
                <w:highlight w:val="none"/>
              </w:rPr>
              <w:t>竣工环境保护验收</w:t>
            </w:r>
            <w:r>
              <w:rPr>
                <w:rFonts w:hint="eastAsia"/>
                <w:color w:val="auto"/>
                <w:highlight w:val="none"/>
                <w:lang w:eastAsia="zh-CN"/>
              </w:rPr>
              <w:t>检</w:t>
            </w:r>
            <w:r>
              <w:rPr>
                <w:color w:val="auto"/>
                <w:highlight w:val="none"/>
              </w:rPr>
              <w:t>测委托书。</w:t>
            </w:r>
          </w:p>
          <w:p>
            <w:pPr>
              <w:pStyle w:val="27"/>
              <w:ind w:firstLine="560"/>
              <w:rPr>
                <w:color w:val="auto"/>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28" w:type="pct"/>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24"/>
                <w:szCs w:val="24"/>
                <w:highlight w:val="none"/>
              </w:rPr>
              <w:t>验收监测标准</w:t>
            </w:r>
          </w:p>
          <w:p>
            <w:pPr>
              <w:spacing w:line="240" w:lineRule="auto"/>
              <w:ind w:firstLine="0" w:firstLineChars="0"/>
              <w:jc w:val="center"/>
              <w:rPr>
                <w:color w:val="auto"/>
                <w:highlight w:val="none"/>
              </w:rPr>
            </w:pPr>
            <w:r>
              <w:rPr>
                <w:rFonts w:hint="default" w:ascii="Times New Roman" w:hAnsi="Times New Roman" w:eastAsia="宋体" w:cs="Times New Roman"/>
                <w:color w:val="auto"/>
                <w:sz w:val="24"/>
                <w:szCs w:val="24"/>
                <w:highlight w:val="none"/>
              </w:rPr>
              <w:t>标号、级别</w:t>
            </w:r>
          </w:p>
        </w:tc>
        <w:tc>
          <w:tcPr>
            <w:tcW w:w="3871" w:type="pct"/>
            <w:gridSpan w:val="5"/>
            <w:vAlign w:val="center"/>
          </w:tcPr>
          <w:p>
            <w:pPr>
              <w:rPr>
                <w:rFonts w:hint="default"/>
                <w:lang w:val="en-US" w:eastAsia="zh-CN"/>
              </w:rPr>
            </w:pP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auto"/>
                <w:sz w:val="24"/>
                <w:highlight w:val="none"/>
                <w:lang w:val="en-US" w:eastAsia="zh-CN"/>
              </w:rPr>
            </w:pPr>
            <w:r>
              <w:rPr>
                <w:rFonts w:hint="default" w:ascii="Times New Roman" w:hAnsi="Times New Roman" w:eastAsia="宋体"/>
                <w:color w:val="auto"/>
                <w:sz w:val="24"/>
                <w:highlight w:val="none"/>
                <w:lang w:val="en-US" w:eastAsia="zh-CN"/>
              </w:rPr>
              <w:t>1、废气：</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highlight w:val="none"/>
                <w:lang w:val="en-US" w:eastAsia="zh-CN"/>
              </w:rPr>
            </w:pPr>
            <w:r>
              <w:rPr>
                <w:rFonts w:hint="default" w:ascii="Calibri" w:hAnsi="Calibri" w:eastAsia="宋体" w:cs="Calibri"/>
                <w:color w:val="auto"/>
                <w:sz w:val="24"/>
                <w:highlight w:val="none"/>
                <w:lang w:val="en-US" w:eastAsia="zh-CN"/>
              </w:rPr>
              <w:t>①</w:t>
            </w:r>
            <w:r>
              <w:rPr>
                <w:rFonts w:hint="eastAsia" w:ascii="Times New Roman" w:hAnsi="Times New Roman" w:eastAsia="宋体" w:cs="Times New Roman"/>
                <w:color w:val="auto"/>
                <w:sz w:val="24"/>
                <w:highlight w:val="none"/>
                <w:lang w:val="en-US" w:eastAsia="zh-CN"/>
              </w:rPr>
              <w:t>有组织废气：</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颗粒物：固定污染源废气 低浓度颗粒物的测定 重量法（HJ 836-2017）</w:t>
            </w:r>
            <w:r>
              <w:rPr>
                <w:rFonts w:hint="eastAsia" w:ascii="Times New Roman" w:hAnsi="Times New Roman" w:cs="Times New Roman"/>
                <w:color w:val="auto"/>
                <w:sz w:val="24"/>
                <w:highlight w:val="none"/>
                <w:lang w:val="en-US" w:eastAsia="zh-CN"/>
              </w:rPr>
              <w:t>；</w:t>
            </w:r>
          </w:p>
          <w:p>
            <w:pPr>
              <w:pStyle w:val="26"/>
              <w:spacing w:after="0"/>
              <w:ind w:firstLine="480" w:firstLineChars="200"/>
              <w:jc w:val="both"/>
              <w:rPr>
                <w:rFonts w:hint="default" w:ascii="Times New Roman" w:hAnsi="Times New Roman" w:eastAsia="宋体" w:cs="Times New Roman"/>
                <w:color w:val="auto"/>
                <w:sz w:val="24"/>
                <w:highlight w:val="none"/>
                <w:lang w:val="en-US" w:eastAsia="zh-CN"/>
              </w:rPr>
            </w:pPr>
            <w:r>
              <w:rPr>
                <w:rFonts w:hint="default" w:ascii="Calibri" w:hAnsi="Calibri" w:eastAsia="宋体" w:cs="Calibri"/>
                <w:color w:val="auto"/>
                <w:sz w:val="24"/>
                <w:highlight w:val="none"/>
                <w:lang w:val="en-US" w:eastAsia="zh-CN"/>
              </w:rPr>
              <w:t>②</w:t>
            </w:r>
            <w:r>
              <w:rPr>
                <w:rFonts w:hint="eastAsia" w:ascii="Times New Roman" w:hAnsi="Times New Roman" w:eastAsia="宋体" w:cs="Times New Roman"/>
                <w:color w:val="auto"/>
                <w:sz w:val="24"/>
                <w:highlight w:val="none"/>
                <w:lang w:val="en-US" w:eastAsia="zh-CN"/>
              </w:rPr>
              <w:t>无组织废气：</w:t>
            </w:r>
          </w:p>
          <w:p>
            <w:pPr>
              <w:pStyle w:val="26"/>
              <w:spacing w:after="0"/>
              <w:ind w:firstLine="480" w:firstLineChars="200"/>
              <w:jc w:val="both"/>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颗粒物：环境空气 总悬浮颗粒物的测定 重量法（</w:t>
            </w:r>
            <w:r>
              <w:rPr>
                <w:rFonts w:hint="eastAsia" w:eastAsia="宋体" w:cs="Times New Roman"/>
                <w:color w:val="auto"/>
                <w:sz w:val="24"/>
                <w:highlight w:val="none"/>
                <w:lang w:val="en-US" w:eastAsia="zh-CN"/>
              </w:rPr>
              <w:t>HJ 1263-2022</w:t>
            </w:r>
            <w:r>
              <w:rPr>
                <w:rFonts w:hint="default" w:ascii="Times New Roman" w:hAnsi="Times New Roman" w:eastAsia="宋体" w:cs="Times New Roman"/>
                <w:color w:val="auto"/>
                <w:sz w:val="24"/>
                <w:highlight w:val="none"/>
                <w:lang w:val="en-US" w:eastAsia="zh-CN"/>
              </w:rPr>
              <w:t>）；</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auto"/>
                <w:sz w:val="24"/>
                <w:highlight w:val="none"/>
                <w:lang w:val="en-US" w:eastAsia="zh-CN"/>
              </w:rPr>
            </w:pPr>
            <w:r>
              <w:rPr>
                <w:rFonts w:hint="eastAsia" w:ascii="Times New Roman" w:hAnsi="Times New Roman"/>
                <w:color w:val="auto"/>
                <w:sz w:val="24"/>
                <w:highlight w:val="none"/>
                <w:lang w:val="en-US" w:eastAsia="zh-CN"/>
              </w:rPr>
              <w:t>2</w:t>
            </w:r>
            <w:r>
              <w:rPr>
                <w:rFonts w:hint="default" w:ascii="Times New Roman" w:hAnsi="Times New Roman" w:eastAsia="宋体"/>
                <w:color w:val="auto"/>
                <w:sz w:val="24"/>
                <w:highlight w:val="none"/>
                <w:lang w:val="en-US" w:eastAsia="zh-CN"/>
              </w:rPr>
              <w:t>、噪声：</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auto"/>
                <w:sz w:val="24"/>
                <w:highlight w:val="none"/>
                <w:lang w:val="en-US" w:eastAsia="zh-CN"/>
              </w:rPr>
            </w:pPr>
            <w:r>
              <w:rPr>
                <w:rFonts w:hint="default" w:ascii="Times New Roman" w:hAnsi="Times New Roman" w:eastAsia="宋体"/>
                <w:color w:val="auto"/>
                <w:sz w:val="24"/>
                <w:highlight w:val="none"/>
                <w:lang w:val="en-US" w:eastAsia="zh-CN"/>
              </w:rPr>
              <w:t>声级计法：GB12348</w:t>
            </w:r>
            <w:r>
              <w:rPr>
                <w:rFonts w:hint="eastAsia" w:ascii="Times New Roman" w:hAnsi="Times New Roman" w:eastAsia="宋体"/>
                <w:color w:val="auto"/>
                <w:sz w:val="24"/>
                <w:highlight w:val="none"/>
                <w:lang w:val="en-US" w:eastAsia="zh-CN"/>
              </w:rPr>
              <w:t>-</w:t>
            </w:r>
            <w:r>
              <w:rPr>
                <w:rFonts w:hint="default" w:ascii="Times New Roman" w:hAnsi="Times New Roman" w:eastAsia="宋体"/>
                <w:color w:val="auto"/>
                <w:sz w:val="24"/>
                <w:highlight w:val="none"/>
                <w:lang w:val="en-US" w:eastAsia="zh-CN"/>
              </w:rPr>
              <w:t>2008</w:t>
            </w:r>
            <w:r>
              <w:rPr>
                <w:rFonts w:hint="eastAsia" w:ascii="Times New Roman" w:hAnsi="Times New Roman" w:eastAsia="宋体"/>
                <w:color w:val="auto"/>
                <w:sz w:val="24"/>
                <w:highlight w:val="none"/>
                <w:lang w:val="en-US" w:eastAsia="zh-CN"/>
              </w:rPr>
              <w:t>；GB3096-2008</w:t>
            </w:r>
            <w:r>
              <w:rPr>
                <w:rFonts w:hint="default" w:ascii="Times New Roman" w:hAnsi="Times New Roman" w:eastAsia="宋体"/>
                <w:color w:val="auto"/>
                <w:sz w:val="24"/>
                <w:highlight w:val="none"/>
                <w:lang w:val="en-US" w:eastAsia="zh-CN"/>
              </w:rPr>
              <w:t>。</w:t>
            </w:r>
          </w:p>
          <w:p>
            <w:pPr>
              <w:pStyle w:val="11"/>
              <w:ind w:left="0" w:leftChars="0" w:firstLine="0" w:firstLineChars="0"/>
              <w:rPr>
                <w:color w:val="auto"/>
                <w:highlight w:val="none"/>
              </w:rPr>
            </w:pPr>
          </w:p>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28" w:type="pct"/>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24"/>
                <w:szCs w:val="24"/>
                <w:highlight w:val="none"/>
              </w:rPr>
              <w:t>验收监测标准</w:t>
            </w:r>
          </w:p>
          <w:p>
            <w:pPr>
              <w:spacing w:line="240" w:lineRule="auto"/>
              <w:ind w:firstLine="0" w:firstLineChars="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标号、级别</w:t>
            </w:r>
          </w:p>
        </w:tc>
        <w:tc>
          <w:tcPr>
            <w:tcW w:w="3871" w:type="pct"/>
            <w:gridSpan w:val="5"/>
            <w:vAlign w:val="center"/>
          </w:tcPr>
          <w:p>
            <w:pPr>
              <w:pStyle w:val="10"/>
              <w:adjustRightInd w:val="0"/>
              <w:snapToGrid w:val="0"/>
              <w:ind w:firstLine="480"/>
              <w:rPr>
                <w:rFonts w:ascii="Times New Roman" w:hAnsi="Times New Roman"/>
                <w:color w:val="auto"/>
                <w:sz w:val="24"/>
                <w:highlight w:val="none"/>
              </w:rPr>
            </w:pPr>
          </w:p>
          <w:p>
            <w:pPr>
              <w:pStyle w:val="11"/>
              <w:rPr>
                <w:rFonts w:ascii="Times New Roman" w:hAnsi="Times New Roman"/>
                <w:color w:val="auto"/>
                <w:sz w:val="24"/>
                <w:highlight w:val="none"/>
              </w:rPr>
            </w:pPr>
          </w:p>
          <w:p/>
          <w:p>
            <w:pPr>
              <w:pStyle w:val="10"/>
              <w:adjustRightInd w:val="0"/>
              <w:snapToGrid w:val="0"/>
              <w:ind w:firstLine="480"/>
              <w:rPr>
                <w:rFonts w:ascii="Times New Roman" w:hAnsi="Times New Roman"/>
                <w:color w:val="auto"/>
                <w:sz w:val="24"/>
                <w:highlight w:val="none"/>
              </w:rPr>
            </w:pPr>
            <w:r>
              <w:rPr>
                <w:rFonts w:ascii="Times New Roman" w:hAnsi="Times New Roman"/>
                <w:color w:val="auto"/>
                <w:sz w:val="24"/>
                <w:highlight w:val="none"/>
              </w:rPr>
              <w:t>1、废气：</w:t>
            </w:r>
          </w:p>
          <w:p>
            <w:pPr>
              <w:adjustRightInd w:val="0"/>
              <w:snapToGrid w:val="0"/>
              <w:ind w:firstLine="480"/>
              <w:jc w:val="left"/>
              <w:rPr>
                <w:rFonts w:hint="eastAsia"/>
                <w:color w:val="auto"/>
                <w:highlight w:val="none"/>
              </w:rPr>
            </w:pPr>
            <w:r>
              <w:rPr>
                <w:rFonts w:hint="eastAsia"/>
                <w:color w:val="auto"/>
                <w:highlight w:val="none"/>
              </w:rPr>
              <w:t>有组织颗粒物排放浓度</w:t>
            </w:r>
            <w:r>
              <w:rPr>
                <w:rFonts w:hint="eastAsia"/>
                <w:color w:val="auto"/>
                <w:highlight w:val="none"/>
                <w:lang w:eastAsia="zh-CN"/>
              </w:rPr>
              <w:t>执行</w:t>
            </w:r>
            <w:r>
              <w:rPr>
                <w:rFonts w:hint="eastAsia"/>
                <w:color w:val="auto"/>
                <w:highlight w:val="none"/>
              </w:rPr>
              <w:t>《山东省区域性大气污染物综合排放标准》（DB37/2376-2019）标准中表1重点控制区的要求，排放速率</w:t>
            </w:r>
            <w:r>
              <w:rPr>
                <w:rFonts w:hint="eastAsia"/>
                <w:color w:val="auto"/>
                <w:highlight w:val="none"/>
                <w:lang w:eastAsia="zh-CN"/>
              </w:rPr>
              <w:t>执行</w:t>
            </w:r>
            <w:r>
              <w:rPr>
                <w:rFonts w:hint="eastAsia"/>
                <w:color w:val="auto"/>
                <w:highlight w:val="none"/>
              </w:rPr>
              <w:t>《大气污染物综合排放标准》（GB16297-1996）表2二级标准的要求；</w:t>
            </w:r>
          </w:p>
          <w:p>
            <w:pPr>
              <w:adjustRightInd w:val="0"/>
              <w:snapToGrid w:val="0"/>
              <w:ind w:firstLine="480"/>
              <w:jc w:val="left"/>
              <w:rPr>
                <w:rFonts w:hint="eastAsia"/>
                <w:color w:val="auto"/>
                <w:highlight w:val="none"/>
              </w:rPr>
            </w:pPr>
            <w:r>
              <w:rPr>
                <w:rFonts w:hint="eastAsia"/>
                <w:color w:val="auto"/>
                <w:highlight w:val="none"/>
              </w:rPr>
              <w:t>无组织颗粒物厂界浓度</w:t>
            </w:r>
            <w:r>
              <w:rPr>
                <w:rFonts w:hint="eastAsia"/>
                <w:color w:val="auto"/>
                <w:highlight w:val="none"/>
                <w:lang w:eastAsia="zh-CN"/>
              </w:rPr>
              <w:t>执行</w:t>
            </w:r>
            <w:r>
              <w:rPr>
                <w:rFonts w:hint="eastAsia"/>
                <w:color w:val="auto"/>
                <w:highlight w:val="none"/>
              </w:rPr>
              <w:t>《大气污染物综合排放标准》（GB16297-1996）表2无组织排放浓度限值。</w:t>
            </w:r>
          </w:p>
          <w:p>
            <w:pPr>
              <w:pStyle w:val="10"/>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rPr>
              <w:t>1-1</w:t>
            </w:r>
            <w:r>
              <w:rPr>
                <w:rFonts w:ascii="Times New Roman" w:hAnsi="Times New Roman"/>
                <w:b/>
                <w:bCs/>
                <w:color w:val="auto"/>
                <w:sz w:val="24"/>
                <w:highlight w:val="none"/>
              </w:rPr>
              <w:t xml:space="preserve">  大气污染物排放限值</w:t>
            </w:r>
          </w:p>
          <w:tbl>
            <w:tblPr>
              <w:tblStyle w:val="2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898"/>
              <w:gridCol w:w="1622"/>
              <w:gridCol w:w="888"/>
              <w:gridCol w:w="1347"/>
              <w:gridCol w:w="18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47" w:type="pct"/>
                  <w:vMerge w:val="restart"/>
                  <w:shd w:val="clear" w:color="auto" w:fill="auto"/>
                  <w:vAlign w:val="center"/>
                </w:tcPr>
                <w:p>
                  <w:pPr>
                    <w:pStyle w:val="41"/>
                    <w:rPr>
                      <w:b/>
                      <w:bCs/>
                      <w:color w:val="auto"/>
                      <w:szCs w:val="21"/>
                      <w:highlight w:val="none"/>
                    </w:rPr>
                  </w:pPr>
                  <w:r>
                    <w:rPr>
                      <w:b/>
                      <w:bCs/>
                      <w:color w:val="auto"/>
                      <w:szCs w:val="21"/>
                      <w:highlight w:val="none"/>
                    </w:rPr>
                    <w:t>序号</w:t>
                  </w:r>
                </w:p>
              </w:tc>
              <w:tc>
                <w:tcPr>
                  <w:tcW w:w="618" w:type="pct"/>
                  <w:vMerge w:val="restart"/>
                  <w:shd w:val="clear" w:color="auto" w:fill="auto"/>
                  <w:vAlign w:val="center"/>
                </w:tcPr>
                <w:p>
                  <w:pPr>
                    <w:pStyle w:val="41"/>
                    <w:rPr>
                      <w:rFonts w:hint="eastAsia" w:eastAsia="宋体"/>
                      <w:b/>
                      <w:bCs/>
                      <w:color w:val="auto"/>
                      <w:szCs w:val="21"/>
                      <w:highlight w:val="none"/>
                      <w:lang w:eastAsia="zh-CN"/>
                    </w:rPr>
                  </w:pPr>
                  <w:r>
                    <w:rPr>
                      <w:rFonts w:hint="eastAsia"/>
                      <w:b/>
                      <w:bCs/>
                      <w:color w:val="auto"/>
                      <w:szCs w:val="21"/>
                      <w:highlight w:val="none"/>
                      <w:lang w:eastAsia="zh-CN"/>
                    </w:rPr>
                    <w:t>监测因子</w:t>
                  </w:r>
                </w:p>
              </w:tc>
              <w:tc>
                <w:tcPr>
                  <w:tcW w:w="2654" w:type="pct"/>
                  <w:gridSpan w:val="3"/>
                  <w:shd w:val="clear" w:color="auto" w:fill="auto"/>
                  <w:vAlign w:val="center"/>
                </w:tcPr>
                <w:p>
                  <w:pPr>
                    <w:pStyle w:val="41"/>
                    <w:rPr>
                      <w:b/>
                      <w:bCs/>
                      <w:color w:val="auto"/>
                      <w:szCs w:val="21"/>
                      <w:highlight w:val="none"/>
                    </w:rPr>
                  </w:pPr>
                  <w:r>
                    <w:rPr>
                      <w:b/>
                      <w:bCs/>
                      <w:color w:val="auto"/>
                      <w:szCs w:val="21"/>
                      <w:highlight w:val="none"/>
                    </w:rPr>
                    <w:t>有组织排放</w:t>
                  </w:r>
                </w:p>
              </w:tc>
              <w:tc>
                <w:tcPr>
                  <w:tcW w:w="1279" w:type="pct"/>
                  <w:shd w:val="clear" w:color="auto" w:fill="auto"/>
                  <w:vAlign w:val="center"/>
                </w:tcPr>
                <w:p>
                  <w:pPr>
                    <w:pStyle w:val="41"/>
                    <w:rPr>
                      <w:b/>
                      <w:bCs/>
                      <w:color w:val="auto"/>
                      <w:szCs w:val="21"/>
                      <w:highlight w:val="none"/>
                    </w:rPr>
                  </w:pPr>
                  <w:r>
                    <w:rPr>
                      <w:b/>
                      <w:bCs/>
                      <w:color w:val="auto"/>
                      <w:szCs w:val="21"/>
                      <w:highlight w:val="none"/>
                    </w:rPr>
                    <w:t>无组织排放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47" w:type="pct"/>
                  <w:vMerge w:val="continue"/>
                  <w:shd w:val="clear" w:color="auto" w:fill="auto"/>
                  <w:vAlign w:val="center"/>
                </w:tcPr>
                <w:p>
                  <w:pPr>
                    <w:pStyle w:val="41"/>
                    <w:rPr>
                      <w:b/>
                      <w:bCs/>
                      <w:color w:val="auto"/>
                      <w:szCs w:val="21"/>
                      <w:highlight w:val="none"/>
                    </w:rPr>
                  </w:pPr>
                </w:p>
              </w:tc>
              <w:tc>
                <w:tcPr>
                  <w:tcW w:w="618" w:type="pct"/>
                  <w:vMerge w:val="continue"/>
                  <w:shd w:val="clear" w:color="auto" w:fill="auto"/>
                  <w:vAlign w:val="center"/>
                </w:tcPr>
                <w:p>
                  <w:pPr>
                    <w:pStyle w:val="41"/>
                    <w:rPr>
                      <w:b/>
                      <w:bCs/>
                      <w:color w:val="auto"/>
                      <w:szCs w:val="21"/>
                      <w:highlight w:val="none"/>
                    </w:rPr>
                  </w:pPr>
                </w:p>
              </w:tc>
              <w:tc>
                <w:tcPr>
                  <w:tcW w:w="1116" w:type="pct"/>
                  <w:shd w:val="clear" w:color="auto" w:fill="auto"/>
                  <w:vAlign w:val="center"/>
                </w:tcPr>
                <w:p>
                  <w:pPr>
                    <w:pStyle w:val="41"/>
                    <w:rPr>
                      <w:rFonts w:hint="eastAsia" w:eastAsia="宋体"/>
                      <w:b/>
                      <w:bCs/>
                      <w:color w:val="auto"/>
                      <w:szCs w:val="21"/>
                      <w:highlight w:val="none"/>
                      <w:lang w:eastAsia="zh-CN"/>
                    </w:rPr>
                  </w:pPr>
                  <w:r>
                    <w:rPr>
                      <w:b/>
                      <w:bCs/>
                      <w:color w:val="auto"/>
                      <w:szCs w:val="21"/>
                      <w:highlight w:val="none"/>
                    </w:rPr>
                    <w:t>最高允许排放浓度mg/</w:t>
                  </w:r>
                  <w:r>
                    <w:rPr>
                      <w:rFonts w:hint="eastAsia"/>
                      <w:b/>
                      <w:bCs/>
                      <w:color w:val="auto"/>
                      <w:szCs w:val="21"/>
                      <w:highlight w:val="none"/>
                      <w:lang w:eastAsia="zh-CN"/>
                    </w:rPr>
                    <w:t>m³</w:t>
                  </w:r>
                </w:p>
              </w:tc>
              <w:tc>
                <w:tcPr>
                  <w:tcW w:w="611" w:type="pct"/>
                  <w:shd w:val="clear" w:color="auto" w:fill="auto"/>
                  <w:vAlign w:val="center"/>
                </w:tcPr>
                <w:p>
                  <w:pPr>
                    <w:pStyle w:val="41"/>
                    <w:rPr>
                      <w:b/>
                      <w:bCs/>
                      <w:color w:val="auto"/>
                      <w:szCs w:val="21"/>
                      <w:highlight w:val="none"/>
                    </w:rPr>
                  </w:pPr>
                  <w:r>
                    <w:rPr>
                      <w:b/>
                      <w:bCs/>
                      <w:color w:val="auto"/>
                      <w:szCs w:val="21"/>
                      <w:highlight w:val="none"/>
                    </w:rPr>
                    <w:t>排气筒高度m</w:t>
                  </w:r>
                </w:p>
              </w:tc>
              <w:tc>
                <w:tcPr>
                  <w:tcW w:w="927" w:type="pct"/>
                  <w:shd w:val="clear" w:color="auto" w:fill="auto"/>
                  <w:vAlign w:val="center"/>
                </w:tcPr>
                <w:p>
                  <w:pPr>
                    <w:pStyle w:val="41"/>
                    <w:rPr>
                      <w:b/>
                      <w:bCs/>
                      <w:color w:val="auto"/>
                      <w:szCs w:val="21"/>
                      <w:highlight w:val="none"/>
                    </w:rPr>
                  </w:pPr>
                  <w:r>
                    <w:rPr>
                      <w:b/>
                      <w:bCs/>
                      <w:color w:val="auto"/>
                      <w:szCs w:val="21"/>
                      <w:highlight w:val="none"/>
                    </w:rPr>
                    <w:t>最高允许排放速率kg/h</w:t>
                  </w:r>
                </w:p>
              </w:tc>
              <w:tc>
                <w:tcPr>
                  <w:tcW w:w="1279" w:type="pct"/>
                  <w:shd w:val="clear" w:color="auto" w:fill="auto"/>
                  <w:vAlign w:val="center"/>
                </w:tcPr>
                <w:p>
                  <w:pPr>
                    <w:pStyle w:val="41"/>
                    <w:rPr>
                      <w:rFonts w:hint="eastAsia" w:eastAsia="宋体"/>
                      <w:b/>
                      <w:bCs/>
                      <w:color w:val="auto"/>
                      <w:szCs w:val="21"/>
                      <w:highlight w:val="none"/>
                      <w:lang w:eastAsia="zh-CN"/>
                    </w:rPr>
                  </w:pPr>
                  <w:r>
                    <w:rPr>
                      <w:b/>
                      <w:bCs/>
                      <w:color w:val="auto"/>
                      <w:szCs w:val="21"/>
                      <w:highlight w:val="none"/>
                    </w:rPr>
                    <w:t>周界外浓度最高点限值mg/</w:t>
                  </w:r>
                  <w:r>
                    <w:rPr>
                      <w:rFonts w:hint="eastAsia"/>
                      <w:b/>
                      <w:bCs/>
                      <w:color w:val="auto"/>
                      <w:szCs w:val="21"/>
                      <w:highlight w:val="none"/>
                      <w:lang w:eastAsia="zh-CN"/>
                    </w:rPr>
                    <w:t>m³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47" w:type="pct"/>
                  <w:shd w:val="clear" w:color="auto" w:fill="auto"/>
                  <w:vAlign w:val="center"/>
                </w:tcPr>
                <w:p>
                  <w:pPr>
                    <w:pStyle w:val="41"/>
                    <w:rPr>
                      <w:color w:val="auto"/>
                      <w:szCs w:val="21"/>
                      <w:highlight w:val="none"/>
                    </w:rPr>
                  </w:pPr>
                  <w:r>
                    <w:rPr>
                      <w:rFonts w:hint="eastAsia"/>
                      <w:color w:val="auto"/>
                      <w:szCs w:val="21"/>
                      <w:highlight w:val="none"/>
                    </w:rPr>
                    <w:t>1</w:t>
                  </w:r>
                </w:p>
              </w:tc>
              <w:tc>
                <w:tcPr>
                  <w:tcW w:w="61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颗粒物</w:t>
                  </w:r>
                </w:p>
              </w:tc>
              <w:tc>
                <w:tcPr>
                  <w:tcW w:w="1116"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10</w:t>
                  </w:r>
                </w:p>
              </w:tc>
              <w:tc>
                <w:tcPr>
                  <w:tcW w:w="611"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22</w:t>
                  </w:r>
                </w:p>
              </w:tc>
              <w:tc>
                <w:tcPr>
                  <w:tcW w:w="927"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9.32</w:t>
                  </w:r>
                </w:p>
              </w:tc>
              <w:tc>
                <w:tcPr>
                  <w:tcW w:w="127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1.0</w:t>
                  </w:r>
                </w:p>
              </w:tc>
            </w:tr>
          </w:tbl>
          <w:p>
            <w:pPr>
              <w:pStyle w:val="10"/>
              <w:adjustRightInd w:val="0"/>
              <w:snapToGrid w:val="0"/>
              <w:ind w:firstLine="480"/>
              <w:rPr>
                <w:rFonts w:ascii="Times New Roman" w:hAnsi="Times New Roman"/>
                <w:color w:val="auto"/>
                <w:sz w:val="24"/>
                <w:highlight w:val="none"/>
              </w:rPr>
            </w:pPr>
            <w:r>
              <w:rPr>
                <w:rFonts w:hint="eastAsia" w:ascii="Times New Roman" w:hAnsi="Times New Roman"/>
                <w:color w:val="auto"/>
                <w:sz w:val="24"/>
                <w:highlight w:val="none"/>
                <w:lang w:val="en-US" w:eastAsia="zh-CN"/>
              </w:rPr>
              <w:t>2</w:t>
            </w:r>
            <w:r>
              <w:rPr>
                <w:rFonts w:ascii="Times New Roman" w:hAnsi="Times New Roman"/>
                <w:color w:val="auto"/>
                <w:sz w:val="24"/>
                <w:highlight w:val="none"/>
              </w:rPr>
              <w:t>、噪声：</w:t>
            </w:r>
            <w:r>
              <w:rPr>
                <w:rFonts w:hint="eastAsia" w:ascii="Times New Roman" w:hAnsi="Times New Roman"/>
                <w:color w:val="auto"/>
                <w:sz w:val="24"/>
                <w:highlight w:val="none"/>
              </w:rPr>
              <w:t>东、南、西厂界执行《工业企业厂界环境噪声排放标准》（GB12348-2008）中 2 类标准。</w:t>
            </w:r>
            <w:r>
              <w:rPr>
                <w:rFonts w:hint="eastAsia" w:ascii="Times New Roman" w:hAnsi="Times New Roman"/>
                <w:color w:val="auto"/>
                <w:sz w:val="24"/>
                <w:highlight w:val="none"/>
                <w:lang w:eastAsia="zh-CN"/>
              </w:rPr>
              <w:t>北厂界（靠近铁路干线）</w:t>
            </w:r>
            <w:r>
              <w:rPr>
                <w:rFonts w:hint="eastAsia" w:ascii="Times New Roman" w:hAnsi="Times New Roman"/>
                <w:color w:val="auto"/>
                <w:sz w:val="24"/>
                <w:highlight w:val="none"/>
              </w:rPr>
              <w:t>执行《工业企业厂界环境噪声排放标准》（GB12348-2008）中 4类标准。敏感点噪声执行《声环境质量标准》（GB3096-2008）2类标准</w:t>
            </w:r>
            <w:r>
              <w:rPr>
                <w:rFonts w:ascii="Times New Roman" w:hAnsi="Times New Roman"/>
                <w:color w:val="auto"/>
                <w:sz w:val="24"/>
                <w:highlight w:val="none"/>
              </w:rPr>
              <w:t>。</w:t>
            </w:r>
          </w:p>
          <w:p>
            <w:pPr>
              <w:ind w:firstLine="482"/>
              <w:jc w:val="center"/>
              <w:rPr>
                <w:b/>
                <w:bCs/>
                <w:color w:val="auto"/>
                <w:highlight w:val="none"/>
              </w:rPr>
            </w:pPr>
            <w:r>
              <w:rPr>
                <w:b/>
                <w:bCs/>
                <w:color w:val="auto"/>
                <w:highlight w:val="none"/>
              </w:rPr>
              <w:t>表</w:t>
            </w:r>
            <w:r>
              <w:rPr>
                <w:rFonts w:hint="eastAsia"/>
                <w:b/>
                <w:bCs/>
                <w:color w:val="auto"/>
                <w:highlight w:val="none"/>
              </w:rPr>
              <w:t xml:space="preserve">1-3 </w:t>
            </w:r>
            <w:r>
              <w:rPr>
                <w:b/>
                <w:bCs/>
                <w:color w:val="auto"/>
                <w:highlight w:val="none"/>
              </w:rPr>
              <w:t xml:space="preserve"> </w:t>
            </w:r>
            <w:r>
              <w:rPr>
                <w:rFonts w:hint="eastAsia"/>
                <w:b/>
                <w:bCs/>
                <w:color w:val="auto"/>
                <w:highlight w:val="none"/>
              </w:rPr>
              <w:t>噪声</w:t>
            </w:r>
            <w:r>
              <w:rPr>
                <w:b/>
                <w:bCs/>
                <w:color w:val="auto"/>
                <w:highlight w:val="none"/>
              </w:rPr>
              <w:t>排放标准</w:t>
            </w:r>
          </w:p>
          <w:tbl>
            <w:tblPr>
              <w:tblStyle w:val="2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
              <w:gridCol w:w="1792"/>
              <w:gridCol w:w="1675"/>
              <w:gridCol w:w="28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6" w:type="pct"/>
                  <w:vMerge w:val="restart"/>
                  <w:vAlign w:val="center"/>
                </w:tcPr>
                <w:p>
                  <w:pPr>
                    <w:widowControl/>
                    <w:adjustRightInd w:val="0"/>
                    <w:snapToGrid w:val="0"/>
                    <w:spacing w:line="240" w:lineRule="auto"/>
                    <w:ind w:firstLine="0" w:firstLineChars="0"/>
                    <w:jc w:val="center"/>
                    <w:rPr>
                      <w:b/>
                      <w:color w:val="auto"/>
                      <w:sz w:val="21"/>
                      <w:szCs w:val="21"/>
                      <w:highlight w:val="none"/>
                    </w:rPr>
                  </w:pPr>
                  <w:r>
                    <w:rPr>
                      <w:b/>
                      <w:color w:val="auto"/>
                      <w:sz w:val="21"/>
                      <w:szCs w:val="21"/>
                      <w:highlight w:val="none"/>
                    </w:rPr>
                    <w:t>序号</w:t>
                  </w:r>
                </w:p>
              </w:tc>
              <w:tc>
                <w:tcPr>
                  <w:tcW w:w="1233" w:type="pct"/>
                  <w:vMerge w:val="restart"/>
                  <w:vAlign w:val="center"/>
                </w:tcPr>
                <w:p>
                  <w:pPr>
                    <w:widowControl/>
                    <w:adjustRightInd w:val="0"/>
                    <w:snapToGrid w:val="0"/>
                    <w:spacing w:line="240" w:lineRule="auto"/>
                    <w:ind w:firstLine="0" w:firstLineChars="0"/>
                    <w:jc w:val="center"/>
                    <w:rPr>
                      <w:b/>
                      <w:color w:val="auto"/>
                      <w:sz w:val="21"/>
                      <w:szCs w:val="21"/>
                      <w:highlight w:val="none"/>
                    </w:rPr>
                  </w:pPr>
                  <w:r>
                    <w:rPr>
                      <w:b/>
                      <w:color w:val="auto"/>
                      <w:sz w:val="21"/>
                      <w:szCs w:val="21"/>
                      <w:highlight w:val="none"/>
                    </w:rPr>
                    <w:t>功能区类别</w:t>
                  </w:r>
                </w:p>
              </w:tc>
              <w:tc>
                <w:tcPr>
                  <w:tcW w:w="1152" w:type="pct"/>
                  <w:vMerge w:val="restart"/>
                  <w:vAlign w:val="center"/>
                </w:tcPr>
                <w:p>
                  <w:pPr>
                    <w:widowControl/>
                    <w:adjustRightInd w:val="0"/>
                    <w:snapToGrid w:val="0"/>
                    <w:spacing w:line="240" w:lineRule="auto"/>
                    <w:ind w:firstLine="0" w:firstLineChars="0"/>
                    <w:jc w:val="center"/>
                    <w:rPr>
                      <w:b/>
                      <w:color w:val="auto"/>
                      <w:sz w:val="21"/>
                      <w:szCs w:val="21"/>
                      <w:highlight w:val="none"/>
                    </w:rPr>
                  </w:pPr>
                  <w:r>
                    <w:rPr>
                      <w:b/>
                      <w:color w:val="auto"/>
                      <w:sz w:val="21"/>
                      <w:szCs w:val="21"/>
                      <w:highlight w:val="none"/>
                    </w:rPr>
                    <w:t>单位</w:t>
                  </w:r>
                </w:p>
              </w:tc>
              <w:tc>
                <w:tcPr>
                  <w:tcW w:w="1977" w:type="pct"/>
                  <w:vAlign w:val="center"/>
                </w:tcPr>
                <w:p>
                  <w:pPr>
                    <w:widowControl/>
                    <w:adjustRightInd w:val="0"/>
                    <w:snapToGrid w:val="0"/>
                    <w:spacing w:line="240" w:lineRule="auto"/>
                    <w:ind w:firstLine="0" w:firstLineChars="0"/>
                    <w:jc w:val="center"/>
                    <w:rPr>
                      <w:b/>
                      <w:color w:val="auto"/>
                      <w:sz w:val="21"/>
                      <w:szCs w:val="21"/>
                      <w:highlight w:val="none"/>
                    </w:rPr>
                  </w:pPr>
                  <w:r>
                    <w:rPr>
                      <w:b/>
                      <w:color w:val="auto"/>
                      <w:sz w:val="21"/>
                      <w:szCs w:val="21"/>
                      <w:highlight w:val="none"/>
                    </w:rPr>
                    <w:t>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6" w:type="pct"/>
                  <w:vMerge w:val="continue"/>
                  <w:vAlign w:val="center"/>
                </w:tcPr>
                <w:p>
                  <w:pPr>
                    <w:widowControl/>
                    <w:adjustRightInd w:val="0"/>
                    <w:snapToGrid w:val="0"/>
                    <w:spacing w:line="240" w:lineRule="auto"/>
                    <w:ind w:firstLine="0" w:firstLineChars="0"/>
                    <w:jc w:val="center"/>
                    <w:rPr>
                      <w:b/>
                      <w:color w:val="auto"/>
                      <w:sz w:val="21"/>
                      <w:szCs w:val="21"/>
                      <w:highlight w:val="none"/>
                    </w:rPr>
                  </w:pPr>
                </w:p>
              </w:tc>
              <w:tc>
                <w:tcPr>
                  <w:tcW w:w="1233" w:type="pct"/>
                  <w:vMerge w:val="continue"/>
                  <w:vAlign w:val="center"/>
                </w:tcPr>
                <w:p>
                  <w:pPr>
                    <w:widowControl/>
                    <w:adjustRightInd w:val="0"/>
                    <w:snapToGrid w:val="0"/>
                    <w:spacing w:line="240" w:lineRule="auto"/>
                    <w:ind w:firstLine="0" w:firstLineChars="0"/>
                    <w:jc w:val="center"/>
                    <w:rPr>
                      <w:b/>
                      <w:color w:val="auto"/>
                      <w:sz w:val="21"/>
                      <w:szCs w:val="21"/>
                      <w:highlight w:val="none"/>
                    </w:rPr>
                  </w:pPr>
                </w:p>
              </w:tc>
              <w:tc>
                <w:tcPr>
                  <w:tcW w:w="1152" w:type="pct"/>
                  <w:vMerge w:val="continue"/>
                  <w:vAlign w:val="center"/>
                </w:tcPr>
                <w:p>
                  <w:pPr>
                    <w:widowControl/>
                    <w:adjustRightInd w:val="0"/>
                    <w:snapToGrid w:val="0"/>
                    <w:spacing w:line="240" w:lineRule="auto"/>
                    <w:ind w:firstLine="0" w:firstLineChars="0"/>
                    <w:jc w:val="center"/>
                    <w:rPr>
                      <w:b/>
                      <w:color w:val="auto"/>
                      <w:sz w:val="21"/>
                      <w:szCs w:val="21"/>
                      <w:highlight w:val="none"/>
                    </w:rPr>
                  </w:pPr>
                </w:p>
              </w:tc>
              <w:tc>
                <w:tcPr>
                  <w:tcW w:w="1977" w:type="pct"/>
                  <w:vAlign w:val="center"/>
                </w:tcPr>
                <w:p>
                  <w:pPr>
                    <w:widowControl/>
                    <w:adjustRightInd w:val="0"/>
                    <w:snapToGrid w:val="0"/>
                    <w:spacing w:line="240" w:lineRule="auto"/>
                    <w:ind w:firstLine="0" w:firstLineChars="0"/>
                    <w:jc w:val="center"/>
                    <w:rPr>
                      <w:b/>
                      <w:bCs/>
                      <w:color w:val="auto"/>
                      <w:sz w:val="21"/>
                      <w:szCs w:val="21"/>
                      <w:highlight w:val="none"/>
                    </w:rPr>
                  </w:pPr>
                  <w:r>
                    <w:rPr>
                      <w:b/>
                      <w:bCs/>
                      <w:color w:val="auto"/>
                      <w:sz w:val="21"/>
                      <w:szCs w:val="21"/>
                      <w:highlight w:val="none"/>
                    </w:rPr>
                    <w:t>昼间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6"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1</w:t>
                  </w:r>
                </w:p>
              </w:tc>
              <w:tc>
                <w:tcPr>
                  <w:tcW w:w="1233"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2</w:t>
                  </w:r>
                </w:p>
              </w:tc>
              <w:tc>
                <w:tcPr>
                  <w:tcW w:w="1152"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dB(A)</w:t>
                  </w:r>
                </w:p>
              </w:tc>
              <w:tc>
                <w:tcPr>
                  <w:tcW w:w="1977"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6" w:type="pct"/>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2</w:t>
                  </w:r>
                </w:p>
              </w:tc>
              <w:tc>
                <w:tcPr>
                  <w:tcW w:w="1233" w:type="pct"/>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4</w:t>
                  </w:r>
                </w:p>
              </w:tc>
              <w:tc>
                <w:tcPr>
                  <w:tcW w:w="1152"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dB(A)</w:t>
                  </w:r>
                </w:p>
              </w:tc>
              <w:tc>
                <w:tcPr>
                  <w:tcW w:w="1977" w:type="pct"/>
                  <w:vAlign w:val="center"/>
                </w:tcPr>
                <w:p>
                  <w:pPr>
                    <w:widowControl/>
                    <w:adjustRightInd w:val="0"/>
                    <w:snapToGrid w:val="0"/>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70</w:t>
                  </w:r>
                </w:p>
              </w:tc>
            </w:tr>
          </w:tbl>
          <w:p>
            <w:pPr>
              <w:pStyle w:val="11"/>
              <w:numPr>
                <w:ilvl w:val="-1"/>
                <w:numId w:val="0"/>
              </w:numPr>
              <w:spacing w:after="0"/>
              <w:ind w:left="0" w:leftChars="0" w:firstLine="480"/>
              <w:rPr>
                <w:rFonts w:hint="eastAsia" w:cs="Times New Roman"/>
                <w:color w:val="auto"/>
                <w:highlight w:val="none"/>
              </w:rPr>
            </w:pPr>
            <w:r>
              <w:rPr>
                <w:rFonts w:hint="eastAsia" w:cs="Times New Roman"/>
                <w:color w:val="auto"/>
                <w:highlight w:val="none"/>
                <w:lang w:val="en-US" w:eastAsia="zh-CN"/>
              </w:rPr>
              <w:t>3、</w:t>
            </w:r>
            <w:r>
              <w:rPr>
                <w:rFonts w:hint="eastAsia" w:cs="Times New Roman"/>
                <w:color w:val="auto"/>
                <w:highlight w:val="none"/>
              </w:rPr>
              <w:t>固废：一般固废执行《一般工业固体废物贮存和填埋污染控制标准》（GB18599-2020）的要求。</w:t>
            </w:r>
          </w:p>
          <w:p>
            <w:pPr>
              <w:numPr>
                <w:ilvl w:val="-1"/>
                <w:numId w:val="0"/>
              </w:numPr>
              <w:ind w:firstLine="0" w:firstLineChars="0"/>
              <w:rPr>
                <w:rFonts w:hint="eastAsia" w:cs="Times New Roman"/>
                <w:color w:val="auto"/>
                <w:highlight w:val="none"/>
              </w:rPr>
            </w:pPr>
          </w:p>
          <w:p>
            <w:pPr>
              <w:numPr>
                <w:ilvl w:val="-1"/>
                <w:numId w:val="0"/>
              </w:numPr>
              <w:ind w:firstLine="0" w:firstLineChars="0"/>
              <w:rPr>
                <w:rFonts w:hint="eastAsia" w:cs="Times New Roman"/>
                <w:color w:val="auto"/>
                <w:highlight w:val="none"/>
              </w:rPr>
            </w:pPr>
          </w:p>
          <w:p>
            <w:pPr>
              <w:pStyle w:val="11"/>
              <w:ind w:left="0" w:leftChars="0" w:firstLine="0" w:firstLineChars="0"/>
              <w:rPr>
                <w:color w:val="auto"/>
                <w:highlight w:val="none"/>
              </w:rPr>
            </w:pPr>
          </w:p>
        </w:tc>
      </w:tr>
    </w:tbl>
    <w:p>
      <w:pPr>
        <w:ind w:firstLine="0" w:firstLineChars="0"/>
        <w:outlineLvl w:val="0"/>
        <w:rPr>
          <w:b/>
          <w:bCs/>
          <w:color w:val="auto"/>
          <w:sz w:val="30"/>
          <w:szCs w:val="30"/>
          <w:highlight w:val="none"/>
        </w:rPr>
      </w:pPr>
      <w:r>
        <w:rPr>
          <w:b/>
          <w:bCs/>
          <w:color w:val="auto"/>
          <w:sz w:val="30"/>
          <w:szCs w:val="30"/>
          <w:highlight w:val="none"/>
        </w:rPr>
        <w:br w:type="page"/>
      </w:r>
      <w:bookmarkStart w:id="48" w:name="_Toc6079"/>
      <w:bookmarkStart w:id="49" w:name="_Toc23054"/>
      <w:bookmarkStart w:id="50" w:name="_Toc7160"/>
      <w:bookmarkStart w:id="51" w:name="_Toc6444"/>
      <w:bookmarkStart w:id="52" w:name="_Toc7621"/>
      <w:bookmarkStart w:id="53" w:name="_Toc16985"/>
      <w:bookmarkStart w:id="54" w:name="_Toc32517"/>
      <w:bookmarkStart w:id="55" w:name="_Toc3897"/>
      <w:bookmarkStart w:id="56" w:name="_Toc19580"/>
      <w:bookmarkStart w:id="57" w:name="_Toc4745"/>
      <w:bookmarkStart w:id="58" w:name="_Toc27274"/>
      <w:bookmarkStart w:id="59" w:name="_Toc5873"/>
      <w:bookmarkStart w:id="60" w:name="_Toc507"/>
      <w:bookmarkStart w:id="61" w:name="_Toc12227"/>
      <w:bookmarkStart w:id="62" w:name="_Toc11397"/>
      <w:bookmarkStart w:id="63" w:name="_Toc3294"/>
      <w:bookmarkStart w:id="64" w:name="_Toc7615"/>
      <w:bookmarkStart w:id="65" w:name="_Toc12110"/>
      <w:bookmarkStart w:id="66" w:name="_Toc19446"/>
      <w:bookmarkStart w:id="67" w:name="_Toc32190"/>
      <w:bookmarkStart w:id="68" w:name="_Toc8722"/>
      <w:bookmarkStart w:id="69" w:name="_Toc12340"/>
      <w:bookmarkStart w:id="70" w:name="_Toc28406"/>
      <w:bookmarkStart w:id="71" w:name="_Toc8085"/>
      <w:bookmarkStart w:id="72" w:name="_Toc23920"/>
      <w:bookmarkStart w:id="73" w:name="_Toc5255"/>
      <w:bookmarkStart w:id="74" w:name="_Toc4548"/>
      <w:bookmarkStart w:id="75" w:name="_Toc24508"/>
      <w:bookmarkStart w:id="76" w:name="_Toc20317"/>
      <w:bookmarkStart w:id="77" w:name="_Toc22930"/>
      <w:bookmarkStart w:id="78" w:name="_Toc29579"/>
      <w:bookmarkStart w:id="79" w:name="_Toc497"/>
      <w:bookmarkStart w:id="80" w:name="_Toc14835"/>
      <w:bookmarkStart w:id="81" w:name="_Toc7622"/>
      <w:bookmarkStart w:id="82" w:name="_Toc22292"/>
      <w:bookmarkStart w:id="83" w:name="_Toc8330"/>
      <w:bookmarkStart w:id="84" w:name="_Toc19578"/>
      <w:bookmarkStart w:id="85" w:name="_Toc30894"/>
      <w:bookmarkStart w:id="86" w:name="_Toc2469"/>
      <w:bookmarkStart w:id="87" w:name="_Toc12283"/>
      <w:bookmarkStart w:id="88" w:name="_Toc11388"/>
      <w:bookmarkStart w:id="89" w:name="_Toc901"/>
      <w:bookmarkStart w:id="90" w:name="_Toc29707"/>
      <w:bookmarkStart w:id="91" w:name="_Toc25724"/>
      <w:r>
        <w:rPr>
          <w:b/>
          <w:bCs/>
          <w:color w:val="auto"/>
          <w:sz w:val="30"/>
          <w:szCs w:val="30"/>
          <w:highlight w:val="none"/>
        </w:rPr>
        <w:t>表2  建设项目概况及工艺流程</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tbl>
      <w:tblPr>
        <w:tblStyle w:val="2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927" w:hRule="atLeast"/>
          <w:jc w:val="center"/>
        </w:trPr>
        <w:tc>
          <w:tcPr>
            <w:tcW w:w="5000" w:type="pct"/>
            <w:tcBorders>
              <w:top w:val="single" w:color="000000" w:sz="12" w:space="0"/>
              <w:bottom w:val="single" w:color="auto" w:sz="4" w:space="0"/>
            </w:tcBorders>
          </w:tcPr>
          <w:p>
            <w:pPr>
              <w:pStyle w:val="2"/>
              <w:ind w:firstLine="482"/>
              <w:rPr>
                <w:rFonts w:cs="Times New Roman"/>
                <w:b/>
                <w:bCs/>
                <w:color w:val="auto"/>
                <w:kern w:val="0"/>
                <w:highlight w:val="none"/>
              </w:rPr>
            </w:pPr>
            <w:r>
              <w:rPr>
                <w:rFonts w:cs="Times New Roman"/>
                <w:b/>
                <w:bCs/>
                <w:color w:val="auto"/>
                <w:kern w:val="0"/>
                <w:highlight w:val="none"/>
              </w:rPr>
              <w:t>一、公司概况</w:t>
            </w:r>
          </w:p>
          <w:p>
            <w:pPr>
              <w:pStyle w:val="2"/>
              <w:rPr>
                <w:rFonts w:hint="eastAsia" w:cs="Times New Roman"/>
                <w:color w:val="auto"/>
                <w:szCs w:val="24"/>
                <w:highlight w:val="none"/>
              </w:rPr>
            </w:pPr>
            <w:r>
              <w:rPr>
                <w:rFonts w:hint="eastAsia" w:cs="Times New Roman"/>
                <w:color w:val="auto"/>
                <w:szCs w:val="24"/>
                <w:highlight w:val="none"/>
              </w:rPr>
              <w:t>中车山东机车车辆有限公司始建于1910年，前身为济南轨道交通装备有限责任公司，是中国中车股份有限公司的全资子公司。厂址位于济南市槐荫区槐村街73号，总占地面积489499.1</w:t>
            </w:r>
            <w:r>
              <w:rPr>
                <w:rFonts w:hint="eastAsia" w:cs="Times New Roman"/>
                <w:color w:val="auto"/>
                <w:szCs w:val="24"/>
                <w:highlight w:val="none"/>
                <w:lang w:eastAsia="zh-CN"/>
              </w:rPr>
              <w:t>㎡</w:t>
            </w:r>
            <w:r>
              <w:rPr>
                <w:rFonts w:hint="eastAsia" w:cs="Times New Roman"/>
                <w:color w:val="auto"/>
                <w:szCs w:val="24"/>
                <w:highlight w:val="none"/>
              </w:rPr>
              <w:t>，主营业务为轨道交通领域中的铁路货车。</w:t>
            </w:r>
          </w:p>
          <w:p>
            <w:pPr>
              <w:jc w:val="left"/>
              <w:rPr>
                <w:rFonts w:hint="eastAsia" w:ascii="Times New Roman" w:hAnsi="Times New Roman" w:eastAsia="宋体" w:cs="宋体"/>
                <w:color w:val="auto"/>
                <w:szCs w:val="20"/>
                <w:highlight w:val="none"/>
                <w:lang w:eastAsia="zh-CN"/>
              </w:rPr>
            </w:pPr>
            <w:r>
              <w:rPr>
                <w:rFonts w:hint="eastAsia" w:cs="Times New Roman"/>
                <w:color w:val="auto"/>
                <w:szCs w:val="24"/>
                <w:highlight w:val="none"/>
                <w:lang w:eastAsia="zh-CN"/>
              </w:rPr>
              <w:t>中车山东机车车辆有限公司原有</w:t>
            </w:r>
            <w:r>
              <w:rPr>
                <w:rFonts w:cs="Times New Roman"/>
                <w:color w:val="auto"/>
                <w:szCs w:val="24"/>
                <w:highlight w:val="none"/>
              </w:rPr>
              <w:t>项目</w:t>
            </w:r>
            <w:r>
              <w:rPr>
                <w:rFonts w:hint="eastAsia" w:cs="Times New Roman"/>
                <w:color w:val="auto"/>
                <w:szCs w:val="24"/>
                <w:highlight w:val="none"/>
                <w:lang w:eastAsia="zh-CN"/>
              </w:rPr>
              <w:t>为</w:t>
            </w:r>
            <w:r>
              <w:rPr>
                <w:rFonts w:cs="Times New Roman"/>
                <w:color w:val="auto"/>
                <w:szCs w:val="24"/>
                <w:highlight w:val="none"/>
              </w:rPr>
              <w:t>：</w:t>
            </w:r>
            <w:r>
              <w:rPr>
                <w:rFonts w:hint="eastAsia" w:cs="Times New Roman"/>
                <w:color w:val="auto"/>
                <w:szCs w:val="24"/>
                <w:highlight w:val="none"/>
                <w:lang w:eastAsia="zh-CN"/>
              </w:rPr>
              <w:t>《济南机车工厂转造货车工程项目》于1993年6月取得济南市环境保护局（</w:t>
            </w:r>
            <w:r>
              <w:rPr>
                <w:rFonts w:hint="eastAsia"/>
                <w:color w:val="auto"/>
                <w:highlight w:val="none"/>
                <w:lang w:eastAsia="zh-CN"/>
              </w:rPr>
              <w:t>现</w:t>
            </w:r>
            <w:r>
              <w:rPr>
                <w:color w:val="auto"/>
                <w:highlight w:val="none"/>
              </w:rPr>
              <w:t>济南市生态环境局</w:t>
            </w:r>
            <w:r>
              <w:rPr>
                <w:rFonts w:hint="eastAsia" w:cs="Times New Roman"/>
                <w:color w:val="auto"/>
                <w:szCs w:val="24"/>
                <w:highlight w:val="none"/>
                <w:lang w:eastAsia="zh-CN"/>
              </w:rPr>
              <w:t>）的审批（济环便[1993]11号）（仅大纲获得批复），该项目于2000年实现一控双达标（无有效证明文件）；《内总装分厂变压器油箱喷丸打砂、喷漆生产线建设项目》于2002年9月取得济南市环境保护局（</w:t>
            </w:r>
            <w:r>
              <w:rPr>
                <w:rFonts w:hint="eastAsia"/>
                <w:color w:val="auto"/>
                <w:highlight w:val="none"/>
                <w:lang w:eastAsia="zh-CN"/>
              </w:rPr>
              <w:t>现</w:t>
            </w:r>
            <w:r>
              <w:rPr>
                <w:color w:val="auto"/>
                <w:highlight w:val="none"/>
              </w:rPr>
              <w:t>济南市生态环境局</w:t>
            </w:r>
            <w:r>
              <w:rPr>
                <w:rFonts w:hint="eastAsia" w:cs="Times New Roman"/>
                <w:color w:val="auto"/>
                <w:szCs w:val="24"/>
                <w:highlight w:val="none"/>
                <w:lang w:eastAsia="zh-CN"/>
              </w:rPr>
              <w:t>）的审批（济环建审[2002]115号），</w:t>
            </w:r>
            <w:r>
              <w:rPr>
                <w:rFonts w:hint="default" w:ascii="Times New Roman" w:hAnsi="Times New Roman" w:eastAsia="宋体" w:cs="Times New Roman"/>
                <w:color w:val="auto"/>
                <w:szCs w:val="24"/>
                <w:highlight w:val="none"/>
                <w:lang w:eastAsia="zh-CN"/>
              </w:rPr>
              <w:t>该项目于</w:t>
            </w:r>
            <w:r>
              <w:rPr>
                <w:rFonts w:hint="default" w:ascii="Times New Roman" w:hAnsi="Times New Roman" w:eastAsia="宋体" w:cs="Times New Roman"/>
                <w:color w:val="auto"/>
                <w:szCs w:val="24"/>
                <w:highlight w:val="none"/>
                <w:lang w:val="en-US" w:eastAsia="zh-CN"/>
              </w:rPr>
              <w:t>2003年6月通过验收（济环监验字[2003]20号），现已停产</w:t>
            </w:r>
            <w:r>
              <w:rPr>
                <w:rFonts w:hint="eastAsia"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《开发旅客列车集便器生产项目》于2003年6月</w:t>
            </w:r>
            <w:r>
              <w:rPr>
                <w:rFonts w:hint="default" w:ascii="Times New Roman" w:hAnsi="Times New Roman" w:eastAsia="宋体" w:cs="Times New Roman"/>
                <w:color w:val="auto"/>
                <w:szCs w:val="24"/>
                <w:highlight w:val="none"/>
                <w:lang w:eastAsia="zh-CN"/>
              </w:rPr>
              <w:t>取得济南市环境保护局（现</w:t>
            </w:r>
            <w:r>
              <w:rPr>
                <w:rFonts w:ascii="Times New Roman" w:hAnsi="Times New Roman" w:eastAsia="宋体" w:cs="Times New Roman"/>
                <w:color w:val="auto"/>
                <w:szCs w:val="24"/>
                <w:highlight w:val="none"/>
              </w:rPr>
              <w:t>济南市生态环境局</w:t>
            </w:r>
            <w:r>
              <w:rPr>
                <w:rFonts w:hint="default" w:ascii="Times New Roman" w:hAnsi="Times New Roman" w:eastAsia="宋体" w:cs="Times New Roman"/>
                <w:color w:val="auto"/>
                <w:szCs w:val="24"/>
                <w:highlight w:val="none"/>
                <w:lang w:eastAsia="zh-CN"/>
              </w:rPr>
              <w:t>）的审批（济环建审[2003]36号），该项目于2007年11月</w:t>
            </w:r>
            <w:r>
              <w:rPr>
                <w:rFonts w:hint="default" w:ascii="Times New Roman" w:hAnsi="Times New Roman" w:eastAsia="宋体" w:cs="Times New Roman"/>
                <w:color w:val="auto"/>
                <w:szCs w:val="24"/>
                <w:highlight w:val="none"/>
                <w:lang w:val="en-US" w:eastAsia="zh-CN"/>
              </w:rPr>
              <w:t>通过验收（济环监验字[2007]50号），现已搬迁</w:t>
            </w:r>
            <w:r>
              <w:rPr>
                <w:rFonts w:hint="eastAsia"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《罐车生产工艺布局调整项目》于2003年6月</w:t>
            </w:r>
            <w:r>
              <w:rPr>
                <w:rFonts w:hint="default" w:ascii="Times New Roman" w:hAnsi="Times New Roman" w:eastAsia="宋体" w:cs="Times New Roman"/>
                <w:color w:val="auto"/>
                <w:szCs w:val="24"/>
                <w:highlight w:val="none"/>
                <w:lang w:eastAsia="zh-CN"/>
              </w:rPr>
              <w:t>取得济南市环境保护局（现</w:t>
            </w:r>
            <w:r>
              <w:rPr>
                <w:rFonts w:ascii="Times New Roman" w:hAnsi="Times New Roman" w:eastAsia="宋体" w:cs="Times New Roman"/>
                <w:color w:val="auto"/>
                <w:szCs w:val="24"/>
                <w:highlight w:val="none"/>
              </w:rPr>
              <w:t>济南市生态环境局</w:t>
            </w:r>
            <w:r>
              <w:rPr>
                <w:rFonts w:hint="default" w:ascii="Times New Roman" w:hAnsi="Times New Roman" w:eastAsia="宋体" w:cs="Times New Roman"/>
                <w:color w:val="auto"/>
                <w:szCs w:val="24"/>
                <w:highlight w:val="none"/>
                <w:lang w:eastAsia="zh-CN"/>
              </w:rPr>
              <w:t>）的审批（济环建审[2003]37号），该项目于2007年11月</w:t>
            </w:r>
            <w:r>
              <w:rPr>
                <w:rFonts w:hint="default" w:ascii="Times New Roman" w:hAnsi="Times New Roman" w:eastAsia="宋体" w:cs="Times New Roman"/>
                <w:color w:val="auto"/>
                <w:szCs w:val="24"/>
                <w:highlight w:val="none"/>
                <w:lang w:val="en-US" w:eastAsia="zh-CN"/>
              </w:rPr>
              <w:t>通过验收（济环监验字[2007]49号），现已停产</w:t>
            </w:r>
            <w:r>
              <w:rPr>
                <w:rFonts w:hint="eastAsia"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《内燃分厂变压器油箱喷漆烘干房技术改造项目》于</w:t>
            </w:r>
            <w:r>
              <w:rPr>
                <w:rFonts w:hint="default" w:ascii="Times New Roman" w:hAnsi="Times New Roman" w:eastAsia="宋体" w:cs="Times New Roman"/>
                <w:color w:val="auto"/>
                <w:kern w:val="2"/>
                <w:sz w:val="24"/>
                <w:szCs w:val="24"/>
                <w:highlight w:val="none"/>
                <w:lang w:val="en-US"/>
              </w:rPr>
              <w:t>2005年</w:t>
            </w:r>
            <w:r>
              <w:rPr>
                <w:rFonts w:hint="default" w:ascii="Times New Roman" w:hAnsi="Times New Roman" w:eastAsia="宋体" w:cs="Times New Roman"/>
                <w:color w:val="auto"/>
                <w:szCs w:val="24"/>
                <w:highlight w:val="none"/>
                <w:lang w:eastAsia="zh-CN"/>
              </w:rPr>
              <w:t>取得济南市环境保护局（现</w:t>
            </w:r>
            <w:r>
              <w:rPr>
                <w:rFonts w:ascii="Times New Roman" w:hAnsi="Times New Roman" w:eastAsia="宋体" w:cs="Times New Roman"/>
                <w:color w:val="auto"/>
                <w:szCs w:val="24"/>
                <w:highlight w:val="none"/>
              </w:rPr>
              <w:t>济南市生态环境局</w:t>
            </w:r>
            <w:r>
              <w:rPr>
                <w:rFonts w:hint="default" w:ascii="Times New Roman" w:hAnsi="Times New Roman" w:eastAsia="宋体" w:cs="Times New Roman"/>
                <w:color w:val="auto"/>
                <w:szCs w:val="24"/>
                <w:highlight w:val="none"/>
                <w:lang w:eastAsia="zh-CN"/>
              </w:rPr>
              <w:t>）的审批（</w:t>
            </w:r>
            <w:r>
              <w:rPr>
                <w:rFonts w:hint="default" w:ascii="Times New Roman" w:hAnsi="Times New Roman" w:eastAsia="宋体" w:cs="Times New Roman"/>
                <w:color w:val="auto"/>
                <w:kern w:val="2"/>
                <w:sz w:val="24"/>
                <w:szCs w:val="24"/>
                <w:highlight w:val="none"/>
              </w:rPr>
              <w:t>济环建审[2005]136号</w:t>
            </w:r>
            <w:r>
              <w:rPr>
                <w:rFonts w:hint="default" w:ascii="Times New Roman" w:hAnsi="Times New Roman" w:eastAsia="宋体" w:cs="Times New Roman"/>
                <w:color w:val="auto"/>
                <w:szCs w:val="24"/>
                <w:highlight w:val="none"/>
                <w:lang w:eastAsia="zh-CN"/>
              </w:rPr>
              <w:t>），该项目于</w:t>
            </w:r>
            <w:r>
              <w:rPr>
                <w:rFonts w:hint="default" w:ascii="Times New Roman" w:hAnsi="Times New Roman" w:eastAsia="宋体" w:cs="Times New Roman"/>
                <w:color w:val="auto"/>
                <w:kern w:val="2"/>
                <w:sz w:val="24"/>
                <w:szCs w:val="24"/>
                <w:highlight w:val="none"/>
              </w:rPr>
              <w:t>2007年11月</w:t>
            </w:r>
            <w:r>
              <w:rPr>
                <w:rFonts w:hint="default" w:ascii="Times New Roman" w:hAnsi="Times New Roman" w:eastAsia="宋体" w:cs="Times New Roman"/>
                <w:color w:val="auto"/>
                <w:kern w:val="2"/>
                <w:sz w:val="24"/>
                <w:szCs w:val="24"/>
                <w:highlight w:val="none"/>
                <w:lang w:eastAsia="zh-CN"/>
              </w:rPr>
              <w:t>通过验收（</w:t>
            </w:r>
            <w:r>
              <w:rPr>
                <w:rFonts w:hint="default" w:ascii="Times New Roman" w:hAnsi="Times New Roman" w:eastAsia="宋体" w:cs="Times New Roman"/>
                <w:color w:val="auto"/>
                <w:kern w:val="2"/>
                <w:sz w:val="24"/>
                <w:szCs w:val="24"/>
                <w:highlight w:val="none"/>
              </w:rPr>
              <w:t>济环监验字[2007]51号</w:t>
            </w:r>
            <w:r>
              <w:rPr>
                <w:rFonts w:hint="default" w:ascii="Times New Roman" w:hAnsi="Times New Roman" w:eastAsia="宋体" w:cs="Times New Roman"/>
                <w:color w:val="auto"/>
                <w:kern w:val="2"/>
                <w:sz w:val="24"/>
                <w:szCs w:val="24"/>
                <w:highlight w:val="none"/>
                <w:lang w:eastAsia="zh-CN"/>
              </w:rPr>
              <w:t>），现已停产</w:t>
            </w:r>
            <w:r>
              <w:rPr>
                <w:rFonts w:hint="eastAsia"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生产工艺布局调整技术改造项目</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szCs w:val="24"/>
                <w:highlight w:val="none"/>
                <w:lang w:val="en-US" w:eastAsia="zh-CN"/>
              </w:rPr>
              <w:t>于</w:t>
            </w:r>
            <w:r>
              <w:rPr>
                <w:rFonts w:hint="default" w:ascii="Times New Roman" w:hAnsi="Times New Roman" w:eastAsia="宋体" w:cs="Times New Roman"/>
                <w:color w:val="auto"/>
                <w:kern w:val="2"/>
                <w:sz w:val="24"/>
                <w:szCs w:val="24"/>
                <w:highlight w:val="none"/>
                <w:lang w:val="en-US"/>
              </w:rPr>
              <w:t>2005年</w:t>
            </w:r>
            <w:r>
              <w:rPr>
                <w:rFonts w:hint="default" w:ascii="Times New Roman" w:hAnsi="Times New Roman" w:eastAsia="宋体" w:cs="Times New Roman"/>
                <w:color w:val="auto"/>
                <w:szCs w:val="24"/>
                <w:highlight w:val="none"/>
                <w:lang w:eastAsia="zh-CN"/>
              </w:rPr>
              <w:t>取得济南市环境保护局（现</w:t>
            </w:r>
            <w:r>
              <w:rPr>
                <w:rFonts w:ascii="Times New Roman" w:hAnsi="Times New Roman" w:eastAsia="宋体" w:cs="Times New Roman"/>
                <w:color w:val="auto"/>
                <w:szCs w:val="24"/>
                <w:highlight w:val="none"/>
              </w:rPr>
              <w:t>济南市生态环境局</w:t>
            </w:r>
            <w:r>
              <w:rPr>
                <w:rFonts w:hint="default" w:ascii="Times New Roman" w:hAnsi="Times New Roman" w:eastAsia="宋体" w:cs="Times New Roman"/>
                <w:color w:val="auto"/>
                <w:szCs w:val="24"/>
                <w:highlight w:val="none"/>
                <w:lang w:eastAsia="zh-CN"/>
              </w:rPr>
              <w:t>）的审批（</w:t>
            </w:r>
            <w:r>
              <w:rPr>
                <w:rFonts w:hint="default" w:ascii="Times New Roman" w:hAnsi="Times New Roman" w:eastAsia="宋体" w:cs="Times New Roman"/>
                <w:color w:val="auto"/>
                <w:kern w:val="2"/>
                <w:sz w:val="24"/>
                <w:szCs w:val="24"/>
                <w:highlight w:val="none"/>
              </w:rPr>
              <w:t>济环建审[2005]71号</w:t>
            </w:r>
            <w:r>
              <w:rPr>
                <w:rFonts w:hint="default" w:ascii="Times New Roman" w:hAnsi="Times New Roman" w:eastAsia="宋体" w:cs="Times New Roman"/>
                <w:color w:val="auto"/>
                <w:szCs w:val="24"/>
                <w:highlight w:val="none"/>
                <w:lang w:eastAsia="zh-CN"/>
              </w:rPr>
              <w:t>），该项目未建设</w:t>
            </w:r>
            <w:r>
              <w:rPr>
                <w:rFonts w:hint="eastAsia" w:cs="Times New Roman"/>
                <w:color w:val="auto"/>
                <w:szCs w:val="24"/>
                <w:highlight w:val="none"/>
                <w:lang w:eastAsia="zh-CN"/>
              </w:rPr>
              <w:t>；</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kern w:val="2"/>
                <w:sz w:val="24"/>
                <w:szCs w:val="24"/>
                <w:highlight w:val="none"/>
              </w:rPr>
              <w:t>铁路旅客列车集便器生产线扩能项目</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lang w:val="en-US" w:eastAsia="zh-CN"/>
              </w:rPr>
              <w:t>于</w:t>
            </w:r>
            <w:r>
              <w:rPr>
                <w:rFonts w:hint="default" w:ascii="Times New Roman" w:hAnsi="Times New Roman" w:eastAsia="宋体" w:cs="Times New Roman"/>
                <w:color w:val="auto"/>
                <w:kern w:val="2"/>
                <w:sz w:val="24"/>
                <w:szCs w:val="24"/>
                <w:highlight w:val="none"/>
                <w:lang w:val="en-US"/>
              </w:rPr>
              <w:t>200</w:t>
            </w:r>
            <w:r>
              <w:rPr>
                <w:rFonts w:hint="default" w:ascii="Times New Roman" w:hAnsi="Times New Roman" w:eastAsia="宋体" w:cs="Times New Roman"/>
                <w:color w:val="auto"/>
                <w:kern w:val="2"/>
                <w:sz w:val="24"/>
                <w:szCs w:val="24"/>
                <w:highlight w:val="none"/>
                <w:lang w:val="en-US" w:eastAsia="zh-CN"/>
              </w:rPr>
              <w:t>7</w:t>
            </w:r>
            <w:r>
              <w:rPr>
                <w:rFonts w:hint="default" w:ascii="Times New Roman" w:hAnsi="Times New Roman" w:eastAsia="宋体" w:cs="Times New Roman"/>
                <w:color w:val="auto"/>
                <w:kern w:val="2"/>
                <w:sz w:val="24"/>
                <w:szCs w:val="24"/>
                <w:highlight w:val="none"/>
                <w:lang w:val="en-US"/>
              </w:rPr>
              <w:t>年</w:t>
            </w:r>
            <w:r>
              <w:rPr>
                <w:rFonts w:hint="default" w:ascii="Times New Roman" w:hAnsi="Times New Roman" w:eastAsia="宋体" w:cs="Times New Roman"/>
                <w:color w:val="auto"/>
                <w:szCs w:val="24"/>
                <w:highlight w:val="none"/>
                <w:lang w:eastAsia="zh-CN"/>
              </w:rPr>
              <w:t>取得济南市环境保护局（现</w:t>
            </w:r>
            <w:r>
              <w:rPr>
                <w:rFonts w:ascii="Times New Roman" w:hAnsi="Times New Roman" w:eastAsia="宋体" w:cs="Times New Roman"/>
                <w:color w:val="auto"/>
                <w:szCs w:val="24"/>
                <w:highlight w:val="none"/>
              </w:rPr>
              <w:t>济南市生态环境局</w:t>
            </w:r>
            <w:r>
              <w:rPr>
                <w:rFonts w:hint="default" w:ascii="Times New Roman" w:hAnsi="Times New Roman" w:eastAsia="宋体" w:cs="Times New Roman"/>
                <w:color w:val="auto"/>
                <w:szCs w:val="24"/>
                <w:highlight w:val="none"/>
                <w:lang w:eastAsia="zh-CN"/>
              </w:rPr>
              <w:t>）的审批（</w:t>
            </w:r>
            <w:r>
              <w:rPr>
                <w:rFonts w:hint="default" w:ascii="Times New Roman" w:hAnsi="Times New Roman" w:eastAsia="宋体" w:cs="Times New Roman"/>
                <w:color w:val="auto"/>
                <w:kern w:val="2"/>
                <w:sz w:val="24"/>
                <w:szCs w:val="24"/>
                <w:highlight w:val="none"/>
              </w:rPr>
              <w:t>济环建审[2007]272号</w:t>
            </w:r>
            <w:r>
              <w:rPr>
                <w:rFonts w:hint="default" w:ascii="Times New Roman" w:hAnsi="Times New Roman" w:eastAsia="宋体" w:cs="Times New Roman"/>
                <w:color w:val="auto"/>
                <w:szCs w:val="24"/>
                <w:highlight w:val="none"/>
                <w:lang w:eastAsia="zh-CN"/>
              </w:rPr>
              <w:t>），该项目未建设</w:t>
            </w:r>
            <w:r>
              <w:rPr>
                <w:rFonts w:hint="eastAsia" w:cs="Times New Roman"/>
                <w:color w:val="auto"/>
                <w:szCs w:val="24"/>
                <w:highlight w:val="none"/>
                <w:lang w:eastAsia="zh-CN"/>
              </w:rPr>
              <w:t>；</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kern w:val="2"/>
                <w:sz w:val="24"/>
                <w:szCs w:val="24"/>
                <w:highlight w:val="none"/>
              </w:rPr>
              <w:t>符合欧洲TSI规范的新型快速轨道交通车辆产业项目</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lang w:val="en-US" w:eastAsia="zh-CN"/>
              </w:rPr>
              <w:t>于</w:t>
            </w:r>
            <w:r>
              <w:rPr>
                <w:rFonts w:hint="default" w:ascii="Times New Roman" w:hAnsi="Times New Roman" w:eastAsia="宋体" w:cs="Times New Roman"/>
                <w:color w:val="auto"/>
                <w:kern w:val="2"/>
                <w:sz w:val="24"/>
                <w:szCs w:val="24"/>
                <w:highlight w:val="none"/>
                <w:lang w:val="en-US"/>
              </w:rPr>
              <w:t>20</w:t>
            </w:r>
            <w:r>
              <w:rPr>
                <w:rFonts w:hint="default" w:ascii="Times New Roman" w:hAnsi="Times New Roman" w:eastAsia="宋体" w:cs="Times New Roman"/>
                <w:color w:val="auto"/>
                <w:kern w:val="2"/>
                <w:sz w:val="24"/>
                <w:szCs w:val="24"/>
                <w:highlight w:val="none"/>
                <w:lang w:val="en-US" w:eastAsia="zh-CN"/>
              </w:rPr>
              <w:t>11</w:t>
            </w:r>
            <w:r>
              <w:rPr>
                <w:rFonts w:hint="default" w:ascii="Times New Roman" w:hAnsi="Times New Roman" w:eastAsia="宋体" w:cs="Times New Roman"/>
                <w:color w:val="auto"/>
                <w:kern w:val="2"/>
                <w:sz w:val="24"/>
                <w:szCs w:val="24"/>
                <w:highlight w:val="none"/>
                <w:lang w:val="en-US"/>
              </w:rPr>
              <w:t>年</w:t>
            </w:r>
            <w:r>
              <w:rPr>
                <w:rFonts w:hint="default" w:ascii="Times New Roman" w:hAnsi="Times New Roman" w:eastAsia="宋体" w:cs="Times New Roman"/>
                <w:color w:val="auto"/>
                <w:szCs w:val="24"/>
                <w:highlight w:val="none"/>
                <w:lang w:eastAsia="zh-CN"/>
              </w:rPr>
              <w:t>取得济南市环境保护局（现</w:t>
            </w:r>
            <w:r>
              <w:rPr>
                <w:rFonts w:ascii="Times New Roman" w:hAnsi="Times New Roman" w:eastAsia="宋体" w:cs="Times New Roman"/>
                <w:color w:val="auto"/>
                <w:szCs w:val="24"/>
                <w:highlight w:val="none"/>
              </w:rPr>
              <w:t>济南市生态环境局</w:t>
            </w:r>
            <w:r>
              <w:rPr>
                <w:rFonts w:hint="default" w:ascii="Times New Roman" w:hAnsi="Times New Roman" w:eastAsia="宋体" w:cs="Times New Roman"/>
                <w:color w:val="auto"/>
                <w:szCs w:val="24"/>
                <w:highlight w:val="none"/>
                <w:lang w:eastAsia="zh-CN"/>
              </w:rPr>
              <w:t>）的审批（</w:t>
            </w:r>
            <w:r>
              <w:rPr>
                <w:rFonts w:hint="default" w:ascii="Times New Roman" w:hAnsi="Times New Roman" w:eastAsia="宋体" w:cs="Times New Roman"/>
                <w:color w:val="auto"/>
                <w:kern w:val="2"/>
                <w:sz w:val="24"/>
                <w:szCs w:val="24"/>
                <w:highlight w:val="none"/>
              </w:rPr>
              <w:t>济环建审[2011]65号</w:t>
            </w:r>
            <w:r>
              <w:rPr>
                <w:rFonts w:hint="default" w:ascii="Times New Roman" w:hAnsi="Times New Roman" w:eastAsia="宋体" w:cs="Times New Roman"/>
                <w:color w:val="auto"/>
                <w:szCs w:val="24"/>
                <w:highlight w:val="none"/>
                <w:lang w:eastAsia="zh-CN"/>
              </w:rPr>
              <w:t>），该项目未建设</w:t>
            </w:r>
            <w:r>
              <w:rPr>
                <w:rFonts w:hint="eastAsia" w:cs="Times New Roman"/>
                <w:color w:val="auto"/>
                <w:szCs w:val="24"/>
                <w:highlight w:val="none"/>
                <w:lang w:eastAsia="zh-CN"/>
              </w:rPr>
              <w:t>；</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bCs w:val="0"/>
                <w:color w:val="auto"/>
                <w:kern w:val="2"/>
                <w:sz w:val="24"/>
                <w:szCs w:val="24"/>
                <w:highlight w:val="none"/>
              </w:rPr>
              <w:t>台车式热处理炉建设项目</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lang w:val="en-US" w:eastAsia="zh-CN"/>
              </w:rPr>
              <w:t>于</w:t>
            </w:r>
            <w:r>
              <w:rPr>
                <w:rFonts w:hint="default" w:ascii="Times New Roman" w:hAnsi="Times New Roman" w:eastAsia="宋体" w:cs="Times New Roman"/>
                <w:color w:val="auto"/>
                <w:kern w:val="2"/>
                <w:sz w:val="24"/>
                <w:szCs w:val="24"/>
                <w:highlight w:val="none"/>
              </w:rPr>
              <w:t>2015年2月</w:t>
            </w:r>
            <w:r>
              <w:rPr>
                <w:rFonts w:hint="default" w:ascii="Times New Roman" w:hAnsi="Times New Roman" w:eastAsia="宋体" w:cs="Times New Roman"/>
                <w:color w:val="auto"/>
                <w:kern w:val="2"/>
                <w:sz w:val="24"/>
                <w:szCs w:val="24"/>
                <w:highlight w:val="none"/>
                <w:lang w:val="en-US"/>
              </w:rPr>
              <w:t>年</w:t>
            </w:r>
            <w:r>
              <w:rPr>
                <w:rFonts w:hint="default" w:ascii="Times New Roman" w:hAnsi="Times New Roman" w:eastAsia="宋体" w:cs="Times New Roman"/>
                <w:color w:val="auto"/>
                <w:szCs w:val="24"/>
                <w:highlight w:val="none"/>
                <w:lang w:eastAsia="zh-CN"/>
              </w:rPr>
              <w:t>取得</w:t>
            </w:r>
            <w:r>
              <w:rPr>
                <w:rFonts w:hint="default" w:ascii="Times New Roman" w:hAnsi="Times New Roman" w:eastAsia="宋体" w:cs="Times New Roman"/>
                <w:color w:val="auto"/>
                <w:kern w:val="2"/>
                <w:sz w:val="24"/>
                <w:szCs w:val="24"/>
                <w:highlight w:val="none"/>
              </w:rPr>
              <w:t>济南市槐荫区环境保护局</w:t>
            </w:r>
            <w:r>
              <w:rPr>
                <w:rFonts w:hint="default" w:ascii="Times New Roman" w:hAnsi="Times New Roman" w:eastAsia="宋体" w:cs="Times New Roman"/>
                <w:color w:val="auto"/>
                <w:szCs w:val="24"/>
                <w:highlight w:val="none"/>
                <w:lang w:eastAsia="zh-CN"/>
              </w:rPr>
              <w:t>（现</w:t>
            </w:r>
            <w:r>
              <w:rPr>
                <w:rFonts w:hint="default" w:ascii="Times New Roman" w:hAnsi="Times New Roman" w:eastAsia="宋体" w:cs="Times New Roman"/>
                <w:color w:val="auto"/>
                <w:sz w:val="24"/>
                <w:szCs w:val="24"/>
                <w:highlight w:val="none"/>
                <w:lang w:val="en-US" w:eastAsia="zh-CN"/>
              </w:rPr>
              <w:t>济南市生态环境局</w:t>
            </w:r>
            <w:r>
              <w:rPr>
                <w:rFonts w:hint="default" w:ascii="Times New Roman" w:hAnsi="Times New Roman" w:eastAsia="宋体" w:cs="Times New Roman"/>
                <w:color w:val="auto"/>
                <w:kern w:val="2"/>
                <w:sz w:val="24"/>
                <w:szCs w:val="24"/>
                <w:highlight w:val="none"/>
              </w:rPr>
              <w:t>槐荫</w:t>
            </w:r>
            <w:r>
              <w:rPr>
                <w:rFonts w:hint="default" w:ascii="Times New Roman" w:hAnsi="Times New Roman" w:eastAsia="宋体" w:cs="Times New Roman"/>
                <w:color w:val="auto"/>
                <w:sz w:val="24"/>
                <w:szCs w:val="24"/>
                <w:highlight w:val="none"/>
                <w:lang w:val="en-US" w:eastAsia="zh-CN"/>
              </w:rPr>
              <w:t>分局</w:t>
            </w:r>
            <w:r>
              <w:rPr>
                <w:rFonts w:hint="default" w:ascii="Times New Roman" w:hAnsi="Times New Roman" w:eastAsia="宋体" w:cs="Times New Roman"/>
                <w:color w:val="auto"/>
                <w:szCs w:val="24"/>
                <w:highlight w:val="none"/>
                <w:lang w:eastAsia="zh-CN"/>
              </w:rPr>
              <w:t>）的审批（</w:t>
            </w:r>
            <w:r>
              <w:rPr>
                <w:rFonts w:hint="default" w:ascii="Times New Roman" w:hAnsi="Times New Roman" w:eastAsia="宋体" w:cs="Times New Roman"/>
                <w:color w:val="auto"/>
                <w:kern w:val="2"/>
                <w:sz w:val="24"/>
                <w:szCs w:val="24"/>
                <w:highlight w:val="none"/>
              </w:rPr>
              <w:t>济槐环建审[2015]037号</w:t>
            </w:r>
            <w:r>
              <w:rPr>
                <w:rFonts w:hint="default" w:ascii="Times New Roman" w:hAnsi="Times New Roman" w:eastAsia="宋体" w:cs="Times New Roman"/>
                <w:color w:val="auto"/>
                <w:szCs w:val="24"/>
                <w:highlight w:val="none"/>
                <w:lang w:eastAsia="zh-CN"/>
              </w:rPr>
              <w:t>），该项目于</w:t>
            </w:r>
            <w:r>
              <w:rPr>
                <w:rFonts w:hint="default" w:ascii="Times New Roman" w:hAnsi="Times New Roman" w:eastAsia="宋体" w:cs="Times New Roman"/>
                <w:color w:val="auto"/>
                <w:kern w:val="2"/>
                <w:sz w:val="24"/>
                <w:szCs w:val="24"/>
                <w:highlight w:val="none"/>
              </w:rPr>
              <w:t>2015年11月</w:t>
            </w:r>
            <w:r>
              <w:rPr>
                <w:rFonts w:hint="default" w:ascii="Times New Roman" w:hAnsi="Times New Roman" w:eastAsia="宋体" w:cs="Times New Roman"/>
                <w:color w:val="auto"/>
                <w:kern w:val="2"/>
                <w:sz w:val="24"/>
                <w:szCs w:val="24"/>
                <w:highlight w:val="none"/>
                <w:lang w:eastAsia="zh-CN"/>
              </w:rPr>
              <w:t>通过验收（</w:t>
            </w:r>
            <w:r>
              <w:rPr>
                <w:rFonts w:hint="default" w:ascii="Times New Roman" w:hAnsi="Times New Roman" w:eastAsia="宋体" w:cs="Times New Roman"/>
                <w:color w:val="auto"/>
                <w:kern w:val="2"/>
                <w:sz w:val="24"/>
                <w:szCs w:val="24"/>
                <w:highlight w:val="none"/>
              </w:rPr>
              <w:t>济槐环建验[2015]032号</w:t>
            </w:r>
            <w:r>
              <w:rPr>
                <w:rFonts w:hint="default" w:ascii="Times New Roman" w:hAnsi="Times New Roman" w:eastAsia="宋体" w:cs="Times New Roman"/>
                <w:color w:val="auto"/>
                <w:kern w:val="2"/>
                <w:sz w:val="24"/>
                <w:szCs w:val="24"/>
                <w:highlight w:val="none"/>
                <w:lang w:eastAsia="zh-CN"/>
              </w:rPr>
              <w:t>）</w:t>
            </w:r>
            <w:r>
              <w:rPr>
                <w:rFonts w:hint="eastAsia"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bCs w:val="0"/>
                <w:color w:val="auto"/>
                <w:kern w:val="2"/>
                <w:sz w:val="24"/>
                <w:szCs w:val="24"/>
                <w:highlight w:val="none"/>
              </w:rPr>
              <w:t>厂区供暖改造项目</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szCs w:val="24"/>
                <w:highlight w:val="none"/>
                <w:lang w:val="en-US" w:eastAsia="zh-CN"/>
              </w:rPr>
              <w:t>于</w:t>
            </w:r>
            <w:r>
              <w:rPr>
                <w:rFonts w:hint="default" w:ascii="Times New Roman" w:hAnsi="Times New Roman" w:eastAsia="宋体" w:cs="Times New Roman"/>
                <w:color w:val="auto"/>
                <w:kern w:val="2"/>
                <w:sz w:val="24"/>
                <w:szCs w:val="24"/>
                <w:highlight w:val="none"/>
              </w:rPr>
              <w:t>2016年10月</w:t>
            </w:r>
            <w:r>
              <w:rPr>
                <w:rFonts w:hint="default" w:ascii="Times New Roman" w:hAnsi="Times New Roman" w:eastAsia="宋体" w:cs="Times New Roman"/>
                <w:color w:val="auto"/>
                <w:kern w:val="2"/>
                <w:sz w:val="24"/>
                <w:szCs w:val="24"/>
                <w:highlight w:val="none"/>
                <w:lang w:val="en-US"/>
              </w:rPr>
              <w:t>年</w:t>
            </w:r>
            <w:r>
              <w:rPr>
                <w:rFonts w:hint="default" w:ascii="Times New Roman" w:hAnsi="Times New Roman" w:eastAsia="宋体" w:cs="Times New Roman"/>
                <w:color w:val="auto"/>
                <w:szCs w:val="24"/>
                <w:highlight w:val="none"/>
                <w:lang w:eastAsia="zh-CN"/>
              </w:rPr>
              <w:t>取得</w:t>
            </w:r>
            <w:r>
              <w:rPr>
                <w:rFonts w:hint="default" w:ascii="Times New Roman" w:hAnsi="Times New Roman" w:eastAsia="宋体" w:cs="Times New Roman"/>
                <w:color w:val="auto"/>
                <w:kern w:val="2"/>
                <w:sz w:val="24"/>
                <w:szCs w:val="24"/>
                <w:highlight w:val="none"/>
              </w:rPr>
              <w:t>济南市槐荫区环境保护局</w:t>
            </w:r>
            <w:r>
              <w:rPr>
                <w:rFonts w:hint="default" w:ascii="Times New Roman" w:hAnsi="Times New Roman" w:eastAsia="宋体" w:cs="Times New Roman"/>
                <w:color w:val="auto"/>
                <w:szCs w:val="24"/>
                <w:highlight w:val="none"/>
                <w:lang w:eastAsia="zh-CN"/>
              </w:rPr>
              <w:t>（现</w:t>
            </w:r>
            <w:r>
              <w:rPr>
                <w:rFonts w:hint="default" w:ascii="Times New Roman" w:hAnsi="Times New Roman" w:eastAsia="宋体" w:cs="Times New Roman"/>
                <w:color w:val="auto"/>
                <w:sz w:val="24"/>
                <w:szCs w:val="24"/>
                <w:highlight w:val="none"/>
                <w:lang w:val="en-US" w:eastAsia="zh-CN"/>
              </w:rPr>
              <w:t>济南市生态环境局</w:t>
            </w:r>
            <w:r>
              <w:rPr>
                <w:rFonts w:hint="default" w:ascii="Times New Roman" w:hAnsi="Times New Roman" w:eastAsia="宋体" w:cs="Times New Roman"/>
                <w:color w:val="auto"/>
                <w:kern w:val="2"/>
                <w:sz w:val="24"/>
                <w:szCs w:val="24"/>
                <w:highlight w:val="none"/>
              </w:rPr>
              <w:t>槐荫</w:t>
            </w:r>
            <w:r>
              <w:rPr>
                <w:rFonts w:hint="default" w:ascii="Times New Roman" w:hAnsi="Times New Roman" w:eastAsia="宋体" w:cs="Times New Roman"/>
                <w:color w:val="auto"/>
                <w:sz w:val="24"/>
                <w:szCs w:val="24"/>
                <w:highlight w:val="none"/>
                <w:lang w:val="en-US" w:eastAsia="zh-CN"/>
              </w:rPr>
              <w:t>分局</w:t>
            </w:r>
            <w:r>
              <w:rPr>
                <w:rFonts w:hint="default" w:ascii="Times New Roman" w:hAnsi="Times New Roman" w:eastAsia="宋体" w:cs="Times New Roman"/>
                <w:color w:val="auto"/>
                <w:szCs w:val="24"/>
                <w:highlight w:val="none"/>
                <w:lang w:eastAsia="zh-CN"/>
              </w:rPr>
              <w:t>）的审批（</w:t>
            </w:r>
            <w:r>
              <w:rPr>
                <w:rFonts w:hint="default" w:ascii="Times New Roman" w:hAnsi="Times New Roman" w:eastAsia="宋体" w:cs="Times New Roman"/>
                <w:color w:val="auto"/>
                <w:kern w:val="2"/>
                <w:sz w:val="24"/>
                <w:szCs w:val="24"/>
                <w:highlight w:val="none"/>
              </w:rPr>
              <w:t>济槐环建审[2016]95号</w:t>
            </w:r>
            <w:r>
              <w:rPr>
                <w:rFonts w:hint="default" w:ascii="Times New Roman" w:hAnsi="Times New Roman" w:eastAsia="宋体" w:cs="Times New Roman"/>
                <w:color w:val="auto"/>
                <w:szCs w:val="24"/>
                <w:highlight w:val="none"/>
                <w:lang w:eastAsia="zh-CN"/>
              </w:rPr>
              <w:t>），该项目于</w:t>
            </w:r>
            <w:r>
              <w:rPr>
                <w:rFonts w:hint="default" w:ascii="Times New Roman" w:hAnsi="Times New Roman" w:eastAsia="宋体" w:cs="Times New Roman"/>
                <w:color w:val="auto"/>
                <w:kern w:val="2"/>
                <w:sz w:val="24"/>
                <w:szCs w:val="24"/>
                <w:highlight w:val="none"/>
              </w:rPr>
              <w:t>2017年2月</w:t>
            </w:r>
            <w:r>
              <w:rPr>
                <w:rFonts w:hint="default" w:ascii="Times New Roman" w:hAnsi="Times New Roman" w:eastAsia="宋体" w:cs="Times New Roman"/>
                <w:color w:val="auto"/>
                <w:kern w:val="2"/>
                <w:sz w:val="24"/>
                <w:szCs w:val="24"/>
                <w:highlight w:val="none"/>
                <w:lang w:eastAsia="zh-CN"/>
              </w:rPr>
              <w:t>通过验收（</w:t>
            </w:r>
            <w:r>
              <w:rPr>
                <w:rFonts w:hint="default" w:ascii="Times New Roman" w:hAnsi="Times New Roman" w:eastAsia="宋体" w:cs="Times New Roman"/>
                <w:color w:val="auto"/>
                <w:kern w:val="2"/>
                <w:sz w:val="24"/>
                <w:szCs w:val="24"/>
                <w:highlight w:val="none"/>
              </w:rPr>
              <w:t>济槐环建验[2017]4号</w:t>
            </w:r>
            <w:r>
              <w:rPr>
                <w:rFonts w:hint="default" w:ascii="Times New Roman" w:hAnsi="Times New Roman" w:eastAsia="宋体" w:cs="Times New Roman"/>
                <w:color w:val="auto"/>
                <w:kern w:val="2"/>
                <w:sz w:val="24"/>
                <w:szCs w:val="24"/>
                <w:highlight w:val="none"/>
                <w:lang w:eastAsia="zh-CN"/>
              </w:rPr>
              <w:t>）</w:t>
            </w:r>
            <w:r>
              <w:rPr>
                <w:rFonts w:hint="eastAsia"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中车山东机车车辆有限公司</w:t>
            </w:r>
            <w:r>
              <w:rPr>
                <w:rFonts w:hint="default" w:ascii="Times New Roman" w:hAnsi="Times New Roman" w:eastAsia="宋体" w:cs="Times New Roman"/>
                <w:color w:val="auto"/>
                <w:kern w:val="2"/>
                <w:sz w:val="24"/>
                <w:szCs w:val="24"/>
                <w:highlight w:val="none"/>
                <w:lang w:eastAsia="zh-CN"/>
              </w:rPr>
              <w:t>酸洗工艺改造项目》</w:t>
            </w:r>
            <w:r>
              <w:rPr>
                <w:rFonts w:hint="default" w:ascii="Times New Roman" w:hAnsi="Times New Roman" w:eastAsia="宋体" w:cs="Times New Roman"/>
                <w:color w:val="auto"/>
                <w:szCs w:val="24"/>
                <w:highlight w:val="none"/>
                <w:lang w:val="en-US" w:eastAsia="zh-CN"/>
              </w:rPr>
              <w:t>于</w:t>
            </w:r>
            <w:r>
              <w:rPr>
                <w:rFonts w:hint="default" w:ascii="Times New Roman" w:hAnsi="Times New Roman" w:eastAsia="宋体" w:cs="Times New Roman"/>
                <w:color w:val="auto"/>
                <w:kern w:val="2"/>
                <w:sz w:val="24"/>
                <w:szCs w:val="24"/>
                <w:highlight w:val="none"/>
                <w:lang w:val="en-US" w:eastAsia="zh-CN"/>
              </w:rPr>
              <w:t>2018年11月</w:t>
            </w:r>
            <w:r>
              <w:rPr>
                <w:rFonts w:hint="default" w:ascii="Times New Roman" w:hAnsi="Times New Roman" w:eastAsia="宋体" w:cs="Times New Roman"/>
                <w:color w:val="auto"/>
                <w:kern w:val="2"/>
                <w:sz w:val="24"/>
                <w:szCs w:val="24"/>
                <w:highlight w:val="none"/>
                <w:lang w:val="en-US"/>
              </w:rPr>
              <w:t>年</w:t>
            </w:r>
            <w:r>
              <w:rPr>
                <w:rFonts w:hint="default" w:ascii="Times New Roman" w:hAnsi="Times New Roman" w:eastAsia="宋体" w:cs="Times New Roman"/>
                <w:color w:val="auto"/>
                <w:szCs w:val="24"/>
                <w:highlight w:val="none"/>
                <w:lang w:eastAsia="zh-CN"/>
              </w:rPr>
              <w:t>取得</w:t>
            </w:r>
            <w:r>
              <w:rPr>
                <w:rFonts w:hint="default" w:ascii="Times New Roman" w:hAnsi="Times New Roman" w:eastAsia="宋体" w:cs="Times New Roman"/>
                <w:color w:val="auto"/>
                <w:kern w:val="2"/>
                <w:sz w:val="24"/>
                <w:szCs w:val="24"/>
                <w:highlight w:val="none"/>
              </w:rPr>
              <w:t>济南市槐荫区环境保护局</w:t>
            </w:r>
            <w:r>
              <w:rPr>
                <w:rFonts w:hint="default" w:ascii="Times New Roman" w:hAnsi="Times New Roman" w:eastAsia="宋体" w:cs="Times New Roman"/>
                <w:color w:val="auto"/>
                <w:szCs w:val="24"/>
                <w:highlight w:val="none"/>
                <w:lang w:eastAsia="zh-CN"/>
              </w:rPr>
              <w:t>（现</w:t>
            </w:r>
            <w:r>
              <w:rPr>
                <w:rFonts w:hint="default" w:ascii="Times New Roman" w:hAnsi="Times New Roman" w:eastAsia="宋体" w:cs="Times New Roman"/>
                <w:color w:val="auto"/>
                <w:sz w:val="24"/>
                <w:szCs w:val="24"/>
                <w:highlight w:val="none"/>
                <w:lang w:val="en-US" w:eastAsia="zh-CN"/>
              </w:rPr>
              <w:t>济南市生态环境局</w:t>
            </w:r>
            <w:r>
              <w:rPr>
                <w:rFonts w:hint="default" w:ascii="Times New Roman" w:hAnsi="Times New Roman" w:eastAsia="宋体" w:cs="Times New Roman"/>
                <w:color w:val="auto"/>
                <w:kern w:val="2"/>
                <w:sz w:val="24"/>
                <w:szCs w:val="24"/>
                <w:highlight w:val="none"/>
              </w:rPr>
              <w:t>槐荫</w:t>
            </w:r>
            <w:r>
              <w:rPr>
                <w:rFonts w:hint="default" w:ascii="Times New Roman" w:hAnsi="Times New Roman" w:eastAsia="宋体" w:cs="Times New Roman"/>
                <w:color w:val="auto"/>
                <w:sz w:val="24"/>
                <w:szCs w:val="24"/>
                <w:highlight w:val="none"/>
                <w:lang w:val="en-US" w:eastAsia="zh-CN"/>
              </w:rPr>
              <w:t>分局</w:t>
            </w:r>
            <w:r>
              <w:rPr>
                <w:rFonts w:hint="default" w:ascii="Times New Roman" w:hAnsi="Times New Roman" w:eastAsia="宋体" w:cs="Times New Roman"/>
                <w:color w:val="auto"/>
                <w:szCs w:val="24"/>
                <w:highlight w:val="none"/>
                <w:lang w:eastAsia="zh-CN"/>
              </w:rPr>
              <w:t>）的审批（</w:t>
            </w:r>
            <w:r>
              <w:rPr>
                <w:rFonts w:hint="default" w:ascii="Times New Roman" w:hAnsi="Times New Roman" w:eastAsia="宋体" w:cs="Times New Roman"/>
                <w:color w:val="auto"/>
                <w:kern w:val="2"/>
                <w:sz w:val="24"/>
                <w:szCs w:val="24"/>
                <w:highlight w:val="none"/>
              </w:rPr>
              <w:t>济槐环建审[201</w:t>
            </w:r>
            <w:r>
              <w:rPr>
                <w:rFonts w:hint="default" w:ascii="Times New Roman" w:hAnsi="Times New Roman" w:eastAsia="宋体" w:cs="Times New Roman"/>
                <w:color w:val="auto"/>
                <w:kern w:val="2"/>
                <w:sz w:val="24"/>
                <w:szCs w:val="24"/>
                <w:highlight w:val="none"/>
                <w:lang w:val="en-US" w:eastAsia="zh-CN"/>
              </w:rPr>
              <w:t>8</w:t>
            </w:r>
            <w:r>
              <w:rPr>
                <w:rFonts w:hint="default" w:ascii="Times New Roman" w:hAnsi="Times New Roman" w:eastAsia="宋体" w:cs="Times New Roman"/>
                <w:color w:val="auto"/>
                <w:kern w:val="2"/>
                <w:sz w:val="24"/>
                <w:szCs w:val="24"/>
                <w:highlight w:val="none"/>
              </w:rPr>
              <w:t>]</w:t>
            </w:r>
            <w:r>
              <w:rPr>
                <w:rFonts w:hint="default" w:ascii="Times New Roman" w:hAnsi="Times New Roman" w:eastAsia="宋体" w:cs="Times New Roman"/>
                <w:color w:val="auto"/>
                <w:kern w:val="2"/>
                <w:sz w:val="24"/>
                <w:szCs w:val="24"/>
                <w:highlight w:val="none"/>
                <w:lang w:val="en-US" w:eastAsia="zh-CN"/>
              </w:rPr>
              <w:t>44</w:t>
            </w:r>
            <w:r>
              <w:rPr>
                <w:rFonts w:hint="default" w:ascii="Times New Roman" w:hAnsi="Times New Roman" w:eastAsia="宋体" w:cs="Times New Roman"/>
                <w:color w:val="auto"/>
                <w:kern w:val="2"/>
                <w:sz w:val="24"/>
                <w:szCs w:val="24"/>
                <w:highlight w:val="none"/>
              </w:rPr>
              <w:t>号</w:t>
            </w:r>
            <w:r>
              <w:rPr>
                <w:rFonts w:hint="default" w:ascii="Times New Roman" w:hAnsi="Times New Roman" w:eastAsia="宋体" w:cs="Times New Roman"/>
                <w:color w:val="auto"/>
                <w:szCs w:val="24"/>
                <w:highlight w:val="none"/>
                <w:lang w:eastAsia="zh-CN"/>
              </w:rPr>
              <w:t>），该项目于</w:t>
            </w:r>
            <w:r>
              <w:rPr>
                <w:rFonts w:hint="default" w:ascii="Times New Roman" w:hAnsi="Times New Roman" w:eastAsia="宋体" w:cs="Times New Roman"/>
                <w:color w:val="auto"/>
                <w:kern w:val="2"/>
                <w:sz w:val="24"/>
                <w:szCs w:val="24"/>
                <w:highlight w:val="none"/>
                <w:lang w:val="en-US" w:eastAsia="zh-CN"/>
              </w:rPr>
              <w:t>2019年6月通过验收（</w:t>
            </w:r>
            <w:r>
              <w:rPr>
                <w:rFonts w:hint="default" w:ascii="Times New Roman" w:hAnsi="Times New Roman" w:eastAsia="宋体" w:cs="Times New Roman"/>
                <w:color w:val="auto"/>
                <w:kern w:val="2"/>
                <w:sz w:val="24"/>
                <w:szCs w:val="24"/>
                <w:highlight w:val="none"/>
              </w:rPr>
              <w:t>济槐环建验[2019]</w:t>
            </w:r>
            <w:r>
              <w:rPr>
                <w:rFonts w:hint="default" w:ascii="Times New Roman" w:hAnsi="Times New Roman" w:eastAsia="宋体" w:cs="Times New Roman"/>
                <w:color w:val="auto"/>
                <w:kern w:val="2"/>
                <w:sz w:val="24"/>
                <w:szCs w:val="24"/>
                <w:highlight w:val="none"/>
                <w:lang w:val="en-US" w:eastAsia="zh-CN"/>
              </w:rPr>
              <w:t>20</w:t>
            </w:r>
            <w:r>
              <w:rPr>
                <w:rFonts w:hint="default" w:ascii="Times New Roman" w:hAnsi="Times New Roman" w:eastAsia="宋体" w:cs="Times New Roman"/>
                <w:color w:val="auto"/>
                <w:kern w:val="2"/>
                <w:sz w:val="24"/>
                <w:szCs w:val="24"/>
                <w:highlight w:val="none"/>
              </w:rPr>
              <w:t>号</w:t>
            </w:r>
            <w:r>
              <w:rPr>
                <w:rFonts w:hint="default" w:ascii="Times New Roman" w:hAnsi="Times New Roman" w:eastAsia="宋体" w:cs="Times New Roman"/>
                <w:color w:val="auto"/>
                <w:kern w:val="2"/>
                <w:sz w:val="24"/>
                <w:szCs w:val="24"/>
                <w:highlight w:val="none"/>
                <w:lang w:val="en-US" w:eastAsia="zh-CN"/>
              </w:rPr>
              <w:t>）</w:t>
            </w:r>
            <w:r>
              <w:rPr>
                <w:rFonts w:hint="eastAsia"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rPr>
              <w:t>中车山东机车车辆有限公司货车涂装生产线改造项目</w:t>
            </w:r>
            <w:r>
              <w:rPr>
                <w:rFonts w:hint="default"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szCs w:val="24"/>
                <w:highlight w:val="none"/>
                <w:lang w:val="en-US" w:eastAsia="zh-CN"/>
              </w:rPr>
              <w:t>于</w:t>
            </w:r>
            <w:r>
              <w:rPr>
                <w:rFonts w:hint="default" w:ascii="Times New Roman" w:hAnsi="Times New Roman" w:eastAsia="宋体" w:cs="Times New Roman"/>
                <w:color w:val="auto"/>
                <w:kern w:val="2"/>
                <w:sz w:val="24"/>
                <w:szCs w:val="24"/>
                <w:highlight w:val="none"/>
                <w:lang w:val="en-US" w:eastAsia="zh-CN"/>
              </w:rPr>
              <w:t>2018年12月</w:t>
            </w:r>
            <w:r>
              <w:rPr>
                <w:rFonts w:hint="default" w:ascii="Times New Roman" w:hAnsi="Times New Roman" w:eastAsia="宋体" w:cs="Times New Roman"/>
                <w:color w:val="auto"/>
                <w:kern w:val="2"/>
                <w:sz w:val="24"/>
                <w:szCs w:val="24"/>
                <w:highlight w:val="none"/>
                <w:lang w:val="en-US"/>
              </w:rPr>
              <w:t>年</w:t>
            </w:r>
            <w:r>
              <w:rPr>
                <w:rFonts w:hint="default" w:ascii="Times New Roman" w:hAnsi="Times New Roman" w:eastAsia="宋体" w:cs="Times New Roman"/>
                <w:color w:val="auto"/>
                <w:szCs w:val="24"/>
                <w:highlight w:val="none"/>
                <w:lang w:eastAsia="zh-CN"/>
              </w:rPr>
              <w:t>取得</w:t>
            </w:r>
            <w:r>
              <w:rPr>
                <w:rFonts w:hint="default" w:ascii="Times New Roman" w:hAnsi="Times New Roman" w:eastAsia="宋体" w:cs="Times New Roman"/>
                <w:color w:val="auto"/>
                <w:kern w:val="2"/>
                <w:sz w:val="24"/>
                <w:szCs w:val="24"/>
                <w:highlight w:val="none"/>
              </w:rPr>
              <w:t>济南市槐荫区环境保护局</w:t>
            </w:r>
            <w:r>
              <w:rPr>
                <w:rFonts w:hint="default" w:ascii="Times New Roman" w:hAnsi="Times New Roman" w:eastAsia="宋体" w:cs="Times New Roman"/>
                <w:color w:val="auto"/>
                <w:szCs w:val="24"/>
                <w:highlight w:val="none"/>
                <w:lang w:eastAsia="zh-CN"/>
              </w:rPr>
              <w:t>（现</w:t>
            </w:r>
            <w:r>
              <w:rPr>
                <w:rFonts w:hint="default" w:ascii="Times New Roman" w:hAnsi="Times New Roman" w:eastAsia="宋体" w:cs="Times New Roman"/>
                <w:color w:val="auto"/>
                <w:sz w:val="24"/>
                <w:szCs w:val="24"/>
                <w:highlight w:val="none"/>
                <w:lang w:val="en-US" w:eastAsia="zh-CN"/>
              </w:rPr>
              <w:t>济南市生态环境局</w:t>
            </w:r>
            <w:r>
              <w:rPr>
                <w:rFonts w:hint="default" w:ascii="Times New Roman" w:hAnsi="Times New Roman" w:eastAsia="宋体" w:cs="Times New Roman"/>
                <w:color w:val="auto"/>
                <w:kern w:val="2"/>
                <w:sz w:val="24"/>
                <w:szCs w:val="24"/>
                <w:highlight w:val="none"/>
              </w:rPr>
              <w:t>槐荫</w:t>
            </w:r>
            <w:r>
              <w:rPr>
                <w:rFonts w:hint="default" w:ascii="Times New Roman" w:hAnsi="Times New Roman" w:eastAsia="宋体" w:cs="Times New Roman"/>
                <w:color w:val="auto"/>
                <w:sz w:val="24"/>
                <w:szCs w:val="24"/>
                <w:highlight w:val="none"/>
                <w:lang w:val="en-US" w:eastAsia="zh-CN"/>
              </w:rPr>
              <w:t>分局</w:t>
            </w:r>
            <w:r>
              <w:rPr>
                <w:rFonts w:hint="default" w:ascii="Times New Roman" w:hAnsi="Times New Roman" w:eastAsia="宋体" w:cs="Times New Roman"/>
                <w:color w:val="auto"/>
                <w:szCs w:val="24"/>
                <w:highlight w:val="none"/>
                <w:lang w:eastAsia="zh-CN"/>
              </w:rPr>
              <w:t>）的审批（</w:t>
            </w:r>
            <w:r>
              <w:rPr>
                <w:rFonts w:hint="default" w:ascii="Times New Roman" w:hAnsi="Times New Roman" w:eastAsia="宋体" w:cs="Times New Roman"/>
                <w:color w:val="auto"/>
                <w:kern w:val="2"/>
                <w:sz w:val="24"/>
                <w:szCs w:val="24"/>
                <w:highlight w:val="none"/>
                <w:lang w:eastAsia="zh-CN"/>
              </w:rPr>
              <w:t>济槐环字[2018]39号</w:t>
            </w:r>
            <w:r>
              <w:rPr>
                <w:rFonts w:hint="default" w:ascii="Times New Roman" w:hAnsi="Times New Roman" w:eastAsia="宋体" w:cs="Times New Roman"/>
                <w:color w:val="auto"/>
                <w:szCs w:val="24"/>
                <w:highlight w:val="none"/>
                <w:lang w:eastAsia="zh-CN"/>
              </w:rPr>
              <w:t>），该项目于</w:t>
            </w:r>
            <w:r>
              <w:rPr>
                <w:rFonts w:hint="default" w:ascii="Times New Roman" w:hAnsi="Times New Roman" w:eastAsia="宋体" w:cs="Times New Roman"/>
                <w:color w:val="auto"/>
                <w:kern w:val="2"/>
                <w:sz w:val="24"/>
                <w:szCs w:val="24"/>
                <w:highlight w:val="none"/>
                <w:lang w:val="en-US" w:eastAsia="zh-CN"/>
              </w:rPr>
              <w:t>2019年6月通过验收（</w:t>
            </w:r>
            <w:r>
              <w:rPr>
                <w:rFonts w:hint="default" w:ascii="Times New Roman" w:hAnsi="Times New Roman" w:eastAsia="宋体" w:cs="Times New Roman"/>
                <w:color w:val="auto"/>
                <w:kern w:val="2"/>
                <w:sz w:val="24"/>
                <w:szCs w:val="24"/>
                <w:highlight w:val="none"/>
              </w:rPr>
              <w:t>济槐环建验[2019]19号</w:t>
            </w:r>
            <w:r>
              <w:rPr>
                <w:rFonts w:hint="default" w:ascii="Times New Roman" w:hAnsi="Times New Roman" w:eastAsia="宋体" w:cs="Times New Roman"/>
                <w:color w:val="auto"/>
                <w:kern w:val="2"/>
                <w:sz w:val="24"/>
                <w:szCs w:val="24"/>
                <w:highlight w:val="none"/>
                <w:lang w:val="en-US" w:eastAsia="zh-CN"/>
              </w:rPr>
              <w:t>）</w:t>
            </w:r>
            <w:r>
              <w:rPr>
                <w:rFonts w:hint="eastAsia" w:cs="Times New Roman"/>
                <w:color w:val="auto"/>
                <w:kern w:val="2"/>
                <w:sz w:val="24"/>
                <w:szCs w:val="24"/>
                <w:highlight w:val="none"/>
                <w:lang w:val="en-US" w:eastAsia="zh-CN"/>
              </w:rPr>
              <w:t>；</w:t>
            </w:r>
            <w:r>
              <w:rPr>
                <w:rFonts w:hint="eastAsia" w:ascii="Times New Roman" w:hAnsi="Times New Roman" w:eastAsia="宋体" w:cs="Times New Roman"/>
                <w:color w:val="auto"/>
                <w:kern w:val="2"/>
                <w:sz w:val="24"/>
                <w:szCs w:val="24"/>
                <w:highlight w:val="none"/>
                <w:lang w:val="en-US" w:eastAsia="zh-CN"/>
              </w:rPr>
              <w:t>《中车山东机车车辆有限公司焊接保护气体集中化供气项目》于2022年3月21日</w:t>
            </w:r>
            <w:r>
              <w:rPr>
                <w:rFonts w:hint="default" w:ascii="Times New Roman" w:hAnsi="Times New Roman" w:eastAsia="宋体" w:cs="Times New Roman"/>
                <w:color w:val="auto"/>
                <w:szCs w:val="24"/>
                <w:highlight w:val="none"/>
                <w:lang w:eastAsia="zh-CN"/>
              </w:rPr>
              <w:t>取得</w:t>
            </w:r>
            <w:r>
              <w:rPr>
                <w:rFonts w:hint="default" w:ascii="Times New Roman" w:hAnsi="Times New Roman" w:eastAsia="宋体" w:cs="Times New Roman"/>
                <w:color w:val="auto"/>
                <w:sz w:val="24"/>
                <w:szCs w:val="24"/>
                <w:highlight w:val="none"/>
                <w:lang w:val="en-US" w:eastAsia="zh-CN"/>
              </w:rPr>
              <w:t>济南市生态环境局</w:t>
            </w:r>
            <w:r>
              <w:rPr>
                <w:rFonts w:hint="default" w:ascii="Times New Roman" w:hAnsi="Times New Roman" w:eastAsia="宋体" w:cs="Times New Roman"/>
                <w:color w:val="auto"/>
                <w:kern w:val="2"/>
                <w:sz w:val="24"/>
                <w:szCs w:val="24"/>
                <w:highlight w:val="none"/>
              </w:rPr>
              <w:t>槐荫</w:t>
            </w:r>
            <w:r>
              <w:rPr>
                <w:rFonts w:hint="default" w:ascii="Times New Roman" w:hAnsi="Times New Roman" w:eastAsia="宋体" w:cs="Times New Roman"/>
                <w:color w:val="auto"/>
                <w:sz w:val="24"/>
                <w:szCs w:val="24"/>
                <w:highlight w:val="none"/>
                <w:lang w:val="en-US" w:eastAsia="zh-CN"/>
              </w:rPr>
              <w:t>分局</w:t>
            </w:r>
            <w:r>
              <w:rPr>
                <w:rFonts w:hint="eastAsia" w:ascii="Times New Roman" w:hAnsi="Times New Roman" w:eastAsia="宋体" w:cs="Times New Roman"/>
                <w:color w:val="auto"/>
                <w:sz w:val="24"/>
                <w:szCs w:val="24"/>
                <w:highlight w:val="none"/>
                <w:lang w:val="en-US" w:eastAsia="zh-CN"/>
              </w:rPr>
              <w:t>的审批（济槐环建审</w:t>
            </w:r>
            <w:r>
              <w:rPr>
                <w:rFonts w:hint="default" w:ascii="Times New Roman" w:hAnsi="Times New Roman" w:eastAsia="宋体" w:cs="Times New Roman"/>
                <w:color w:val="auto"/>
                <w:kern w:val="2"/>
                <w:sz w:val="24"/>
                <w:szCs w:val="24"/>
                <w:highlight w:val="none"/>
              </w:rPr>
              <w:t>[20</w:t>
            </w:r>
            <w:r>
              <w:rPr>
                <w:rFonts w:hint="eastAsia" w:ascii="Times New Roman" w:hAnsi="Times New Roman" w:eastAsia="宋体" w:cs="Times New Roman"/>
                <w:color w:val="auto"/>
                <w:kern w:val="2"/>
                <w:sz w:val="24"/>
                <w:szCs w:val="24"/>
                <w:highlight w:val="none"/>
                <w:lang w:val="en-US" w:eastAsia="zh-CN"/>
              </w:rPr>
              <w:t>22</w:t>
            </w:r>
            <w:r>
              <w:rPr>
                <w:rFonts w:hint="default" w:ascii="Times New Roman" w:hAnsi="Times New Roman" w:eastAsia="宋体" w:cs="Times New Roman"/>
                <w:color w:val="auto"/>
                <w:kern w:val="2"/>
                <w:sz w:val="24"/>
                <w:szCs w:val="24"/>
                <w:highlight w:val="none"/>
              </w:rPr>
              <w:t>]</w:t>
            </w:r>
            <w:r>
              <w:rPr>
                <w:rFonts w:hint="eastAsia" w:ascii="Times New Roman" w:hAnsi="Times New Roman" w:eastAsia="宋体" w:cs="Times New Roman"/>
                <w:color w:val="auto"/>
                <w:sz w:val="24"/>
                <w:szCs w:val="24"/>
                <w:highlight w:val="none"/>
                <w:lang w:val="en-US" w:eastAsia="zh-CN"/>
              </w:rPr>
              <w:t>4号）。</w:t>
            </w:r>
          </w:p>
          <w:p>
            <w:pPr>
              <w:ind w:firstLine="482"/>
              <w:jc w:val="left"/>
              <w:rPr>
                <w:b/>
                <w:bCs/>
                <w:color w:val="auto"/>
                <w:highlight w:val="none"/>
              </w:rPr>
            </w:pPr>
            <w:r>
              <w:rPr>
                <w:b/>
                <w:bCs/>
                <w:color w:val="auto"/>
                <w:highlight w:val="none"/>
              </w:rPr>
              <w:t>二、本项目概况</w:t>
            </w:r>
          </w:p>
          <w:p>
            <w:pPr>
              <w:ind w:firstLine="480"/>
              <w:rPr>
                <w:color w:val="auto"/>
                <w:highlight w:val="none"/>
              </w:rPr>
            </w:pPr>
            <w:r>
              <w:rPr>
                <w:rFonts w:hint="eastAsia"/>
                <w:color w:val="auto"/>
                <w:highlight w:val="none"/>
                <w:lang w:eastAsia="zh-CN"/>
              </w:rPr>
              <w:t>中车山东机车车辆有限公司2020年11月</w:t>
            </w:r>
            <w:r>
              <w:rPr>
                <w:color w:val="auto"/>
                <w:highlight w:val="none"/>
              </w:rPr>
              <w:t>委托</w:t>
            </w:r>
            <w:r>
              <w:rPr>
                <w:rFonts w:hint="eastAsia"/>
                <w:color w:val="auto"/>
                <w:highlight w:val="none"/>
                <w:lang w:eastAsia="zh-CN"/>
              </w:rPr>
              <w:t>山东国环环保科技有限公司</w:t>
            </w:r>
            <w:r>
              <w:rPr>
                <w:color w:val="auto"/>
                <w:kern w:val="21"/>
                <w:highlight w:val="none"/>
              </w:rPr>
              <w:t>编制完成了</w:t>
            </w:r>
            <w:r>
              <w:rPr>
                <w:color w:val="auto"/>
                <w:highlight w:val="none"/>
              </w:rPr>
              <w:t>《</w:t>
            </w:r>
            <w:r>
              <w:rPr>
                <w:rFonts w:hint="eastAsia"/>
                <w:color w:val="auto"/>
                <w:highlight w:val="none"/>
                <w:lang w:eastAsia="zh-CN"/>
              </w:rPr>
              <w:t>中车山东机车车辆有限公司原钢构喷漆房改造为打砂房项目</w:t>
            </w:r>
            <w:r>
              <w:rPr>
                <w:color w:val="auto"/>
                <w:highlight w:val="none"/>
              </w:rPr>
              <w:t>环境影响报告表》，并于</w:t>
            </w:r>
            <w:r>
              <w:rPr>
                <w:rFonts w:hint="eastAsia"/>
                <w:color w:val="auto"/>
                <w:highlight w:val="none"/>
                <w:lang w:eastAsia="zh-CN"/>
              </w:rPr>
              <w:t>2020年11月</w:t>
            </w:r>
            <w:r>
              <w:rPr>
                <w:rFonts w:hint="eastAsia"/>
                <w:color w:val="auto"/>
                <w:highlight w:val="none"/>
              </w:rPr>
              <w:t>26日</w:t>
            </w:r>
            <w:r>
              <w:rPr>
                <w:color w:val="auto"/>
                <w:highlight w:val="none"/>
              </w:rPr>
              <w:t>经</w:t>
            </w:r>
            <w:r>
              <w:rPr>
                <w:rFonts w:hint="eastAsia"/>
                <w:color w:val="auto"/>
                <w:highlight w:val="none"/>
                <w:lang w:eastAsia="zh-CN"/>
              </w:rPr>
              <w:t>济南市生态环境局槐荫分局</w:t>
            </w:r>
            <w:r>
              <w:rPr>
                <w:color w:val="auto"/>
                <w:highlight w:val="none"/>
              </w:rPr>
              <w:t>审批（</w:t>
            </w:r>
            <w:r>
              <w:rPr>
                <w:rFonts w:hint="eastAsia"/>
                <w:color w:val="auto"/>
                <w:highlight w:val="none"/>
                <w:lang w:eastAsia="zh-CN"/>
              </w:rPr>
              <w:t>济槐环建审[2020]45号</w:t>
            </w:r>
            <w:r>
              <w:rPr>
                <w:color w:val="auto"/>
                <w:highlight w:val="none"/>
              </w:rPr>
              <w:t>）。</w:t>
            </w:r>
          </w:p>
          <w:p>
            <w:pPr>
              <w:pStyle w:val="2"/>
              <w:rPr>
                <w:rFonts w:cs="Times New Roman"/>
                <w:color w:val="auto"/>
                <w:spacing w:val="8"/>
                <w:highlight w:val="none"/>
              </w:rPr>
            </w:pPr>
            <w:r>
              <w:rPr>
                <w:rFonts w:hint="eastAsia" w:cs="Times New Roman"/>
                <w:color w:val="auto"/>
                <w:kern w:val="21"/>
                <w:szCs w:val="24"/>
                <w:highlight w:val="none"/>
                <w:lang w:eastAsia="zh-CN"/>
              </w:rPr>
              <w:t>中车山东机车车辆有限公司原钢构喷漆房改造为打砂房项目</w:t>
            </w:r>
            <w:r>
              <w:rPr>
                <w:rFonts w:cs="Times New Roman"/>
                <w:color w:val="auto"/>
                <w:szCs w:val="24"/>
                <w:highlight w:val="none"/>
              </w:rPr>
              <w:t>行业类别及代码为</w:t>
            </w:r>
            <w:r>
              <w:rPr>
                <w:rFonts w:hint="eastAsia" w:cs="Times New Roman"/>
                <w:color w:val="auto"/>
                <w:szCs w:val="24"/>
                <w:highlight w:val="none"/>
              </w:rPr>
              <w:t>C3712铁路机车车辆制造</w:t>
            </w:r>
            <w:r>
              <w:rPr>
                <w:rFonts w:cs="Times New Roman"/>
                <w:color w:val="auto"/>
                <w:szCs w:val="24"/>
                <w:highlight w:val="none"/>
              </w:rPr>
              <w:t>。</w:t>
            </w:r>
            <w:r>
              <w:rPr>
                <w:rFonts w:hint="eastAsia" w:cs="Times New Roman"/>
                <w:color w:val="auto"/>
                <w:szCs w:val="24"/>
                <w:highlight w:val="none"/>
              </w:rPr>
              <w:t>公司为了满足车体交检后局部返修打砂的需要，</w:t>
            </w:r>
            <w:r>
              <w:rPr>
                <w:rFonts w:hint="default" w:ascii="Times New Roman" w:hAnsi="Times New Roman" w:eastAsia="宋体" w:cs="Times New Roman"/>
                <w:sz w:val="24"/>
                <w:szCs w:val="24"/>
                <w:lang w:eastAsia="zh-CN"/>
              </w:rPr>
              <w:t>将厂区内东北</w:t>
            </w:r>
            <w:r>
              <w:rPr>
                <w:rFonts w:hint="eastAsia" w:ascii="Times New Roman" w:hAnsi="Times New Roman" w:eastAsia="宋体" w:cs="Times New Roman"/>
                <w:sz w:val="24"/>
                <w:szCs w:val="24"/>
                <w:lang w:eastAsia="zh-CN"/>
              </w:rPr>
              <w:t>侧</w:t>
            </w:r>
            <w:r>
              <w:rPr>
                <w:rFonts w:hint="default" w:ascii="Times New Roman" w:hAnsi="Times New Roman" w:eastAsia="宋体" w:cs="Times New Roman"/>
                <w:sz w:val="24"/>
                <w:szCs w:val="24"/>
                <w:lang w:eastAsia="zh-CN"/>
              </w:rPr>
              <w:t>闲置的喷漆室进行简单隔断</w:t>
            </w:r>
            <w:r>
              <w:rPr>
                <w:rFonts w:hint="eastAsia" w:ascii="Times New Roman" w:hAnsi="Times New Roman" w:eastAsia="宋体" w:cs="Times New Roman"/>
                <w:sz w:val="24"/>
                <w:szCs w:val="24"/>
                <w:lang w:eastAsia="zh-CN"/>
              </w:rPr>
              <w:t>改造</w:t>
            </w:r>
            <w:r>
              <w:rPr>
                <w:rFonts w:hint="default" w:ascii="Times New Roman" w:hAnsi="Times New Roman" w:eastAsia="宋体" w:cs="Times New Roman"/>
                <w:sz w:val="24"/>
                <w:szCs w:val="24"/>
                <w:lang w:eastAsia="zh-CN"/>
              </w:rPr>
              <w:t>成打砂</w:t>
            </w:r>
            <w:r>
              <w:rPr>
                <w:rFonts w:hint="eastAsia" w:ascii="Times New Roman" w:hAnsi="Times New Roman" w:eastAsia="宋体" w:cs="Times New Roman"/>
                <w:sz w:val="24"/>
                <w:szCs w:val="24"/>
                <w:lang w:eastAsia="zh-CN"/>
              </w:rPr>
              <w:t>房</w:t>
            </w:r>
            <w:r>
              <w:rPr>
                <w:rFonts w:hint="eastAsia" w:cs="Times New Roman"/>
                <w:color w:val="auto"/>
                <w:szCs w:val="24"/>
                <w:highlight w:val="none"/>
              </w:rPr>
              <w:t>，并配套建设打砂房的除尘系统和部分打砂设施、回砂系统</w:t>
            </w:r>
            <w:r>
              <w:rPr>
                <w:rFonts w:hint="eastAsia" w:cs="Times New Roman"/>
                <w:color w:val="auto"/>
                <w:szCs w:val="24"/>
                <w:highlight w:val="none"/>
                <w:lang w:eastAsia="zh-CN"/>
              </w:rPr>
              <w:t>。项目总投资</w:t>
            </w:r>
            <w:r>
              <w:rPr>
                <w:rFonts w:hint="eastAsia" w:cs="Times New Roman"/>
                <w:color w:val="auto"/>
                <w:szCs w:val="24"/>
                <w:highlight w:val="none"/>
                <w:lang w:val="en-US" w:eastAsia="zh-CN"/>
              </w:rPr>
              <w:t>84万元，</w:t>
            </w:r>
            <w:r>
              <w:rPr>
                <w:rFonts w:cs="Times New Roman"/>
                <w:color w:val="auto"/>
                <w:szCs w:val="24"/>
                <w:highlight w:val="none"/>
              </w:rPr>
              <w:t>其中环保投资</w:t>
            </w:r>
            <w:r>
              <w:rPr>
                <w:rFonts w:hint="eastAsia" w:cs="Times New Roman"/>
                <w:color w:val="auto"/>
                <w:szCs w:val="24"/>
                <w:highlight w:val="none"/>
                <w:lang w:val="en-US" w:eastAsia="zh-CN"/>
              </w:rPr>
              <w:t>45</w:t>
            </w:r>
            <w:r>
              <w:rPr>
                <w:rFonts w:cs="Times New Roman"/>
                <w:color w:val="auto"/>
                <w:szCs w:val="24"/>
                <w:highlight w:val="none"/>
              </w:rPr>
              <w:t>万元，</w:t>
            </w:r>
            <w:r>
              <w:rPr>
                <w:rFonts w:hint="eastAsia" w:cs="Times New Roman"/>
                <w:color w:val="auto"/>
                <w:szCs w:val="24"/>
                <w:highlight w:val="none"/>
              </w:rPr>
              <w:t>不新增占地（原喷漆房占地面积217.5</w:t>
            </w:r>
            <w:r>
              <w:rPr>
                <w:rFonts w:hint="eastAsia" w:cs="Times New Roman"/>
                <w:color w:val="auto"/>
                <w:szCs w:val="24"/>
                <w:highlight w:val="none"/>
                <w:lang w:eastAsia="zh-CN"/>
              </w:rPr>
              <w:t>㎡）</w:t>
            </w:r>
            <w:r>
              <w:rPr>
                <w:rFonts w:hint="eastAsia" w:cs="Times New Roman"/>
                <w:color w:val="auto"/>
                <w:szCs w:val="24"/>
                <w:highlight w:val="none"/>
              </w:rPr>
              <w:t>。项目不新增产能，仅对返修货车底架进行局部打砂处理</w:t>
            </w:r>
            <w:r>
              <w:rPr>
                <w:rFonts w:hint="eastAsia" w:cs="Times New Roman"/>
                <w:color w:val="auto"/>
                <w:szCs w:val="24"/>
                <w:highlight w:val="none"/>
                <w:lang w:eastAsia="zh-CN"/>
              </w:rPr>
              <w:t>，年</w:t>
            </w:r>
            <w:r>
              <w:rPr>
                <w:rFonts w:hint="default" w:ascii="Times New Roman" w:hAnsi="Times New Roman" w:eastAsia="宋体" w:cs="Times New Roman"/>
                <w:sz w:val="24"/>
                <w:szCs w:val="24"/>
                <w:highlight w:val="none"/>
                <w:lang w:eastAsia="zh-CN"/>
              </w:rPr>
              <w:t>返修打砂底架</w:t>
            </w:r>
            <w:r>
              <w:rPr>
                <w:rFonts w:hint="default" w:ascii="Times New Roman" w:hAnsi="Times New Roman" w:eastAsia="宋体" w:cs="Times New Roman"/>
                <w:sz w:val="24"/>
                <w:szCs w:val="24"/>
                <w:highlight w:val="none"/>
                <w:lang w:val="en-US" w:eastAsia="zh-CN"/>
              </w:rPr>
              <w:t>780个</w:t>
            </w:r>
            <w:r>
              <w:rPr>
                <w:rFonts w:cs="Times New Roman"/>
                <w:color w:val="auto"/>
                <w:szCs w:val="24"/>
                <w:highlight w:val="none"/>
              </w:rPr>
              <w:t>。</w:t>
            </w:r>
            <w:r>
              <w:rPr>
                <w:rFonts w:hint="eastAsia" w:cs="Times New Roman"/>
                <w:color w:val="auto"/>
                <w:szCs w:val="24"/>
                <w:highlight w:val="none"/>
              </w:rPr>
              <w:t>项目员工进行内部调剂，从现有打砂房调配2名作业人员，不新增员工</w:t>
            </w:r>
            <w:r>
              <w:rPr>
                <w:rFonts w:cs="Times New Roman"/>
                <w:color w:val="auto"/>
                <w:szCs w:val="24"/>
                <w:highlight w:val="none"/>
              </w:rPr>
              <w:t>，实行单班白班制，每天工作8小时，年工作</w:t>
            </w:r>
            <w:r>
              <w:rPr>
                <w:rFonts w:hint="eastAsia" w:cs="Times New Roman"/>
                <w:color w:val="auto"/>
                <w:szCs w:val="24"/>
                <w:highlight w:val="none"/>
                <w:lang w:val="en-US" w:eastAsia="zh-CN"/>
              </w:rPr>
              <w:t>260</w:t>
            </w:r>
            <w:r>
              <w:rPr>
                <w:rFonts w:cs="Times New Roman"/>
                <w:color w:val="auto"/>
                <w:szCs w:val="24"/>
                <w:highlight w:val="none"/>
              </w:rPr>
              <w:t>天</w:t>
            </w:r>
            <w:r>
              <w:rPr>
                <w:rFonts w:hint="eastAsia" w:cs="Times New Roman"/>
                <w:color w:val="auto"/>
                <w:szCs w:val="24"/>
                <w:highlight w:val="none"/>
              </w:rPr>
              <w:t>，夜间不运行</w:t>
            </w:r>
            <w:r>
              <w:rPr>
                <w:rFonts w:cs="Times New Roman"/>
                <w:color w:val="auto"/>
                <w:szCs w:val="24"/>
                <w:highlight w:val="none"/>
              </w:rPr>
              <w:t>。</w:t>
            </w:r>
          </w:p>
          <w:p>
            <w:pPr>
              <w:ind w:firstLine="480"/>
              <w:rPr>
                <w:color w:val="auto"/>
                <w:highlight w:val="none"/>
              </w:rPr>
            </w:pPr>
            <w:r>
              <w:rPr>
                <w:rFonts w:hint="eastAsia"/>
                <w:color w:val="auto"/>
                <w:highlight w:val="none"/>
                <w:lang w:eastAsia="zh-CN"/>
              </w:rPr>
              <w:t>本项目于2021年4月开工建设，2021年7月建成，2022年10月进行调试</w:t>
            </w:r>
            <w:r>
              <w:rPr>
                <w:color w:val="auto"/>
                <w:kern w:val="0"/>
                <w:highlight w:val="none"/>
              </w:rPr>
              <w:t>，</w:t>
            </w:r>
            <w:r>
              <w:rPr>
                <w:rFonts w:hint="eastAsia"/>
                <w:color w:val="auto"/>
                <w:kern w:val="0"/>
                <w:highlight w:val="none"/>
                <w:lang w:eastAsia="zh-CN"/>
              </w:rPr>
              <w:t>环保设施同时设计、同时施工并同时进行调试，调试期间运行状况良好</w:t>
            </w:r>
            <w:r>
              <w:rPr>
                <w:rFonts w:hint="eastAsia"/>
                <w:color w:val="auto"/>
                <w:kern w:val="0"/>
                <w:highlight w:val="none"/>
              </w:rPr>
              <w:t>，具备竣工验收条件。</w:t>
            </w:r>
          </w:p>
          <w:p>
            <w:pPr>
              <w:pStyle w:val="2"/>
              <w:ind w:firstLine="482"/>
              <w:rPr>
                <w:rFonts w:cs="Times New Roman"/>
                <w:b/>
                <w:bCs/>
                <w:color w:val="auto"/>
                <w:highlight w:val="none"/>
              </w:rPr>
            </w:pPr>
            <w:r>
              <w:rPr>
                <w:rFonts w:cs="Times New Roman"/>
                <w:b/>
                <w:bCs/>
                <w:color w:val="auto"/>
                <w:highlight w:val="none"/>
              </w:rPr>
              <w:t>1、建设内容</w:t>
            </w:r>
          </w:p>
          <w:p>
            <w:pPr>
              <w:pStyle w:val="2"/>
              <w:rPr>
                <w:rFonts w:cs="Times New Roman"/>
                <w:b/>
                <w:bCs/>
                <w:color w:val="auto"/>
                <w:szCs w:val="24"/>
                <w:highlight w:val="none"/>
              </w:rPr>
            </w:pPr>
            <w:r>
              <w:rPr>
                <w:rFonts w:cs="Times New Roman"/>
                <w:color w:val="auto"/>
                <w:szCs w:val="24"/>
                <w:highlight w:val="none"/>
              </w:rPr>
              <w:t>本项目工程主要组成见表2-1，主要产品情况见表2-2，主要生产设备见表2-3，原辅料及能源使用情况见表2-4。</w:t>
            </w:r>
          </w:p>
          <w:p>
            <w:pPr>
              <w:ind w:firstLine="482"/>
              <w:jc w:val="center"/>
              <w:rPr>
                <w:b/>
                <w:bCs/>
                <w:color w:val="auto"/>
                <w:highlight w:val="none"/>
              </w:rPr>
            </w:pPr>
            <w:r>
              <w:rPr>
                <w:b/>
                <w:bCs/>
                <w:color w:val="auto"/>
                <w:highlight w:val="none"/>
              </w:rPr>
              <w:t>表2-1  本项目工程主要组成一览表</w:t>
            </w:r>
          </w:p>
          <w:tbl>
            <w:tblPr>
              <w:tblStyle w:val="28"/>
              <w:tblW w:w="894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113" w:type="dxa"/>
                <w:left w:w="28" w:type="dxa"/>
                <w:bottom w:w="113" w:type="dxa"/>
                <w:right w:w="28" w:type="dxa"/>
              </w:tblCellMar>
            </w:tblPr>
            <w:tblGrid>
              <w:gridCol w:w="580"/>
              <w:gridCol w:w="745"/>
              <w:gridCol w:w="3201"/>
              <w:gridCol w:w="3128"/>
              <w:gridCol w:w="1294"/>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blHeader/>
                <w:jc w:val="center"/>
              </w:trPr>
              <w:tc>
                <w:tcPr>
                  <w:tcW w:w="740" w:type="pct"/>
                  <w:gridSpan w:val="2"/>
                  <w:tcBorders>
                    <w:top w:val="single" w:color="auto" w:sz="4" w:space="0"/>
                    <w:left w:val="single" w:color="auto" w:sz="4" w:space="0"/>
                    <w:bottom w:val="single" w:color="auto" w:sz="6" w:space="0"/>
                    <w:right w:val="single" w:color="auto" w:sz="6" w:space="0"/>
                  </w:tcBorders>
                  <w:tcMar>
                    <w:left w:w="0" w:type="dxa"/>
                    <w:right w:w="0" w:type="dxa"/>
                  </w:tcMar>
                  <w:vAlign w:val="center"/>
                </w:tcPr>
                <w:p>
                  <w:pPr>
                    <w:adjustRightInd w:val="0"/>
                    <w:snapToGrid w:val="0"/>
                    <w:spacing w:line="240" w:lineRule="auto"/>
                    <w:ind w:firstLine="0" w:firstLineChars="0"/>
                    <w:jc w:val="center"/>
                    <w:rPr>
                      <w:b/>
                      <w:color w:val="auto"/>
                      <w:sz w:val="21"/>
                      <w:szCs w:val="21"/>
                      <w:highlight w:val="none"/>
                    </w:rPr>
                  </w:pPr>
                  <w:r>
                    <w:rPr>
                      <w:b/>
                      <w:color w:val="auto"/>
                      <w:sz w:val="21"/>
                      <w:szCs w:val="21"/>
                      <w:highlight w:val="none"/>
                    </w:rPr>
                    <w:t>工程分类</w:t>
                  </w:r>
                </w:p>
              </w:tc>
              <w:tc>
                <w:tcPr>
                  <w:tcW w:w="1788" w:type="pct"/>
                  <w:tcBorders>
                    <w:top w:val="single" w:color="auto" w:sz="4" w:space="0"/>
                    <w:left w:val="single" w:color="auto" w:sz="6" w:space="0"/>
                    <w:bottom w:val="single" w:color="auto" w:sz="6" w:space="0"/>
                    <w:right w:val="single" w:color="auto" w:sz="4" w:space="0"/>
                  </w:tcBorders>
                  <w:tcMar>
                    <w:left w:w="0" w:type="dxa"/>
                    <w:right w:w="0" w:type="dxa"/>
                  </w:tcMar>
                  <w:vAlign w:val="center"/>
                </w:tcPr>
                <w:p>
                  <w:pPr>
                    <w:adjustRightInd w:val="0"/>
                    <w:snapToGrid w:val="0"/>
                    <w:spacing w:line="240" w:lineRule="auto"/>
                    <w:ind w:firstLine="0" w:firstLineChars="0"/>
                    <w:jc w:val="center"/>
                    <w:rPr>
                      <w:b/>
                      <w:color w:val="auto"/>
                      <w:sz w:val="21"/>
                      <w:szCs w:val="21"/>
                      <w:highlight w:val="none"/>
                    </w:rPr>
                  </w:pPr>
                  <w:r>
                    <w:rPr>
                      <w:b/>
                      <w:color w:val="auto"/>
                      <w:sz w:val="21"/>
                      <w:szCs w:val="21"/>
                      <w:highlight w:val="none"/>
                    </w:rPr>
                    <w:t>环评及批复主要建设内容及规模</w:t>
                  </w:r>
                </w:p>
              </w:tc>
              <w:tc>
                <w:tcPr>
                  <w:tcW w:w="1747" w:type="pct"/>
                  <w:tcBorders>
                    <w:top w:val="single" w:color="auto" w:sz="4" w:space="0"/>
                    <w:left w:val="single" w:color="auto" w:sz="4" w:space="0"/>
                    <w:bottom w:val="single" w:color="auto" w:sz="6" w:space="0"/>
                    <w:right w:val="single" w:color="auto" w:sz="6" w:space="0"/>
                  </w:tcBorders>
                  <w:tcMar>
                    <w:left w:w="0" w:type="dxa"/>
                    <w:right w:w="0" w:type="dxa"/>
                  </w:tcMar>
                  <w:vAlign w:val="center"/>
                </w:tcPr>
                <w:p>
                  <w:pPr>
                    <w:adjustRightInd w:val="0"/>
                    <w:snapToGrid w:val="0"/>
                    <w:spacing w:line="240" w:lineRule="auto"/>
                    <w:ind w:firstLine="0" w:firstLineChars="0"/>
                    <w:jc w:val="center"/>
                    <w:rPr>
                      <w:b/>
                      <w:color w:val="auto"/>
                      <w:sz w:val="21"/>
                      <w:szCs w:val="21"/>
                      <w:highlight w:val="none"/>
                    </w:rPr>
                  </w:pPr>
                  <w:r>
                    <w:rPr>
                      <w:b/>
                      <w:color w:val="auto"/>
                      <w:sz w:val="21"/>
                      <w:szCs w:val="21"/>
                      <w:highlight w:val="none"/>
                    </w:rPr>
                    <w:t>实际主要建设内容及规模</w:t>
                  </w:r>
                </w:p>
              </w:tc>
              <w:tc>
                <w:tcPr>
                  <w:tcW w:w="723" w:type="pct"/>
                  <w:tcBorders>
                    <w:top w:val="single" w:color="auto" w:sz="4" w:space="0"/>
                    <w:left w:val="single" w:color="auto" w:sz="6" w:space="0"/>
                    <w:bottom w:val="single" w:color="auto" w:sz="6" w:space="0"/>
                    <w:right w:val="single" w:color="auto" w:sz="6" w:space="0"/>
                  </w:tcBorders>
                  <w:tcMar>
                    <w:left w:w="0" w:type="dxa"/>
                    <w:right w:w="0" w:type="dxa"/>
                  </w:tcMar>
                  <w:vAlign w:val="center"/>
                </w:tcPr>
                <w:p>
                  <w:pPr>
                    <w:adjustRightInd w:val="0"/>
                    <w:snapToGrid w:val="0"/>
                    <w:spacing w:line="240" w:lineRule="auto"/>
                    <w:ind w:firstLine="0" w:firstLineChars="0"/>
                    <w:jc w:val="center"/>
                    <w:rPr>
                      <w:rFonts w:hint="eastAsia" w:eastAsia="宋体"/>
                      <w:b/>
                      <w:color w:val="auto"/>
                      <w:sz w:val="21"/>
                      <w:szCs w:val="21"/>
                      <w:highlight w:val="none"/>
                      <w:lang w:eastAsia="zh-CN"/>
                    </w:rPr>
                  </w:pPr>
                  <w:r>
                    <w:rPr>
                      <w:rFonts w:hint="eastAsia"/>
                      <w:b/>
                      <w:color w:val="auto"/>
                      <w:sz w:val="21"/>
                      <w:szCs w:val="21"/>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24" w:type="pct"/>
                  <w:tcBorders>
                    <w:top w:val="single" w:color="auto" w:sz="6" w:space="0"/>
                    <w:left w:val="single" w:color="auto" w:sz="4"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center"/>
                    <w:rPr>
                      <w:rFonts w:hint="eastAsia" w:eastAsia="宋体"/>
                      <w:b/>
                      <w:bCs/>
                      <w:color w:val="auto"/>
                      <w:sz w:val="21"/>
                      <w:szCs w:val="21"/>
                      <w:highlight w:val="none"/>
                      <w:lang w:eastAsia="zh-CN"/>
                    </w:rPr>
                  </w:pPr>
                  <w:r>
                    <w:rPr>
                      <w:b/>
                      <w:bCs/>
                      <w:color w:val="auto"/>
                      <w:sz w:val="21"/>
                      <w:szCs w:val="21"/>
                      <w:highlight w:val="none"/>
                    </w:rPr>
                    <w:t>主体工程</w:t>
                  </w:r>
                </w:p>
              </w:tc>
              <w:tc>
                <w:tcPr>
                  <w:tcW w:w="416"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1"/>
                    <w:ind w:firstLine="0" w:firstLineChars="0"/>
                    <w:rPr>
                      <w:rFonts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lang w:eastAsia="zh-CN"/>
                    </w:rPr>
                    <w:t>打砂房</w:t>
                  </w:r>
                </w:p>
              </w:tc>
              <w:tc>
                <w:tcPr>
                  <w:tcW w:w="1788"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1"/>
                    <w:ind w:firstLine="0" w:firstLineChars="0"/>
                    <w:jc w:val="left"/>
                    <w:rPr>
                      <w:rFonts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密闭打砂房1座，对现有闲置喷漆房进行东西隔断，其中东侧21m作为打砂房，地面铺设4mm碳钢板，同时为有效的避免喷砂（丸）过程中砂料喷射或反弹到打砂房墙体和顶棚上，房体内壁四周和顶棚都固定了3mm厚的专用阻燃橡胶板做为防护层，建筑面积157.5</w:t>
                  </w:r>
                  <w:r>
                    <w:rPr>
                      <w:rFonts w:hint="eastAsia" w:cs="Times New Roman"/>
                      <w:color w:val="auto"/>
                      <w:kern w:val="2"/>
                      <w:sz w:val="21"/>
                      <w:szCs w:val="21"/>
                      <w:highlight w:val="none"/>
                      <w:lang w:val="en-US" w:eastAsia="zh-CN" w:bidi="ar"/>
                    </w:rPr>
                    <w:t>㎡</w:t>
                  </w:r>
                  <w:r>
                    <w:rPr>
                      <w:rFonts w:hint="eastAsia" w:ascii="Times New Roman" w:hAnsi="Times New Roman" w:eastAsia="宋体" w:cs="Times New Roman"/>
                      <w:color w:val="auto"/>
                      <w:kern w:val="2"/>
                      <w:sz w:val="21"/>
                      <w:szCs w:val="21"/>
                      <w:highlight w:val="none"/>
                      <w:lang w:val="en-US" w:eastAsia="zh-CN" w:bidi="ar"/>
                    </w:rPr>
                    <w:t>，配备建设回砂坑以及传送带等回砂收集系统。</w:t>
                  </w:r>
                </w:p>
              </w:tc>
              <w:tc>
                <w:tcPr>
                  <w:tcW w:w="1747"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1"/>
                    <w:ind w:firstLine="0" w:firstLineChars="0"/>
                    <w:jc w:val="left"/>
                    <w:rPr>
                      <w:rFonts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密闭打砂房1座，对现有闲置喷漆房进行东西隔断，其中东侧21m作为打砂房，地面铺设4mm碳钢板，同时为有效的避免喷砂（丸）过程中砂料喷射或反弹到打砂房墙体和顶棚上，房体内壁四周和顶棚都固定了3mm厚的专用阻燃橡胶板做为防护层，建筑面积157.5</w:t>
                  </w:r>
                  <w:r>
                    <w:rPr>
                      <w:rFonts w:hint="eastAsia" w:cs="Times New Roman"/>
                      <w:color w:val="auto"/>
                      <w:kern w:val="2"/>
                      <w:sz w:val="21"/>
                      <w:szCs w:val="21"/>
                      <w:highlight w:val="none"/>
                      <w:lang w:val="en-US" w:eastAsia="zh-CN" w:bidi="ar"/>
                    </w:rPr>
                    <w:t>㎡</w:t>
                  </w:r>
                  <w:r>
                    <w:rPr>
                      <w:rFonts w:hint="eastAsia" w:ascii="Times New Roman" w:hAnsi="Times New Roman" w:eastAsia="宋体" w:cs="Times New Roman"/>
                      <w:color w:val="auto"/>
                      <w:kern w:val="2"/>
                      <w:sz w:val="21"/>
                      <w:szCs w:val="21"/>
                      <w:highlight w:val="none"/>
                      <w:lang w:val="en-US" w:eastAsia="zh-CN" w:bidi="ar"/>
                    </w:rPr>
                    <w:t>，配备建设回砂坑以及传送带等回砂收集系统。</w:t>
                  </w:r>
                </w:p>
              </w:tc>
              <w:tc>
                <w:tcPr>
                  <w:tcW w:w="723"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1"/>
                    <w:rPr>
                      <w:color w:val="auto"/>
                      <w:szCs w:val="21"/>
                      <w:highlight w:val="none"/>
                      <w:lang w:bidi="ar"/>
                    </w:rPr>
                  </w:pPr>
                  <w:r>
                    <w:rPr>
                      <w:color w:val="auto"/>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24" w:type="pct"/>
                  <w:tcBorders>
                    <w:left w:val="single" w:color="auto" w:sz="4"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center"/>
                    <w:rPr>
                      <w:rFonts w:hint="eastAsia" w:eastAsia="宋体"/>
                      <w:b/>
                      <w:bCs/>
                      <w:color w:val="auto"/>
                      <w:sz w:val="21"/>
                      <w:szCs w:val="21"/>
                      <w:highlight w:val="none"/>
                      <w:lang w:eastAsia="zh-CN"/>
                    </w:rPr>
                  </w:pPr>
                  <w:r>
                    <w:rPr>
                      <w:rFonts w:hint="eastAsia"/>
                      <w:b/>
                      <w:bCs/>
                      <w:color w:val="auto"/>
                      <w:sz w:val="21"/>
                      <w:szCs w:val="21"/>
                      <w:highlight w:val="none"/>
                      <w:lang w:eastAsia="zh-CN"/>
                    </w:rPr>
                    <w:t>辅助工程</w:t>
                  </w:r>
                </w:p>
              </w:tc>
              <w:tc>
                <w:tcPr>
                  <w:tcW w:w="416"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1"/>
                    <w:ind w:firstLine="0" w:firstLineChars="0"/>
                    <w:rPr>
                      <w:rFonts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lang w:eastAsia="zh-CN"/>
                    </w:rPr>
                    <w:t>打砂辅助</w:t>
                  </w:r>
                  <w:r>
                    <w:rPr>
                      <w:rFonts w:hint="default" w:ascii="Times New Roman" w:hAnsi="Times New Roman" w:eastAsia="宋体" w:cs="Times New Roman"/>
                    </w:rPr>
                    <w:t>房</w:t>
                  </w:r>
                </w:p>
              </w:tc>
              <w:tc>
                <w:tcPr>
                  <w:tcW w:w="1788"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1"/>
                    <w:ind w:firstLine="0" w:firstLineChars="0"/>
                    <w:jc w:val="left"/>
                    <w:rPr>
                      <w:rFonts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1座，将现有喷漆房西侧隔出8m作为打砂辅助房，采用16mm碳钢板铺设地面，主要用于放置回砂提升系统以及喷砂罐等。</w:t>
                  </w:r>
                </w:p>
              </w:tc>
              <w:tc>
                <w:tcPr>
                  <w:tcW w:w="1747"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1"/>
                    <w:ind w:firstLine="0" w:firstLineChars="0"/>
                    <w:jc w:val="left"/>
                    <w:rPr>
                      <w:rFonts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1座，将现有喷漆房西侧隔出8m作为打砂辅助房，采用16mm碳钢板铺设地面，主要用于放置回砂提升系统以及喷砂罐等。</w:t>
                  </w:r>
                </w:p>
              </w:tc>
              <w:tc>
                <w:tcPr>
                  <w:tcW w:w="723" w:type="pct"/>
                  <w:tcBorders>
                    <w:left w:val="single" w:color="auto" w:sz="6" w:space="0"/>
                    <w:right w:val="single" w:color="auto" w:sz="6" w:space="0"/>
                  </w:tcBorders>
                  <w:tcMar>
                    <w:top w:w="0" w:type="dxa"/>
                    <w:left w:w="0" w:type="dxa"/>
                    <w:bottom w:w="0" w:type="dxa"/>
                    <w:right w:w="0" w:type="dxa"/>
                  </w:tcMar>
                  <w:vAlign w:val="center"/>
                </w:tcPr>
                <w:p>
                  <w:pPr>
                    <w:pStyle w:val="41"/>
                    <w:rPr>
                      <w:color w:val="auto"/>
                      <w:szCs w:val="21"/>
                      <w:highlight w:val="none"/>
                    </w:rPr>
                  </w:pPr>
                  <w:r>
                    <w:rPr>
                      <w:color w:val="auto"/>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24" w:type="pct"/>
                  <w:tcBorders>
                    <w:left w:val="single" w:color="auto" w:sz="4"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center"/>
                    <w:rPr>
                      <w:b/>
                      <w:bCs/>
                      <w:color w:val="auto"/>
                      <w:sz w:val="21"/>
                      <w:szCs w:val="21"/>
                      <w:highlight w:val="none"/>
                    </w:rPr>
                  </w:pPr>
                  <w:r>
                    <w:rPr>
                      <w:rFonts w:hint="eastAsia"/>
                      <w:b/>
                      <w:bCs/>
                      <w:color w:val="auto"/>
                      <w:sz w:val="21"/>
                      <w:szCs w:val="21"/>
                      <w:highlight w:val="none"/>
                      <w:lang w:eastAsia="zh-CN"/>
                    </w:rPr>
                    <w:t>储运</w:t>
                  </w:r>
                  <w:r>
                    <w:rPr>
                      <w:b/>
                      <w:bCs/>
                      <w:color w:val="auto"/>
                      <w:sz w:val="21"/>
                      <w:szCs w:val="21"/>
                      <w:highlight w:val="none"/>
                    </w:rPr>
                    <w:t>工程</w:t>
                  </w:r>
                </w:p>
              </w:tc>
              <w:tc>
                <w:tcPr>
                  <w:tcW w:w="416"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1"/>
                    <w:rPr>
                      <w:color w:val="auto"/>
                      <w:szCs w:val="21"/>
                      <w:highlight w:val="none"/>
                      <w:lang w:bidi="ar"/>
                    </w:rPr>
                  </w:pPr>
                  <w:r>
                    <w:rPr>
                      <w:rFonts w:hint="default" w:ascii="Times New Roman" w:hAnsi="Times New Roman" w:eastAsia="宋体" w:cs="Times New Roman"/>
                      <w:color w:val="000000"/>
                      <w:sz w:val="21"/>
                      <w:szCs w:val="21"/>
                      <w:lang w:bidi="ar"/>
                    </w:rPr>
                    <w:t>一般固废暂存区</w:t>
                  </w:r>
                </w:p>
              </w:tc>
              <w:tc>
                <w:tcPr>
                  <w:tcW w:w="1788"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1"/>
                    <w:jc w:val="left"/>
                    <w:rPr>
                      <w:color w:val="auto"/>
                      <w:szCs w:val="21"/>
                      <w:highlight w:val="none"/>
                      <w:lang w:bidi="ar"/>
                    </w:rPr>
                  </w:pPr>
                  <w:r>
                    <w:rPr>
                      <w:rFonts w:hint="eastAsia"/>
                      <w:color w:val="auto"/>
                      <w:szCs w:val="21"/>
                      <w:highlight w:val="none"/>
                      <w:lang w:bidi="ar"/>
                    </w:rPr>
                    <w:t>位于厂区西北部，占地面积约为1000</w:t>
                  </w:r>
                  <w:r>
                    <w:rPr>
                      <w:rFonts w:hint="eastAsia"/>
                      <w:color w:val="auto"/>
                      <w:szCs w:val="21"/>
                      <w:highlight w:val="none"/>
                      <w:lang w:eastAsia="zh-CN" w:bidi="ar"/>
                    </w:rPr>
                    <w:t>㎡</w:t>
                  </w:r>
                  <w:r>
                    <w:rPr>
                      <w:rFonts w:hint="eastAsia"/>
                      <w:color w:val="auto"/>
                      <w:szCs w:val="21"/>
                      <w:highlight w:val="none"/>
                      <w:lang w:bidi="ar"/>
                    </w:rPr>
                    <w:t>，主要用于储存废钢砂等一般固体废物。</w:t>
                  </w:r>
                </w:p>
              </w:tc>
              <w:tc>
                <w:tcPr>
                  <w:tcW w:w="1747"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1"/>
                    <w:ind w:firstLine="0" w:firstLineChars="0"/>
                    <w:jc w:val="left"/>
                    <w:rPr>
                      <w:rFonts w:ascii="Times New Roman" w:hAnsi="Times New Roman" w:eastAsia="宋体" w:cs="Times New Roman"/>
                      <w:color w:val="auto"/>
                      <w:kern w:val="2"/>
                      <w:sz w:val="21"/>
                      <w:szCs w:val="21"/>
                      <w:highlight w:val="none"/>
                      <w:lang w:val="en-US" w:eastAsia="zh-CN" w:bidi="ar"/>
                    </w:rPr>
                  </w:pPr>
                  <w:r>
                    <w:rPr>
                      <w:rFonts w:hint="eastAsia"/>
                      <w:color w:val="auto"/>
                      <w:szCs w:val="21"/>
                      <w:highlight w:val="none"/>
                      <w:lang w:bidi="ar"/>
                    </w:rPr>
                    <w:t>位于厂区西北部，占地面积约为1000</w:t>
                  </w:r>
                  <w:r>
                    <w:rPr>
                      <w:rFonts w:hint="eastAsia"/>
                      <w:color w:val="auto"/>
                      <w:szCs w:val="21"/>
                      <w:highlight w:val="none"/>
                      <w:lang w:eastAsia="zh-CN" w:bidi="ar"/>
                    </w:rPr>
                    <w:t>㎡</w:t>
                  </w:r>
                  <w:r>
                    <w:rPr>
                      <w:rFonts w:hint="eastAsia"/>
                      <w:color w:val="auto"/>
                      <w:szCs w:val="21"/>
                      <w:highlight w:val="none"/>
                      <w:lang w:bidi="ar"/>
                    </w:rPr>
                    <w:t>，主要用于储存废钢砂等一般固体废物。</w:t>
                  </w:r>
                </w:p>
              </w:tc>
              <w:tc>
                <w:tcPr>
                  <w:tcW w:w="723"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1"/>
                    <w:rPr>
                      <w:rFonts w:hint="eastAsia" w:eastAsia="宋体"/>
                      <w:color w:val="auto"/>
                      <w:szCs w:val="21"/>
                      <w:highlight w:val="none"/>
                      <w:lang w:eastAsia="zh-CN" w:bidi="ar"/>
                    </w:rPr>
                  </w:pPr>
                  <w:r>
                    <w:rPr>
                      <w:rFonts w:hint="eastAsia"/>
                      <w:color w:val="auto"/>
                      <w:szCs w:val="21"/>
                      <w:highlight w:val="none"/>
                      <w:lang w:eastAsia="zh-CN" w:bidi="ar"/>
                    </w:rPr>
                    <w:t>依托原有</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24" w:type="pct"/>
                  <w:vMerge w:val="restart"/>
                  <w:tcBorders>
                    <w:top w:val="single" w:color="auto" w:sz="6" w:space="0"/>
                    <w:left w:val="single" w:color="auto" w:sz="4"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center"/>
                    <w:rPr>
                      <w:b/>
                      <w:bCs/>
                      <w:color w:val="auto"/>
                      <w:sz w:val="21"/>
                      <w:szCs w:val="21"/>
                      <w:highlight w:val="none"/>
                    </w:rPr>
                  </w:pPr>
                  <w:r>
                    <w:rPr>
                      <w:b/>
                      <w:bCs/>
                      <w:color w:val="auto"/>
                      <w:sz w:val="21"/>
                      <w:szCs w:val="21"/>
                      <w:highlight w:val="none"/>
                    </w:rPr>
                    <w:t>公用工程</w:t>
                  </w:r>
                </w:p>
              </w:tc>
              <w:tc>
                <w:tcPr>
                  <w:tcW w:w="416"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1"/>
                    <w:jc w:val="center"/>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给水</w:t>
                  </w:r>
                </w:p>
              </w:tc>
              <w:tc>
                <w:tcPr>
                  <w:tcW w:w="1788"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1"/>
                    <w:jc w:val="left"/>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项目工艺不涉及用水，无新增员工，无新增用水环节</w:t>
                  </w:r>
                  <w:r>
                    <w:rPr>
                      <w:rFonts w:hint="default" w:ascii="Times New Roman" w:hAnsi="Times New Roman" w:eastAsia="宋体" w:cs="Times New Roman"/>
                      <w:color w:val="auto"/>
                      <w:szCs w:val="21"/>
                      <w:highlight w:val="none"/>
                      <w:lang w:eastAsia="zh-CN" w:bidi="ar"/>
                    </w:rPr>
                    <w:t>。</w:t>
                  </w:r>
                </w:p>
              </w:tc>
              <w:tc>
                <w:tcPr>
                  <w:tcW w:w="1747"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1"/>
                    <w:ind w:firstLine="0" w:firstLineChars="0"/>
                    <w:jc w:val="left"/>
                    <w:rPr>
                      <w:rFonts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Cs w:val="21"/>
                      <w:highlight w:val="none"/>
                      <w:lang w:bidi="ar"/>
                    </w:rPr>
                    <w:t>项目工艺不涉及用水，无新增员工，无新增用水环节</w:t>
                  </w:r>
                  <w:r>
                    <w:rPr>
                      <w:rFonts w:hint="default" w:ascii="Times New Roman" w:hAnsi="Times New Roman" w:eastAsia="宋体" w:cs="Times New Roman"/>
                      <w:color w:val="auto"/>
                      <w:szCs w:val="21"/>
                      <w:highlight w:val="none"/>
                      <w:lang w:eastAsia="zh-CN" w:bidi="ar"/>
                    </w:rPr>
                    <w:t>。</w:t>
                  </w:r>
                </w:p>
              </w:tc>
              <w:tc>
                <w:tcPr>
                  <w:tcW w:w="723"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1"/>
                    <w:rPr>
                      <w:color w:val="auto"/>
                      <w:szCs w:val="21"/>
                      <w:highlight w:val="none"/>
                      <w:lang w:bidi="ar"/>
                    </w:rPr>
                  </w:pPr>
                  <w:r>
                    <w:rPr>
                      <w:color w:val="auto"/>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24" w:type="pct"/>
                  <w:vMerge w:val="continue"/>
                  <w:tcBorders>
                    <w:left w:val="single" w:color="auto" w:sz="4"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center"/>
                    <w:rPr>
                      <w:b/>
                      <w:bCs/>
                      <w:color w:val="auto"/>
                      <w:sz w:val="21"/>
                      <w:szCs w:val="21"/>
                      <w:highlight w:val="none"/>
                    </w:rPr>
                  </w:pPr>
                </w:p>
              </w:tc>
              <w:tc>
                <w:tcPr>
                  <w:tcW w:w="416"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1"/>
                    <w:jc w:val="center"/>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排水</w:t>
                  </w:r>
                </w:p>
              </w:tc>
              <w:tc>
                <w:tcPr>
                  <w:tcW w:w="1788"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1"/>
                    <w:jc w:val="left"/>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项目无新增废水产生、排放</w:t>
                  </w:r>
                  <w:r>
                    <w:rPr>
                      <w:rFonts w:hint="default" w:ascii="Times New Roman" w:hAnsi="Times New Roman" w:eastAsia="宋体" w:cs="Times New Roman"/>
                      <w:color w:val="auto"/>
                      <w:szCs w:val="21"/>
                      <w:highlight w:val="none"/>
                      <w:lang w:eastAsia="zh-CN" w:bidi="ar"/>
                    </w:rPr>
                    <w:t>。</w:t>
                  </w:r>
                </w:p>
              </w:tc>
              <w:tc>
                <w:tcPr>
                  <w:tcW w:w="1747"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1"/>
                    <w:ind w:firstLine="0" w:firstLineChars="0"/>
                    <w:jc w:val="left"/>
                    <w:rPr>
                      <w:rFonts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Cs w:val="21"/>
                      <w:highlight w:val="none"/>
                      <w:lang w:bidi="ar"/>
                    </w:rPr>
                    <w:t>项目无新增废水产生、排放</w:t>
                  </w:r>
                  <w:r>
                    <w:rPr>
                      <w:rFonts w:hint="default" w:ascii="Times New Roman" w:hAnsi="Times New Roman" w:eastAsia="宋体" w:cs="Times New Roman"/>
                      <w:color w:val="auto"/>
                      <w:szCs w:val="21"/>
                      <w:highlight w:val="none"/>
                      <w:lang w:eastAsia="zh-CN" w:bidi="ar"/>
                    </w:rPr>
                    <w:t>。</w:t>
                  </w:r>
                </w:p>
              </w:tc>
              <w:tc>
                <w:tcPr>
                  <w:tcW w:w="723"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1"/>
                    <w:rPr>
                      <w:color w:val="auto"/>
                      <w:szCs w:val="21"/>
                      <w:highlight w:val="none"/>
                      <w:lang w:bidi="ar"/>
                    </w:rPr>
                  </w:pPr>
                  <w:r>
                    <w:rPr>
                      <w:color w:val="auto"/>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24" w:type="pct"/>
                  <w:vMerge w:val="continue"/>
                  <w:tcBorders>
                    <w:left w:val="single" w:color="auto" w:sz="4" w:space="0"/>
                    <w:bottom w:val="single" w:color="auto" w:sz="4"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center"/>
                    <w:rPr>
                      <w:b/>
                      <w:bCs/>
                      <w:color w:val="auto"/>
                      <w:sz w:val="21"/>
                      <w:szCs w:val="21"/>
                      <w:highlight w:val="none"/>
                    </w:rPr>
                  </w:pPr>
                </w:p>
              </w:tc>
              <w:tc>
                <w:tcPr>
                  <w:tcW w:w="416"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1"/>
                    <w:jc w:val="center"/>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供电</w:t>
                  </w:r>
                </w:p>
              </w:tc>
              <w:tc>
                <w:tcPr>
                  <w:tcW w:w="1788"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1"/>
                    <w:jc w:val="left"/>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项目</w:t>
                  </w:r>
                  <w:r>
                    <w:rPr>
                      <w:rFonts w:hint="default" w:ascii="Times New Roman" w:hAnsi="Times New Roman" w:eastAsia="宋体" w:cs="Times New Roman"/>
                      <w:color w:val="auto"/>
                      <w:szCs w:val="21"/>
                      <w:highlight w:val="none"/>
                      <w:lang w:eastAsia="zh-CN" w:bidi="ar"/>
                    </w:rPr>
                    <w:t>依托厂内供电系统。</w:t>
                  </w:r>
                </w:p>
              </w:tc>
              <w:tc>
                <w:tcPr>
                  <w:tcW w:w="1747"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1"/>
                    <w:ind w:firstLine="0" w:firstLineChars="0"/>
                    <w:jc w:val="left"/>
                    <w:rPr>
                      <w:rFonts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Cs w:val="21"/>
                      <w:highlight w:val="none"/>
                      <w:lang w:bidi="ar"/>
                    </w:rPr>
                    <w:t>项目</w:t>
                  </w:r>
                  <w:r>
                    <w:rPr>
                      <w:rFonts w:hint="default" w:ascii="Times New Roman" w:hAnsi="Times New Roman" w:eastAsia="宋体" w:cs="Times New Roman"/>
                      <w:color w:val="auto"/>
                      <w:szCs w:val="21"/>
                      <w:highlight w:val="none"/>
                      <w:lang w:eastAsia="zh-CN" w:bidi="ar"/>
                    </w:rPr>
                    <w:t>依托厂内供电系统。</w:t>
                  </w:r>
                </w:p>
              </w:tc>
              <w:tc>
                <w:tcPr>
                  <w:tcW w:w="723"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1"/>
                    <w:rPr>
                      <w:color w:val="auto"/>
                      <w:szCs w:val="21"/>
                      <w:highlight w:val="none"/>
                      <w:lang w:bidi="ar"/>
                    </w:rPr>
                  </w:pPr>
                  <w:r>
                    <w:rPr>
                      <w:rFonts w:hint="eastAsia"/>
                      <w:color w:val="auto"/>
                      <w:szCs w:val="21"/>
                      <w:highlight w:val="none"/>
                      <w:lang w:eastAsia="zh-CN" w:bidi="ar"/>
                    </w:rPr>
                    <w:t>依托原有</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24" w:type="pct"/>
                  <w:vMerge w:val="restart"/>
                  <w:tcBorders>
                    <w:top w:val="single" w:color="auto" w:sz="6" w:space="0"/>
                    <w:left w:val="single" w:color="auto" w:sz="4"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center"/>
                    <w:rPr>
                      <w:b/>
                      <w:bCs/>
                      <w:color w:val="auto"/>
                      <w:sz w:val="21"/>
                      <w:szCs w:val="21"/>
                      <w:highlight w:val="none"/>
                    </w:rPr>
                  </w:pPr>
                  <w:r>
                    <w:rPr>
                      <w:b/>
                      <w:bCs/>
                      <w:color w:val="auto"/>
                      <w:sz w:val="21"/>
                      <w:szCs w:val="21"/>
                      <w:highlight w:val="none"/>
                    </w:rPr>
                    <w:t>环保工程</w:t>
                  </w:r>
                </w:p>
              </w:tc>
              <w:tc>
                <w:tcPr>
                  <w:tcW w:w="416"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1"/>
                    <w:jc w:val="center"/>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废气</w:t>
                  </w:r>
                </w:p>
              </w:tc>
              <w:tc>
                <w:tcPr>
                  <w:tcW w:w="1788" w:type="pct"/>
                  <w:tcBorders>
                    <w:top w:val="single" w:color="auto" w:sz="6" w:space="0"/>
                    <w:left w:val="single" w:color="auto" w:sz="6" w:space="0"/>
                    <w:right w:val="single" w:color="auto" w:sz="4" w:space="0"/>
                  </w:tcBorders>
                  <w:tcMar>
                    <w:top w:w="0" w:type="dxa"/>
                    <w:left w:w="0" w:type="dxa"/>
                    <w:bottom w:w="0" w:type="dxa"/>
                    <w:right w:w="0" w:type="dxa"/>
                  </w:tcMar>
                  <w:vAlign w:val="center"/>
                </w:tcPr>
                <w:p>
                  <w:pPr>
                    <w:pStyle w:val="41"/>
                    <w:jc w:val="left"/>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本项目</w:t>
                  </w:r>
                  <w:r>
                    <w:rPr>
                      <w:rFonts w:hint="default" w:ascii="Times New Roman" w:hAnsi="Times New Roman" w:eastAsia="宋体" w:cs="Times New Roman"/>
                      <w:color w:val="auto"/>
                      <w:szCs w:val="21"/>
                      <w:highlight w:val="none"/>
                      <w:lang w:eastAsia="zh-CN" w:bidi="ar"/>
                    </w:rPr>
                    <w:t>打砂产生的废气</w:t>
                  </w:r>
                  <w:r>
                    <w:rPr>
                      <w:rFonts w:hint="default" w:ascii="Times New Roman" w:hAnsi="Times New Roman" w:eastAsia="宋体" w:cs="Times New Roman"/>
                      <w:color w:val="auto"/>
                      <w:szCs w:val="21"/>
                      <w:highlight w:val="none"/>
                      <w:lang w:bidi="ar"/>
                    </w:rPr>
                    <w:t>，</w:t>
                  </w:r>
                  <w:r>
                    <w:rPr>
                      <w:rFonts w:hint="default" w:ascii="Times New Roman" w:hAnsi="Times New Roman" w:eastAsia="宋体" w:cs="Times New Roman"/>
                      <w:color w:val="auto"/>
                      <w:szCs w:val="21"/>
                      <w:highlight w:val="none"/>
                      <w:lang w:eastAsia="zh-CN" w:bidi="ar"/>
                    </w:rPr>
                    <w:t>经</w:t>
                  </w:r>
                  <w:r>
                    <w:rPr>
                      <w:rFonts w:hint="default" w:ascii="Times New Roman" w:hAnsi="Times New Roman" w:eastAsia="宋体" w:cs="Times New Roman"/>
                      <w:color w:val="auto"/>
                      <w:szCs w:val="21"/>
                      <w:highlight w:val="none"/>
                      <w:lang w:bidi="ar"/>
                    </w:rPr>
                    <w:t>过一套“</w:t>
                  </w:r>
                  <w:r>
                    <w:rPr>
                      <w:rFonts w:hint="default" w:ascii="Times New Roman" w:hAnsi="Times New Roman" w:eastAsia="宋体" w:cs="Times New Roman"/>
                      <w:color w:val="auto"/>
                      <w:szCs w:val="21"/>
                      <w:highlight w:val="none"/>
                      <w:lang w:eastAsia="zh-CN" w:bidi="ar"/>
                    </w:rPr>
                    <w:t>旋风分离器</w:t>
                  </w:r>
                  <w:r>
                    <w:rPr>
                      <w:rFonts w:hint="default" w:ascii="Times New Roman" w:hAnsi="Times New Roman" w:eastAsia="宋体" w:cs="Times New Roman"/>
                      <w:color w:val="auto"/>
                      <w:szCs w:val="21"/>
                      <w:highlight w:val="none"/>
                      <w:lang w:bidi="ar"/>
                    </w:rPr>
                    <w:t>+</w:t>
                  </w:r>
                  <w:r>
                    <w:rPr>
                      <w:rFonts w:hint="default" w:ascii="Times New Roman" w:hAnsi="Times New Roman" w:eastAsia="宋体" w:cs="Times New Roman"/>
                      <w:color w:val="auto"/>
                      <w:szCs w:val="21"/>
                      <w:highlight w:val="none"/>
                      <w:lang w:eastAsia="zh-CN" w:bidi="ar"/>
                    </w:rPr>
                    <w:t>滤筒除尘器</w:t>
                  </w:r>
                  <w:r>
                    <w:rPr>
                      <w:rFonts w:hint="default" w:ascii="Times New Roman" w:hAnsi="Times New Roman" w:eastAsia="宋体" w:cs="Times New Roman"/>
                      <w:color w:val="auto"/>
                      <w:szCs w:val="21"/>
                      <w:highlight w:val="none"/>
                      <w:lang w:bidi="ar"/>
                    </w:rPr>
                    <w:t>”处理后，通过1根</w:t>
                  </w:r>
                  <w:r>
                    <w:rPr>
                      <w:rFonts w:hint="default" w:ascii="Times New Roman" w:hAnsi="Times New Roman" w:eastAsia="宋体" w:cs="Times New Roman"/>
                      <w:color w:val="auto"/>
                      <w:szCs w:val="21"/>
                      <w:highlight w:val="none"/>
                      <w:lang w:val="en-US" w:eastAsia="zh-CN" w:bidi="ar"/>
                    </w:rPr>
                    <w:t>22</w:t>
                  </w:r>
                  <w:r>
                    <w:rPr>
                      <w:rFonts w:hint="default" w:ascii="Times New Roman" w:hAnsi="Times New Roman" w:eastAsia="宋体" w:cs="Times New Roman"/>
                      <w:color w:val="auto"/>
                      <w:szCs w:val="21"/>
                      <w:highlight w:val="none"/>
                      <w:lang w:bidi="ar"/>
                    </w:rPr>
                    <w:t>m高排气筒排放</w:t>
                  </w:r>
                  <w:r>
                    <w:rPr>
                      <w:rFonts w:hint="default" w:ascii="Times New Roman" w:hAnsi="Times New Roman" w:eastAsia="宋体" w:cs="Times New Roman"/>
                      <w:color w:val="auto"/>
                      <w:szCs w:val="21"/>
                      <w:highlight w:val="none"/>
                      <w:lang w:eastAsia="zh-CN" w:bidi="ar"/>
                    </w:rPr>
                    <w:t>（</w:t>
                  </w:r>
                  <w:r>
                    <w:rPr>
                      <w:rFonts w:hint="default" w:ascii="Times New Roman" w:hAnsi="Times New Roman" w:eastAsia="宋体" w:cs="Times New Roman"/>
                      <w:color w:val="auto"/>
                      <w:szCs w:val="21"/>
                      <w:highlight w:val="none"/>
                      <w:lang w:val="en-US" w:eastAsia="zh-CN" w:bidi="ar"/>
                    </w:rPr>
                    <w:t>DA-035</w:t>
                  </w:r>
                  <w:r>
                    <w:rPr>
                      <w:rFonts w:hint="default" w:ascii="Times New Roman" w:hAnsi="Times New Roman" w:eastAsia="宋体" w:cs="Times New Roman"/>
                      <w:color w:val="auto"/>
                      <w:szCs w:val="21"/>
                      <w:highlight w:val="none"/>
                      <w:lang w:eastAsia="zh-CN" w:bidi="ar"/>
                    </w:rPr>
                    <w:t>）。</w:t>
                  </w:r>
                </w:p>
              </w:tc>
              <w:tc>
                <w:tcPr>
                  <w:tcW w:w="1747" w:type="pct"/>
                  <w:tcBorders>
                    <w:top w:val="single" w:color="auto" w:sz="6" w:space="0"/>
                    <w:left w:val="single" w:color="auto" w:sz="4" w:space="0"/>
                    <w:right w:val="single" w:color="auto" w:sz="6" w:space="0"/>
                  </w:tcBorders>
                  <w:tcMar>
                    <w:top w:w="0" w:type="dxa"/>
                    <w:left w:w="0" w:type="dxa"/>
                    <w:bottom w:w="0" w:type="dxa"/>
                    <w:right w:w="0" w:type="dxa"/>
                  </w:tcMar>
                  <w:vAlign w:val="center"/>
                </w:tcPr>
                <w:p>
                  <w:pPr>
                    <w:pStyle w:val="41"/>
                    <w:jc w:val="left"/>
                    <w:rPr>
                      <w:color w:val="auto"/>
                      <w:szCs w:val="21"/>
                      <w:highlight w:val="none"/>
                      <w:lang w:bidi="ar"/>
                    </w:rPr>
                  </w:pPr>
                  <w:r>
                    <w:rPr>
                      <w:rFonts w:hint="default" w:ascii="Times New Roman" w:hAnsi="Times New Roman" w:eastAsia="宋体" w:cs="Times New Roman"/>
                      <w:color w:val="auto"/>
                      <w:szCs w:val="21"/>
                      <w:highlight w:val="none"/>
                      <w:lang w:bidi="ar"/>
                    </w:rPr>
                    <w:t>项目</w:t>
                  </w:r>
                  <w:r>
                    <w:rPr>
                      <w:rFonts w:hint="default" w:ascii="Times New Roman" w:hAnsi="Times New Roman" w:eastAsia="宋体" w:cs="Times New Roman"/>
                      <w:color w:val="auto"/>
                      <w:szCs w:val="21"/>
                      <w:highlight w:val="none"/>
                      <w:lang w:eastAsia="zh-CN" w:bidi="ar"/>
                    </w:rPr>
                    <w:t>打砂产生的废气</w:t>
                  </w:r>
                  <w:r>
                    <w:rPr>
                      <w:rFonts w:hint="default" w:ascii="Times New Roman" w:hAnsi="Times New Roman" w:eastAsia="宋体" w:cs="Times New Roman"/>
                      <w:color w:val="auto"/>
                      <w:szCs w:val="21"/>
                      <w:highlight w:val="none"/>
                      <w:lang w:bidi="ar"/>
                    </w:rPr>
                    <w:t>，</w:t>
                  </w:r>
                  <w:r>
                    <w:rPr>
                      <w:rFonts w:hint="default" w:ascii="Times New Roman" w:hAnsi="Times New Roman" w:eastAsia="宋体" w:cs="Times New Roman"/>
                      <w:color w:val="auto"/>
                      <w:szCs w:val="21"/>
                      <w:highlight w:val="none"/>
                      <w:lang w:eastAsia="zh-CN" w:bidi="ar"/>
                    </w:rPr>
                    <w:t>经</w:t>
                  </w:r>
                  <w:r>
                    <w:rPr>
                      <w:rFonts w:hint="default" w:ascii="Times New Roman" w:hAnsi="Times New Roman" w:eastAsia="宋体" w:cs="Times New Roman"/>
                      <w:color w:val="auto"/>
                      <w:szCs w:val="21"/>
                      <w:highlight w:val="none"/>
                      <w:lang w:bidi="ar"/>
                    </w:rPr>
                    <w:t>过一套“</w:t>
                  </w:r>
                  <w:r>
                    <w:rPr>
                      <w:rFonts w:hint="default" w:ascii="Times New Roman" w:hAnsi="Times New Roman" w:eastAsia="宋体" w:cs="Times New Roman"/>
                      <w:color w:val="auto"/>
                      <w:szCs w:val="21"/>
                      <w:highlight w:val="none"/>
                      <w:lang w:eastAsia="zh-CN" w:bidi="ar"/>
                    </w:rPr>
                    <w:t>旋风分离器</w:t>
                  </w:r>
                  <w:r>
                    <w:rPr>
                      <w:rFonts w:hint="default" w:ascii="Times New Roman" w:hAnsi="Times New Roman" w:eastAsia="宋体" w:cs="Times New Roman"/>
                      <w:color w:val="auto"/>
                      <w:szCs w:val="21"/>
                      <w:highlight w:val="none"/>
                      <w:lang w:bidi="ar"/>
                    </w:rPr>
                    <w:t>+</w:t>
                  </w:r>
                  <w:r>
                    <w:rPr>
                      <w:rFonts w:hint="default" w:ascii="Times New Roman" w:hAnsi="Times New Roman" w:eastAsia="宋体" w:cs="Times New Roman"/>
                      <w:color w:val="auto"/>
                      <w:szCs w:val="21"/>
                      <w:highlight w:val="none"/>
                      <w:lang w:eastAsia="zh-CN" w:bidi="ar"/>
                    </w:rPr>
                    <w:t>滤筒除尘器</w:t>
                  </w:r>
                  <w:r>
                    <w:rPr>
                      <w:rFonts w:hint="default" w:ascii="Times New Roman" w:hAnsi="Times New Roman" w:eastAsia="宋体" w:cs="Times New Roman"/>
                      <w:color w:val="auto"/>
                      <w:szCs w:val="21"/>
                      <w:highlight w:val="none"/>
                      <w:lang w:bidi="ar"/>
                    </w:rPr>
                    <w:t>”处理后，通过1根</w:t>
                  </w:r>
                  <w:r>
                    <w:rPr>
                      <w:rFonts w:hint="default" w:ascii="Times New Roman" w:hAnsi="Times New Roman" w:eastAsia="宋体" w:cs="Times New Roman"/>
                      <w:color w:val="auto"/>
                      <w:szCs w:val="21"/>
                      <w:highlight w:val="none"/>
                      <w:lang w:val="en-US" w:eastAsia="zh-CN" w:bidi="ar"/>
                    </w:rPr>
                    <w:t>22</w:t>
                  </w:r>
                  <w:r>
                    <w:rPr>
                      <w:rFonts w:hint="default" w:ascii="Times New Roman" w:hAnsi="Times New Roman" w:eastAsia="宋体" w:cs="Times New Roman"/>
                      <w:color w:val="auto"/>
                      <w:szCs w:val="21"/>
                      <w:highlight w:val="none"/>
                      <w:lang w:bidi="ar"/>
                    </w:rPr>
                    <w:t>m高排气筒排放</w:t>
                  </w:r>
                  <w:r>
                    <w:rPr>
                      <w:rFonts w:hint="default" w:ascii="Times New Roman" w:hAnsi="Times New Roman" w:eastAsia="宋体" w:cs="Times New Roman"/>
                      <w:color w:val="auto"/>
                      <w:szCs w:val="21"/>
                      <w:highlight w:val="none"/>
                      <w:lang w:eastAsia="zh-CN" w:bidi="ar"/>
                    </w:rPr>
                    <w:t>（</w:t>
                  </w:r>
                  <w:r>
                    <w:rPr>
                      <w:rFonts w:hint="default" w:ascii="Times New Roman" w:hAnsi="Times New Roman" w:eastAsia="宋体" w:cs="Times New Roman"/>
                      <w:color w:val="auto"/>
                      <w:szCs w:val="21"/>
                      <w:highlight w:val="none"/>
                      <w:lang w:val="en-US" w:eastAsia="zh-CN" w:bidi="ar"/>
                    </w:rPr>
                    <w:t>DA035</w:t>
                  </w:r>
                  <w:r>
                    <w:rPr>
                      <w:rFonts w:hint="default" w:ascii="Times New Roman" w:hAnsi="Times New Roman" w:eastAsia="宋体" w:cs="Times New Roman"/>
                      <w:color w:val="auto"/>
                      <w:szCs w:val="21"/>
                      <w:highlight w:val="none"/>
                      <w:lang w:eastAsia="zh-CN" w:bidi="ar"/>
                    </w:rPr>
                    <w:t>）</w:t>
                  </w:r>
                  <w:r>
                    <w:rPr>
                      <w:rFonts w:hint="eastAsia" w:ascii="Times New Roman" w:hAnsi="Times New Roman" w:eastAsia="宋体" w:cs="Times New Roman"/>
                      <w:color w:val="auto"/>
                      <w:szCs w:val="21"/>
                      <w:highlight w:val="none"/>
                      <w:lang w:eastAsia="zh-CN" w:bidi="ar"/>
                    </w:rPr>
                    <w:t>。</w:t>
                  </w:r>
                </w:p>
              </w:tc>
              <w:tc>
                <w:tcPr>
                  <w:tcW w:w="723"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1"/>
                    <w:rPr>
                      <w:color w:val="auto"/>
                      <w:szCs w:val="21"/>
                      <w:highlight w:val="none"/>
                      <w:lang w:bidi="ar"/>
                    </w:rPr>
                  </w:pPr>
                  <w:r>
                    <w:rPr>
                      <w:color w:val="auto"/>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906" w:hRule="atLeast"/>
                <w:jc w:val="center"/>
              </w:trPr>
              <w:tc>
                <w:tcPr>
                  <w:tcW w:w="324" w:type="pct"/>
                  <w:vMerge w:val="continue"/>
                  <w:tcBorders>
                    <w:left w:val="single" w:color="auto" w:sz="4"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center"/>
                    <w:rPr>
                      <w:color w:val="auto"/>
                      <w:sz w:val="21"/>
                      <w:szCs w:val="21"/>
                      <w:highlight w:val="none"/>
                    </w:rPr>
                  </w:pPr>
                </w:p>
              </w:tc>
              <w:tc>
                <w:tcPr>
                  <w:tcW w:w="416"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1"/>
                    <w:jc w:val="center"/>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废水</w:t>
                  </w:r>
                </w:p>
              </w:tc>
              <w:tc>
                <w:tcPr>
                  <w:tcW w:w="1788"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1"/>
                    <w:jc w:val="left"/>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项目无新增员工，无新增生活污水产生、排放；项目</w:t>
                  </w:r>
                  <w:r>
                    <w:rPr>
                      <w:rFonts w:hint="default" w:ascii="Times New Roman" w:hAnsi="Times New Roman" w:eastAsia="宋体" w:cs="Times New Roman"/>
                      <w:color w:val="auto"/>
                      <w:szCs w:val="21"/>
                      <w:highlight w:val="none"/>
                      <w:lang w:eastAsia="zh-CN" w:bidi="ar"/>
                    </w:rPr>
                    <w:t>不涉及工艺</w:t>
                  </w:r>
                  <w:r>
                    <w:rPr>
                      <w:rFonts w:hint="default" w:ascii="Times New Roman" w:hAnsi="Times New Roman" w:eastAsia="宋体" w:cs="Times New Roman"/>
                      <w:color w:val="auto"/>
                      <w:szCs w:val="21"/>
                      <w:highlight w:val="none"/>
                      <w:lang w:bidi="ar"/>
                    </w:rPr>
                    <w:t>废水产生、排放</w:t>
                  </w:r>
                  <w:r>
                    <w:rPr>
                      <w:rFonts w:hint="default" w:ascii="Times New Roman" w:hAnsi="Times New Roman" w:eastAsia="宋体" w:cs="Times New Roman"/>
                      <w:color w:val="auto"/>
                      <w:szCs w:val="21"/>
                      <w:highlight w:val="none"/>
                      <w:lang w:eastAsia="zh-CN" w:bidi="ar"/>
                    </w:rPr>
                    <w:t>。</w:t>
                  </w:r>
                </w:p>
              </w:tc>
              <w:tc>
                <w:tcPr>
                  <w:tcW w:w="1747"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1"/>
                    <w:jc w:val="left"/>
                    <w:rPr>
                      <w:rFonts w:hint="eastAsia" w:eastAsia="宋体"/>
                      <w:color w:val="auto"/>
                      <w:szCs w:val="21"/>
                      <w:highlight w:val="none"/>
                      <w:lang w:eastAsia="zh-CN" w:bidi="ar"/>
                    </w:rPr>
                  </w:pPr>
                  <w:r>
                    <w:rPr>
                      <w:rFonts w:hint="default" w:ascii="Times New Roman" w:hAnsi="Times New Roman" w:eastAsia="宋体" w:cs="Times New Roman"/>
                      <w:color w:val="auto"/>
                      <w:szCs w:val="21"/>
                      <w:highlight w:val="none"/>
                      <w:lang w:bidi="ar"/>
                    </w:rPr>
                    <w:t>项目无新增员工，无新增生活污水产生、排放；项目</w:t>
                  </w:r>
                  <w:r>
                    <w:rPr>
                      <w:rFonts w:hint="default" w:ascii="Times New Roman" w:hAnsi="Times New Roman" w:eastAsia="宋体" w:cs="Times New Roman"/>
                      <w:color w:val="auto"/>
                      <w:szCs w:val="21"/>
                      <w:highlight w:val="none"/>
                      <w:lang w:eastAsia="zh-CN" w:bidi="ar"/>
                    </w:rPr>
                    <w:t>不涉及工艺</w:t>
                  </w:r>
                  <w:r>
                    <w:rPr>
                      <w:rFonts w:hint="default" w:ascii="Times New Roman" w:hAnsi="Times New Roman" w:eastAsia="宋体" w:cs="Times New Roman"/>
                      <w:color w:val="auto"/>
                      <w:szCs w:val="21"/>
                      <w:highlight w:val="none"/>
                      <w:lang w:bidi="ar"/>
                    </w:rPr>
                    <w:t>废水产生、排放</w:t>
                  </w:r>
                  <w:r>
                    <w:rPr>
                      <w:rFonts w:hint="eastAsia" w:ascii="Times New Roman" w:hAnsi="Times New Roman" w:eastAsia="宋体" w:cs="Times New Roman"/>
                      <w:color w:val="auto"/>
                      <w:szCs w:val="21"/>
                      <w:highlight w:val="none"/>
                      <w:lang w:eastAsia="zh-CN" w:bidi="ar"/>
                    </w:rPr>
                    <w:t>。</w:t>
                  </w:r>
                </w:p>
              </w:tc>
              <w:tc>
                <w:tcPr>
                  <w:tcW w:w="723"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1"/>
                    <w:rPr>
                      <w:rFonts w:hint="default" w:eastAsia="宋体"/>
                      <w:color w:val="auto"/>
                      <w:szCs w:val="21"/>
                      <w:highlight w:val="none"/>
                      <w:lang w:val="en-US" w:eastAsia="zh-CN" w:bidi="ar"/>
                    </w:rPr>
                  </w:pPr>
                  <w:r>
                    <w:rPr>
                      <w:color w:val="auto"/>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24" w:type="pct"/>
                  <w:vMerge w:val="continue"/>
                  <w:tcBorders>
                    <w:left w:val="single" w:color="auto" w:sz="4"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center"/>
                    <w:rPr>
                      <w:color w:val="auto"/>
                      <w:sz w:val="21"/>
                      <w:szCs w:val="21"/>
                      <w:highlight w:val="none"/>
                    </w:rPr>
                  </w:pPr>
                </w:p>
              </w:tc>
              <w:tc>
                <w:tcPr>
                  <w:tcW w:w="416"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1"/>
                    <w:jc w:val="center"/>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噪声</w:t>
                  </w:r>
                </w:p>
              </w:tc>
              <w:tc>
                <w:tcPr>
                  <w:tcW w:w="1788"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1"/>
                    <w:jc w:val="left"/>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设备采用基础减震</w:t>
                  </w:r>
                  <w:r>
                    <w:rPr>
                      <w:rFonts w:hint="default" w:ascii="Times New Roman" w:hAnsi="Times New Roman" w:eastAsia="宋体" w:cs="Times New Roman"/>
                      <w:color w:val="auto"/>
                      <w:szCs w:val="21"/>
                      <w:highlight w:val="none"/>
                      <w:lang w:eastAsia="zh-CN" w:bidi="ar"/>
                    </w:rPr>
                    <w:t>、隔声等措施</w:t>
                  </w:r>
                  <w:r>
                    <w:rPr>
                      <w:rFonts w:hint="default" w:ascii="Times New Roman" w:hAnsi="Times New Roman" w:eastAsia="宋体" w:cs="Times New Roman"/>
                      <w:color w:val="auto"/>
                      <w:szCs w:val="21"/>
                      <w:highlight w:val="none"/>
                      <w:lang w:bidi="ar"/>
                    </w:rPr>
                    <w:t>，并定期对设备进行保养</w:t>
                  </w:r>
                  <w:r>
                    <w:rPr>
                      <w:rFonts w:hint="default" w:ascii="Times New Roman" w:hAnsi="Times New Roman" w:eastAsia="宋体" w:cs="Times New Roman"/>
                      <w:color w:val="auto"/>
                      <w:szCs w:val="21"/>
                      <w:highlight w:val="none"/>
                      <w:lang w:eastAsia="zh-CN" w:bidi="ar"/>
                    </w:rPr>
                    <w:t>。</w:t>
                  </w:r>
                </w:p>
              </w:tc>
              <w:tc>
                <w:tcPr>
                  <w:tcW w:w="1747"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1"/>
                    <w:jc w:val="left"/>
                    <w:rPr>
                      <w:color w:val="auto"/>
                      <w:szCs w:val="21"/>
                      <w:highlight w:val="none"/>
                      <w:lang w:bidi="ar"/>
                    </w:rPr>
                  </w:pPr>
                  <w:r>
                    <w:rPr>
                      <w:rFonts w:hint="default" w:ascii="Times New Roman" w:hAnsi="Times New Roman" w:eastAsia="宋体" w:cs="Times New Roman"/>
                      <w:color w:val="auto"/>
                      <w:szCs w:val="21"/>
                      <w:highlight w:val="none"/>
                      <w:lang w:bidi="ar"/>
                    </w:rPr>
                    <w:t>设备采用基础减震</w:t>
                  </w:r>
                  <w:r>
                    <w:rPr>
                      <w:rFonts w:hint="default" w:ascii="Times New Roman" w:hAnsi="Times New Roman" w:eastAsia="宋体" w:cs="Times New Roman"/>
                      <w:color w:val="auto"/>
                      <w:szCs w:val="21"/>
                      <w:highlight w:val="none"/>
                      <w:lang w:eastAsia="zh-CN" w:bidi="ar"/>
                    </w:rPr>
                    <w:t>、隔声等措施</w:t>
                  </w:r>
                  <w:r>
                    <w:rPr>
                      <w:rFonts w:hint="default" w:ascii="Times New Roman" w:hAnsi="Times New Roman" w:eastAsia="宋体" w:cs="Times New Roman"/>
                      <w:color w:val="auto"/>
                      <w:szCs w:val="21"/>
                      <w:highlight w:val="none"/>
                      <w:lang w:bidi="ar"/>
                    </w:rPr>
                    <w:t>，并定期对设备进行保养</w:t>
                  </w:r>
                  <w:r>
                    <w:rPr>
                      <w:rFonts w:hint="default" w:ascii="Times New Roman" w:hAnsi="Times New Roman" w:eastAsia="宋体" w:cs="Times New Roman"/>
                      <w:color w:val="auto"/>
                      <w:szCs w:val="21"/>
                      <w:highlight w:val="none"/>
                      <w:lang w:eastAsia="zh-CN" w:bidi="ar"/>
                    </w:rPr>
                    <w:t>。</w:t>
                  </w:r>
                </w:p>
              </w:tc>
              <w:tc>
                <w:tcPr>
                  <w:tcW w:w="723"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1"/>
                    <w:rPr>
                      <w:color w:val="auto"/>
                      <w:szCs w:val="21"/>
                      <w:highlight w:val="none"/>
                      <w:lang w:bidi="ar"/>
                    </w:rPr>
                  </w:pPr>
                  <w:r>
                    <w:rPr>
                      <w:color w:val="auto"/>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24" w:type="pct"/>
                  <w:vMerge w:val="continue"/>
                  <w:tcBorders>
                    <w:left w:val="single" w:color="auto" w:sz="4" w:space="0"/>
                    <w:bottom w:val="single" w:color="auto" w:sz="6" w:space="0"/>
                    <w:right w:val="single" w:color="auto" w:sz="6" w:space="0"/>
                  </w:tcBorders>
                  <w:tcMar>
                    <w:top w:w="0" w:type="dxa"/>
                    <w:left w:w="0" w:type="dxa"/>
                    <w:bottom w:w="0" w:type="dxa"/>
                    <w:right w:w="0" w:type="dxa"/>
                  </w:tcMar>
                  <w:vAlign w:val="center"/>
                </w:tcPr>
                <w:p>
                  <w:pPr>
                    <w:adjustRightInd w:val="0"/>
                    <w:snapToGrid w:val="0"/>
                    <w:spacing w:line="240" w:lineRule="auto"/>
                    <w:ind w:firstLine="0" w:firstLineChars="0"/>
                    <w:jc w:val="center"/>
                    <w:rPr>
                      <w:color w:val="auto"/>
                      <w:sz w:val="21"/>
                      <w:szCs w:val="21"/>
                      <w:highlight w:val="none"/>
                    </w:rPr>
                  </w:pPr>
                </w:p>
              </w:tc>
              <w:tc>
                <w:tcPr>
                  <w:tcW w:w="416"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1"/>
                    <w:jc w:val="center"/>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固废</w:t>
                  </w:r>
                </w:p>
              </w:tc>
              <w:tc>
                <w:tcPr>
                  <w:tcW w:w="1788"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1"/>
                    <w:jc w:val="left"/>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eastAsia="zh-CN" w:bidi="ar"/>
                    </w:rPr>
                    <w:t>主要是打砂过程中砂尘分离器分离出的金属氧化皮碎片和破碎的钢砂（以破碎的钢砂为主），旋风分离器和滤筒除尘器收集的粉尘及废滤筒，和现有项目打砂房产生同类固废一起由厂区集中处理。</w:t>
                  </w:r>
                </w:p>
              </w:tc>
              <w:tc>
                <w:tcPr>
                  <w:tcW w:w="1747"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1"/>
                    <w:jc w:val="left"/>
                    <w:rPr>
                      <w:color w:val="auto"/>
                      <w:szCs w:val="21"/>
                      <w:highlight w:val="none"/>
                      <w:lang w:bidi="ar"/>
                    </w:rPr>
                  </w:pPr>
                  <w:r>
                    <w:rPr>
                      <w:rFonts w:hint="default" w:ascii="Times New Roman" w:hAnsi="Times New Roman" w:eastAsia="宋体" w:cs="Times New Roman"/>
                      <w:color w:val="auto"/>
                      <w:szCs w:val="21"/>
                      <w:highlight w:val="none"/>
                      <w:lang w:eastAsia="zh-CN" w:bidi="ar"/>
                    </w:rPr>
                    <w:t>主要是打砂过程中砂尘分离器分离出的金属氧化皮碎片和破碎的钢砂（以破碎的钢砂为主），旋风分离器和滤筒除尘器收集的粉尘及废滤筒，和现有项目打砂房产生同类固废一起由厂区集中处理。</w:t>
                  </w:r>
                </w:p>
              </w:tc>
              <w:tc>
                <w:tcPr>
                  <w:tcW w:w="723"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1"/>
                    <w:rPr>
                      <w:color w:val="auto"/>
                      <w:szCs w:val="21"/>
                      <w:highlight w:val="none"/>
                      <w:lang w:bidi="ar"/>
                    </w:rPr>
                  </w:pPr>
                  <w:r>
                    <w:rPr>
                      <w:color w:val="auto"/>
                      <w:szCs w:val="21"/>
                      <w:highlight w:val="none"/>
                    </w:rPr>
                    <w:t>与环评一致</w:t>
                  </w:r>
                </w:p>
              </w:tc>
            </w:tr>
          </w:tbl>
          <w:p>
            <w:pPr>
              <w:pStyle w:val="2"/>
              <w:ind w:firstLine="0" w:firstLineChars="0"/>
              <w:jc w:val="center"/>
              <w:rPr>
                <w:rFonts w:cs="Times New Roman"/>
                <w:color w:val="auto"/>
                <w:highlight w:val="none"/>
              </w:rPr>
            </w:pPr>
            <w:r>
              <w:rPr>
                <w:rFonts w:cs="Times New Roman"/>
                <w:b/>
                <w:bCs/>
                <w:color w:val="auto"/>
                <w:szCs w:val="24"/>
                <w:highlight w:val="none"/>
              </w:rPr>
              <w:t>表2-2  本项目主要产品情况</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0"/>
              <w:gridCol w:w="1546"/>
              <w:gridCol w:w="900"/>
              <w:gridCol w:w="1289"/>
              <w:gridCol w:w="1276"/>
              <w:gridCol w:w="2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3" w:type="pct"/>
                  <w:shd w:val="clear" w:color="auto" w:fill="auto"/>
                  <w:vAlign w:val="center"/>
                </w:tcPr>
                <w:p>
                  <w:pPr>
                    <w:pStyle w:val="41"/>
                    <w:rPr>
                      <w:b/>
                      <w:bCs/>
                      <w:color w:val="auto"/>
                      <w:szCs w:val="21"/>
                      <w:highlight w:val="none"/>
                      <w:lang w:val="zh-CN"/>
                    </w:rPr>
                  </w:pPr>
                  <w:r>
                    <w:rPr>
                      <w:b/>
                      <w:bCs/>
                      <w:color w:val="auto"/>
                      <w:szCs w:val="21"/>
                      <w:highlight w:val="none"/>
                    </w:rPr>
                    <w:t>序号</w:t>
                  </w:r>
                </w:p>
              </w:tc>
              <w:tc>
                <w:tcPr>
                  <w:tcW w:w="867" w:type="pct"/>
                  <w:shd w:val="clear" w:color="auto" w:fill="auto"/>
                  <w:vAlign w:val="center"/>
                </w:tcPr>
                <w:p>
                  <w:pPr>
                    <w:pStyle w:val="41"/>
                    <w:rPr>
                      <w:b/>
                      <w:bCs/>
                      <w:color w:val="auto"/>
                      <w:szCs w:val="21"/>
                      <w:highlight w:val="none"/>
                      <w:lang w:val="zh-CN"/>
                    </w:rPr>
                  </w:pPr>
                  <w:r>
                    <w:rPr>
                      <w:b/>
                      <w:bCs/>
                      <w:color w:val="auto"/>
                      <w:szCs w:val="21"/>
                      <w:highlight w:val="none"/>
                    </w:rPr>
                    <w:t>名称</w:t>
                  </w:r>
                </w:p>
              </w:tc>
              <w:tc>
                <w:tcPr>
                  <w:tcW w:w="505" w:type="pct"/>
                  <w:shd w:val="clear" w:color="auto" w:fill="auto"/>
                  <w:vAlign w:val="center"/>
                </w:tcPr>
                <w:p>
                  <w:pPr>
                    <w:pStyle w:val="41"/>
                    <w:rPr>
                      <w:b/>
                      <w:bCs/>
                      <w:color w:val="auto"/>
                      <w:szCs w:val="21"/>
                      <w:highlight w:val="none"/>
                      <w:lang w:val="zh-CN"/>
                    </w:rPr>
                  </w:pPr>
                  <w:r>
                    <w:rPr>
                      <w:rFonts w:hint="eastAsia"/>
                      <w:b/>
                      <w:bCs/>
                      <w:color w:val="auto"/>
                      <w:szCs w:val="21"/>
                      <w:highlight w:val="none"/>
                    </w:rPr>
                    <w:t>单位</w:t>
                  </w:r>
                </w:p>
              </w:tc>
              <w:tc>
                <w:tcPr>
                  <w:tcW w:w="723" w:type="pct"/>
                  <w:shd w:val="clear" w:color="auto" w:fill="auto"/>
                  <w:vAlign w:val="center"/>
                </w:tcPr>
                <w:p>
                  <w:pPr>
                    <w:pStyle w:val="41"/>
                    <w:rPr>
                      <w:b/>
                      <w:bCs/>
                      <w:color w:val="auto"/>
                      <w:szCs w:val="21"/>
                      <w:highlight w:val="none"/>
                      <w:lang w:val="zh-CN" w:eastAsia="zh-TW"/>
                    </w:rPr>
                  </w:pPr>
                  <w:r>
                    <w:rPr>
                      <w:b/>
                      <w:bCs/>
                      <w:color w:val="auto"/>
                      <w:szCs w:val="21"/>
                      <w:highlight w:val="none"/>
                    </w:rPr>
                    <w:t>环评</w:t>
                  </w:r>
                  <w:r>
                    <w:rPr>
                      <w:rFonts w:hint="eastAsia"/>
                      <w:b/>
                      <w:bCs/>
                      <w:color w:val="auto"/>
                      <w:szCs w:val="21"/>
                      <w:highlight w:val="none"/>
                      <w:lang w:eastAsia="zh-CN"/>
                    </w:rPr>
                    <w:t>年返修打砂</w:t>
                  </w:r>
                  <w:r>
                    <w:rPr>
                      <w:b/>
                      <w:bCs/>
                      <w:color w:val="auto"/>
                      <w:szCs w:val="21"/>
                      <w:highlight w:val="none"/>
                    </w:rPr>
                    <w:t>量</w:t>
                  </w:r>
                </w:p>
              </w:tc>
              <w:tc>
                <w:tcPr>
                  <w:tcW w:w="716" w:type="pct"/>
                  <w:shd w:val="clear" w:color="auto" w:fill="auto"/>
                  <w:vAlign w:val="center"/>
                </w:tcPr>
                <w:p>
                  <w:pPr>
                    <w:pStyle w:val="41"/>
                    <w:rPr>
                      <w:b/>
                      <w:bCs/>
                      <w:color w:val="auto"/>
                      <w:szCs w:val="21"/>
                      <w:highlight w:val="none"/>
                      <w:lang w:val="zh-CN"/>
                    </w:rPr>
                  </w:pPr>
                  <w:r>
                    <w:rPr>
                      <w:b/>
                      <w:bCs/>
                      <w:color w:val="auto"/>
                      <w:szCs w:val="21"/>
                      <w:highlight w:val="none"/>
                    </w:rPr>
                    <w:t>实际</w:t>
                  </w:r>
                  <w:r>
                    <w:rPr>
                      <w:rFonts w:hint="eastAsia"/>
                      <w:b/>
                      <w:bCs/>
                      <w:color w:val="auto"/>
                      <w:szCs w:val="21"/>
                      <w:highlight w:val="none"/>
                      <w:lang w:eastAsia="zh-CN"/>
                    </w:rPr>
                    <w:t>年返修打砂</w:t>
                  </w:r>
                  <w:r>
                    <w:rPr>
                      <w:b/>
                      <w:bCs/>
                      <w:color w:val="auto"/>
                      <w:szCs w:val="21"/>
                      <w:highlight w:val="none"/>
                    </w:rPr>
                    <w:t>量</w:t>
                  </w:r>
                </w:p>
              </w:tc>
              <w:tc>
                <w:tcPr>
                  <w:tcW w:w="1653" w:type="pct"/>
                  <w:shd w:val="clear" w:color="auto" w:fill="auto"/>
                  <w:vAlign w:val="center"/>
                </w:tcPr>
                <w:p>
                  <w:pPr>
                    <w:pStyle w:val="41"/>
                    <w:rPr>
                      <w:color w:val="auto"/>
                      <w:szCs w:val="21"/>
                      <w:highlight w:val="none"/>
                    </w:rPr>
                  </w:pPr>
                  <w:r>
                    <w:rPr>
                      <w:b/>
                      <w:bCs/>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3" w:type="pct"/>
                  <w:shd w:val="clear" w:color="auto" w:fill="auto"/>
                  <w:vAlign w:val="center"/>
                </w:tcPr>
                <w:p>
                  <w:pPr>
                    <w:pStyle w:val="41"/>
                    <w:rPr>
                      <w:color w:val="auto"/>
                      <w:szCs w:val="21"/>
                      <w:highlight w:val="none"/>
                    </w:rPr>
                  </w:pPr>
                  <w:r>
                    <w:rPr>
                      <w:color w:val="auto"/>
                      <w:szCs w:val="21"/>
                      <w:highlight w:val="none"/>
                    </w:rPr>
                    <w:t>1</w:t>
                  </w:r>
                </w:p>
              </w:tc>
              <w:tc>
                <w:tcPr>
                  <w:tcW w:w="867" w:type="pct"/>
                  <w:shd w:val="clear" w:color="auto" w:fill="auto"/>
                  <w:vAlign w:val="center"/>
                </w:tcPr>
                <w:p>
                  <w:pPr>
                    <w:pStyle w:val="41"/>
                    <w:rPr>
                      <w:color w:val="auto"/>
                      <w:szCs w:val="21"/>
                      <w:highlight w:val="none"/>
                    </w:rPr>
                  </w:pPr>
                  <w:r>
                    <w:rPr>
                      <w:rFonts w:hint="eastAsia" w:cs="Times New Roman"/>
                      <w:color w:val="auto"/>
                      <w:sz w:val="21"/>
                      <w:szCs w:val="21"/>
                      <w:highlight w:val="none"/>
                      <w:lang w:val="en-US" w:eastAsia="zh-CN"/>
                    </w:rPr>
                    <w:t>返修打砂底架</w:t>
                  </w:r>
                </w:p>
              </w:tc>
              <w:tc>
                <w:tcPr>
                  <w:tcW w:w="505" w:type="pct"/>
                  <w:shd w:val="clear" w:color="auto" w:fill="auto"/>
                  <w:vAlign w:val="center"/>
                </w:tcPr>
                <w:p>
                  <w:pPr>
                    <w:pStyle w:val="41"/>
                    <w:rPr>
                      <w:rFonts w:hint="eastAsia" w:eastAsia="宋体"/>
                      <w:color w:val="auto"/>
                      <w:szCs w:val="21"/>
                      <w:highlight w:val="none"/>
                      <w:lang w:eastAsia="zh-CN"/>
                    </w:rPr>
                  </w:pPr>
                  <w:r>
                    <w:rPr>
                      <w:rFonts w:hint="eastAsia"/>
                      <w:color w:val="auto"/>
                      <w:szCs w:val="21"/>
                      <w:highlight w:val="none"/>
                      <w:lang w:eastAsia="zh-CN"/>
                    </w:rPr>
                    <w:t>个</w:t>
                  </w:r>
                </w:p>
              </w:tc>
              <w:tc>
                <w:tcPr>
                  <w:tcW w:w="723" w:type="pct"/>
                  <w:shd w:val="clear" w:color="auto" w:fill="auto"/>
                  <w:vAlign w:val="center"/>
                </w:tcPr>
                <w:p>
                  <w:pPr>
                    <w:pStyle w:val="41"/>
                    <w:rPr>
                      <w:color w:val="auto"/>
                      <w:szCs w:val="21"/>
                      <w:highlight w:val="none"/>
                    </w:rPr>
                  </w:pPr>
                  <w:r>
                    <w:rPr>
                      <w:rFonts w:hint="eastAsia"/>
                      <w:color w:val="auto"/>
                      <w:szCs w:val="21"/>
                      <w:highlight w:val="none"/>
                      <w:lang w:val="en-US" w:eastAsia="zh-CN"/>
                    </w:rPr>
                    <w:t>780</w:t>
                  </w:r>
                </w:p>
              </w:tc>
              <w:tc>
                <w:tcPr>
                  <w:tcW w:w="716" w:type="pct"/>
                  <w:shd w:val="clear" w:color="auto" w:fill="auto"/>
                  <w:vAlign w:val="center"/>
                </w:tcPr>
                <w:p>
                  <w:pPr>
                    <w:pStyle w:val="41"/>
                    <w:rPr>
                      <w:color w:val="auto"/>
                      <w:szCs w:val="21"/>
                      <w:highlight w:val="none"/>
                    </w:rPr>
                  </w:pPr>
                  <w:r>
                    <w:rPr>
                      <w:rFonts w:hint="eastAsia"/>
                      <w:color w:val="auto"/>
                      <w:szCs w:val="21"/>
                      <w:highlight w:val="none"/>
                      <w:lang w:val="en-US" w:eastAsia="zh-CN"/>
                    </w:rPr>
                    <w:t>780</w:t>
                  </w:r>
                </w:p>
              </w:tc>
              <w:tc>
                <w:tcPr>
                  <w:tcW w:w="1653" w:type="pct"/>
                  <w:shd w:val="clear" w:color="auto" w:fill="auto"/>
                  <w:vAlign w:val="center"/>
                </w:tcPr>
                <w:p>
                  <w:pPr>
                    <w:pStyle w:val="41"/>
                    <w:rPr>
                      <w:color w:val="auto"/>
                      <w:szCs w:val="21"/>
                      <w:highlight w:val="none"/>
                    </w:rPr>
                  </w:pPr>
                  <w:r>
                    <w:rPr>
                      <w:rFonts w:hint="eastAsia"/>
                      <w:color w:val="auto"/>
                      <w:szCs w:val="21"/>
                      <w:highlight w:val="none"/>
                    </w:rPr>
                    <w:t>项目不新增产能，仅对返修货车底架进行局部打砂处理</w:t>
                  </w:r>
                </w:p>
              </w:tc>
            </w:tr>
          </w:tbl>
          <w:p>
            <w:pPr>
              <w:ind w:firstLine="482"/>
              <w:jc w:val="center"/>
              <w:rPr>
                <w:b/>
                <w:bCs/>
                <w:color w:val="auto"/>
                <w:highlight w:val="none"/>
              </w:rPr>
            </w:pPr>
            <w:r>
              <w:rPr>
                <w:b/>
                <w:bCs/>
                <w:color w:val="auto"/>
                <w:highlight w:val="none"/>
              </w:rPr>
              <w:t>表2-</w:t>
            </w:r>
            <w:r>
              <w:rPr>
                <w:rFonts w:hint="eastAsia"/>
                <w:b/>
                <w:bCs/>
                <w:color w:val="auto"/>
                <w:highlight w:val="none"/>
              </w:rPr>
              <w:t>3</w:t>
            </w:r>
            <w:r>
              <w:rPr>
                <w:b/>
                <w:bCs/>
                <w:color w:val="auto"/>
                <w:highlight w:val="none"/>
              </w:rPr>
              <w:t xml:space="preserve">  本项目主要生产设备一览表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
              <w:gridCol w:w="1697"/>
              <w:gridCol w:w="2583"/>
              <w:gridCol w:w="840"/>
              <w:gridCol w:w="749"/>
              <w:gridCol w:w="809"/>
              <w:gridCol w:w="1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5" w:type="pct"/>
                  <w:tcBorders>
                    <w:top w:val="single" w:color="auto" w:sz="4" w:space="0"/>
                    <w:left w:val="single" w:color="auto" w:sz="4" w:space="0"/>
                    <w:right w:val="single" w:color="auto" w:sz="4" w:space="0"/>
                  </w:tcBorders>
                  <w:vAlign w:val="center"/>
                </w:tcPr>
                <w:p>
                  <w:pPr>
                    <w:pStyle w:val="41"/>
                    <w:rPr>
                      <w:b/>
                      <w:bCs/>
                      <w:color w:val="auto"/>
                      <w:szCs w:val="21"/>
                      <w:highlight w:val="none"/>
                    </w:rPr>
                  </w:pPr>
                  <w:r>
                    <w:rPr>
                      <w:b/>
                      <w:bCs/>
                      <w:color w:val="auto"/>
                      <w:szCs w:val="21"/>
                      <w:highlight w:val="none"/>
                    </w:rPr>
                    <w:t>序号</w:t>
                  </w:r>
                </w:p>
              </w:tc>
              <w:tc>
                <w:tcPr>
                  <w:tcW w:w="952" w:type="pct"/>
                  <w:tcBorders>
                    <w:top w:val="single" w:color="auto" w:sz="4" w:space="0"/>
                    <w:left w:val="single" w:color="auto" w:sz="4" w:space="0"/>
                    <w:right w:val="single" w:color="auto" w:sz="4" w:space="0"/>
                  </w:tcBorders>
                  <w:vAlign w:val="center"/>
                </w:tcPr>
                <w:p>
                  <w:pPr>
                    <w:pStyle w:val="41"/>
                    <w:rPr>
                      <w:b/>
                      <w:bCs/>
                      <w:color w:val="auto"/>
                      <w:szCs w:val="21"/>
                      <w:highlight w:val="none"/>
                    </w:rPr>
                  </w:pPr>
                  <w:r>
                    <w:rPr>
                      <w:b/>
                      <w:bCs/>
                      <w:color w:val="auto"/>
                      <w:szCs w:val="21"/>
                      <w:highlight w:val="none"/>
                    </w:rPr>
                    <w:t>设备名称</w:t>
                  </w:r>
                </w:p>
              </w:tc>
              <w:tc>
                <w:tcPr>
                  <w:tcW w:w="1449" w:type="pct"/>
                  <w:tcBorders>
                    <w:top w:val="single" w:color="auto" w:sz="4" w:space="0"/>
                    <w:left w:val="single" w:color="auto" w:sz="4" w:space="0"/>
                    <w:right w:val="single" w:color="auto" w:sz="4" w:space="0"/>
                  </w:tcBorders>
                  <w:vAlign w:val="center"/>
                </w:tcPr>
                <w:p>
                  <w:pPr>
                    <w:pStyle w:val="41"/>
                    <w:rPr>
                      <w:b/>
                      <w:bCs/>
                      <w:color w:val="auto"/>
                      <w:szCs w:val="21"/>
                      <w:highlight w:val="none"/>
                    </w:rPr>
                  </w:pPr>
                  <w:r>
                    <w:rPr>
                      <w:rFonts w:hint="eastAsia"/>
                      <w:b/>
                      <w:bCs/>
                      <w:color w:val="auto"/>
                      <w:szCs w:val="21"/>
                      <w:highlight w:val="none"/>
                      <w:lang w:eastAsia="zh-CN"/>
                    </w:rPr>
                    <w:t>规格</w:t>
                  </w:r>
                  <w:r>
                    <w:rPr>
                      <w:rFonts w:hint="eastAsia"/>
                      <w:b/>
                      <w:bCs/>
                      <w:color w:val="auto"/>
                      <w:szCs w:val="21"/>
                      <w:highlight w:val="none"/>
                    </w:rPr>
                    <w:t>型号</w:t>
                  </w:r>
                </w:p>
              </w:tc>
              <w:tc>
                <w:tcPr>
                  <w:tcW w:w="471" w:type="pct"/>
                  <w:tcBorders>
                    <w:top w:val="single" w:color="auto" w:sz="4" w:space="0"/>
                    <w:left w:val="single" w:color="auto" w:sz="4" w:space="0"/>
                    <w:right w:val="single" w:color="auto" w:sz="4" w:space="0"/>
                  </w:tcBorders>
                  <w:vAlign w:val="center"/>
                </w:tcPr>
                <w:p>
                  <w:pPr>
                    <w:pStyle w:val="41"/>
                    <w:rPr>
                      <w:b/>
                      <w:bCs/>
                      <w:color w:val="auto"/>
                      <w:szCs w:val="21"/>
                      <w:highlight w:val="none"/>
                    </w:rPr>
                  </w:pPr>
                  <w:r>
                    <w:rPr>
                      <w:b/>
                      <w:bCs/>
                      <w:color w:val="auto"/>
                      <w:szCs w:val="21"/>
                      <w:highlight w:val="none"/>
                    </w:rPr>
                    <w:t>单位</w:t>
                  </w:r>
                </w:p>
              </w:tc>
              <w:tc>
                <w:tcPr>
                  <w:tcW w:w="420" w:type="pct"/>
                  <w:tcBorders>
                    <w:top w:val="single" w:color="auto" w:sz="4" w:space="0"/>
                    <w:left w:val="single" w:color="auto" w:sz="4" w:space="0"/>
                    <w:right w:val="single" w:color="auto" w:sz="4" w:space="0"/>
                  </w:tcBorders>
                  <w:vAlign w:val="center"/>
                </w:tcPr>
                <w:p>
                  <w:pPr>
                    <w:pStyle w:val="41"/>
                    <w:rPr>
                      <w:b/>
                      <w:bCs/>
                      <w:color w:val="auto"/>
                      <w:szCs w:val="21"/>
                      <w:highlight w:val="none"/>
                    </w:rPr>
                  </w:pPr>
                  <w:r>
                    <w:rPr>
                      <w:b/>
                      <w:bCs/>
                      <w:color w:val="auto"/>
                      <w:szCs w:val="21"/>
                      <w:highlight w:val="none"/>
                    </w:rPr>
                    <w:t>环评数量</w:t>
                  </w:r>
                </w:p>
              </w:tc>
              <w:tc>
                <w:tcPr>
                  <w:tcW w:w="454" w:type="pct"/>
                  <w:tcBorders>
                    <w:top w:val="single" w:color="auto" w:sz="4" w:space="0"/>
                    <w:left w:val="single" w:color="auto" w:sz="4" w:space="0"/>
                    <w:bottom w:val="single" w:color="auto" w:sz="4" w:space="0"/>
                    <w:right w:val="single" w:color="auto" w:sz="4" w:space="0"/>
                  </w:tcBorders>
                  <w:vAlign w:val="center"/>
                </w:tcPr>
                <w:p>
                  <w:pPr>
                    <w:pStyle w:val="41"/>
                    <w:rPr>
                      <w:b/>
                      <w:bCs/>
                      <w:color w:val="auto"/>
                      <w:szCs w:val="21"/>
                      <w:highlight w:val="none"/>
                    </w:rPr>
                  </w:pPr>
                  <w:r>
                    <w:rPr>
                      <w:b/>
                      <w:bCs/>
                      <w:color w:val="auto"/>
                      <w:szCs w:val="21"/>
                      <w:highlight w:val="none"/>
                    </w:rPr>
                    <w:t>实际数量</w:t>
                  </w:r>
                </w:p>
              </w:tc>
              <w:tc>
                <w:tcPr>
                  <w:tcW w:w="786" w:type="pct"/>
                  <w:tcBorders>
                    <w:top w:val="single" w:color="auto" w:sz="4" w:space="0"/>
                    <w:left w:val="single" w:color="auto" w:sz="4" w:space="0"/>
                    <w:right w:val="single" w:color="auto" w:sz="4" w:space="0"/>
                  </w:tcBorders>
                  <w:vAlign w:val="center"/>
                </w:tcPr>
                <w:p>
                  <w:pPr>
                    <w:pStyle w:val="41"/>
                    <w:rPr>
                      <w:b/>
                      <w:bCs/>
                      <w:color w:val="auto"/>
                      <w:szCs w:val="21"/>
                      <w:highlight w:val="none"/>
                    </w:rPr>
                  </w:pPr>
                  <w:r>
                    <w:rPr>
                      <w:b/>
                      <w:bCs/>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5" w:type="pct"/>
                  <w:tcBorders>
                    <w:top w:val="single" w:color="auto" w:sz="4" w:space="0"/>
                    <w:left w:val="single" w:color="auto" w:sz="4" w:space="0"/>
                    <w:bottom w:val="single" w:color="auto" w:sz="4" w:space="0"/>
                    <w:right w:val="single" w:color="auto" w:sz="4" w:space="0"/>
                  </w:tcBorders>
                  <w:vAlign w:val="center"/>
                </w:tcPr>
                <w:p>
                  <w:pPr>
                    <w:pStyle w:val="41"/>
                    <w:rPr>
                      <w:color w:val="auto"/>
                      <w:szCs w:val="21"/>
                      <w:highlight w:val="none"/>
                      <w:lang w:bidi="ar"/>
                    </w:rPr>
                  </w:pPr>
                  <w:r>
                    <w:rPr>
                      <w:color w:val="auto"/>
                      <w:szCs w:val="21"/>
                      <w:highlight w:val="none"/>
                      <w:lang w:bidi="ar"/>
                    </w:rPr>
                    <w:t>1</w:t>
                  </w:r>
                </w:p>
              </w:tc>
              <w:tc>
                <w:tcPr>
                  <w:tcW w:w="952"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滤筒除尘器</w:t>
                  </w:r>
                </w:p>
              </w:tc>
              <w:tc>
                <w:tcPr>
                  <w:tcW w:w="1449"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国康GK-48，50000</w:t>
                  </w:r>
                  <w:r>
                    <w:rPr>
                      <w:rFonts w:hint="eastAsia" w:cs="Times New Roman"/>
                      <w:i w:val="0"/>
                      <w:color w:val="auto"/>
                      <w:kern w:val="2"/>
                      <w:sz w:val="21"/>
                      <w:szCs w:val="21"/>
                      <w:highlight w:val="none"/>
                      <w:u w:val="none"/>
                      <w:lang w:val="en-US" w:eastAsia="zh-CN" w:bidi="ar"/>
                    </w:rPr>
                    <w:t>m³</w:t>
                  </w:r>
                  <w:r>
                    <w:rPr>
                      <w:rFonts w:hint="default" w:ascii="Times New Roman" w:hAnsi="Times New Roman" w:eastAsia="宋体" w:cs="Times New Roman"/>
                      <w:color w:val="auto"/>
                      <w:sz w:val="21"/>
                      <w:szCs w:val="21"/>
                      <w:highlight w:val="none"/>
                      <w:lang w:val="en-US" w:eastAsia="zh-CN" w:bidi="ar"/>
                    </w:rPr>
                    <w:t>/h,进口日本东丽滤材木浆纤维纳米涂层滤筒，48个滤筒</w:t>
                  </w:r>
                </w:p>
              </w:tc>
              <w:tc>
                <w:tcPr>
                  <w:tcW w:w="471"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台</w:t>
                  </w:r>
                </w:p>
              </w:tc>
              <w:tc>
                <w:tcPr>
                  <w:tcW w:w="420"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454"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786" w:type="pct"/>
                  <w:tcBorders>
                    <w:left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5" w:type="pct"/>
                  <w:tcBorders>
                    <w:top w:val="single" w:color="auto" w:sz="4" w:space="0"/>
                    <w:left w:val="single" w:color="auto" w:sz="4" w:space="0"/>
                    <w:bottom w:val="single" w:color="auto" w:sz="4" w:space="0"/>
                    <w:right w:val="single" w:color="auto" w:sz="4" w:space="0"/>
                  </w:tcBorders>
                  <w:vAlign w:val="center"/>
                </w:tcPr>
                <w:p>
                  <w:pPr>
                    <w:pStyle w:val="41"/>
                    <w:rPr>
                      <w:color w:val="auto"/>
                      <w:szCs w:val="21"/>
                      <w:highlight w:val="none"/>
                      <w:lang w:bidi="ar"/>
                    </w:rPr>
                  </w:pPr>
                  <w:r>
                    <w:rPr>
                      <w:color w:val="auto"/>
                      <w:szCs w:val="21"/>
                      <w:highlight w:val="none"/>
                      <w:lang w:bidi="ar"/>
                    </w:rPr>
                    <w:t>2</w:t>
                  </w:r>
                </w:p>
              </w:tc>
              <w:tc>
                <w:tcPr>
                  <w:tcW w:w="952"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旋风分离器</w:t>
                  </w:r>
                </w:p>
              </w:tc>
              <w:tc>
                <w:tcPr>
                  <w:tcW w:w="1449"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w:t>
                  </w:r>
                </w:p>
              </w:tc>
              <w:tc>
                <w:tcPr>
                  <w:tcW w:w="471"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台</w:t>
                  </w:r>
                </w:p>
              </w:tc>
              <w:tc>
                <w:tcPr>
                  <w:tcW w:w="420"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454"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786" w:type="pct"/>
                  <w:tcBorders>
                    <w:left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5" w:type="pct"/>
                  <w:tcBorders>
                    <w:top w:val="single" w:color="auto" w:sz="4" w:space="0"/>
                    <w:left w:val="single" w:color="auto" w:sz="4" w:space="0"/>
                    <w:bottom w:val="single" w:color="auto" w:sz="4" w:space="0"/>
                    <w:right w:val="single" w:color="auto" w:sz="4" w:space="0"/>
                  </w:tcBorders>
                  <w:vAlign w:val="center"/>
                </w:tcPr>
                <w:p>
                  <w:pPr>
                    <w:pStyle w:val="41"/>
                    <w:rPr>
                      <w:color w:val="auto"/>
                      <w:szCs w:val="21"/>
                      <w:highlight w:val="none"/>
                      <w:lang w:bidi="ar"/>
                    </w:rPr>
                  </w:pPr>
                  <w:r>
                    <w:rPr>
                      <w:rFonts w:hint="eastAsia"/>
                      <w:color w:val="auto"/>
                      <w:szCs w:val="21"/>
                      <w:highlight w:val="none"/>
                      <w:lang w:bidi="ar"/>
                    </w:rPr>
                    <w:t>3</w:t>
                  </w:r>
                </w:p>
              </w:tc>
              <w:tc>
                <w:tcPr>
                  <w:tcW w:w="952"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风机</w:t>
                  </w:r>
                </w:p>
              </w:tc>
              <w:tc>
                <w:tcPr>
                  <w:tcW w:w="1449"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恒康，50000</w:t>
                  </w:r>
                  <w:r>
                    <w:rPr>
                      <w:rFonts w:hint="eastAsia" w:cs="Times New Roman"/>
                      <w:i w:val="0"/>
                      <w:color w:val="auto"/>
                      <w:kern w:val="2"/>
                      <w:sz w:val="21"/>
                      <w:szCs w:val="21"/>
                      <w:highlight w:val="none"/>
                      <w:u w:val="none"/>
                      <w:lang w:val="en-US" w:eastAsia="zh-CN" w:bidi="ar"/>
                    </w:rPr>
                    <w:t>m³</w:t>
                  </w:r>
                  <w:r>
                    <w:rPr>
                      <w:rFonts w:hint="default" w:ascii="Times New Roman" w:hAnsi="Times New Roman" w:eastAsia="宋体" w:cs="Times New Roman"/>
                      <w:color w:val="auto"/>
                      <w:sz w:val="21"/>
                      <w:szCs w:val="21"/>
                      <w:highlight w:val="none"/>
                      <w:lang w:val="en-US" w:eastAsia="zh-CN" w:bidi="ar"/>
                    </w:rPr>
                    <w:t>/h，3600Pa，55KW</w:t>
                  </w:r>
                </w:p>
              </w:tc>
              <w:tc>
                <w:tcPr>
                  <w:tcW w:w="471"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台</w:t>
                  </w:r>
                </w:p>
              </w:tc>
              <w:tc>
                <w:tcPr>
                  <w:tcW w:w="420"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454"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786" w:type="pct"/>
                  <w:tcBorders>
                    <w:left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5" w:type="pct"/>
                  <w:tcBorders>
                    <w:top w:val="single" w:color="auto" w:sz="4" w:space="0"/>
                    <w:left w:val="single" w:color="auto" w:sz="4" w:space="0"/>
                    <w:bottom w:val="single" w:color="auto" w:sz="4" w:space="0"/>
                    <w:right w:val="single" w:color="auto" w:sz="4" w:space="0"/>
                  </w:tcBorders>
                  <w:vAlign w:val="center"/>
                </w:tcPr>
                <w:p>
                  <w:pPr>
                    <w:pStyle w:val="41"/>
                    <w:rPr>
                      <w:color w:val="auto"/>
                      <w:szCs w:val="21"/>
                      <w:highlight w:val="none"/>
                      <w:lang w:bidi="ar"/>
                    </w:rPr>
                  </w:pPr>
                  <w:r>
                    <w:rPr>
                      <w:rFonts w:hint="eastAsia"/>
                      <w:color w:val="auto"/>
                      <w:szCs w:val="21"/>
                      <w:highlight w:val="none"/>
                      <w:lang w:bidi="ar"/>
                    </w:rPr>
                    <w:t>4</w:t>
                  </w:r>
                </w:p>
              </w:tc>
              <w:tc>
                <w:tcPr>
                  <w:tcW w:w="952"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PLC控制柜</w:t>
                  </w:r>
                </w:p>
              </w:tc>
              <w:tc>
                <w:tcPr>
                  <w:tcW w:w="1449"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GK-55，55KW</w:t>
                  </w:r>
                </w:p>
              </w:tc>
              <w:tc>
                <w:tcPr>
                  <w:tcW w:w="471"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套</w:t>
                  </w:r>
                </w:p>
              </w:tc>
              <w:tc>
                <w:tcPr>
                  <w:tcW w:w="420"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454"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786" w:type="pct"/>
                  <w:tcBorders>
                    <w:left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5" w:type="pct"/>
                  <w:tcBorders>
                    <w:top w:val="single" w:color="auto" w:sz="4" w:space="0"/>
                    <w:left w:val="single" w:color="auto" w:sz="4" w:space="0"/>
                    <w:bottom w:val="single" w:color="auto" w:sz="4" w:space="0"/>
                    <w:right w:val="single" w:color="auto" w:sz="4" w:space="0"/>
                  </w:tcBorders>
                  <w:vAlign w:val="center"/>
                </w:tcPr>
                <w:p>
                  <w:pPr>
                    <w:pStyle w:val="41"/>
                    <w:rPr>
                      <w:color w:val="auto"/>
                      <w:szCs w:val="21"/>
                      <w:highlight w:val="none"/>
                      <w:lang w:bidi="ar"/>
                    </w:rPr>
                  </w:pPr>
                  <w:r>
                    <w:rPr>
                      <w:rFonts w:hint="eastAsia"/>
                      <w:color w:val="auto"/>
                      <w:szCs w:val="21"/>
                      <w:highlight w:val="none"/>
                      <w:lang w:bidi="ar"/>
                    </w:rPr>
                    <w:t>5</w:t>
                  </w:r>
                </w:p>
              </w:tc>
              <w:tc>
                <w:tcPr>
                  <w:tcW w:w="952"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隔墙板</w:t>
                  </w:r>
                </w:p>
              </w:tc>
              <w:tc>
                <w:tcPr>
                  <w:tcW w:w="1449"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7.5cm防火岩棉板，配单人通过小门和观察窗</w:t>
                  </w:r>
                </w:p>
              </w:tc>
              <w:tc>
                <w:tcPr>
                  <w:tcW w:w="471"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套</w:t>
                  </w:r>
                </w:p>
              </w:tc>
              <w:tc>
                <w:tcPr>
                  <w:tcW w:w="420"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454"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786" w:type="pct"/>
                  <w:tcBorders>
                    <w:left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5" w:type="pct"/>
                  <w:tcBorders>
                    <w:top w:val="single" w:color="auto" w:sz="4" w:space="0"/>
                    <w:left w:val="single" w:color="auto" w:sz="4" w:space="0"/>
                    <w:bottom w:val="single" w:color="auto" w:sz="4" w:space="0"/>
                    <w:right w:val="single" w:color="auto" w:sz="4" w:space="0"/>
                  </w:tcBorders>
                  <w:vAlign w:val="center"/>
                </w:tcPr>
                <w:p>
                  <w:pPr>
                    <w:pStyle w:val="41"/>
                    <w:rPr>
                      <w:color w:val="auto"/>
                      <w:szCs w:val="21"/>
                      <w:highlight w:val="none"/>
                      <w:lang w:bidi="ar"/>
                    </w:rPr>
                  </w:pPr>
                  <w:r>
                    <w:rPr>
                      <w:rFonts w:hint="eastAsia"/>
                      <w:color w:val="auto"/>
                      <w:szCs w:val="21"/>
                      <w:highlight w:val="none"/>
                      <w:lang w:bidi="ar"/>
                    </w:rPr>
                    <w:t>6</w:t>
                  </w:r>
                </w:p>
              </w:tc>
              <w:tc>
                <w:tcPr>
                  <w:tcW w:w="952"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喷砂罐</w:t>
                  </w:r>
                </w:p>
              </w:tc>
              <w:tc>
                <w:tcPr>
                  <w:tcW w:w="1449"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GK-P8，0.8m</w:t>
                  </w:r>
                  <w:r>
                    <w:rPr>
                      <w:rFonts w:hint="default" w:ascii="Times New Roman" w:hAnsi="Times New Roman" w:eastAsia="宋体" w:cs="Times New Roman"/>
                      <w:color w:val="auto"/>
                      <w:sz w:val="21"/>
                      <w:szCs w:val="21"/>
                      <w:highlight w:val="none"/>
                      <w:lang w:val="en-US" w:eastAsia="zh-CN" w:bidi="ar"/>
                    </w:rPr>
                    <w:t>³，900Kg，遥控+自动控制</w:t>
                  </w:r>
                </w:p>
              </w:tc>
              <w:tc>
                <w:tcPr>
                  <w:tcW w:w="471"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套</w:t>
                  </w:r>
                </w:p>
              </w:tc>
              <w:tc>
                <w:tcPr>
                  <w:tcW w:w="420"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454"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786" w:type="pct"/>
                  <w:tcBorders>
                    <w:left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5" w:type="pct"/>
                  <w:tcBorders>
                    <w:top w:val="single" w:color="auto" w:sz="4" w:space="0"/>
                    <w:left w:val="single" w:color="auto" w:sz="4" w:space="0"/>
                    <w:bottom w:val="single" w:color="auto" w:sz="4" w:space="0"/>
                    <w:right w:val="single" w:color="auto" w:sz="4" w:space="0"/>
                  </w:tcBorders>
                  <w:vAlign w:val="center"/>
                </w:tcPr>
                <w:p>
                  <w:pPr>
                    <w:pStyle w:val="41"/>
                    <w:rPr>
                      <w:color w:val="auto"/>
                      <w:szCs w:val="21"/>
                      <w:highlight w:val="none"/>
                      <w:lang w:bidi="ar"/>
                    </w:rPr>
                  </w:pPr>
                  <w:r>
                    <w:rPr>
                      <w:rFonts w:hint="eastAsia"/>
                      <w:color w:val="auto"/>
                      <w:szCs w:val="21"/>
                      <w:highlight w:val="none"/>
                      <w:lang w:bidi="ar"/>
                    </w:rPr>
                    <w:t>7</w:t>
                  </w:r>
                </w:p>
              </w:tc>
              <w:tc>
                <w:tcPr>
                  <w:tcW w:w="952"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预冷机</w:t>
                  </w:r>
                </w:p>
              </w:tc>
              <w:tc>
                <w:tcPr>
                  <w:tcW w:w="1449"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kern w:val="2"/>
                      <w:sz w:val="21"/>
                      <w:szCs w:val="21"/>
                      <w:highlight w:val="none"/>
                      <w:lang w:val="en-US" w:eastAsia="zh-CN" w:bidi="ar"/>
                    </w:rPr>
                    <w:t>SCYF-1200/5</w:t>
                  </w:r>
                </w:p>
              </w:tc>
              <w:tc>
                <w:tcPr>
                  <w:tcW w:w="471"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台</w:t>
                  </w:r>
                </w:p>
              </w:tc>
              <w:tc>
                <w:tcPr>
                  <w:tcW w:w="420"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454"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786" w:type="pct"/>
                  <w:tcBorders>
                    <w:left w:val="single" w:color="auto" w:sz="4" w:space="0"/>
                    <w:right w:val="single" w:color="auto" w:sz="4" w:space="0"/>
                  </w:tcBorders>
                  <w:vAlign w:val="center"/>
                </w:tcPr>
                <w:p>
                  <w:pPr>
                    <w:pStyle w:val="41"/>
                    <w:ind w:firstLine="0" w:firstLineChars="0"/>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5" w:type="pct"/>
                  <w:tcBorders>
                    <w:top w:val="single" w:color="auto" w:sz="4" w:space="0"/>
                    <w:left w:val="single" w:color="auto" w:sz="4" w:space="0"/>
                    <w:bottom w:val="single" w:color="auto" w:sz="4" w:space="0"/>
                    <w:right w:val="single" w:color="auto" w:sz="4" w:space="0"/>
                  </w:tcBorders>
                  <w:vAlign w:val="center"/>
                </w:tcPr>
                <w:p>
                  <w:pPr>
                    <w:pStyle w:val="41"/>
                    <w:rPr>
                      <w:color w:val="auto"/>
                      <w:szCs w:val="21"/>
                      <w:highlight w:val="none"/>
                      <w:lang w:bidi="ar"/>
                    </w:rPr>
                  </w:pPr>
                  <w:r>
                    <w:rPr>
                      <w:rFonts w:hint="eastAsia"/>
                      <w:color w:val="auto"/>
                      <w:szCs w:val="21"/>
                      <w:highlight w:val="none"/>
                      <w:lang w:bidi="ar"/>
                    </w:rPr>
                    <w:t>8</w:t>
                  </w:r>
                </w:p>
              </w:tc>
              <w:tc>
                <w:tcPr>
                  <w:tcW w:w="952"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照明系统维护</w:t>
                  </w:r>
                </w:p>
              </w:tc>
              <w:tc>
                <w:tcPr>
                  <w:tcW w:w="1449"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透明胶板防护，亮度300lux</w:t>
                  </w:r>
                </w:p>
              </w:tc>
              <w:tc>
                <w:tcPr>
                  <w:tcW w:w="471"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套</w:t>
                  </w:r>
                </w:p>
              </w:tc>
              <w:tc>
                <w:tcPr>
                  <w:tcW w:w="420"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454"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786" w:type="pct"/>
                  <w:tcBorders>
                    <w:left w:val="single" w:color="auto" w:sz="4" w:space="0"/>
                    <w:right w:val="single" w:color="auto" w:sz="4" w:space="0"/>
                  </w:tcBorders>
                  <w:vAlign w:val="center"/>
                </w:tcPr>
                <w:p>
                  <w:pPr>
                    <w:pStyle w:val="41"/>
                    <w:ind w:firstLine="0" w:firstLineChars="0"/>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5" w:type="pct"/>
                  <w:tcBorders>
                    <w:top w:val="single" w:color="auto" w:sz="4" w:space="0"/>
                    <w:left w:val="single" w:color="auto" w:sz="4" w:space="0"/>
                    <w:bottom w:val="single" w:color="auto" w:sz="4" w:space="0"/>
                    <w:right w:val="single" w:color="auto" w:sz="4" w:space="0"/>
                  </w:tcBorders>
                  <w:vAlign w:val="center"/>
                </w:tcPr>
                <w:p>
                  <w:pPr>
                    <w:pStyle w:val="41"/>
                    <w:rPr>
                      <w:color w:val="auto"/>
                      <w:szCs w:val="21"/>
                      <w:highlight w:val="none"/>
                      <w:lang w:bidi="ar"/>
                    </w:rPr>
                  </w:pPr>
                  <w:r>
                    <w:rPr>
                      <w:color w:val="auto"/>
                      <w:szCs w:val="21"/>
                      <w:highlight w:val="none"/>
                      <w:lang w:bidi="ar"/>
                    </w:rPr>
                    <w:t>9</w:t>
                  </w:r>
                </w:p>
              </w:tc>
              <w:tc>
                <w:tcPr>
                  <w:tcW w:w="952"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管道及管件</w:t>
                  </w:r>
                </w:p>
              </w:tc>
              <w:tc>
                <w:tcPr>
                  <w:tcW w:w="1449"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2mm碳钢</w:t>
                  </w:r>
                </w:p>
              </w:tc>
              <w:tc>
                <w:tcPr>
                  <w:tcW w:w="471"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批</w:t>
                  </w:r>
                </w:p>
              </w:tc>
              <w:tc>
                <w:tcPr>
                  <w:tcW w:w="420"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454"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786" w:type="pct"/>
                  <w:tcBorders>
                    <w:left w:val="single" w:color="auto" w:sz="4" w:space="0"/>
                    <w:right w:val="single" w:color="auto" w:sz="4" w:space="0"/>
                  </w:tcBorders>
                  <w:vAlign w:val="center"/>
                </w:tcPr>
                <w:p>
                  <w:pPr>
                    <w:pStyle w:val="41"/>
                    <w:ind w:firstLine="0" w:firstLineChars="0"/>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5" w:type="pct"/>
                  <w:tcBorders>
                    <w:top w:val="single" w:color="auto" w:sz="4" w:space="0"/>
                    <w:left w:val="single" w:color="auto" w:sz="4" w:space="0"/>
                    <w:bottom w:val="single" w:color="auto" w:sz="4" w:space="0"/>
                    <w:right w:val="single" w:color="auto" w:sz="4" w:space="0"/>
                  </w:tcBorders>
                  <w:vAlign w:val="center"/>
                </w:tcPr>
                <w:p>
                  <w:pPr>
                    <w:pStyle w:val="41"/>
                    <w:rPr>
                      <w:color w:val="auto"/>
                      <w:szCs w:val="21"/>
                      <w:highlight w:val="none"/>
                      <w:lang w:bidi="ar"/>
                    </w:rPr>
                  </w:pPr>
                  <w:r>
                    <w:rPr>
                      <w:color w:val="auto"/>
                      <w:szCs w:val="21"/>
                      <w:highlight w:val="none"/>
                      <w:lang w:bidi="ar"/>
                    </w:rPr>
                    <w:t>10</w:t>
                  </w:r>
                </w:p>
              </w:tc>
              <w:tc>
                <w:tcPr>
                  <w:tcW w:w="952"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吸风口</w:t>
                  </w:r>
                </w:p>
              </w:tc>
              <w:tc>
                <w:tcPr>
                  <w:tcW w:w="1449"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800mm*800mm</w:t>
                  </w:r>
                </w:p>
              </w:tc>
              <w:tc>
                <w:tcPr>
                  <w:tcW w:w="471"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个</w:t>
                  </w:r>
                </w:p>
              </w:tc>
              <w:tc>
                <w:tcPr>
                  <w:tcW w:w="420"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4</w:t>
                  </w:r>
                </w:p>
              </w:tc>
              <w:tc>
                <w:tcPr>
                  <w:tcW w:w="454"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4</w:t>
                  </w:r>
                </w:p>
              </w:tc>
              <w:tc>
                <w:tcPr>
                  <w:tcW w:w="786" w:type="pct"/>
                  <w:tcBorders>
                    <w:left w:val="single" w:color="auto" w:sz="4" w:space="0"/>
                    <w:right w:val="single" w:color="auto" w:sz="4" w:space="0"/>
                  </w:tcBorders>
                  <w:vAlign w:val="center"/>
                </w:tcPr>
                <w:p>
                  <w:pPr>
                    <w:pStyle w:val="41"/>
                    <w:ind w:firstLine="0" w:firstLineChars="0"/>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5" w:type="pct"/>
                  <w:tcBorders>
                    <w:top w:val="single" w:color="auto" w:sz="4" w:space="0"/>
                    <w:left w:val="single" w:color="auto" w:sz="4" w:space="0"/>
                    <w:bottom w:val="single" w:color="auto" w:sz="4" w:space="0"/>
                    <w:right w:val="single" w:color="auto" w:sz="4" w:space="0"/>
                  </w:tcBorders>
                  <w:vAlign w:val="center"/>
                </w:tcPr>
                <w:p>
                  <w:pPr>
                    <w:pStyle w:val="41"/>
                    <w:rPr>
                      <w:color w:val="auto"/>
                      <w:szCs w:val="21"/>
                      <w:highlight w:val="none"/>
                      <w:lang w:bidi="ar"/>
                    </w:rPr>
                  </w:pPr>
                  <w:r>
                    <w:rPr>
                      <w:color w:val="auto"/>
                      <w:szCs w:val="21"/>
                      <w:highlight w:val="none"/>
                      <w:lang w:bidi="ar"/>
                    </w:rPr>
                    <w:t>11</w:t>
                  </w:r>
                </w:p>
              </w:tc>
              <w:tc>
                <w:tcPr>
                  <w:tcW w:w="952"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地板</w:t>
                  </w:r>
                </w:p>
              </w:tc>
              <w:tc>
                <w:tcPr>
                  <w:tcW w:w="1449"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主房体4mm钢板，副房16mm钢板</w:t>
                  </w:r>
                </w:p>
              </w:tc>
              <w:tc>
                <w:tcPr>
                  <w:tcW w:w="471"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套</w:t>
                  </w:r>
                </w:p>
              </w:tc>
              <w:tc>
                <w:tcPr>
                  <w:tcW w:w="420"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454"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786" w:type="pct"/>
                  <w:tcBorders>
                    <w:left w:val="single" w:color="auto" w:sz="4" w:space="0"/>
                    <w:right w:val="single" w:color="auto" w:sz="4" w:space="0"/>
                  </w:tcBorders>
                  <w:vAlign w:val="center"/>
                </w:tcPr>
                <w:p>
                  <w:pPr>
                    <w:pStyle w:val="41"/>
                    <w:ind w:firstLine="0" w:firstLineChars="0"/>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5" w:type="pct"/>
                  <w:tcBorders>
                    <w:top w:val="single" w:color="auto" w:sz="4" w:space="0"/>
                    <w:left w:val="single" w:color="auto" w:sz="4" w:space="0"/>
                    <w:bottom w:val="single" w:color="auto" w:sz="4" w:space="0"/>
                    <w:right w:val="single" w:color="auto" w:sz="4" w:space="0"/>
                  </w:tcBorders>
                  <w:vAlign w:val="center"/>
                </w:tcPr>
                <w:p>
                  <w:pPr>
                    <w:pStyle w:val="41"/>
                    <w:rPr>
                      <w:color w:val="auto"/>
                      <w:szCs w:val="21"/>
                      <w:highlight w:val="none"/>
                      <w:lang w:bidi="ar"/>
                    </w:rPr>
                  </w:pPr>
                  <w:r>
                    <w:rPr>
                      <w:color w:val="auto"/>
                      <w:szCs w:val="21"/>
                      <w:highlight w:val="none"/>
                      <w:lang w:bidi="ar"/>
                    </w:rPr>
                    <w:t>12</w:t>
                  </w:r>
                </w:p>
              </w:tc>
              <w:tc>
                <w:tcPr>
                  <w:tcW w:w="952"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回砂系统</w:t>
                  </w:r>
                </w:p>
              </w:tc>
              <w:tc>
                <w:tcPr>
                  <w:tcW w:w="1449"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含漏斗、传送带，斗式提升机</w:t>
                  </w:r>
                </w:p>
              </w:tc>
              <w:tc>
                <w:tcPr>
                  <w:tcW w:w="471"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套</w:t>
                  </w:r>
                </w:p>
              </w:tc>
              <w:tc>
                <w:tcPr>
                  <w:tcW w:w="420"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454"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786" w:type="pct"/>
                  <w:tcBorders>
                    <w:left w:val="single" w:color="auto" w:sz="4" w:space="0"/>
                    <w:right w:val="single" w:color="auto" w:sz="4" w:space="0"/>
                  </w:tcBorders>
                  <w:vAlign w:val="center"/>
                </w:tcPr>
                <w:p>
                  <w:pPr>
                    <w:pStyle w:val="41"/>
                    <w:ind w:firstLine="0" w:firstLineChars="0"/>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5" w:type="pct"/>
                  <w:tcBorders>
                    <w:top w:val="single" w:color="auto" w:sz="4" w:space="0"/>
                    <w:left w:val="single" w:color="auto" w:sz="4" w:space="0"/>
                    <w:bottom w:val="single" w:color="auto" w:sz="4" w:space="0"/>
                    <w:right w:val="single" w:color="auto" w:sz="4" w:space="0"/>
                  </w:tcBorders>
                  <w:vAlign w:val="center"/>
                </w:tcPr>
                <w:p>
                  <w:pPr>
                    <w:pStyle w:val="41"/>
                    <w:rPr>
                      <w:color w:val="auto"/>
                      <w:szCs w:val="21"/>
                      <w:highlight w:val="none"/>
                      <w:lang w:bidi="ar"/>
                    </w:rPr>
                  </w:pPr>
                  <w:r>
                    <w:rPr>
                      <w:color w:val="auto"/>
                      <w:szCs w:val="21"/>
                      <w:highlight w:val="none"/>
                      <w:lang w:bidi="ar"/>
                    </w:rPr>
                    <w:t>13</w:t>
                  </w:r>
                </w:p>
              </w:tc>
              <w:tc>
                <w:tcPr>
                  <w:tcW w:w="952"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循环分离装置</w:t>
                  </w:r>
                </w:p>
              </w:tc>
              <w:tc>
                <w:tcPr>
                  <w:tcW w:w="1449"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含砂尘分离器、储砂斗、回收加料阀</w:t>
                  </w:r>
                </w:p>
              </w:tc>
              <w:tc>
                <w:tcPr>
                  <w:tcW w:w="471"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套</w:t>
                  </w:r>
                </w:p>
              </w:tc>
              <w:tc>
                <w:tcPr>
                  <w:tcW w:w="420"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454"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786" w:type="pct"/>
                  <w:tcBorders>
                    <w:left w:val="single" w:color="auto" w:sz="4" w:space="0"/>
                    <w:right w:val="single" w:color="auto" w:sz="4" w:space="0"/>
                  </w:tcBorders>
                  <w:vAlign w:val="center"/>
                </w:tcPr>
                <w:p>
                  <w:pPr>
                    <w:pStyle w:val="41"/>
                    <w:ind w:firstLine="0" w:firstLineChars="0"/>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5" w:type="pct"/>
                  <w:tcBorders>
                    <w:top w:val="single" w:color="auto" w:sz="4" w:space="0"/>
                    <w:left w:val="single" w:color="auto" w:sz="4" w:space="0"/>
                    <w:bottom w:val="single" w:color="auto" w:sz="4" w:space="0"/>
                    <w:right w:val="single" w:color="auto" w:sz="4" w:space="0"/>
                  </w:tcBorders>
                  <w:vAlign w:val="center"/>
                </w:tcPr>
                <w:p>
                  <w:pPr>
                    <w:pStyle w:val="41"/>
                    <w:rPr>
                      <w:color w:val="auto"/>
                      <w:szCs w:val="21"/>
                      <w:highlight w:val="none"/>
                      <w:lang w:bidi="ar"/>
                    </w:rPr>
                  </w:pPr>
                  <w:r>
                    <w:rPr>
                      <w:color w:val="auto"/>
                      <w:szCs w:val="21"/>
                      <w:highlight w:val="none"/>
                      <w:lang w:bidi="ar"/>
                    </w:rPr>
                    <w:t>14</w:t>
                  </w:r>
                </w:p>
              </w:tc>
              <w:tc>
                <w:tcPr>
                  <w:tcW w:w="952"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烟囱爬梯检测口检测平台</w:t>
                  </w:r>
                </w:p>
              </w:tc>
              <w:tc>
                <w:tcPr>
                  <w:tcW w:w="1449"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Φ900mm，22m，厚度4mm,配置简易防雨棚</w:t>
                  </w:r>
                </w:p>
              </w:tc>
              <w:tc>
                <w:tcPr>
                  <w:tcW w:w="471"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套</w:t>
                  </w:r>
                </w:p>
              </w:tc>
              <w:tc>
                <w:tcPr>
                  <w:tcW w:w="420"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454"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786" w:type="pct"/>
                  <w:tcBorders>
                    <w:left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5" w:type="pct"/>
                  <w:tcBorders>
                    <w:top w:val="single" w:color="auto" w:sz="4" w:space="0"/>
                    <w:left w:val="single" w:color="auto" w:sz="4" w:space="0"/>
                    <w:bottom w:val="single" w:color="auto" w:sz="4" w:space="0"/>
                    <w:right w:val="single" w:color="auto" w:sz="4" w:space="0"/>
                  </w:tcBorders>
                  <w:vAlign w:val="center"/>
                </w:tcPr>
                <w:p>
                  <w:pPr>
                    <w:pStyle w:val="41"/>
                    <w:rPr>
                      <w:color w:val="auto"/>
                      <w:szCs w:val="21"/>
                      <w:highlight w:val="none"/>
                      <w:lang w:bidi="ar"/>
                    </w:rPr>
                  </w:pPr>
                  <w:r>
                    <w:rPr>
                      <w:color w:val="auto"/>
                      <w:szCs w:val="21"/>
                      <w:highlight w:val="none"/>
                      <w:lang w:bidi="ar"/>
                    </w:rPr>
                    <w:t>15</w:t>
                  </w:r>
                </w:p>
              </w:tc>
              <w:tc>
                <w:tcPr>
                  <w:tcW w:w="952"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打砂供压管道</w:t>
                  </w:r>
                </w:p>
              </w:tc>
              <w:tc>
                <w:tcPr>
                  <w:tcW w:w="1449"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sz w:val="21"/>
                      <w:szCs w:val="21"/>
                      <w:highlight w:val="none"/>
                      <w:u w:val="none"/>
                      <w:lang w:val="en-US" w:eastAsia="zh-CN" w:bidi="ar"/>
                    </w:rPr>
                    <w:t>/</w:t>
                  </w:r>
                </w:p>
              </w:tc>
              <w:tc>
                <w:tcPr>
                  <w:tcW w:w="471"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套</w:t>
                  </w:r>
                </w:p>
              </w:tc>
              <w:tc>
                <w:tcPr>
                  <w:tcW w:w="420"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454"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786" w:type="pct"/>
                  <w:tcBorders>
                    <w:left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5" w:type="pct"/>
                  <w:tcBorders>
                    <w:top w:val="single" w:color="auto" w:sz="4" w:space="0"/>
                    <w:left w:val="single" w:color="auto" w:sz="4" w:space="0"/>
                    <w:bottom w:val="single" w:color="auto" w:sz="4" w:space="0"/>
                    <w:right w:val="single" w:color="auto" w:sz="4" w:space="0"/>
                  </w:tcBorders>
                  <w:vAlign w:val="center"/>
                </w:tcPr>
                <w:p>
                  <w:pPr>
                    <w:pStyle w:val="41"/>
                    <w:rPr>
                      <w:color w:val="auto"/>
                      <w:szCs w:val="21"/>
                      <w:highlight w:val="none"/>
                      <w:lang w:bidi="ar"/>
                    </w:rPr>
                  </w:pPr>
                  <w:r>
                    <w:rPr>
                      <w:color w:val="auto"/>
                      <w:szCs w:val="21"/>
                      <w:highlight w:val="none"/>
                      <w:lang w:bidi="ar"/>
                    </w:rPr>
                    <w:t>16</w:t>
                  </w:r>
                </w:p>
              </w:tc>
              <w:tc>
                <w:tcPr>
                  <w:tcW w:w="952"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手动调节风阀</w:t>
                  </w:r>
                </w:p>
              </w:tc>
              <w:tc>
                <w:tcPr>
                  <w:tcW w:w="1449"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sz w:val="21"/>
                      <w:szCs w:val="21"/>
                      <w:highlight w:val="none"/>
                      <w:u w:val="none"/>
                      <w:lang w:val="en-US" w:eastAsia="zh-CN" w:bidi="ar"/>
                    </w:rPr>
                    <w:t>Φ500mm</w:t>
                  </w:r>
                </w:p>
              </w:tc>
              <w:tc>
                <w:tcPr>
                  <w:tcW w:w="471"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个</w:t>
                  </w:r>
                </w:p>
              </w:tc>
              <w:tc>
                <w:tcPr>
                  <w:tcW w:w="420"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5</w:t>
                  </w:r>
                </w:p>
              </w:tc>
              <w:tc>
                <w:tcPr>
                  <w:tcW w:w="454"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5</w:t>
                  </w:r>
                </w:p>
              </w:tc>
              <w:tc>
                <w:tcPr>
                  <w:tcW w:w="786" w:type="pct"/>
                  <w:tcBorders>
                    <w:left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5" w:type="pct"/>
                  <w:tcBorders>
                    <w:top w:val="single" w:color="auto" w:sz="4" w:space="0"/>
                    <w:left w:val="single" w:color="auto" w:sz="4" w:space="0"/>
                    <w:bottom w:val="single" w:color="auto" w:sz="4" w:space="0"/>
                    <w:right w:val="single" w:color="auto" w:sz="4" w:space="0"/>
                  </w:tcBorders>
                  <w:vAlign w:val="center"/>
                </w:tcPr>
                <w:p>
                  <w:pPr>
                    <w:pStyle w:val="41"/>
                    <w:rPr>
                      <w:color w:val="auto"/>
                      <w:szCs w:val="21"/>
                      <w:highlight w:val="none"/>
                      <w:lang w:bidi="ar"/>
                    </w:rPr>
                  </w:pPr>
                  <w:r>
                    <w:rPr>
                      <w:color w:val="auto"/>
                      <w:szCs w:val="21"/>
                      <w:highlight w:val="none"/>
                      <w:lang w:bidi="ar"/>
                    </w:rPr>
                    <w:t>17</w:t>
                  </w:r>
                </w:p>
              </w:tc>
              <w:tc>
                <w:tcPr>
                  <w:tcW w:w="952"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打砂房内防护</w:t>
                  </w:r>
                </w:p>
              </w:tc>
              <w:tc>
                <w:tcPr>
                  <w:tcW w:w="1449"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采用3mm阻燃橡胶板，含整体框架</w:t>
                  </w:r>
                </w:p>
              </w:tc>
              <w:tc>
                <w:tcPr>
                  <w:tcW w:w="471" w:type="pct"/>
                  <w:tcBorders>
                    <w:top w:val="single" w:color="auto" w:sz="4" w:space="0"/>
                    <w:left w:val="single" w:color="auto" w:sz="4" w:space="0"/>
                    <w:bottom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i w:val="0"/>
                      <w:color w:val="auto"/>
                      <w:kern w:val="2"/>
                      <w:sz w:val="21"/>
                      <w:szCs w:val="21"/>
                      <w:highlight w:val="none"/>
                      <w:u w:val="none"/>
                      <w:lang w:val="en-US" w:eastAsia="zh-CN" w:bidi="ar"/>
                    </w:rPr>
                    <w:t>套</w:t>
                  </w:r>
                </w:p>
              </w:tc>
              <w:tc>
                <w:tcPr>
                  <w:tcW w:w="420"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454" w:type="pct"/>
                  <w:tcBorders>
                    <w:top w:val="single" w:color="auto" w:sz="4" w:space="0"/>
                    <w:left w:val="single" w:color="auto" w:sz="4" w:space="0"/>
                    <w:bottom w:val="single" w:color="auto" w:sz="4" w:space="0"/>
                    <w:right w:val="single" w:color="auto" w:sz="4" w:space="0"/>
                  </w:tcBorders>
                  <w:vAlign w:val="center"/>
                </w:tcPr>
                <w:p>
                  <w:pPr>
                    <w:pStyle w:val="41"/>
                    <w:rPr>
                      <w:rFonts w:hint="default" w:ascii="Times New Roman" w:hAnsi="Times New Roman" w:eastAsia="宋体" w:cs="Times New Roman"/>
                      <w:i w:val="0"/>
                      <w:color w:val="auto"/>
                      <w:kern w:val="2"/>
                      <w:sz w:val="21"/>
                      <w:szCs w:val="21"/>
                      <w:highlight w:val="none"/>
                      <w:u w:val="none"/>
                      <w:lang w:val="en-US" w:eastAsia="zh-CN" w:bidi="ar"/>
                    </w:rPr>
                  </w:pPr>
                  <w:r>
                    <w:rPr>
                      <w:rFonts w:hint="default" w:ascii="Times New Roman" w:hAnsi="Times New Roman" w:eastAsia="宋体" w:cs="Times New Roman"/>
                      <w:i w:val="0"/>
                      <w:color w:val="auto"/>
                      <w:kern w:val="2"/>
                      <w:sz w:val="21"/>
                      <w:szCs w:val="21"/>
                      <w:highlight w:val="none"/>
                      <w:u w:val="none"/>
                      <w:lang w:val="en-US" w:eastAsia="zh-CN" w:bidi="ar"/>
                    </w:rPr>
                    <w:t>1</w:t>
                  </w:r>
                </w:p>
              </w:tc>
              <w:tc>
                <w:tcPr>
                  <w:tcW w:w="786" w:type="pct"/>
                  <w:tcBorders>
                    <w:left w:val="single" w:color="auto" w:sz="4" w:space="0"/>
                    <w:right w:val="single" w:color="auto" w:sz="4" w:space="0"/>
                  </w:tcBorders>
                  <w:vAlign w:val="center"/>
                </w:tcPr>
                <w:p>
                  <w:pPr>
                    <w:pStyle w:val="41"/>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与环评一致</w:t>
                  </w:r>
                </w:p>
              </w:tc>
            </w:tr>
          </w:tbl>
          <w:p>
            <w:pPr>
              <w:ind w:firstLine="482"/>
              <w:jc w:val="center"/>
              <w:rPr>
                <w:b/>
                <w:bCs/>
                <w:color w:val="auto"/>
                <w:highlight w:val="none"/>
              </w:rPr>
            </w:pPr>
            <w:r>
              <w:rPr>
                <w:b/>
                <w:bCs/>
                <w:color w:val="auto"/>
                <w:highlight w:val="none"/>
              </w:rPr>
              <w:t>表2-</w:t>
            </w:r>
            <w:r>
              <w:rPr>
                <w:rFonts w:hint="eastAsia"/>
                <w:b/>
                <w:bCs/>
                <w:color w:val="auto"/>
                <w:highlight w:val="none"/>
              </w:rPr>
              <w:t>4</w:t>
            </w:r>
            <w:r>
              <w:rPr>
                <w:b/>
                <w:bCs/>
                <w:color w:val="auto"/>
                <w:highlight w:val="none"/>
              </w:rPr>
              <w:t xml:space="preserve">  本项目原辅材料使用一览表</w:t>
            </w:r>
          </w:p>
          <w:tbl>
            <w:tblPr>
              <w:tblStyle w:val="28"/>
              <w:tblW w:w="4997"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1143"/>
              <w:gridCol w:w="1833"/>
              <w:gridCol w:w="1071"/>
              <w:gridCol w:w="1525"/>
              <w:gridCol w:w="1664"/>
              <w:gridCol w:w="166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2" w:type="pct"/>
                  <w:tcBorders>
                    <w:right w:val="single" w:color="auto" w:sz="4" w:space="0"/>
                  </w:tcBorders>
                  <w:vAlign w:val="center"/>
                </w:tcPr>
                <w:p>
                  <w:pPr>
                    <w:pStyle w:val="41"/>
                    <w:rPr>
                      <w:b/>
                      <w:bCs/>
                      <w:color w:val="auto"/>
                      <w:szCs w:val="21"/>
                      <w:highlight w:val="none"/>
                    </w:rPr>
                  </w:pPr>
                  <w:r>
                    <w:rPr>
                      <w:rFonts w:hint="eastAsia"/>
                      <w:b/>
                      <w:bCs/>
                      <w:color w:val="auto"/>
                      <w:szCs w:val="21"/>
                      <w:highlight w:val="none"/>
                    </w:rPr>
                    <w:t>序号</w:t>
                  </w:r>
                </w:p>
              </w:tc>
              <w:tc>
                <w:tcPr>
                  <w:tcW w:w="1029" w:type="pct"/>
                  <w:tcBorders>
                    <w:left w:val="single" w:color="auto" w:sz="4" w:space="0"/>
                  </w:tcBorders>
                  <w:vAlign w:val="center"/>
                </w:tcPr>
                <w:p>
                  <w:pPr>
                    <w:pStyle w:val="41"/>
                    <w:rPr>
                      <w:b/>
                      <w:bCs/>
                      <w:color w:val="auto"/>
                      <w:szCs w:val="21"/>
                      <w:highlight w:val="none"/>
                    </w:rPr>
                  </w:pPr>
                  <w:r>
                    <w:rPr>
                      <w:b/>
                      <w:bCs/>
                      <w:color w:val="auto"/>
                      <w:szCs w:val="21"/>
                      <w:highlight w:val="none"/>
                    </w:rPr>
                    <w:t>原料名称</w:t>
                  </w:r>
                </w:p>
              </w:tc>
              <w:tc>
                <w:tcPr>
                  <w:tcW w:w="601" w:type="pct"/>
                  <w:vAlign w:val="center"/>
                </w:tcPr>
                <w:p>
                  <w:pPr>
                    <w:pStyle w:val="41"/>
                    <w:rPr>
                      <w:b/>
                      <w:bCs/>
                      <w:color w:val="auto"/>
                      <w:szCs w:val="21"/>
                      <w:highlight w:val="none"/>
                    </w:rPr>
                  </w:pPr>
                  <w:r>
                    <w:rPr>
                      <w:rFonts w:hint="eastAsia"/>
                      <w:b/>
                      <w:bCs/>
                      <w:color w:val="auto"/>
                      <w:szCs w:val="21"/>
                      <w:highlight w:val="none"/>
                    </w:rPr>
                    <w:t>单位</w:t>
                  </w:r>
                </w:p>
              </w:tc>
              <w:tc>
                <w:tcPr>
                  <w:tcW w:w="856" w:type="pct"/>
                  <w:tcBorders>
                    <w:right w:val="single" w:color="auto" w:sz="4" w:space="0"/>
                  </w:tcBorders>
                  <w:vAlign w:val="center"/>
                </w:tcPr>
                <w:p>
                  <w:pPr>
                    <w:pStyle w:val="41"/>
                    <w:rPr>
                      <w:b/>
                      <w:bCs/>
                      <w:color w:val="auto"/>
                      <w:szCs w:val="21"/>
                      <w:highlight w:val="none"/>
                    </w:rPr>
                  </w:pPr>
                  <w:r>
                    <w:rPr>
                      <w:b/>
                      <w:bCs/>
                      <w:color w:val="auto"/>
                      <w:szCs w:val="21"/>
                      <w:highlight w:val="none"/>
                    </w:rPr>
                    <w:t>环评年用量</w:t>
                  </w:r>
                </w:p>
              </w:tc>
              <w:tc>
                <w:tcPr>
                  <w:tcW w:w="934" w:type="pct"/>
                  <w:vAlign w:val="center"/>
                </w:tcPr>
                <w:p>
                  <w:pPr>
                    <w:pStyle w:val="41"/>
                    <w:ind w:firstLine="0" w:firstLineChars="0"/>
                    <w:rPr>
                      <w:rFonts w:hint="eastAsia" w:ascii="Times New Roman" w:hAnsi="Times New Roman" w:eastAsia="宋体" w:cs="Times New Roman"/>
                      <w:b/>
                      <w:bCs/>
                      <w:color w:val="auto"/>
                      <w:kern w:val="2"/>
                      <w:sz w:val="21"/>
                      <w:szCs w:val="21"/>
                      <w:highlight w:val="none"/>
                      <w:lang w:val="en-US" w:eastAsia="zh-CN" w:bidi="ar-SA"/>
                    </w:rPr>
                  </w:pPr>
                  <w:r>
                    <w:rPr>
                      <w:rFonts w:hint="eastAsia"/>
                      <w:b/>
                      <w:bCs/>
                      <w:color w:val="auto"/>
                      <w:szCs w:val="21"/>
                      <w:highlight w:val="none"/>
                      <w:lang w:val="en-US" w:eastAsia="zh-CN"/>
                    </w:rPr>
                    <w:t>实际年用量</w:t>
                  </w:r>
                </w:p>
              </w:tc>
              <w:tc>
                <w:tcPr>
                  <w:tcW w:w="936" w:type="pct"/>
                  <w:vAlign w:val="center"/>
                </w:tcPr>
                <w:p>
                  <w:pPr>
                    <w:pStyle w:val="41"/>
                    <w:ind w:firstLine="0" w:firstLineChars="0"/>
                    <w:rPr>
                      <w:rFonts w:ascii="Times New Roman" w:hAnsi="Times New Roman" w:eastAsia="宋体" w:cs="Times New Roman"/>
                      <w:b/>
                      <w:bCs/>
                      <w:color w:val="auto"/>
                      <w:kern w:val="2"/>
                      <w:sz w:val="21"/>
                      <w:szCs w:val="21"/>
                      <w:highlight w:val="none"/>
                      <w:lang w:val="en-US" w:eastAsia="zh-CN" w:bidi="ar-SA"/>
                    </w:rPr>
                  </w:pPr>
                  <w:r>
                    <w:rPr>
                      <w:b/>
                      <w:bCs/>
                      <w:color w:val="auto"/>
                      <w:szCs w:val="21"/>
                      <w:highlight w:val="none"/>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2" w:type="pct"/>
                  <w:tcBorders>
                    <w:right w:val="single" w:color="auto" w:sz="4" w:space="0"/>
                  </w:tcBorders>
                  <w:vAlign w:val="center"/>
                </w:tcPr>
                <w:p>
                  <w:pPr>
                    <w:pStyle w:val="41"/>
                    <w:rPr>
                      <w:color w:val="auto"/>
                      <w:szCs w:val="21"/>
                      <w:highlight w:val="none"/>
                      <w:lang w:bidi="ar"/>
                    </w:rPr>
                  </w:pPr>
                  <w:r>
                    <w:rPr>
                      <w:color w:val="auto"/>
                      <w:szCs w:val="21"/>
                      <w:highlight w:val="none"/>
                      <w:lang w:bidi="ar"/>
                    </w:rPr>
                    <w:t>1</w:t>
                  </w:r>
                </w:p>
              </w:tc>
              <w:tc>
                <w:tcPr>
                  <w:tcW w:w="1029" w:type="pct"/>
                  <w:tcBorders>
                    <w:left w:val="single" w:color="auto" w:sz="4" w:space="0"/>
                  </w:tcBorders>
                  <w:vAlign w:val="center"/>
                </w:tcPr>
                <w:p>
                  <w:pPr>
                    <w:pStyle w:val="71"/>
                    <w:shd w:val="clear"/>
                    <w:bidi w:val="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钢砂</w:t>
                  </w:r>
                </w:p>
              </w:tc>
              <w:tc>
                <w:tcPr>
                  <w:tcW w:w="601" w:type="pct"/>
                  <w:vAlign w:val="center"/>
                </w:tcPr>
                <w:p>
                  <w:pPr>
                    <w:pStyle w:val="41"/>
                    <w:rPr>
                      <w:color w:val="auto"/>
                      <w:szCs w:val="21"/>
                      <w:highlight w:val="none"/>
                      <w:lang w:bidi="ar"/>
                    </w:rPr>
                  </w:pPr>
                  <w:r>
                    <w:rPr>
                      <w:color w:val="auto"/>
                      <w:szCs w:val="21"/>
                      <w:highlight w:val="none"/>
                      <w:lang w:bidi="ar"/>
                    </w:rPr>
                    <w:t>t</w:t>
                  </w:r>
                </w:p>
              </w:tc>
              <w:tc>
                <w:tcPr>
                  <w:tcW w:w="856" w:type="pct"/>
                  <w:vAlign w:val="center"/>
                </w:tcPr>
                <w:p>
                  <w:pPr>
                    <w:pStyle w:val="41"/>
                    <w:rPr>
                      <w:color w:val="auto"/>
                      <w:szCs w:val="21"/>
                      <w:highlight w:val="none"/>
                      <w:lang w:bidi="ar"/>
                    </w:rPr>
                  </w:pPr>
                  <w:r>
                    <w:rPr>
                      <w:rFonts w:hint="eastAsia"/>
                      <w:color w:val="auto"/>
                      <w:szCs w:val="21"/>
                      <w:highlight w:val="none"/>
                      <w:lang w:val="en-US" w:eastAsia="zh-CN" w:bidi="ar"/>
                    </w:rPr>
                    <w:t>16</w:t>
                  </w:r>
                </w:p>
              </w:tc>
              <w:tc>
                <w:tcPr>
                  <w:tcW w:w="934" w:type="pct"/>
                  <w:vAlign w:val="center"/>
                </w:tcPr>
                <w:p>
                  <w:pPr>
                    <w:pStyle w:val="41"/>
                    <w:ind w:firstLine="0" w:firstLineChars="0"/>
                    <w:rPr>
                      <w:rFonts w:ascii="Times New Roman" w:hAnsi="Times New Roman" w:eastAsia="宋体" w:cs="Times New Roman"/>
                      <w:color w:val="auto"/>
                      <w:kern w:val="2"/>
                      <w:sz w:val="21"/>
                      <w:szCs w:val="21"/>
                      <w:highlight w:val="none"/>
                      <w:lang w:val="en-US" w:eastAsia="zh-CN" w:bidi="ar"/>
                    </w:rPr>
                  </w:pPr>
                  <w:r>
                    <w:rPr>
                      <w:rFonts w:hint="eastAsia"/>
                      <w:color w:val="auto"/>
                      <w:szCs w:val="21"/>
                      <w:highlight w:val="none"/>
                      <w:lang w:val="en-US" w:eastAsia="zh-CN" w:bidi="ar"/>
                    </w:rPr>
                    <w:t>16</w:t>
                  </w:r>
                </w:p>
              </w:tc>
              <w:tc>
                <w:tcPr>
                  <w:tcW w:w="936" w:type="pct"/>
                  <w:vAlign w:val="center"/>
                </w:tcPr>
                <w:p>
                  <w:pPr>
                    <w:pStyle w:val="41"/>
                    <w:ind w:firstLine="0" w:firstLineChars="0"/>
                    <w:rPr>
                      <w:rFonts w:ascii="Times New Roman" w:hAnsi="Times New Roman" w:eastAsia="宋体" w:cs="Times New Roman"/>
                      <w:color w:val="auto"/>
                      <w:kern w:val="2"/>
                      <w:sz w:val="21"/>
                      <w:szCs w:val="21"/>
                      <w:highlight w:val="none"/>
                      <w:lang w:val="en-US" w:eastAsia="zh-CN" w:bidi="ar"/>
                    </w:rPr>
                  </w:pPr>
                  <w:r>
                    <w:rPr>
                      <w:color w:val="auto"/>
                      <w:szCs w:val="21"/>
                      <w:highlight w:val="none"/>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642" w:type="pct"/>
                  <w:tcBorders>
                    <w:right w:val="single" w:color="auto" w:sz="4" w:space="0"/>
                  </w:tcBorders>
                  <w:vAlign w:val="center"/>
                </w:tcPr>
                <w:p>
                  <w:pPr>
                    <w:pStyle w:val="41"/>
                    <w:rPr>
                      <w:color w:val="auto"/>
                      <w:szCs w:val="21"/>
                      <w:highlight w:val="none"/>
                      <w:lang w:bidi="ar"/>
                    </w:rPr>
                  </w:pPr>
                  <w:r>
                    <w:rPr>
                      <w:color w:val="auto"/>
                      <w:szCs w:val="21"/>
                      <w:highlight w:val="none"/>
                      <w:lang w:bidi="ar"/>
                    </w:rPr>
                    <w:t>2</w:t>
                  </w:r>
                </w:p>
              </w:tc>
              <w:tc>
                <w:tcPr>
                  <w:tcW w:w="1029" w:type="pct"/>
                  <w:tcBorders>
                    <w:left w:val="single" w:color="auto" w:sz="4" w:space="0"/>
                  </w:tcBorders>
                  <w:vAlign w:val="center"/>
                </w:tcPr>
                <w:p>
                  <w:pPr>
                    <w:pStyle w:val="71"/>
                    <w:shd w:val="clear"/>
                    <w:bidi w:val="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滤芯</w:t>
                  </w:r>
                </w:p>
              </w:tc>
              <w:tc>
                <w:tcPr>
                  <w:tcW w:w="601" w:type="pct"/>
                  <w:vAlign w:val="center"/>
                </w:tcPr>
                <w:p>
                  <w:pPr>
                    <w:pStyle w:val="41"/>
                    <w:rPr>
                      <w:rFonts w:hint="eastAsia" w:eastAsia="宋体"/>
                      <w:color w:val="auto"/>
                      <w:szCs w:val="21"/>
                      <w:highlight w:val="none"/>
                      <w:lang w:eastAsia="zh-CN" w:bidi="ar"/>
                    </w:rPr>
                  </w:pPr>
                  <w:r>
                    <w:rPr>
                      <w:rFonts w:hint="eastAsia"/>
                      <w:color w:val="auto"/>
                      <w:szCs w:val="21"/>
                      <w:highlight w:val="none"/>
                      <w:lang w:eastAsia="zh-CN" w:bidi="ar"/>
                    </w:rPr>
                    <w:t>个</w:t>
                  </w:r>
                </w:p>
              </w:tc>
              <w:tc>
                <w:tcPr>
                  <w:tcW w:w="856" w:type="pct"/>
                  <w:vAlign w:val="center"/>
                </w:tcPr>
                <w:p>
                  <w:pPr>
                    <w:pStyle w:val="41"/>
                    <w:rPr>
                      <w:color w:val="auto"/>
                      <w:szCs w:val="21"/>
                      <w:highlight w:val="none"/>
                      <w:lang w:bidi="ar"/>
                    </w:rPr>
                  </w:pPr>
                  <w:r>
                    <w:rPr>
                      <w:rFonts w:hint="eastAsia"/>
                      <w:color w:val="auto"/>
                      <w:szCs w:val="21"/>
                      <w:highlight w:val="none"/>
                      <w:lang w:val="en-US" w:eastAsia="zh-CN" w:bidi="ar"/>
                    </w:rPr>
                    <w:t>48/8000h</w:t>
                  </w:r>
                </w:p>
              </w:tc>
              <w:tc>
                <w:tcPr>
                  <w:tcW w:w="934" w:type="pct"/>
                  <w:vAlign w:val="center"/>
                </w:tcPr>
                <w:p>
                  <w:pPr>
                    <w:pStyle w:val="41"/>
                    <w:ind w:firstLine="0" w:firstLineChars="0"/>
                    <w:rPr>
                      <w:rFonts w:ascii="Times New Roman" w:hAnsi="Times New Roman" w:eastAsia="宋体" w:cs="Times New Roman"/>
                      <w:color w:val="auto"/>
                      <w:kern w:val="2"/>
                      <w:sz w:val="21"/>
                      <w:szCs w:val="21"/>
                      <w:highlight w:val="none"/>
                      <w:lang w:val="en-US" w:eastAsia="zh-CN" w:bidi="ar"/>
                    </w:rPr>
                  </w:pPr>
                  <w:r>
                    <w:rPr>
                      <w:rFonts w:hint="eastAsia"/>
                      <w:color w:val="auto"/>
                      <w:szCs w:val="21"/>
                      <w:highlight w:val="none"/>
                      <w:lang w:val="en-US" w:eastAsia="zh-CN" w:bidi="ar"/>
                    </w:rPr>
                    <w:t>48/8000h</w:t>
                  </w:r>
                </w:p>
              </w:tc>
              <w:tc>
                <w:tcPr>
                  <w:tcW w:w="936" w:type="pct"/>
                  <w:vAlign w:val="center"/>
                </w:tcPr>
                <w:p>
                  <w:pPr>
                    <w:pStyle w:val="41"/>
                    <w:ind w:firstLine="0" w:firstLineChars="0"/>
                    <w:rPr>
                      <w:rFonts w:ascii="Times New Roman" w:hAnsi="Times New Roman" w:eastAsia="宋体" w:cs="Times New Roman"/>
                      <w:color w:val="auto"/>
                      <w:kern w:val="2"/>
                      <w:sz w:val="21"/>
                      <w:szCs w:val="21"/>
                      <w:highlight w:val="none"/>
                      <w:lang w:val="en-US" w:eastAsia="zh-CN" w:bidi="ar"/>
                    </w:rPr>
                  </w:pPr>
                  <w:r>
                    <w:rPr>
                      <w:color w:val="auto"/>
                      <w:szCs w:val="21"/>
                      <w:highlight w:val="none"/>
                    </w:rPr>
                    <w:t>与环评一致</w:t>
                  </w:r>
                </w:p>
              </w:tc>
            </w:tr>
          </w:tbl>
          <w:p>
            <w:pPr>
              <w:pStyle w:val="2"/>
              <w:ind w:firstLine="482"/>
              <w:rPr>
                <w:rFonts w:cs="Times New Roman"/>
                <w:b/>
                <w:bCs/>
                <w:color w:val="auto"/>
                <w:highlight w:val="none"/>
              </w:rPr>
            </w:pPr>
            <w:r>
              <w:rPr>
                <w:rFonts w:cs="Times New Roman"/>
                <w:b/>
                <w:bCs/>
                <w:color w:val="auto"/>
                <w:highlight w:val="none"/>
              </w:rPr>
              <w:t>2、公用工程</w:t>
            </w:r>
          </w:p>
          <w:p>
            <w:pPr>
              <w:adjustRightInd w:val="0"/>
              <w:snapToGrid w:val="0"/>
              <w:ind w:firstLine="480"/>
              <w:jc w:val="left"/>
              <w:rPr>
                <w:color w:val="auto"/>
                <w:spacing w:val="0"/>
                <w:highlight w:val="none"/>
              </w:rPr>
            </w:pPr>
            <w:r>
              <w:rPr>
                <w:rFonts w:hint="default"/>
                <w:color w:val="auto"/>
                <w:spacing w:val="0"/>
                <w:highlight w:val="none"/>
              </w:rPr>
              <w:t>（1）给水</w:t>
            </w:r>
          </w:p>
          <w:p>
            <w:pPr>
              <w:adjustRightInd w:val="0"/>
              <w:snapToGrid w:val="0"/>
              <w:ind w:firstLine="480"/>
              <w:jc w:val="left"/>
              <w:rPr>
                <w:rFonts w:hint="default"/>
                <w:color w:val="auto"/>
                <w:spacing w:val="0"/>
                <w:highlight w:val="none"/>
              </w:rPr>
            </w:pPr>
            <w:r>
              <w:rPr>
                <w:rFonts w:hint="default"/>
                <w:color w:val="auto"/>
                <w:spacing w:val="0"/>
                <w:highlight w:val="none"/>
              </w:rPr>
              <w:t>项目不涉及工艺用水，不新增员工，无新增生活用水。</w:t>
            </w:r>
          </w:p>
          <w:p>
            <w:pPr>
              <w:keepNext/>
              <w:adjustRightInd w:val="0"/>
              <w:snapToGrid w:val="0"/>
              <w:ind w:firstLine="480"/>
              <w:jc w:val="left"/>
              <w:rPr>
                <w:color w:val="auto"/>
                <w:highlight w:val="none"/>
              </w:rPr>
            </w:pPr>
            <w:r>
              <w:rPr>
                <w:rFonts w:hint="default"/>
                <w:color w:val="auto"/>
                <w:highlight w:val="none"/>
              </w:rPr>
              <w:t>（2）</w:t>
            </w:r>
            <w:r>
              <w:rPr>
                <w:color w:val="auto"/>
                <w:highlight w:val="none"/>
              </w:rPr>
              <w:t>排水</w:t>
            </w:r>
          </w:p>
          <w:p>
            <w:pPr>
              <w:adjustRightInd w:val="0"/>
              <w:snapToGrid w:val="0"/>
              <w:ind w:firstLine="480"/>
              <w:jc w:val="left"/>
              <w:rPr>
                <w:rFonts w:hint="default"/>
                <w:color w:val="auto"/>
                <w:spacing w:val="0"/>
                <w:highlight w:val="none"/>
              </w:rPr>
            </w:pPr>
            <w:r>
              <w:rPr>
                <w:rFonts w:hint="default"/>
                <w:color w:val="auto"/>
                <w:spacing w:val="0"/>
                <w:highlight w:val="none"/>
              </w:rPr>
              <w:t>项目打砂过程不需用水，无生产废水排放，员工内部调剂，不新增员工，不新增生活污水。</w:t>
            </w:r>
          </w:p>
          <w:p>
            <w:pPr>
              <w:numPr>
                <w:ilvl w:val="0"/>
                <w:numId w:val="2"/>
              </w:numPr>
              <w:ind w:firstLine="480"/>
              <w:jc w:val="left"/>
              <w:rPr>
                <w:color w:val="auto"/>
                <w:highlight w:val="none"/>
              </w:rPr>
            </w:pPr>
            <w:r>
              <w:rPr>
                <w:color w:val="auto"/>
                <w:highlight w:val="none"/>
              </w:rPr>
              <w:t>供电：</w:t>
            </w:r>
            <w:r>
              <w:rPr>
                <w:rFonts w:hint="eastAsia" w:ascii="Times New Roman" w:hAnsi="Times New Roman" w:eastAsia="宋体" w:cs="Times New Roman"/>
                <w:color w:val="auto"/>
                <w:highlight w:val="none"/>
                <w:lang w:eastAsia="zh-CN"/>
              </w:rPr>
              <w:t>项目</w:t>
            </w:r>
            <w:r>
              <w:rPr>
                <w:rFonts w:hint="default" w:ascii="Times New Roman" w:hAnsi="Times New Roman" w:eastAsia="宋体" w:cs="Times New Roman"/>
                <w:bCs/>
                <w:color w:val="auto"/>
                <w:sz w:val="24"/>
                <w:highlight w:val="none"/>
                <w:lang w:eastAsia="zh-CN"/>
              </w:rPr>
              <w:t>依托厂区内供电管网</w:t>
            </w:r>
            <w:r>
              <w:rPr>
                <w:color w:val="auto"/>
                <w:highlight w:val="none"/>
              </w:rPr>
              <w:t>。</w:t>
            </w:r>
          </w:p>
          <w:p>
            <w:pPr>
              <w:numPr>
                <w:ilvl w:val="0"/>
                <w:numId w:val="2"/>
              </w:numPr>
              <w:adjustRightInd w:val="0"/>
              <w:snapToGrid w:val="0"/>
              <w:ind w:firstLine="480"/>
              <w:rPr>
                <w:rFonts w:hint="eastAsia" w:ascii="Times New Roman" w:hAnsi="Times New Roman" w:eastAsia="宋体" w:cs="Times New Roman"/>
                <w:color w:val="auto"/>
                <w:highlight w:val="none"/>
              </w:rPr>
            </w:pPr>
            <w:r>
              <w:rPr>
                <w:color w:val="auto"/>
                <w:highlight w:val="none"/>
              </w:rPr>
              <w:t>供热：</w:t>
            </w:r>
            <w:r>
              <w:rPr>
                <w:rFonts w:hint="eastAsia" w:ascii="Times New Roman" w:hAnsi="Times New Roman" w:eastAsia="宋体" w:cs="Times New Roman"/>
                <w:color w:val="auto"/>
                <w:highlight w:val="none"/>
              </w:rPr>
              <w:t>项目打砂工艺不需要控温，无需供热，操作工人身穿打砂防护服，所以项目</w:t>
            </w:r>
            <w:r>
              <w:rPr>
                <w:rFonts w:hint="eastAsia" w:ascii="Times New Roman" w:hAnsi="Times New Roman" w:eastAsia="宋体" w:cs="Times New Roman"/>
                <w:color w:val="auto"/>
                <w:highlight w:val="none"/>
                <w:lang w:eastAsia="zh-CN"/>
              </w:rPr>
              <w:t>区域</w:t>
            </w:r>
            <w:r>
              <w:rPr>
                <w:rFonts w:hint="eastAsia" w:ascii="Times New Roman" w:hAnsi="Times New Roman" w:eastAsia="宋体" w:cs="Times New Roman"/>
                <w:color w:val="auto"/>
                <w:highlight w:val="none"/>
              </w:rPr>
              <w:t>内不设采暖设施，办公室冬季选用集中供暖，打砂时采用一台预冷机为工人提供呼吸气源。</w:t>
            </w:r>
          </w:p>
          <w:p>
            <w:pPr>
              <w:pStyle w:val="2"/>
              <w:spacing w:line="240" w:lineRule="auto"/>
              <w:ind w:firstLine="476" w:firstLineChars="0"/>
              <w:rPr>
                <w:rFonts w:cs="Times New Roman"/>
                <w:b/>
                <w:bCs/>
                <w:color w:val="auto"/>
                <w:spacing w:val="-1"/>
                <w:highlight w:val="none"/>
              </w:rPr>
            </w:pPr>
            <w:r>
              <w:rPr>
                <w:rFonts w:cs="Times New Roman"/>
                <w:b/>
                <w:bCs/>
                <w:color w:val="auto"/>
                <w:spacing w:val="-1"/>
                <w:highlight w:val="none"/>
              </w:rPr>
              <w:t>3、劳动定员及工作制度</w:t>
            </w:r>
          </w:p>
          <w:p>
            <w:pPr>
              <w:pStyle w:val="2"/>
              <w:rPr>
                <w:rFonts w:hint="eastAsia" w:cs="Times New Roman"/>
                <w:color w:val="auto"/>
                <w:szCs w:val="24"/>
                <w:highlight w:val="none"/>
              </w:rPr>
            </w:pPr>
            <w:r>
              <w:rPr>
                <w:rFonts w:hint="eastAsia" w:cs="Times New Roman"/>
                <w:color w:val="auto"/>
                <w:szCs w:val="24"/>
                <w:highlight w:val="none"/>
              </w:rPr>
              <w:t>项目员工进行内部调剂，从现有打砂房调配2名作业人员，不新增员工，实行单班白班制，每天工作8小时，年工作260天，夜间不运行。</w:t>
            </w:r>
          </w:p>
          <w:p>
            <w:pPr>
              <w:pStyle w:val="2"/>
              <w:ind w:firstLine="476" w:firstLineChars="0"/>
              <w:rPr>
                <w:rFonts w:cs="Times New Roman"/>
                <w:b/>
                <w:bCs/>
                <w:color w:val="auto"/>
                <w:spacing w:val="-1"/>
                <w:highlight w:val="none"/>
              </w:rPr>
            </w:pPr>
            <w:r>
              <w:rPr>
                <w:rFonts w:cs="Times New Roman"/>
                <w:b/>
                <w:bCs/>
                <w:color w:val="auto"/>
                <w:spacing w:val="-1"/>
                <w:highlight w:val="none"/>
              </w:rPr>
              <w:t>4、工程投资</w:t>
            </w:r>
          </w:p>
          <w:p>
            <w:pPr>
              <w:pStyle w:val="2"/>
              <w:ind w:firstLine="476"/>
              <w:rPr>
                <w:rFonts w:hint="eastAsia" w:eastAsia="宋体" w:cs="Times New Roman"/>
                <w:color w:val="auto"/>
                <w:spacing w:val="-1"/>
                <w:highlight w:val="none"/>
                <w:lang w:eastAsia="zh-CN"/>
              </w:rPr>
            </w:pPr>
            <w:r>
              <w:rPr>
                <w:rFonts w:cs="Times New Roman"/>
                <w:color w:val="auto"/>
                <w:spacing w:val="-1"/>
                <w:highlight w:val="none"/>
              </w:rPr>
              <w:t>本</w:t>
            </w:r>
            <w:r>
              <w:rPr>
                <w:rFonts w:hint="eastAsia" w:cs="Times New Roman"/>
                <w:color w:val="auto"/>
                <w:spacing w:val="-1"/>
                <w:highlight w:val="none"/>
                <w:lang w:eastAsia="zh-CN"/>
              </w:rPr>
              <w:t>项目总投资</w:t>
            </w:r>
            <w:r>
              <w:rPr>
                <w:rFonts w:hint="eastAsia" w:cs="Times New Roman"/>
                <w:color w:val="auto"/>
                <w:spacing w:val="-1"/>
                <w:highlight w:val="none"/>
                <w:lang w:val="en-US" w:eastAsia="zh-CN"/>
              </w:rPr>
              <w:t>84</w:t>
            </w:r>
            <w:r>
              <w:rPr>
                <w:rFonts w:hint="eastAsia" w:cs="Times New Roman"/>
                <w:color w:val="auto"/>
                <w:spacing w:val="-1"/>
                <w:highlight w:val="none"/>
                <w:lang w:eastAsia="zh-CN"/>
              </w:rPr>
              <w:t>万元，其中环保投资</w:t>
            </w:r>
            <w:r>
              <w:rPr>
                <w:rFonts w:hint="eastAsia" w:cs="Times New Roman"/>
                <w:color w:val="auto"/>
                <w:spacing w:val="-1"/>
                <w:highlight w:val="none"/>
                <w:lang w:val="en-US" w:eastAsia="zh-CN"/>
              </w:rPr>
              <w:t>45</w:t>
            </w:r>
            <w:r>
              <w:rPr>
                <w:rFonts w:hint="eastAsia" w:cs="Times New Roman"/>
                <w:color w:val="auto"/>
                <w:spacing w:val="-1"/>
                <w:highlight w:val="none"/>
                <w:lang w:eastAsia="zh-CN"/>
              </w:rPr>
              <w:t>万元，占总投资的</w:t>
            </w:r>
            <w:r>
              <w:rPr>
                <w:rFonts w:hint="eastAsia" w:cs="Times New Roman"/>
                <w:color w:val="auto"/>
                <w:spacing w:val="-1"/>
                <w:highlight w:val="none"/>
                <w:lang w:val="en-US" w:eastAsia="zh-CN"/>
              </w:rPr>
              <w:t>53.57</w:t>
            </w:r>
            <w:r>
              <w:rPr>
                <w:rFonts w:hint="eastAsia" w:cs="Times New Roman"/>
                <w:color w:val="auto"/>
                <w:spacing w:val="-1"/>
                <w:highlight w:val="none"/>
                <w:lang w:eastAsia="zh-CN"/>
              </w:rPr>
              <w:t>%。</w:t>
            </w:r>
          </w:p>
          <w:p>
            <w:pPr>
              <w:pStyle w:val="2"/>
              <w:ind w:firstLine="0" w:firstLineChars="0"/>
              <w:jc w:val="center"/>
              <w:rPr>
                <w:rFonts w:cs="Times New Roman"/>
                <w:b/>
                <w:bCs/>
              </w:rPr>
            </w:pPr>
            <w:r>
              <w:rPr>
                <w:rFonts w:cs="Times New Roman"/>
                <w:b/>
                <w:bCs/>
              </w:rPr>
              <w:t>表2-5  本项目环保投资情况一览表</w:t>
            </w:r>
          </w:p>
          <w:tbl>
            <w:tblPr>
              <w:tblStyle w:val="28"/>
              <w:tblW w:w="4997" w:type="pct"/>
              <w:jc w:val="center"/>
              <w:tblLayout w:type="autofit"/>
              <w:tblCellMar>
                <w:top w:w="0" w:type="dxa"/>
                <w:left w:w="108" w:type="dxa"/>
                <w:bottom w:w="0" w:type="dxa"/>
                <w:right w:w="108" w:type="dxa"/>
              </w:tblCellMar>
            </w:tblPr>
            <w:tblGrid>
              <w:gridCol w:w="1104"/>
              <w:gridCol w:w="1212"/>
              <w:gridCol w:w="4208"/>
              <w:gridCol w:w="1365"/>
              <w:gridCol w:w="1030"/>
            </w:tblGrid>
            <w:tr>
              <w:tblPrEx>
                <w:tblCellMar>
                  <w:top w:w="0" w:type="dxa"/>
                  <w:left w:w="108" w:type="dxa"/>
                  <w:bottom w:w="0" w:type="dxa"/>
                  <w:right w:w="108" w:type="dxa"/>
                </w:tblCellMar>
              </w:tblPrEx>
              <w:trPr>
                <w:trHeight w:val="369" w:hRule="atLeast"/>
                <w:jc w:val="center"/>
              </w:trPr>
              <w:tc>
                <w:tcPr>
                  <w:tcW w:w="619" w:type="pct"/>
                  <w:tcBorders>
                    <w:top w:val="single" w:color="auto" w:sz="4" w:space="0"/>
                    <w:left w:val="single" w:color="auto" w:sz="4" w:space="0"/>
                    <w:bottom w:val="single" w:color="auto" w:sz="4" w:space="0"/>
                    <w:right w:val="single" w:color="auto" w:sz="4" w:space="0"/>
                  </w:tcBorders>
                  <w:noWrap w:val="0"/>
                  <w:vAlign w:val="center"/>
                </w:tcPr>
                <w:p>
                  <w:pPr>
                    <w:pStyle w:val="41"/>
                    <w:rPr>
                      <w:rFonts w:ascii="Times New Roman" w:hAnsi="Times New Roman" w:eastAsia="宋体" w:cs="Times New Roman"/>
                      <w:b/>
                      <w:bCs/>
                      <w:color w:val="auto"/>
                      <w:szCs w:val="21"/>
                      <w:highlight w:val="none"/>
                      <w:lang w:bidi="ar"/>
                    </w:rPr>
                  </w:pPr>
                  <w:r>
                    <w:rPr>
                      <w:rFonts w:ascii="Times New Roman" w:hAnsi="Times New Roman" w:eastAsia="宋体" w:cs="Times New Roman"/>
                      <w:b/>
                      <w:bCs/>
                      <w:color w:val="auto"/>
                      <w:szCs w:val="21"/>
                      <w:highlight w:val="none"/>
                      <w:lang w:bidi="ar"/>
                    </w:rPr>
                    <w:t>污染类型</w:t>
                  </w:r>
                </w:p>
              </w:tc>
              <w:tc>
                <w:tcPr>
                  <w:tcW w:w="679" w:type="pct"/>
                  <w:tcBorders>
                    <w:top w:val="single" w:color="auto" w:sz="4" w:space="0"/>
                    <w:left w:val="nil"/>
                    <w:bottom w:val="single" w:color="auto" w:sz="4" w:space="0"/>
                    <w:right w:val="single" w:color="auto" w:sz="4" w:space="0"/>
                  </w:tcBorders>
                  <w:noWrap w:val="0"/>
                  <w:vAlign w:val="center"/>
                </w:tcPr>
                <w:p>
                  <w:pPr>
                    <w:pStyle w:val="41"/>
                    <w:rPr>
                      <w:rFonts w:ascii="Times New Roman" w:hAnsi="Times New Roman" w:eastAsia="宋体" w:cs="Times New Roman"/>
                      <w:b/>
                      <w:bCs/>
                      <w:color w:val="auto"/>
                      <w:szCs w:val="21"/>
                      <w:highlight w:val="none"/>
                      <w:lang w:bidi="ar"/>
                    </w:rPr>
                  </w:pPr>
                  <w:r>
                    <w:rPr>
                      <w:rFonts w:ascii="Times New Roman" w:hAnsi="Times New Roman" w:eastAsia="宋体" w:cs="Times New Roman"/>
                      <w:b/>
                      <w:bCs/>
                      <w:color w:val="auto"/>
                      <w:szCs w:val="21"/>
                      <w:highlight w:val="none"/>
                      <w:lang w:bidi="ar"/>
                    </w:rPr>
                    <w:t>污染源</w:t>
                  </w:r>
                </w:p>
              </w:tc>
              <w:tc>
                <w:tcPr>
                  <w:tcW w:w="2357" w:type="pct"/>
                  <w:tcBorders>
                    <w:top w:val="single" w:color="auto" w:sz="4" w:space="0"/>
                    <w:left w:val="nil"/>
                    <w:bottom w:val="single" w:color="auto" w:sz="4" w:space="0"/>
                    <w:right w:val="single" w:color="auto" w:sz="4" w:space="0"/>
                  </w:tcBorders>
                  <w:noWrap w:val="0"/>
                  <w:vAlign w:val="center"/>
                </w:tcPr>
                <w:p>
                  <w:pPr>
                    <w:pStyle w:val="41"/>
                    <w:rPr>
                      <w:rFonts w:ascii="Times New Roman" w:hAnsi="Times New Roman" w:eastAsia="宋体" w:cs="Times New Roman"/>
                      <w:b/>
                      <w:bCs/>
                      <w:color w:val="auto"/>
                      <w:szCs w:val="21"/>
                      <w:highlight w:val="none"/>
                      <w:lang w:bidi="ar"/>
                    </w:rPr>
                  </w:pPr>
                  <w:r>
                    <w:rPr>
                      <w:rFonts w:ascii="Times New Roman" w:hAnsi="Times New Roman" w:eastAsia="宋体" w:cs="Times New Roman"/>
                      <w:b/>
                      <w:bCs/>
                      <w:color w:val="auto"/>
                      <w:szCs w:val="21"/>
                      <w:highlight w:val="none"/>
                      <w:lang w:bidi="ar"/>
                    </w:rPr>
                    <w:t>环保措施</w:t>
                  </w:r>
                </w:p>
              </w:tc>
              <w:tc>
                <w:tcPr>
                  <w:tcW w:w="765" w:type="pct"/>
                  <w:tcBorders>
                    <w:top w:val="single" w:color="auto" w:sz="4" w:space="0"/>
                    <w:left w:val="nil"/>
                    <w:bottom w:val="single" w:color="auto" w:sz="4" w:space="0"/>
                    <w:right w:val="single" w:color="auto" w:sz="4" w:space="0"/>
                  </w:tcBorders>
                  <w:noWrap w:val="0"/>
                  <w:vAlign w:val="center"/>
                </w:tcPr>
                <w:p>
                  <w:pPr>
                    <w:pStyle w:val="41"/>
                    <w:rPr>
                      <w:rFonts w:ascii="Times New Roman" w:hAnsi="Times New Roman" w:eastAsia="宋体" w:cs="Times New Roman"/>
                      <w:b/>
                      <w:bCs/>
                      <w:color w:val="auto"/>
                      <w:szCs w:val="21"/>
                      <w:highlight w:val="none"/>
                      <w:lang w:bidi="ar"/>
                    </w:rPr>
                  </w:pPr>
                  <w:r>
                    <w:rPr>
                      <w:rFonts w:ascii="Times New Roman" w:hAnsi="Times New Roman" w:eastAsia="宋体" w:cs="Times New Roman"/>
                      <w:b/>
                      <w:bCs/>
                      <w:color w:val="auto"/>
                      <w:szCs w:val="21"/>
                      <w:highlight w:val="none"/>
                      <w:lang w:bidi="ar"/>
                    </w:rPr>
                    <w:t>投资费用（万元）</w:t>
                  </w:r>
                </w:p>
              </w:tc>
              <w:tc>
                <w:tcPr>
                  <w:tcW w:w="577" w:type="pct"/>
                  <w:tcBorders>
                    <w:top w:val="single" w:color="auto" w:sz="4" w:space="0"/>
                    <w:left w:val="nil"/>
                    <w:bottom w:val="single" w:color="auto" w:sz="4" w:space="0"/>
                    <w:right w:val="single" w:color="auto" w:sz="4" w:space="0"/>
                  </w:tcBorders>
                  <w:noWrap w:val="0"/>
                  <w:vAlign w:val="center"/>
                </w:tcPr>
                <w:p>
                  <w:pPr>
                    <w:pStyle w:val="41"/>
                    <w:rPr>
                      <w:rFonts w:ascii="Times New Roman" w:hAnsi="Times New Roman" w:eastAsia="宋体" w:cs="Times New Roman"/>
                      <w:b/>
                      <w:bCs/>
                      <w:color w:val="auto"/>
                      <w:szCs w:val="21"/>
                      <w:highlight w:val="none"/>
                      <w:lang w:bidi="ar"/>
                    </w:rPr>
                  </w:pPr>
                  <w:r>
                    <w:rPr>
                      <w:rFonts w:ascii="Times New Roman" w:hAnsi="Times New Roman" w:eastAsia="宋体" w:cs="Times New Roman"/>
                      <w:b/>
                      <w:bCs/>
                      <w:color w:val="auto"/>
                      <w:szCs w:val="21"/>
                      <w:highlight w:val="none"/>
                      <w:lang w:bidi="ar"/>
                    </w:rPr>
                    <w:t>环保落实情况</w:t>
                  </w:r>
                </w:p>
              </w:tc>
            </w:tr>
            <w:tr>
              <w:tblPrEx>
                <w:tblCellMar>
                  <w:top w:w="0" w:type="dxa"/>
                  <w:left w:w="108" w:type="dxa"/>
                  <w:bottom w:w="0" w:type="dxa"/>
                  <w:right w:w="108" w:type="dxa"/>
                </w:tblCellMar>
              </w:tblPrEx>
              <w:trPr>
                <w:trHeight w:val="369" w:hRule="atLeast"/>
                <w:jc w:val="center"/>
              </w:trPr>
              <w:tc>
                <w:tcPr>
                  <w:tcW w:w="619" w:type="pct"/>
                  <w:tcBorders>
                    <w:top w:val="nil"/>
                    <w:left w:val="single" w:color="auto" w:sz="4" w:space="0"/>
                    <w:right w:val="single" w:color="auto" w:sz="4" w:space="0"/>
                  </w:tcBorders>
                  <w:noWrap w:val="0"/>
                  <w:vAlign w:val="center"/>
                </w:tcPr>
                <w:p>
                  <w:pPr>
                    <w:pStyle w:val="41"/>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废气</w:t>
                  </w:r>
                </w:p>
              </w:tc>
              <w:tc>
                <w:tcPr>
                  <w:tcW w:w="679" w:type="pct"/>
                  <w:tcBorders>
                    <w:top w:val="single" w:color="auto" w:sz="4" w:space="0"/>
                    <w:left w:val="nil"/>
                    <w:right w:val="single" w:color="auto" w:sz="4" w:space="0"/>
                  </w:tcBorders>
                  <w:noWrap w:val="0"/>
                  <w:vAlign w:val="center"/>
                </w:tcPr>
                <w:p>
                  <w:pPr>
                    <w:pStyle w:val="41"/>
                    <w:rPr>
                      <w:rFonts w:ascii="Times New Roman" w:hAnsi="Times New Roman" w:eastAsia="宋体" w:cs="Times New Roman"/>
                      <w:color w:val="auto"/>
                      <w:szCs w:val="21"/>
                      <w:highlight w:val="none"/>
                      <w:lang w:bidi="ar"/>
                    </w:rPr>
                  </w:pPr>
                  <w:r>
                    <w:rPr>
                      <w:rFonts w:hint="eastAsia" w:cs="Times New Roman"/>
                      <w:color w:val="auto"/>
                      <w:szCs w:val="21"/>
                      <w:highlight w:val="none"/>
                      <w:lang w:eastAsia="zh-CN" w:bidi="ar"/>
                    </w:rPr>
                    <w:t>打砂房</w:t>
                  </w:r>
                </w:p>
              </w:tc>
              <w:tc>
                <w:tcPr>
                  <w:tcW w:w="2357" w:type="pct"/>
                  <w:tcBorders>
                    <w:top w:val="single" w:color="auto" w:sz="4" w:space="0"/>
                    <w:left w:val="nil"/>
                    <w:bottom w:val="single" w:color="auto" w:sz="4" w:space="0"/>
                    <w:right w:val="single" w:color="auto" w:sz="4" w:space="0"/>
                  </w:tcBorders>
                  <w:noWrap w:val="0"/>
                  <w:vAlign w:val="center"/>
                </w:tcPr>
                <w:p>
                  <w:pPr>
                    <w:pStyle w:val="41"/>
                    <w:rPr>
                      <w:rFonts w:ascii="Times New Roman" w:hAnsi="Times New Roman" w:eastAsia="宋体" w:cs="Times New Roman"/>
                      <w:color w:val="auto"/>
                      <w:szCs w:val="21"/>
                      <w:highlight w:val="none"/>
                      <w:lang w:bidi="ar"/>
                    </w:rPr>
                  </w:pPr>
                  <w:r>
                    <w:rPr>
                      <w:rFonts w:hint="eastAsia" w:ascii="Times New Roman" w:hAnsi="Times New Roman" w:eastAsia="宋体" w:cs="Times New Roman"/>
                      <w:color w:val="auto"/>
                      <w:szCs w:val="21"/>
                      <w:highlight w:val="none"/>
                      <w:lang w:bidi="ar"/>
                    </w:rPr>
                    <w:t>打砂废气经旋风分离器+滤筒除尘器处理后由一根22米高排气筒（DA035）排放</w:t>
                  </w:r>
                </w:p>
              </w:tc>
              <w:tc>
                <w:tcPr>
                  <w:tcW w:w="765" w:type="pct"/>
                  <w:tcBorders>
                    <w:top w:val="nil"/>
                    <w:left w:val="nil"/>
                    <w:right w:val="single" w:color="auto" w:sz="4" w:space="0"/>
                  </w:tcBorders>
                  <w:noWrap w:val="0"/>
                  <w:vAlign w:val="center"/>
                </w:tcPr>
                <w:p>
                  <w:pPr>
                    <w:pStyle w:val="41"/>
                    <w:ind w:firstLine="0" w:firstLineChars="0"/>
                    <w:rPr>
                      <w:rFonts w:ascii="Times New Roman" w:hAnsi="Times New Roman" w:eastAsia="宋体" w:cs="Times New Roman"/>
                      <w:color w:val="auto"/>
                      <w:szCs w:val="21"/>
                      <w:highlight w:val="none"/>
                      <w:lang w:bidi="ar"/>
                    </w:rPr>
                  </w:pPr>
                  <w:r>
                    <w:rPr>
                      <w:rFonts w:hint="eastAsia" w:cs="Times New Roman"/>
                      <w:color w:val="auto"/>
                      <w:szCs w:val="21"/>
                      <w:highlight w:val="none"/>
                      <w:lang w:val="en-US" w:eastAsia="zh-CN" w:bidi="ar"/>
                    </w:rPr>
                    <w:t>44</w:t>
                  </w:r>
                </w:p>
              </w:tc>
              <w:tc>
                <w:tcPr>
                  <w:tcW w:w="577" w:type="pct"/>
                  <w:tcBorders>
                    <w:top w:val="nil"/>
                    <w:left w:val="nil"/>
                    <w:right w:val="single" w:color="auto" w:sz="4" w:space="0"/>
                  </w:tcBorders>
                  <w:noWrap w:val="0"/>
                  <w:vAlign w:val="center"/>
                </w:tcPr>
                <w:p>
                  <w:pPr>
                    <w:pStyle w:val="41"/>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已落实</w:t>
                  </w:r>
                </w:p>
              </w:tc>
            </w:tr>
            <w:tr>
              <w:tblPrEx>
                <w:tblCellMar>
                  <w:top w:w="0" w:type="dxa"/>
                  <w:left w:w="108" w:type="dxa"/>
                  <w:bottom w:w="0" w:type="dxa"/>
                  <w:right w:w="108" w:type="dxa"/>
                </w:tblCellMar>
              </w:tblPrEx>
              <w:trPr>
                <w:trHeight w:val="369" w:hRule="atLeast"/>
                <w:jc w:val="center"/>
              </w:trPr>
              <w:tc>
                <w:tcPr>
                  <w:tcW w:w="619" w:type="pct"/>
                  <w:tcBorders>
                    <w:top w:val="single" w:color="auto" w:sz="4" w:space="0"/>
                    <w:left w:val="single" w:color="auto" w:sz="4" w:space="0"/>
                    <w:bottom w:val="single" w:color="auto" w:sz="4" w:space="0"/>
                    <w:right w:val="single" w:color="auto" w:sz="4" w:space="0"/>
                  </w:tcBorders>
                  <w:noWrap w:val="0"/>
                  <w:vAlign w:val="center"/>
                </w:tcPr>
                <w:p>
                  <w:pPr>
                    <w:pStyle w:val="41"/>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固体废物</w:t>
                  </w:r>
                </w:p>
              </w:tc>
              <w:tc>
                <w:tcPr>
                  <w:tcW w:w="679" w:type="pct"/>
                  <w:tcBorders>
                    <w:top w:val="single" w:color="auto" w:sz="4" w:space="0"/>
                    <w:left w:val="nil"/>
                    <w:bottom w:val="single" w:color="auto" w:sz="4" w:space="0"/>
                    <w:right w:val="single" w:color="auto" w:sz="4" w:space="0"/>
                  </w:tcBorders>
                  <w:noWrap w:val="0"/>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生产过程</w:t>
                  </w:r>
                </w:p>
              </w:tc>
              <w:tc>
                <w:tcPr>
                  <w:tcW w:w="2357" w:type="pct"/>
                  <w:tcBorders>
                    <w:top w:val="single" w:color="auto" w:sz="4" w:space="0"/>
                    <w:left w:val="nil"/>
                    <w:bottom w:val="single" w:color="auto" w:sz="4" w:space="0"/>
                    <w:right w:val="single" w:color="auto" w:sz="4" w:space="0"/>
                  </w:tcBorders>
                  <w:noWrap w:val="0"/>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厂区暂存，</w:t>
                  </w:r>
                  <w:r>
                    <w:rPr>
                      <w:rFonts w:hint="eastAsia" w:cs="Times New Roman"/>
                      <w:color w:val="auto"/>
                      <w:szCs w:val="21"/>
                      <w:highlight w:val="none"/>
                      <w:lang w:eastAsia="zh-CN" w:bidi="ar"/>
                    </w:rPr>
                    <w:t>集中</w:t>
                  </w:r>
                  <w:r>
                    <w:rPr>
                      <w:rFonts w:hint="default" w:ascii="Times New Roman" w:hAnsi="Times New Roman" w:eastAsia="宋体" w:cs="Times New Roman"/>
                      <w:color w:val="auto"/>
                      <w:szCs w:val="21"/>
                      <w:highlight w:val="none"/>
                      <w:lang w:bidi="ar"/>
                    </w:rPr>
                    <w:t>处置</w:t>
                  </w:r>
                </w:p>
              </w:tc>
              <w:tc>
                <w:tcPr>
                  <w:tcW w:w="765" w:type="pct"/>
                  <w:tcBorders>
                    <w:top w:val="single" w:color="auto" w:sz="4" w:space="0"/>
                    <w:left w:val="nil"/>
                    <w:bottom w:val="single" w:color="auto" w:sz="4" w:space="0"/>
                    <w:right w:val="single" w:color="auto" w:sz="4" w:space="0"/>
                  </w:tcBorders>
                  <w:noWrap w:val="0"/>
                  <w:vAlign w:val="center"/>
                </w:tcPr>
                <w:p>
                  <w:pPr>
                    <w:pStyle w:val="41"/>
                    <w:ind w:firstLine="0" w:firstLineChars="0"/>
                    <w:rPr>
                      <w:rFonts w:ascii="Times New Roman" w:hAnsi="Times New Roman" w:eastAsia="宋体" w:cs="Times New Roman"/>
                      <w:color w:val="auto"/>
                      <w:szCs w:val="21"/>
                      <w:highlight w:val="none"/>
                      <w:lang w:bidi="ar"/>
                    </w:rPr>
                  </w:pPr>
                  <w:r>
                    <w:rPr>
                      <w:rFonts w:hint="eastAsia" w:cs="Times New Roman"/>
                      <w:color w:val="auto"/>
                      <w:szCs w:val="21"/>
                      <w:highlight w:val="none"/>
                      <w:lang w:val="en-US" w:eastAsia="zh-CN" w:bidi="ar"/>
                    </w:rPr>
                    <w:t>/</w:t>
                  </w:r>
                </w:p>
              </w:tc>
              <w:tc>
                <w:tcPr>
                  <w:tcW w:w="577" w:type="pct"/>
                  <w:tcBorders>
                    <w:top w:val="single" w:color="auto" w:sz="4" w:space="0"/>
                    <w:left w:val="nil"/>
                    <w:bottom w:val="single" w:color="auto" w:sz="4" w:space="0"/>
                    <w:right w:val="single" w:color="auto" w:sz="4" w:space="0"/>
                  </w:tcBorders>
                  <w:noWrap w:val="0"/>
                  <w:vAlign w:val="center"/>
                </w:tcPr>
                <w:p>
                  <w:pPr>
                    <w:pStyle w:val="41"/>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已落实</w:t>
                  </w:r>
                </w:p>
              </w:tc>
            </w:tr>
            <w:tr>
              <w:tblPrEx>
                <w:tblCellMar>
                  <w:top w:w="0" w:type="dxa"/>
                  <w:left w:w="108" w:type="dxa"/>
                  <w:bottom w:w="0" w:type="dxa"/>
                  <w:right w:w="108" w:type="dxa"/>
                </w:tblCellMar>
              </w:tblPrEx>
              <w:trPr>
                <w:trHeight w:val="369" w:hRule="atLeast"/>
                <w:jc w:val="center"/>
              </w:trPr>
              <w:tc>
                <w:tcPr>
                  <w:tcW w:w="619" w:type="pct"/>
                  <w:tcBorders>
                    <w:top w:val="single" w:color="auto" w:sz="4" w:space="0"/>
                    <w:left w:val="single" w:color="auto" w:sz="4" w:space="0"/>
                    <w:bottom w:val="single" w:color="auto" w:sz="4" w:space="0"/>
                    <w:right w:val="single" w:color="auto" w:sz="4" w:space="0"/>
                  </w:tcBorders>
                  <w:noWrap w:val="0"/>
                  <w:vAlign w:val="center"/>
                </w:tcPr>
                <w:p>
                  <w:pPr>
                    <w:pStyle w:val="41"/>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噪声</w:t>
                  </w:r>
                </w:p>
              </w:tc>
              <w:tc>
                <w:tcPr>
                  <w:tcW w:w="679" w:type="pct"/>
                  <w:tcBorders>
                    <w:top w:val="single" w:color="auto" w:sz="4" w:space="0"/>
                    <w:left w:val="nil"/>
                    <w:bottom w:val="single" w:color="auto" w:sz="4" w:space="0"/>
                    <w:right w:val="single" w:color="auto" w:sz="4" w:space="0"/>
                  </w:tcBorders>
                  <w:noWrap w:val="0"/>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机械噪声</w:t>
                  </w:r>
                </w:p>
              </w:tc>
              <w:tc>
                <w:tcPr>
                  <w:tcW w:w="2357" w:type="pct"/>
                  <w:tcBorders>
                    <w:top w:val="single" w:color="auto" w:sz="4" w:space="0"/>
                    <w:left w:val="nil"/>
                    <w:bottom w:val="single" w:color="auto" w:sz="4" w:space="0"/>
                    <w:right w:val="single" w:color="auto" w:sz="4" w:space="0"/>
                  </w:tcBorders>
                  <w:noWrap w:val="0"/>
                  <w:vAlign w:val="center"/>
                </w:tcPr>
                <w:p>
                  <w:pPr>
                    <w:pStyle w:val="41"/>
                    <w:rPr>
                      <w:rFonts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加强管理，选用低噪声设备，隔声、减振等措施</w:t>
                  </w:r>
                </w:p>
              </w:tc>
              <w:tc>
                <w:tcPr>
                  <w:tcW w:w="765" w:type="pct"/>
                  <w:tcBorders>
                    <w:top w:val="single" w:color="auto" w:sz="4" w:space="0"/>
                    <w:left w:val="nil"/>
                    <w:bottom w:val="single" w:color="auto" w:sz="4" w:space="0"/>
                    <w:right w:val="single" w:color="auto" w:sz="4" w:space="0"/>
                  </w:tcBorders>
                  <w:noWrap w:val="0"/>
                  <w:vAlign w:val="center"/>
                </w:tcPr>
                <w:p>
                  <w:pPr>
                    <w:pStyle w:val="41"/>
                    <w:ind w:firstLine="0" w:firstLineChars="0"/>
                    <w:rPr>
                      <w:rFonts w:ascii="Times New Roman" w:hAnsi="Times New Roman" w:eastAsia="宋体" w:cs="Times New Roman"/>
                      <w:color w:val="auto"/>
                      <w:szCs w:val="21"/>
                      <w:highlight w:val="none"/>
                      <w:lang w:bidi="ar"/>
                    </w:rPr>
                  </w:pPr>
                  <w:r>
                    <w:rPr>
                      <w:rFonts w:hint="eastAsia" w:cs="Times New Roman"/>
                      <w:color w:val="auto"/>
                      <w:szCs w:val="21"/>
                      <w:highlight w:val="none"/>
                      <w:lang w:val="en-US" w:eastAsia="zh-CN" w:bidi="ar"/>
                    </w:rPr>
                    <w:t>1</w:t>
                  </w:r>
                </w:p>
              </w:tc>
              <w:tc>
                <w:tcPr>
                  <w:tcW w:w="577" w:type="pct"/>
                  <w:tcBorders>
                    <w:top w:val="single" w:color="auto" w:sz="4" w:space="0"/>
                    <w:left w:val="nil"/>
                    <w:bottom w:val="single" w:color="auto" w:sz="4" w:space="0"/>
                    <w:right w:val="single" w:color="auto" w:sz="4" w:space="0"/>
                  </w:tcBorders>
                  <w:noWrap w:val="0"/>
                  <w:vAlign w:val="center"/>
                </w:tcPr>
                <w:p>
                  <w:pPr>
                    <w:pStyle w:val="41"/>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已落实</w:t>
                  </w:r>
                </w:p>
              </w:tc>
            </w:tr>
            <w:tr>
              <w:tblPrEx>
                <w:tblCellMar>
                  <w:top w:w="0" w:type="dxa"/>
                  <w:left w:w="108" w:type="dxa"/>
                  <w:bottom w:w="0" w:type="dxa"/>
                  <w:right w:w="108" w:type="dxa"/>
                </w:tblCellMar>
              </w:tblPrEx>
              <w:trPr>
                <w:trHeight w:val="369" w:hRule="atLeast"/>
                <w:jc w:val="center"/>
              </w:trPr>
              <w:tc>
                <w:tcPr>
                  <w:tcW w:w="3656" w:type="pct"/>
                  <w:gridSpan w:val="3"/>
                  <w:tcBorders>
                    <w:top w:val="single" w:color="auto" w:sz="4" w:space="0"/>
                    <w:left w:val="single" w:color="auto" w:sz="4" w:space="0"/>
                    <w:bottom w:val="single" w:color="auto" w:sz="4" w:space="0"/>
                    <w:right w:val="single" w:color="auto" w:sz="4" w:space="0"/>
                  </w:tcBorders>
                  <w:noWrap w:val="0"/>
                  <w:vAlign w:val="center"/>
                </w:tcPr>
                <w:p>
                  <w:pPr>
                    <w:pStyle w:val="41"/>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合计</w:t>
                  </w:r>
                </w:p>
              </w:tc>
              <w:tc>
                <w:tcPr>
                  <w:tcW w:w="765" w:type="pct"/>
                  <w:tcBorders>
                    <w:top w:val="single" w:color="auto" w:sz="4" w:space="0"/>
                    <w:left w:val="nil"/>
                    <w:bottom w:val="single" w:color="auto" w:sz="4" w:space="0"/>
                    <w:right w:val="single" w:color="auto" w:sz="4" w:space="0"/>
                  </w:tcBorders>
                  <w:noWrap w:val="0"/>
                  <w:vAlign w:val="center"/>
                </w:tcPr>
                <w:p>
                  <w:pPr>
                    <w:pStyle w:val="41"/>
                    <w:ind w:firstLine="0" w:firstLineChars="0"/>
                    <w:rPr>
                      <w:rFonts w:hint="default" w:ascii="Times New Roman" w:hAnsi="Times New Roman" w:eastAsia="宋体" w:cs="Times New Roman"/>
                      <w:color w:val="auto"/>
                      <w:szCs w:val="21"/>
                      <w:highlight w:val="none"/>
                      <w:lang w:val="en-US" w:bidi="ar"/>
                    </w:rPr>
                  </w:pPr>
                  <w:r>
                    <w:rPr>
                      <w:rFonts w:hint="eastAsia" w:cs="Times New Roman"/>
                      <w:color w:val="auto"/>
                      <w:szCs w:val="21"/>
                      <w:highlight w:val="none"/>
                      <w:lang w:val="en-US" w:eastAsia="zh-CN" w:bidi="ar"/>
                    </w:rPr>
                    <w:t>45</w:t>
                  </w:r>
                </w:p>
              </w:tc>
              <w:tc>
                <w:tcPr>
                  <w:tcW w:w="577" w:type="pct"/>
                  <w:tcBorders>
                    <w:top w:val="single" w:color="auto" w:sz="4" w:space="0"/>
                    <w:left w:val="nil"/>
                    <w:bottom w:val="single" w:color="auto" w:sz="4" w:space="0"/>
                    <w:right w:val="single" w:color="auto" w:sz="4" w:space="0"/>
                  </w:tcBorders>
                  <w:noWrap w:val="0"/>
                  <w:vAlign w:val="center"/>
                </w:tcPr>
                <w:p>
                  <w:pPr>
                    <w:pStyle w:val="41"/>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已落实</w:t>
                  </w:r>
                </w:p>
              </w:tc>
            </w:tr>
          </w:tbl>
          <w:p>
            <w:pPr>
              <w:pStyle w:val="2"/>
              <w:ind w:firstLine="476" w:firstLineChars="0"/>
              <w:rPr>
                <w:rFonts w:cs="Times New Roman"/>
                <w:b/>
                <w:bCs/>
                <w:color w:val="auto"/>
                <w:spacing w:val="-1"/>
                <w:highlight w:val="none"/>
              </w:rPr>
            </w:pPr>
            <w:r>
              <w:rPr>
                <w:rFonts w:cs="Times New Roman"/>
                <w:b/>
                <w:bCs/>
                <w:color w:val="auto"/>
                <w:spacing w:val="-1"/>
                <w:highlight w:val="none"/>
              </w:rPr>
              <w:t>5、项目平面布置及环境保护目标</w:t>
            </w:r>
          </w:p>
          <w:p>
            <w:pPr>
              <w:pStyle w:val="2"/>
              <w:ind w:firstLine="476"/>
              <w:jc w:val="both"/>
              <w:rPr>
                <w:rFonts w:cs="Times New Roman"/>
                <w:color w:val="auto"/>
                <w:spacing w:val="-1"/>
                <w:highlight w:val="none"/>
              </w:rPr>
            </w:pPr>
            <w:r>
              <w:rPr>
                <w:rFonts w:cs="Times New Roman"/>
                <w:color w:val="auto"/>
                <w:spacing w:val="-1"/>
                <w:highlight w:val="none"/>
              </w:rPr>
              <w:t>本</w:t>
            </w:r>
            <w:r>
              <w:rPr>
                <w:rFonts w:cs="Times New Roman"/>
                <w:color w:val="auto"/>
                <w:szCs w:val="24"/>
                <w:highlight w:val="none"/>
              </w:rPr>
              <w:t>项目位于</w:t>
            </w:r>
            <w:r>
              <w:rPr>
                <w:rFonts w:hint="eastAsia" w:cs="Times New Roman"/>
                <w:color w:val="auto"/>
                <w:szCs w:val="24"/>
                <w:highlight w:val="none"/>
                <w:lang w:eastAsia="zh-CN"/>
              </w:rPr>
              <w:t>济南市槐荫区槐村街73号，中车山东机车车辆有限公司厂区内</w:t>
            </w:r>
            <w:r>
              <w:rPr>
                <w:rFonts w:cs="Times New Roman"/>
                <w:color w:val="auto"/>
                <w:szCs w:val="24"/>
                <w:highlight w:val="none"/>
              </w:rPr>
              <w:t>。项目</w:t>
            </w:r>
            <w:r>
              <w:rPr>
                <w:rFonts w:hint="eastAsia" w:cs="Times New Roman"/>
                <w:color w:val="auto"/>
                <w:szCs w:val="24"/>
                <w:highlight w:val="none"/>
              </w:rPr>
              <w:t>车间内</w:t>
            </w:r>
            <w:r>
              <w:rPr>
                <w:rFonts w:cs="Times New Roman"/>
                <w:color w:val="auto"/>
                <w:szCs w:val="24"/>
                <w:highlight w:val="none"/>
              </w:rPr>
              <w:t>分区明确，总平面布置较好的满足了人员流动的顺畅性，方便</w:t>
            </w:r>
            <w:r>
              <w:rPr>
                <w:rFonts w:hint="eastAsia" w:cs="Times New Roman"/>
                <w:color w:val="auto"/>
                <w:szCs w:val="24"/>
                <w:highlight w:val="none"/>
              </w:rPr>
              <w:t>生产、</w:t>
            </w:r>
            <w:r>
              <w:rPr>
                <w:rFonts w:cs="Times New Roman"/>
                <w:color w:val="auto"/>
                <w:szCs w:val="24"/>
                <w:highlight w:val="none"/>
              </w:rPr>
              <w:t>活动。</w:t>
            </w:r>
            <w:r>
              <w:rPr>
                <w:rFonts w:cs="Times New Roman"/>
                <w:bCs/>
                <w:color w:val="auto"/>
                <w:szCs w:val="21"/>
                <w:highlight w:val="none"/>
              </w:rPr>
              <w:t>项目所在区域范围内</w:t>
            </w:r>
            <w:r>
              <w:rPr>
                <w:rFonts w:cs="Times New Roman"/>
                <w:color w:val="auto"/>
                <w:szCs w:val="24"/>
                <w:highlight w:val="none"/>
              </w:rPr>
              <w:t>无自然保护区、风景名胜区、国家重点保护文物或历史文化保护地，也无社会关注的具有历史、科学、民族、文化意义的保护地</w:t>
            </w:r>
            <w:r>
              <w:rPr>
                <w:rFonts w:cs="Times New Roman"/>
                <w:color w:val="auto"/>
                <w:highlight w:val="none"/>
              </w:rPr>
              <w:t>。</w:t>
            </w:r>
          </w:p>
          <w:p>
            <w:pPr>
              <w:pStyle w:val="2"/>
              <w:ind w:firstLine="476"/>
              <w:rPr>
                <w:rFonts w:cs="Times New Roman"/>
                <w:color w:val="auto"/>
                <w:spacing w:val="-1"/>
                <w:highlight w:val="none"/>
              </w:rPr>
            </w:pPr>
            <w:r>
              <w:rPr>
                <w:rFonts w:cs="Times New Roman"/>
                <w:color w:val="auto"/>
                <w:spacing w:val="-1"/>
                <w:highlight w:val="none"/>
              </w:rPr>
              <w:t>项目地理位置见附图1，本项目周边敏感目标分布图见附图2，厂区总平面布置图见附图3。</w:t>
            </w:r>
          </w:p>
          <w:p>
            <w:pPr>
              <w:pStyle w:val="2"/>
              <w:ind w:firstLine="0" w:firstLineChars="0"/>
              <w:jc w:val="center"/>
              <w:rPr>
                <w:rFonts w:cs="Times New Roman"/>
                <w:b/>
                <w:bCs/>
                <w:color w:val="auto"/>
                <w:highlight w:val="none"/>
              </w:rPr>
            </w:pPr>
            <w:r>
              <w:rPr>
                <w:rFonts w:cs="Times New Roman"/>
                <w:b/>
                <w:bCs/>
                <w:color w:val="auto"/>
                <w:highlight w:val="none"/>
              </w:rPr>
              <w:t>表2-</w:t>
            </w:r>
            <w:r>
              <w:rPr>
                <w:rFonts w:hint="eastAsia" w:cs="Times New Roman"/>
                <w:b/>
                <w:bCs/>
                <w:color w:val="auto"/>
                <w:highlight w:val="none"/>
                <w:lang w:val="en-US" w:eastAsia="zh-CN"/>
              </w:rPr>
              <w:t>6</w:t>
            </w:r>
            <w:r>
              <w:rPr>
                <w:rFonts w:cs="Times New Roman"/>
                <w:b/>
                <w:bCs/>
                <w:color w:val="auto"/>
                <w:highlight w:val="none"/>
              </w:rPr>
              <w:t xml:space="preserve">  本项目主要环境保护目标一览表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1800"/>
              <w:gridCol w:w="1201"/>
              <w:gridCol w:w="1248"/>
              <w:gridCol w:w="1183"/>
              <w:gridCol w:w="2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
                      <w:bCs w:val="0"/>
                      <w:color w:val="auto"/>
                      <w:spacing w:val="0"/>
                      <w:kern w:val="2"/>
                      <w:sz w:val="21"/>
                      <w:szCs w:val="21"/>
                      <w:highlight w:val="none"/>
                    </w:rPr>
                  </w:pPr>
                  <w:r>
                    <w:rPr>
                      <w:rFonts w:hint="eastAsia" w:ascii="Times New Roman" w:hAnsi="Times New Roman" w:eastAsia="宋体" w:cs="宋体"/>
                      <w:b/>
                      <w:bCs w:val="0"/>
                      <w:color w:val="auto"/>
                      <w:spacing w:val="0"/>
                      <w:kern w:val="2"/>
                      <w:sz w:val="21"/>
                      <w:szCs w:val="21"/>
                      <w:highlight w:val="none"/>
                    </w:rPr>
                    <w:t>环境类别</w:t>
                  </w:r>
                </w:p>
              </w:tc>
              <w:tc>
                <w:tcPr>
                  <w:tcW w:w="1010"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
                      <w:bCs w:val="0"/>
                      <w:color w:val="auto"/>
                      <w:spacing w:val="0"/>
                      <w:kern w:val="2"/>
                      <w:sz w:val="21"/>
                      <w:szCs w:val="21"/>
                      <w:highlight w:val="none"/>
                    </w:rPr>
                  </w:pPr>
                  <w:r>
                    <w:rPr>
                      <w:rFonts w:hint="eastAsia" w:ascii="Times New Roman" w:hAnsi="Times New Roman" w:eastAsia="宋体" w:cs="宋体"/>
                      <w:b/>
                      <w:bCs w:val="0"/>
                      <w:color w:val="auto"/>
                      <w:spacing w:val="0"/>
                      <w:kern w:val="2"/>
                      <w:sz w:val="21"/>
                      <w:szCs w:val="21"/>
                      <w:highlight w:val="none"/>
                    </w:rPr>
                    <w:t>保护目标</w:t>
                  </w:r>
                </w:p>
              </w:tc>
              <w:tc>
                <w:tcPr>
                  <w:tcW w:w="674"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
                      <w:bCs w:val="0"/>
                      <w:color w:val="auto"/>
                      <w:spacing w:val="0"/>
                      <w:kern w:val="2"/>
                      <w:sz w:val="21"/>
                      <w:szCs w:val="21"/>
                      <w:highlight w:val="none"/>
                    </w:rPr>
                  </w:pPr>
                  <w:r>
                    <w:rPr>
                      <w:rFonts w:hint="eastAsia" w:ascii="Times New Roman" w:hAnsi="Times New Roman" w:eastAsia="宋体" w:cs="宋体"/>
                      <w:b/>
                      <w:bCs w:val="0"/>
                      <w:color w:val="auto"/>
                      <w:spacing w:val="0"/>
                      <w:kern w:val="2"/>
                      <w:sz w:val="21"/>
                      <w:szCs w:val="21"/>
                      <w:highlight w:val="none"/>
                    </w:rPr>
                    <w:t>相对方位</w:t>
                  </w:r>
                </w:p>
              </w:tc>
              <w:tc>
                <w:tcPr>
                  <w:tcW w:w="700" w:type="pct"/>
                  <w:tcBorders>
                    <w:top w:val="single" w:color="auto" w:sz="4" w:space="0"/>
                    <w:left w:val="single" w:color="auto" w:sz="4" w:space="0"/>
                    <w:bottom w:val="single" w:color="auto" w:sz="4" w:space="0"/>
                    <w:right w:val="single" w:color="000000" w:sz="2" w:space="0"/>
                  </w:tcBorders>
                  <w:noWrap w:val="0"/>
                  <w:vAlign w:val="center"/>
                </w:tcPr>
                <w:p>
                  <w:pPr>
                    <w:pStyle w:val="51"/>
                    <w:spacing w:line="240" w:lineRule="auto"/>
                    <w:ind w:firstLine="0" w:firstLineChars="0"/>
                    <w:jc w:val="center"/>
                    <w:rPr>
                      <w:rFonts w:hint="eastAsia" w:ascii="Times New Roman" w:hAnsi="Times New Roman" w:eastAsia="宋体" w:cs="宋体"/>
                      <w:b/>
                      <w:bCs w:val="0"/>
                      <w:color w:val="auto"/>
                      <w:spacing w:val="0"/>
                      <w:kern w:val="2"/>
                      <w:sz w:val="21"/>
                      <w:szCs w:val="21"/>
                      <w:highlight w:val="none"/>
                      <w:lang w:eastAsia="zh-CN"/>
                    </w:rPr>
                  </w:pPr>
                  <w:r>
                    <w:rPr>
                      <w:rFonts w:hint="eastAsia" w:ascii="Times New Roman" w:hAnsi="Times New Roman" w:eastAsia="宋体" w:cs="宋体"/>
                      <w:b/>
                      <w:bCs w:val="0"/>
                      <w:color w:val="auto"/>
                      <w:spacing w:val="0"/>
                      <w:kern w:val="2"/>
                      <w:sz w:val="21"/>
                      <w:szCs w:val="21"/>
                      <w:highlight w:val="none"/>
                      <w:lang w:eastAsia="zh-CN"/>
                    </w:rPr>
                    <w:t>项目</w:t>
                  </w:r>
                  <w:r>
                    <w:rPr>
                      <w:rFonts w:hint="eastAsia" w:ascii="Times New Roman" w:hAnsi="Times New Roman" w:eastAsia="宋体" w:cs="宋体"/>
                      <w:b/>
                      <w:bCs w:val="0"/>
                      <w:color w:val="auto"/>
                      <w:spacing w:val="0"/>
                      <w:kern w:val="2"/>
                      <w:sz w:val="21"/>
                      <w:szCs w:val="21"/>
                      <w:highlight w:val="none"/>
                    </w:rPr>
                    <w:t>相对距离</w:t>
                  </w:r>
                  <w:r>
                    <w:rPr>
                      <w:rFonts w:hint="eastAsia" w:ascii="Times New Roman" w:hAnsi="Times New Roman" w:eastAsia="宋体" w:cs="宋体"/>
                      <w:b/>
                      <w:bCs w:val="0"/>
                      <w:color w:val="auto"/>
                      <w:spacing w:val="0"/>
                      <w:kern w:val="2"/>
                      <w:sz w:val="21"/>
                      <w:szCs w:val="21"/>
                      <w:highlight w:val="none"/>
                      <w:lang w:val="en-US" w:eastAsia="zh-CN"/>
                    </w:rPr>
                    <w:t>（m）</w:t>
                  </w:r>
                </w:p>
              </w:tc>
              <w:tc>
                <w:tcPr>
                  <w:tcW w:w="662" w:type="pct"/>
                  <w:tcBorders>
                    <w:top w:val="single" w:color="auto" w:sz="4" w:space="0"/>
                    <w:left w:val="single" w:color="000000" w:sz="2"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
                      <w:bCs w:val="0"/>
                      <w:color w:val="auto"/>
                      <w:spacing w:val="0"/>
                      <w:kern w:val="2"/>
                      <w:sz w:val="21"/>
                      <w:szCs w:val="21"/>
                      <w:highlight w:val="none"/>
                      <w:lang w:eastAsia="zh-CN"/>
                    </w:rPr>
                  </w:pPr>
                  <w:r>
                    <w:rPr>
                      <w:rFonts w:hint="eastAsia" w:ascii="Times New Roman" w:hAnsi="Times New Roman" w:eastAsia="宋体" w:cs="宋体"/>
                      <w:b/>
                      <w:bCs w:val="0"/>
                      <w:color w:val="auto"/>
                      <w:spacing w:val="0"/>
                      <w:kern w:val="2"/>
                      <w:sz w:val="21"/>
                      <w:szCs w:val="21"/>
                      <w:highlight w:val="none"/>
                      <w:lang w:eastAsia="zh-CN"/>
                    </w:rPr>
                    <w:t>厂界</w:t>
                  </w:r>
                  <w:r>
                    <w:rPr>
                      <w:rFonts w:hint="eastAsia" w:ascii="Times New Roman" w:hAnsi="Times New Roman" w:eastAsia="宋体" w:cs="宋体"/>
                      <w:b/>
                      <w:bCs w:val="0"/>
                      <w:color w:val="auto"/>
                      <w:spacing w:val="0"/>
                      <w:kern w:val="2"/>
                      <w:sz w:val="21"/>
                      <w:szCs w:val="21"/>
                      <w:highlight w:val="none"/>
                    </w:rPr>
                    <w:t>相对距离</w:t>
                  </w:r>
                  <w:r>
                    <w:rPr>
                      <w:rFonts w:hint="eastAsia" w:ascii="Times New Roman" w:hAnsi="Times New Roman" w:eastAsia="宋体" w:cs="宋体"/>
                      <w:b/>
                      <w:bCs w:val="0"/>
                      <w:color w:val="auto"/>
                      <w:spacing w:val="0"/>
                      <w:kern w:val="2"/>
                      <w:sz w:val="21"/>
                      <w:szCs w:val="21"/>
                      <w:highlight w:val="none"/>
                      <w:lang w:val="en-US" w:eastAsia="zh-CN"/>
                    </w:rPr>
                    <w:t>（m）</w:t>
                  </w:r>
                </w:p>
              </w:tc>
              <w:tc>
                <w:tcPr>
                  <w:tcW w:w="1316"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
                      <w:bCs w:val="0"/>
                      <w:color w:val="auto"/>
                      <w:spacing w:val="0"/>
                      <w:kern w:val="2"/>
                      <w:sz w:val="21"/>
                      <w:szCs w:val="21"/>
                      <w:highlight w:val="none"/>
                    </w:rPr>
                  </w:pPr>
                  <w:r>
                    <w:rPr>
                      <w:rFonts w:hint="eastAsia" w:ascii="Times New Roman" w:hAnsi="Times New Roman" w:eastAsia="宋体" w:cs="宋体"/>
                      <w:b/>
                      <w:bCs w:val="0"/>
                      <w:color w:val="auto"/>
                      <w:spacing w:val="0"/>
                      <w:kern w:val="2"/>
                      <w:sz w:val="21"/>
                      <w:szCs w:val="21"/>
                      <w:highlight w:val="none"/>
                    </w:rPr>
                    <w:t>环境功能要求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vMerge w:val="restart"/>
                  <w:tcBorders>
                    <w:top w:val="single" w:color="auto" w:sz="4" w:space="0"/>
                    <w:left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 w:val="0"/>
                      <w:bCs/>
                      <w:color w:val="auto"/>
                      <w:spacing w:val="0"/>
                      <w:kern w:val="2"/>
                      <w:sz w:val="21"/>
                      <w:szCs w:val="21"/>
                      <w:highlight w:val="none"/>
                    </w:rPr>
                  </w:pPr>
                  <w:r>
                    <w:rPr>
                      <w:rFonts w:hint="eastAsia" w:ascii="Times New Roman" w:hAnsi="Times New Roman" w:eastAsia="宋体" w:cs="宋体"/>
                      <w:b w:val="0"/>
                      <w:bCs/>
                      <w:color w:val="auto"/>
                      <w:spacing w:val="0"/>
                      <w:kern w:val="2"/>
                      <w:sz w:val="21"/>
                      <w:szCs w:val="21"/>
                      <w:highlight w:val="none"/>
                    </w:rPr>
                    <w:t>环境空气</w:t>
                  </w:r>
                </w:p>
              </w:tc>
              <w:tc>
                <w:tcPr>
                  <w:tcW w:w="1010"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eastAsia="zh-CN"/>
                    </w:rPr>
                  </w:pPr>
                  <w:r>
                    <w:rPr>
                      <w:rFonts w:hint="eastAsia" w:ascii="Times New Roman" w:hAnsi="Times New Roman" w:eastAsia="宋体" w:cs="宋体"/>
                      <w:bCs/>
                      <w:color w:val="auto"/>
                      <w:spacing w:val="0"/>
                      <w:kern w:val="2"/>
                      <w:sz w:val="21"/>
                      <w:szCs w:val="21"/>
                      <w:highlight w:val="none"/>
                    </w:rPr>
                    <w:t>济车东门住宅区</w:t>
                  </w:r>
                </w:p>
              </w:tc>
              <w:tc>
                <w:tcPr>
                  <w:tcW w:w="674"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lang w:val="en-US" w:eastAsia="zh-CN"/>
                    </w:rPr>
                    <w:t>S</w:t>
                  </w:r>
                </w:p>
              </w:tc>
              <w:tc>
                <w:tcPr>
                  <w:tcW w:w="700" w:type="pct"/>
                  <w:tcBorders>
                    <w:top w:val="single" w:color="auto" w:sz="4" w:space="0"/>
                    <w:left w:val="single" w:color="auto" w:sz="4" w:space="0"/>
                    <w:bottom w:val="single" w:color="auto" w:sz="4" w:space="0"/>
                    <w:right w:val="single" w:color="000000" w:sz="2"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lang w:val="en-US" w:eastAsia="zh-CN"/>
                    </w:rPr>
                    <w:t>130</w:t>
                  </w:r>
                </w:p>
              </w:tc>
              <w:tc>
                <w:tcPr>
                  <w:tcW w:w="662" w:type="pct"/>
                  <w:tcBorders>
                    <w:top w:val="single" w:color="auto" w:sz="4" w:space="0"/>
                    <w:left w:val="single" w:color="000000" w:sz="2"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lang w:val="en-US" w:eastAsia="zh-CN"/>
                    </w:rPr>
                    <w:t>70</w:t>
                  </w:r>
                </w:p>
              </w:tc>
              <w:tc>
                <w:tcPr>
                  <w:tcW w:w="1316" w:type="pct"/>
                  <w:vMerge w:val="restart"/>
                  <w:tcBorders>
                    <w:top w:val="single" w:color="auto" w:sz="4" w:space="0"/>
                    <w:left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rPr>
                  </w:pPr>
                  <w:r>
                    <w:rPr>
                      <w:rFonts w:hint="eastAsia" w:ascii="Times New Roman" w:hAnsi="Times New Roman" w:eastAsia="宋体" w:cs="宋体"/>
                      <w:bCs/>
                      <w:color w:val="auto"/>
                      <w:spacing w:val="0"/>
                      <w:kern w:val="2"/>
                      <w:sz w:val="21"/>
                      <w:szCs w:val="21"/>
                      <w:highlight w:val="none"/>
                    </w:rPr>
                    <w:t>《环境空气质量标准》（GB3095-2012）二级标准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vMerge w:val="continue"/>
                  <w:tcBorders>
                    <w:left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 w:val="0"/>
                      <w:bCs/>
                      <w:color w:val="auto"/>
                      <w:spacing w:val="0"/>
                      <w:kern w:val="2"/>
                      <w:sz w:val="21"/>
                      <w:szCs w:val="21"/>
                      <w:highlight w:val="none"/>
                    </w:rPr>
                  </w:pPr>
                </w:p>
              </w:tc>
              <w:tc>
                <w:tcPr>
                  <w:tcW w:w="1010"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rPr>
                  </w:pPr>
                  <w:r>
                    <w:rPr>
                      <w:rFonts w:hint="eastAsia" w:ascii="Times New Roman" w:hAnsi="Times New Roman" w:eastAsia="宋体" w:cs="宋体"/>
                      <w:bCs/>
                      <w:color w:val="auto"/>
                      <w:spacing w:val="0"/>
                      <w:kern w:val="2"/>
                      <w:sz w:val="21"/>
                      <w:szCs w:val="21"/>
                      <w:highlight w:val="none"/>
                      <w:lang w:eastAsia="zh-CN"/>
                    </w:rPr>
                    <w:t>济南市昆仑小学</w:t>
                  </w:r>
                </w:p>
              </w:tc>
              <w:tc>
                <w:tcPr>
                  <w:tcW w:w="674"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rPr>
                    <w:t>E</w:t>
                  </w:r>
                </w:p>
              </w:tc>
              <w:tc>
                <w:tcPr>
                  <w:tcW w:w="700" w:type="pct"/>
                  <w:tcBorders>
                    <w:top w:val="single" w:color="auto" w:sz="4" w:space="0"/>
                    <w:left w:val="single" w:color="auto" w:sz="4" w:space="0"/>
                    <w:bottom w:val="single" w:color="auto" w:sz="4" w:space="0"/>
                    <w:right w:val="single" w:color="000000" w:sz="2"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lang w:val="en-US" w:eastAsia="zh-CN"/>
                    </w:rPr>
                    <w:t>133</w:t>
                  </w:r>
                </w:p>
              </w:tc>
              <w:tc>
                <w:tcPr>
                  <w:tcW w:w="662" w:type="pct"/>
                  <w:tcBorders>
                    <w:top w:val="single" w:color="auto" w:sz="4" w:space="0"/>
                    <w:left w:val="single" w:color="000000" w:sz="2"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lang w:val="en-US" w:eastAsia="zh-CN"/>
                    </w:rPr>
                    <w:t>25</w:t>
                  </w:r>
                </w:p>
              </w:tc>
              <w:tc>
                <w:tcPr>
                  <w:tcW w:w="1316" w:type="pct"/>
                  <w:vMerge w:val="continue"/>
                  <w:tcBorders>
                    <w:left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vMerge w:val="continue"/>
                  <w:tcBorders>
                    <w:left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 w:val="0"/>
                      <w:bCs/>
                      <w:color w:val="auto"/>
                      <w:spacing w:val="0"/>
                      <w:kern w:val="2"/>
                      <w:sz w:val="21"/>
                      <w:szCs w:val="21"/>
                      <w:highlight w:val="none"/>
                    </w:rPr>
                  </w:pPr>
                </w:p>
              </w:tc>
              <w:tc>
                <w:tcPr>
                  <w:tcW w:w="1010"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rPr>
                  </w:pPr>
                  <w:r>
                    <w:rPr>
                      <w:rFonts w:hint="eastAsia" w:ascii="Times New Roman" w:hAnsi="Times New Roman" w:eastAsia="宋体" w:cs="宋体"/>
                      <w:bCs/>
                      <w:color w:val="auto"/>
                      <w:spacing w:val="0"/>
                      <w:kern w:val="2"/>
                      <w:sz w:val="21"/>
                      <w:szCs w:val="21"/>
                      <w:highlight w:val="none"/>
                    </w:rPr>
                    <w:t>昆仑街小区</w:t>
                  </w:r>
                </w:p>
              </w:tc>
              <w:tc>
                <w:tcPr>
                  <w:tcW w:w="674"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rPr>
                  </w:pPr>
                  <w:r>
                    <w:rPr>
                      <w:rFonts w:hint="eastAsia" w:ascii="Times New Roman" w:hAnsi="Times New Roman" w:eastAsia="宋体" w:cs="宋体"/>
                      <w:bCs/>
                      <w:color w:val="auto"/>
                      <w:spacing w:val="0"/>
                      <w:kern w:val="2"/>
                      <w:sz w:val="21"/>
                      <w:szCs w:val="21"/>
                      <w:highlight w:val="none"/>
                      <w:lang w:val="en-US" w:eastAsia="zh-CN"/>
                    </w:rPr>
                    <w:t>E</w:t>
                  </w:r>
                </w:p>
              </w:tc>
              <w:tc>
                <w:tcPr>
                  <w:tcW w:w="700" w:type="pct"/>
                  <w:tcBorders>
                    <w:top w:val="single" w:color="auto" w:sz="4" w:space="0"/>
                    <w:left w:val="single" w:color="auto" w:sz="4" w:space="0"/>
                    <w:bottom w:val="single" w:color="auto" w:sz="4" w:space="0"/>
                    <w:right w:val="single" w:color="000000" w:sz="2"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lang w:val="en-US" w:eastAsia="zh-CN"/>
                    </w:rPr>
                    <w:t>295</w:t>
                  </w:r>
                </w:p>
              </w:tc>
              <w:tc>
                <w:tcPr>
                  <w:tcW w:w="662" w:type="pct"/>
                  <w:tcBorders>
                    <w:top w:val="single" w:color="auto" w:sz="4" w:space="0"/>
                    <w:left w:val="single" w:color="000000" w:sz="2"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rPr>
                  </w:pPr>
                  <w:r>
                    <w:rPr>
                      <w:rFonts w:hint="eastAsia" w:ascii="Times New Roman" w:hAnsi="Times New Roman" w:eastAsia="宋体" w:cs="宋体"/>
                      <w:bCs/>
                      <w:color w:val="auto"/>
                      <w:spacing w:val="0"/>
                      <w:kern w:val="2"/>
                      <w:sz w:val="21"/>
                      <w:szCs w:val="21"/>
                      <w:highlight w:val="none"/>
                      <w:lang w:val="en-US" w:eastAsia="zh-CN"/>
                    </w:rPr>
                    <w:t>187</w:t>
                  </w:r>
                </w:p>
              </w:tc>
              <w:tc>
                <w:tcPr>
                  <w:tcW w:w="1316" w:type="pct"/>
                  <w:vMerge w:val="continue"/>
                  <w:tcBorders>
                    <w:left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vMerge w:val="continue"/>
                  <w:tcBorders>
                    <w:left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 w:val="0"/>
                      <w:bCs/>
                      <w:color w:val="auto"/>
                      <w:spacing w:val="0"/>
                      <w:kern w:val="2"/>
                      <w:sz w:val="21"/>
                      <w:szCs w:val="21"/>
                      <w:highlight w:val="none"/>
                    </w:rPr>
                  </w:pPr>
                </w:p>
              </w:tc>
              <w:tc>
                <w:tcPr>
                  <w:tcW w:w="1010"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eastAsia="zh-CN"/>
                    </w:rPr>
                  </w:pPr>
                  <w:r>
                    <w:rPr>
                      <w:rFonts w:hint="eastAsia" w:ascii="Times New Roman" w:hAnsi="Times New Roman" w:eastAsia="宋体" w:cs="宋体"/>
                      <w:bCs/>
                      <w:color w:val="auto"/>
                      <w:spacing w:val="0"/>
                      <w:kern w:val="2"/>
                      <w:sz w:val="21"/>
                      <w:szCs w:val="21"/>
                      <w:highlight w:val="none"/>
                      <w:lang w:eastAsia="zh-CN"/>
                    </w:rPr>
                    <w:t>路劲御景城</w:t>
                  </w:r>
                </w:p>
              </w:tc>
              <w:tc>
                <w:tcPr>
                  <w:tcW w:w="674"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rPr>
                  </w:pPr>
                  <w:r>
                    <w:rPr>
                      <w:rFonts w:hint="eastAsia" w:ascii="Times New Roman" w:hAnsi="Times New Roman" w:eastAsia="宋体" w:cs="宋体"/>
                      <w:bCs/>
                      <w:color w:val="auto"/>
                      <w:spacing w:val="0"/>
                      <w:kern w:val="2"/>
                      <w:sz w:val="21"/>
                      <w:szCs w:val="21"/>
                      <w:highlight w:val="none"/>
                    </w:rPr>
                    <w:t>N</w:t>
                  </w:r>
                </w:p>
              </w:tc>
              <w:tc>
                <w:tcPr>
                  <w:tcW w:w="700" w:type="pct"/>
                  <w:tcBorders>
                    <w:top w:val="single" w:color="auto" w:sz="4" w:space="0"/>
                    <w:left w:val="single" w:color="auto" w:sz="4" w:space="0"/>
                    <w:bottom w:val="single" w:color="auto" w:sz="4" w:space="0"/>
                    <w:right w:val="single" w:color="000000" w:sz="2"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lang w:val="en-US" w:eastAsia="zh-CN"/>
                    </w:rPr>
                    <w:t>356</w:t>
                  </w:r>
                </w:p>
              </w:tc>
              <w:tc>
                <w:tcPr>
                  <w:tcW w:w="662" w:type="pct"/>
                  <w:tcBorders>
                    <w:top w:val="single" w:color="auto" w:sz="4" w:space="0"/>
                    <w:left w:val="single" w:color="000000" w:sz="2"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lang w:val="en-US" w:eastAsia="zh-CN"/>
                    </w:rPr>
                    <w:t>220</w:t>
                  </w:r>
                </w:p>
              </w:tc>
              <w:tc>
                <w:tcPr>
                  <w:tcW w:w="1316" w:type="pct"/>
                  <w:vMerge w:val="continue"/>
                  <w:tcBorders>
                    <w:left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vMerge w:val="continue"/>
                  <w:tcBorders>
                    <w:left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 w:val="0"/>
                      <w:bCs/>
                      <w:color w:val="auto"/>
                      <w:spacing w:val="0"/>
                      <w:kern w:val="2"/>
                      <w:sz w:val="21"/>
                      <w:szCs w:val="21"/>
                      <w:highlight w:val="none"/>
                    </w:rPr>
                  </w:pPr>
                </w:p>
              </w:tc>
              <w:tc>
                <w:tcPr>
                  <w:tcW w:w="1010"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rPr>
                  </w:pPr>
                  <w:r>
                    <w:rPr>
                      <w:rFonts w:hint="eastAsia" w:ascii="Times New Roman" w:hAnsi="Times New Roman" w:eastAsia="宋体" w:cs="宋体"/>
                      <w:bCs/>
                      <w:color w:val="auto"/>
                      <w:spacing w:val="0"/>
                      <w:kern w:val="2"/>
                      <w:sz w:val="21"/>
                      <w:szCs w:val="21"/>
                      <w:highlight w:val="none"/>
                      <w:lang w:eastAsia="zh-CN"/>
                    </w:rPr>
                    <w:t>裕园小区</w:t>
                  </w:r>
                </w:p>
              </w:tc>
              <w:tc>
                <w:tcPr>
                  <w:tcW w:w="674"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lang w:val="en-US" w:eastAsia="zh-CN"/>
                    </w:rPr>
                    <w:t>SE</w:t>
                  </w:r>
                </w:p>
              </w:tc>
              <w:tc>
                <w:tcPr>
                  <w:tcW w:w="700" w:type="pct"/>
                  <w:tcBorders>
                    <w:top w:val="single" w:color="auto" w:sz="4" w:space="0"/>
                    <w:left w:val="single" w:color="auto" w:sz="4" w:space="0"/>
                    <w:bottom w:val="single" w:color="auto" w:sz="4" w:space="0"/>
                    <w:right w:val="single" w:color="000000" w:sz="2"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lang w:val="en-US" w:eastAsia="zh-CN"/>
                    </w:rPr>
                    <w:t>451</w:t>
                  </w:r>
                </w:p>
              </w:tc>
              <w:tc>
                <w:tcPr>
                  <w:tcW w:w="662" w:type="pct"/>
                  <w:tcBorders>
                    <w:top w:val="single" w:color="auto" w:sz="4" w:space="0"/>
                    <w:left w:val="single" w:color="000000" w:sz="2"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lang w:val="en-US" w:eastAsia="zh-CN"/>
                    </w:rPr>
                    <w:t>299</w:t>
                  </w:r>
                </w:p>
              </w:tc>
              <w:tc>
                <w:tcPr>
                  <w:tcW w:w="1316" w:type="pct"/>
                  <w:vMerge w:val="continue"/>
                  <w:tcBorders>
                    <w:left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vMerge w:val="continue"/>
                  <w:tcBorders>
                    <w:left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 w:val="0"/>
                      <w:bCs/>
                      <w:color w:val="auto"/>
                      <w:spacing w:val="0"/>
                      <w:kern w:val="2"/>
                      <w:sz w:val="21"/>
                      <w:szCs w:val="21"/>
                      <w:highlight w:val="none"/>
                    </w:rPr>
                  </w:pPr>
                </w:p>
              </w:tc>
              <w:tc>
                <w:tcPr>
                  <w:tcW w:w="1010"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rPr>
                  </w:pPr>
                  <w:r>
                    <w:rPr>
                      <w:rFonts w:hint="eastAsia" w:ascii="Times New Roman" w:hAnsi="Times New Roman" w:eastAsia="宋体" w:cs="宋体"/>
                      <w:bCs/>
                      <w:color w:val="auto"/>
                      <w:spacing w:val="0"/>
                      <w:kern w:val="2"/>
                      <w:sz w:val="21"/>
                      <w:szCs w:val="21"/>
                      <w:highlight w:val="none"/>
                    </w:rPr>
                    <w:t>鑫苑城市之家</w:t>
                  </w:r>
                </w:p>
              </w:tc>
              <w:tc>
                <w:tcPr>
                  <w:tcW w:w="674"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lang w:val="en-US" w:eastAsia="zh-CN"/>
                    </w:rPr>
                    <w:t>W</w:t>
                  </w:r>
                </w:p>
              </w:tc>
              <w:tc>
                <w:tcPr>
                  <w:tcW w:w="700" w:type="pct"/>
                  <w:tcBorders>
                    <w:top w:val="single" w:color="auto" w:sz="4" w:space="0"/>
                    <w:left w:val="single" w:color="auto" w:sz="4" w:space="0"/>
                    <w:bottom w:val="single" w:color="auto" w:sz="4" w:space="0"/>
                    <w:right w:val="single" w:color="000000" w:sz="2"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lang w:val="en-US" w:eastAsia="zh-CN"/>
                    </w:rPr>
                    <w:t>575</w:t>
                  </w:r>
                </w:p>
              </w:tc>
              <w:tc>
                <w:tcPr>
                  <w:tcW w:w="662" w:type="pct"/>
                  <w:tcBorders>
                    <w:top w:val="single" w:color="auto" w:sz="4" w:space="0"/>
                    <w:left w:val="single" w:color="000000" w:sz="2"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lang w:val="en-US" w:eastAsia="zh-CN"/>
                    </w:rPr>
                    <w:t>249</w:t>
                  </w:r>
                </w:p>
              </w:tc>
              <w:tc>
                <w:tcPr>
                  <w:tcW w:w="1316" w:type="pct"/>
                  <w:vMerge w:val="continue"/>
                  <w:tcBorders>
                    <w:left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vMerge w:val="continue"/>
                  <w:tcBorders>
                    <w:left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 w:val="0"/>
                      <w:bCs/>
                      <w:color w:val="auto"/>
                      <w:spacing w:val="0"/>
                      <w:kern w:val="2"/>
                      <w:sz w:val="21"/>
                      <w:szCs w:val="21"/>
                      <w:highlight w:val="none"/>
                    </w:rPr>
                  </w:pPr>
                </w:p>
              </w:tc>
              <w:tc>
                <w:tcPr>
                  <w:tcW w:w="1010"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eastAsia="zh-CN"/>
                    </w:rPr>
                  </w:pPr>
                  <w:r>
                    <w:rPr>
                      <w:rFonts w:hint="eastAsia" w:ascii="Times New Roman" w:hAnsi="Times New Roman" w:eastAsia="宋体" w:cs="宋体"/>
                      <w:bCs/>
                      <w:color w:val="auto"/>
                      <w:spacing w:val="0"/>
                      <w:kern w:val="2"/>
                      <w:sz w:val="21"/>
                      <w:szCs w:val="21"/>
                      <w:highlight w:val="none"/>
                    </w:rPr>
                    <w:t>闫千户小区</w:t>
                  </w:r>
                </w:p>
              </w:tc>
              <w:tc>
                <w:tcPr>
                  <w:tcW w:w="674"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rPr>
                    <w:t>W</w:t>
                  </w:r>
                </w:p>
              </w:tc>
              <w:tc>
                <w:tcPr>
                  <w:tcW w:w="700" w:type="pct"/>
                  <w:tcBorders>
                    <w:top w:val="single" w:color="auto" w:sz="4" w:space="0"/>
                    <w:left w:val="single" w:color="auto" w:sz="4" w:space="0"/>
                    <w:bottom w:val="single" w:color="auto" w:sz="4" w:space="0"/>
                    <w:right w:val="single" w:color="000000" w:sz="2"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lang w:val="en-US" w:eastAsia="zh-CN"/>
                    </w:rPr>
                    <w:t>895</w:t>
                  </w:r>
                </w:p>
              </w:tc>
              <w:tc>
                <w:tcPr>
                  <w:tcW w:w="662" w:type="pct"/>
                  <w:tcBorders>
                    <w:top w:val="single" w:color="auto" w:sz="4" w:space="0"/>
                    <w:left w:val="single" w:color="000000" w:sz="2"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rPr>
                    <w:t>180</w:t>
                  </w:r>
                </w:p>
              </w:tc>
              <w:tc>
                <w:tcPr>
                  <w:tcW w:w="1316" w:type="pct"/>
                  <w:vMerge w:val="continue"/>
                  <w:tcBorders>
                    <w:left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vMerge w:val="continue"/>
                  <w:tcBorders>
                    <w:left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 w:val="0"/>
                      <w:bCs/>
                      <w:color w:val="auto"/>
                      <w:spacing w:val="0"/>
                      <w:kern w:val="2"/>
                      <w:sz w:val="21"/>
                      <w:szCs w:val="21"/>
                      <w:highlight w:val="none"/>
                    </w:rPr>
                  </w:pPr>
                </w:p>
              </w:tc>
              <w:tc>
                <w:tcPr>
                  <w:tcW w:w="1010"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eastAsia="zh-CN"/>
                    </w:rPr>
                  </w:pPr>
                  <w:r>
                    <w:rPr>
                      <w:rFonts w:hint="eastAsia" w:ascii="Times New Roman" w:hAnsi="Times New Roman" w:eastAsia="宋体" w:cs="宋体"/>
                      <w:bCs/>
                      <w:color w:val="auto"/>
                      <w:spacing w:val="0"/>
                      <w:kern w:val="2"/>
                      <w:sz w:val="21"/>
                      <w:szCs w:val="21"/>
                      <w:highlight w:val="none"/>
                    </w:rPr>
                    <w:t>槐苑</w:t>
                  </w:r>
                  <w:r>
                    <w:rPr>
                      <w:rFonts w:hint="eastAsia" w:ascii="Times New Roman" w:hAnsi="Times New Roman" w:eastAsia="宋体" w:cs="宋体"/>
                      <w:bCs/>
                      <w:color w:val="auto"/>
                      <w:spacing w:val="0"/>
                      <w:kern w:val="2"/>
                      <w:sz w:val="21"/>
                      <w:szCs w:val="21"/>
                      <w:highlight w:val="none"/>
                      <w:lang w:eastAsia="zh-CN"/>
                    </w:rPr>
                    <w:t>欣</w:t>
                  </w:r>
                  <w:r>
                    <w:rPr>
                      <w:rFonts w:hint="eastAsia" w:ascii="Times New Roman" w:hAnsi="Times New Roman" w:eastAsia="宋体" w:cs="宋体"/>
                      <w:bCs/>
                      <w:color w:val="auto"/>
                      <w:spacing w:val="0"/>
                      <w:kern w:val="2"/>
                      <w:sz w:val="21"/>
                      <w:szCs w:val="21"/>
                      <w:highlight w:val="none"/>
                    </w:rPr>
                    <w:t>城小区</w:t>
                  </w:r>
                </w:p>
              </w:tc>
              <w:tc>
                <w:tcPr>
                  <w:tcW w:w="674"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rPr>
                    <w:t>S</w:t>
                  </w:r>
                </w:p>
              </w:tc>
              <w:tc>
                <w:tcPr>
                  <w:tcW w:w="700" w:type="pct"/>
                  <w:tcBorders>
                    <w:top w:val="single" w:color="auto" w:sz="4" w:space="0"/>
                    <w:left w:val="single" w:color="auto" w:sz="4" w:space="0"/>
                    <w:bottom w:val="single" w:color="auto" w:sz="4" w:space="0"/>
                    <w:right w:val="single" w:color="000000" w:sz="2"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lang w:val="en-US" w:eastAsia="zh-CN"/>
                    </w:rPr>
                    <w:t>908</w:t>
                  </w:r>
                </w:p>
              </w:tc>
              <w:tc>
                <w:tcPr>
                  <w:tcW w:w="662" w:type="pct"/>
                  <w:tcBorders>
                    <w:top w:val="single" w:color="auto" w:sz="4" w:space="0"/>
                    <w:left w:val="single" w:color="000000" w:sz="2"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rPr>
                    <w:t>60</w:t>
                  </w:r>
                </w:p>
              </w:tc>
              <w:tc>
                <w:tcPr>
                  <w:tcW w:w="1316" w:type="pct"/>
                  <w:vMerge w:val="continue"/>
                  <w:tcBorders>
                    <w:left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vMerge w:val="continue"/>
                  <w:tcBorders>
                    <w:left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 w:val="0"/>
                      <w:bCs/>
                      <w:color w:val="auto"/>
                      <w:spacing w:val="0"/>
                      <w:kern w:val="2"/>
                      <w:sz w:val="21"/>
                      <w:szCs w:val="21"/>
                      <w:highlight w:val="none"/>
                    </w:rPr>
                  </w:pPr>
                </w:p>
              </w:tc>
              <w:tc>
                <w:tcPr>
                  <w:tcW w:w="1010"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eastAsia="zh-CN"/>
                    </w:rPr>
                  </w:pPr>
                  <w:r>
                    <w:rPr>
                      <w:rFonts w:hint="eastAsia" w:ascii="Times New Roman" w:hAnsi="Times New Roman" w:eastAsia="宋体" w:cs="宋体"/>
                      <w:bCs/>
                      <w:color w:val="auto"/>
                      <w:spacing w:val="0"/>
                      <w:kern w:val="2"/>
                      <w:sz w:val="21"/>
                      <w:szCs w:val="21"/>
                      <w:highlight w:val="none"/>
                    </w:rPr>
                    <w:t>艾菲尔花园小区</w:t>
                  </w:r>
                </w:p>
              </w:tc>
              <w:tc>
                <w:tcPr>
                  <w:tcW w:w="674"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rPr>
                    <w:t>S</w:t>
                  </w:r>
                  <w:r>
                    <w:rPr>
                      <w:rFonts w:hint="eastAsia" w:ascii="Times New Roman" w:hAnsi="Times New Roman" w:eastAsia="宋体" w:cs="宋体"/>
                      <w:bCs/>
                      <w:color w:val="auto"/>
                      <w:spacing w:val="0"/>
                      <w:kern w:val="2"/>
                      <w:sz w:val="21"/>
                      <w:szCs w:val="21"/>
                      <w:highlight w:val="none"/>
                      <w:lang w:val="en-US" w:eastAsia="zh-CN"/>
                    </w:rPr>
                    <w:t>W</w:t>
                  </w:r>
                </w:p>
              </w:tc>
              <w:tc>
                <w:tcPr>
                  <w:tcW w:w="700" w:type="pct"/>
                  <w:tcBorders>
                    <w:top w:val="single" w:color="auto" w:sz="4" w:space="0"/>
                    <w:left w:val="single" w:color="auto" w:sz="4" w:space="0"/>
                    <w:bottom w:val="single" w:color="auto" w:sz="4" w:space="0"/>
                    <w:right w:val="single" w:color="000000" w:sz="2"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lang w:val="en-US" w:eastAsia="zh-CN"/>
                    </w:rPr>
                    <w:t>1030</w:t>
                  </w:r>
                </w:p>
              </w:tc>
              <w:tc>
                <w:tcPr>
                  <w:tcW w:w="662" w:type="pct"/>
                  <w:tcBorders>
                    <w:top w:val="single" w:color="auto" w:sz="4" w:space="0"/>
                    <w:left w:val="single" w:color="000000" w:sz="2"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rPr>
                    <w:t>50</w:t>
                  </w:r>
                </w:p>
              </w:tc>
              <w:tc>
                <w:tcPr>
                  <w:tcW w:w="1316" w:type="pct"/>
                  <w:vMerge w:val="continue"/>
                  <w:tcBorders>
                    <w:left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vMerge w:val="continue"/>
                  <w:tcBorders>
                    <w:left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 w:val="0"/>
                      <w:bCs/>
                      <w:color w:val="auto"/>
                      <w:spacing w:val="0"/>
                      <w:kern w:val="2"/>
                      <w:sz w:val="21"/>
                      <w:szCs w:val="21"/>
                      <w:highlight w:val="none"/>
                    </w:rPr>
                  </w:pPr>
                </w:p>
              </w:tc>
              <w:tc>
                <w:tcPr>
                  <w:tcW w:w="1010"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eastAsia="zh-CN"/>
                    </w:rPr>
                  </w:pPr>
                  <w:r>
                    <w:rPr>
                      <w:rFonts w:hint="eastAsia" w:ascii="Times New Roman" w:hAnsi="Times New Roman" w:eastAsia="宋体" w:cs="宋体"/>
                      <w:bCs/>
                      <w:color w:val="auto"/>
                      <w:spacing w:val="0"/>
                      <w:kern w:val="2"/>
                      <w:sz w:val="21"/>
                      <w:szCs w:val="21"/>
                      <w:highlight w:val="none"/>
                    </w:rPr>
                    <w:t>槐花园小区</w:t>
                  </w:r>
                </w:p>
              </w:tc>
              <w:tc>
                <w:tcPr>
                  <w:tcW w:w="674"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rPr>
                    <w:t>S</w:t>
                  </w:r>
                  <w:r>
                    <w:rPr>
                      <w:rFonts w:hint="eastAsia" w:ascii="Times New Roman" w:hAnsi="Times New Roman" w:eastAsia="宋体" w:cs="宋体"/>
                      <w:bCs/>
                      <w:color w:val="auto"/>
                      <w:spacing w:val="0"/>
                      <w:kern w:val="2"/>
                      <w:sz w:val="21"/>
                      <w:szCs w:val="21"/>
                      <w:highlight w:val="none"/>
                      <w:lang w:val="en-US" w:eastAsia="zh-CN"/>
                    </w:rPr>
                    <w:t>W</w:t>
                  </w:r>
                </w:p>
              </w:tc>
              <w:tc>
                <w:tcPr>
                  <w:tcW w:w="700" w:type="pct"/>
                  <w:tcBorders>
                    <w:top w:val="single" w:color="auto" w:sz="4" w:space="0"/>
                    <w:left w:val="single" w:color="auto" w:sz="4" w:space="0"/>
                    <w:bottom w:val="single" w:color="auto" w:sz="4" w:space="0"/>
                    <w:right w:val="single" w:color="000000" w:sz="2"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lang w:val="en-US" w:eastAsia="zh-CN"/>
                    </w:rPr>
                    <w:t>1080</w:t>
                  </w:r>
                </w:p>
              </w:tc>
              <w:tc>
                <w:tcPr>
                  <w:tcW w:w="662" w:type="pct"/>
                  <w:tcBorders>
                    <w:top w:val="single" w:color="auto" w:sz="4" w:space="0"/>
                    <w:left w:val="single" w:color="000000" w:sz="2"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rPr>
                    <w:t>120</w:t>
                  </w:r>
                </w:p>
              </w:tc>
              <w:tc>
                <w:tcPr>
                  <w:tcW w:w="1316" w:type="pct"/>
                  <w:vMerge w:val="continue"/>
                  <w:tcBorders>
                    <w:left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tcBorders>
                    <w:top w:val="single" w:color="auto" w:sz="4" w:space="0"/>
                    <w:left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 w:val="0"/>
                      <w:bCs/>
                      <w:color w:val="auto"/>
                      <w:spacing w:val="0"/>
                      <w:kern w:val="2"/>
                      <w:sz w:val="21"/>
                      <w:szCs w:val="21"/>
                      <w:highlight w:val="none"/>
                    </w:rPr>
                  </w:pPr>
                  <w:r>
                    <w:rPr>
                      <w:rFonts w:hint="eastAsia" w:ascii="Times New Roman" w:hAnsi="Times New Roman" w:eastAsia="宋体" w:cs="宋体"/>
                      <w:b w:val="0"/>
                      <w:bCs/>
                      <w:color w:val="auto"/>
                      <w:spacing w:val="0"/>
                      <w:kern w:val="2"/>
                      <w:sz w:val="21"/>
                      <w:szCs w:val="21"/>
                      <w:highlight w:val="none"/>
                    </w:rPr>
                    <w:t>地表水</w:t>
                  </w:r>
                </w:p>
              </w:tc>
              <w:tc>
                <w:tcPr>
                  <w:tcW w:w="1010"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eastAsia="zh-CN"/>
                    </w:rPr>
                  </w:pPr>
                  <w:r>
                    <w:rPr>
                      <w:rFonts w:hint="eastAsia" w:ascii="Times New Roman" w:hAnsi="Times New Roman" w:eastAsia="宋体" w:cs="宋体"/>
                      <w:bCs/>
                      <w:color w:val="auto"/>
                      <w:spacing w:val="0"/>
                      <w:kern w:val="2"/>
                      <w:sz w:val="21"/>
                      <w:szCs w:val="21"/>
                      <w:highlight w:val="none"/>
                      <w:lang w:eastAsia="zh-CN"/>
                    </w:rPr>
                    <w:t>兴济河</w:t>
                  </w:r>
                </w:p>
              </w:tc>
              <w:tc>
                <w:tcPr>
                  <w:tcW w:w="674"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eastAsia="zh-CN"/>
                    </w:rPr>
                  </w:pPr>
                  <w:r>
                    <w:rPr>
                      <w:rFonts w:hint="eastAsia" w:ascii="Times New Roman" w:hAnsi="Times New Roman" w:eastAsia="宋体" w:cs="宋体"/>
                      <w:bCs/>
                      <w:color w:val="auto"/>
                      <w:spacing w:val="0"/>
                      <w:kern w:val="2"/>
                      <w:sz w:val="21"/>
                      <w:szCs w:val="21"/>
                      <w:highlight w:val="none"/>
                      <w:lang w:val="en-US" w:eastAsia="zh-CN"/>
                    </w:rPr>
                    <w:t>W</w:t>
                  </w:r>
                </w:p>
              </w:tc>
              <w:tc>
                <w:tcPr>
                  <w:tcW w:w="700" w:type="pct"/>
                  <w:tcBorders>
                    <w:top w:val="single" w:color="auto" w:sz="4" w:space="0"/>
                    <w:left w:val="single" w:color="auto" w:sz="4" w:space="0"/>
                    <w:bottom w:val="single" w:color="auto" w:sz="4" w:space="0"/>
                    <w:right w:val="single" w:color="000000" w:sz="2"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lang w:val="en-US" w:eastAsia="zh-CN"/>
                    </w:rPr>
                    <w:t>1550</w:t>
                  </w:r>
                </w:p>
              </w:tc>
              <w:tc>
                <w:tcPr>
                  <w:tcW w:w="662" w:type="pct"/>
                  <w:tcBorders>
                    <w:top w:val="single" w:color="auto" w:sz="4" w:space="0"/>
                    <w:left w:val="single" w:color="000000" w:sz="2"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lang w:val="en-US" w:eastAsia="zh-CN"/>
                    </w:rPr>
                  </w:pPr>
                  <w:r>
                    <w:rPr>
                      <w:rFonts w:hint="eastAsia" w:ascii="Times New Roman" w:hAnsi="Times New Roman" w:eastAsia="宋体" w:cs="宋体"/>
                      <w:bCs/>
                      <w:color w:val="auto"/>
                      <w:spacing w:val="0"/>
                      <w:kern w:val="2"/>
                      <w:sz w:val="21"/>
                      <w:szCs w:val="21"/>
                      <w:highlight w:val="none"/>
                      <w:lang w:val="en-US" w:eastAsia="zh-CN"/>
                    </w:rPr>
                    <w:t>530</w:t>
                  </w:r>
                </w:p>
              </w:tc>
              <w:tc>
                <w:tcPr>
                  <w:tcW w:w="1316" w:type="pct"/>
                  <w:tcBorders>
                    <w:top w:val="single" w:color="auto" w:sz="4" w:space="0"/>
                    <w:left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rPr>
                  </w:pPr>
                  <w:r>
                    <w:rPr>
                      <w:rFonts w:hint="eastAsia" w:ascii="Times New Roman" w:hAnsi="Times New Roman" w:eastAsia="宋体" w:cs="宋体"/>
                      <w:bCs/>
                      <w:color w:val="auto"/>
                      <w:spacing w:val="0"/>
                      <w:kern w:val="2"/>
                      <w:sz w:val="21"/>
                      <w:szCs w:val="21"/>
                      <w:highlight w:val="none"/>
                    </w:rPr>
                    <w:t>《地表水环境质量标准》（GB3838-2002）</w:t>
                  </w:r>
                  <w:r>
                    <w:rPr>
                      <w:rFonts w:hint="eastAsia" w:ascii="Times New Roman" w:hAnsi="Times New Roman" w:eastAsia="宋体" w:cs="宋体"/>
                      <w:bCs/>
                      <w:color w:val="auto"/>
                      <w:spacing w:val="0"/>
                      <w:kern w:val="2"/>
                      <w:sz w:val="21"/>
                      <w:szCs w:val="21"/>
                      <w:highlight w:val="none"/>
                      <w:lang w:val="zh-CN"/>
                    </w:rPr>
                    <w:t>Ⅴ</w:t>
                  </w:r>
                  <w:r>
                    <w:rPr>
                      <w:rFonts w:hint="eastAsia" w:ascii="Times New Roman" w:hAnsi="Times New Roman" w:eastAsia="宋体" w:cs="宋体"/>
                      <w:bCs/>
                      <w:color w:val="auto"/>
                      <w:spacing w:val="0"/>
                      <w:kern w:val="2"/>
                      <w:sz w:val="21"/>
                      <w:szCs w:val="21"/>
                      <w:highlight w:val="none"/>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 w:val="0"/>
                      <w:bCs/>
                      <w:color w:val="auto"/>
                      <w:spacing w:val="0"/>
                      <w:kern w:val="2"/>
                      <w:sz w:val="21"/>
                      <w:szCs w:val="21"/>
                      <w:highlight w:val="none"/>
                    </w:rPr>
                  </w:pPr>
                  <w:r>
                    <w:rPr>
                      <w:rFonts w:hint="eastAsia" w:ascii="Times New Roman" w:hAnsi="Times New Roman" w:eastAsia="宋体" w:cs="宋体"/>
                      <w:b w:val="0"/>
                      <w:bCs/>
                      <w:color w:val="auto"/>
                      <w:spacing w:val="0"/>
                      <w:kern w:val="2"/>
                      <w:sz w:val="21"/>
                      <w:szCs w:val="21"/>
                      <w:highlight w:val="none"/>
                    </w:rPr>
                    <w:t>地下水</w:t>
                  </w:r>
                </w:p>
              </w:tc>
              <w:tc>
                <w:tcPr>
                  <w:tcW w:w="3048" w:type="pct"/>
                  <w:gridSpan w:val="4"/>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rPr>
                  </w:pPr>
                  <w:r>
                    <w:rPr>
                      <w:rFonts w:hint="eastAsia" w:ascii="Times New Roman" w:hAnsi="Times New Roman" w:eastAsia="宋体" w:cs="宋体"/>
                      <w:bCs/>
                      <w:color w:val="auto"/>
                      <w:spacing w:val="0"/>
                      <w:kern w:val="2"/>
                      <w:sz w:val="21"/>
                      <w:szCs w:val="21"/>
                      <w:highlight w:val="none"/>
                    </w:rPr>
                    <w:t>厂址附近浅层地下水</w:t>
                  </w:r>
                </w:p>
              </w:tc>
              <w:tc>
                <w:tcPr>
                  <w:tcW w:w="1316" w:type="pct"/>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rPr>
                  </w:pPr>
                  <w:r>
                    <w:rPr>
                      <w:rFonts w:hint="eastAsia" w:ascii="Times New Roman" w:hAnsi="Times New Roman" w:eastAsia="宋体" w:cs="宋体"/>
                      <w:bCs/>
                      <w:color w:val="auto"/>
                      <w:spacing w:val="0"/>
                      <w:kern w:val="2"/>
                      <w:sz w:val="21"/>
                      <w:szCs w:val="21"/>
                      <w:highlight w:val="none"/>
                    </w:rPr>
                    <w:t>《地下水质量标准》（GB/T14848-2017）Ⅲ类标准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5" w:type="pct"/>
                  <w:tcBorders>
                    <w:top w:val="single" w:color="auto" w:sz="4" w:space="0"/>
                    <w:left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 w:val="0"/>
                      <w:bCs/>
                      <w:color w:val="auto"/>
                      <w:spacing w:val="0"/>
                      <w:kern w:val="2"/>
                      <w:sz w:val="21"/>
                      <w:szCs w:val="21"/>
                      <w:highlight w:val="none"/>
                    </w:rPr>
                  </w:pPr>
                  <w:r>
                    <w:rPr>
                      <w:rFonts w:hint="eastAsia" w:ascii="Times New Roman" w:hAnsi="Times New Roman" w:eastAsia="宋体" w:cs="宋体"/>
                      <w:b w:val="0"/>
                      <w:bCs/>
                      <w:color w:val="auto"/>
                      <w:spacing w:val="0"/>
                      <w:kern w:val="2"/>
                      <w:sz w:val="21"/>
                      <w:szCs w:val="21"/>
                      <w:highlight w:val="none"/>
                    </w:rPr>
                    <w:t>噪声</w:t>
                  </w:r>
                </w:p>
              </w:tc>
              <w:tc>
                <w:tcPr>
                  <w:tcW w:w="3048" w:type="pct"/>
                  <w:gridSpan w:val="4"/>
                  <w:tcBorders>
                    <w:top w:val="single" w:color="auto" w:sz="4" w:space="0"/>
                    <w:left w:val="single" w:color="auto" w:sz="4" w:space="0"/>
                    <w:bottom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rPr>
                  </w:pPr>
                  <w:r>
                    <w:rPr>
                      <w:rFonts w:hint="eastAsia" w:ascii="Times New Roman" w:hAnsi="Times New Roman" w:eastAsia="宋体" w:cs="宋体"/>
                      <w:bCs/>
                      <w:color w:val="auto"/>
                      <w:spacing w:val="0"/>
                      <w:kern w:val="2"/>
                      <w:sz w:val="21"/>
                      <w:szCs w:val="21"/>
                      <w:highlight w:val="none"/>
                    </w:rPr>
                    <w:t>厂界</w:t>
                  </w:r>
                </w:p>
              </w:tc>
              <w:tc>
                <w:tcPr>
                  <w:tcW w:w="1316" w:type="pct"/>
                  <w:tcBorders>
                    <w:top w:val="single" w:color="auto" w:sz="4" w:space="0"/>
                    <w:left w:val="single" w:color="auto" w:sz="4" w:space="0"/>
                    <w:right w:val="single" w:color="auto" w:sz="4" w:space="0"/>
                  </w:tcBorders>
                  <w:noWrap w:val="0"/>
                  <w:vAlign w:val="center"/>
                </w:tcPr>
                <w:p>
                  <w:pPr>
                    <w:pStyle w:val="51"/>
                    <w:spacing w:line="240" w:lineRule="auto"/>
                    <w:ind w:firstLine="0" w:firstLineChars="0"/>
                    <w:jc w:val="center"/>
                    <w:rPr>
                      <w:rFonts w:hint="eastAsia" w:ascii="Times New Roman" w:hAnsi="Times New Roman" w:eastAsia="宋体" w:cs="宋体"/>
                      <w:bCs/>
                      <w:color w:val="auto"/>
                      <w:spacing w:val="0"/>
                      <w:kern w:val="2"/>
                      <w:sz w:val="21"/>
                      <w:szCs w:val="21"/>
                      <w:highlight w:val="none"/>
                    </w:rPr>
                  </w:pPr>
                  <w:r>
                    <w:rPr>
                      <w:rFonts w:hint="eastAsia" w:ascii="Times New Roman" w:hAnsi="Times New Roman" w:eastAsia="宋体" w:cs="宋体"/>
                      <w:bCs/>
                      <w:color w:val="auto"/>
                      <w:spacing w:val="0"/>
                      <w:kern w:val="2"/>
                      <w:sz w:val="21"/>
                      <w:szCs w:val="21"/>
                      <w:highlight w:val="none"/>
                    </w:rPr>
                    <w:t>《声环境质量标准》（GB3096-2008）2类</w:t>
                  </w:r>
                  <w:r>
                    <w:rPr>
                      <w:rFonts w:hint="eastAsia" w:ascii="Times New Roman" w:hAnsi="Times New Roman" w:eastAsia="宋体" w:cs="宋体"/>
                      <w:bCs/>
                      <w:color w:val="auto"/>
                      <w:spacing w:val="0"/>
                      <w:kern w:val="2"/>
                      <w:sz w:val="21"/>
                      <w:szCs w:val="21"/>
                      <w:highlight w:val="none"/>
                      <w:lang w:eastAsia="zh-CN"/>
                    </w:rPr>
                    <w:t>和</w:t>
                  </w:r>
                  <w:r>
                    <w:rPr>
                      <w:rFonts w:hint="eastAsia" w:ascii="Times New Roman" w:hAnsi="Times New Roman" w:eastAsia="宋体" w:cs="宋体"/>
                      <w:bCs/>
                      <w:color w:val="auto"/>
                      <w:spacing w:val="0"/>
                      <w:kern w:val="2"/>
                      <w:sz w:val="21"/>
                      <w:szCs w:val="21"/>
                      <w:highlight w:val="none"/>
                      <w:lang w:val="en-US" w:eastAsia="zh-CN"/>
                    </w:rPr>
                    <w:t>4b类</w:t>
                  </w:r>
                  <w:r>
                    <w:rPr>
                      <w:rFonts w:hint="eastAsia" w:ascii="Times New Roman" w:hAnsi="Times New Roman" w:eastAsia="宋体" w:cs="宋体"/>
                      <w:bCs/>
                      <w:color w:val="auto"/>
                      <w:spacing w:val="0"/>
                      <w:kern w:val="2"/>
                      <w:sz w:val="21"/>
                      <w:szCs w:val="21"/>
                      <w:highlight w:val="none"/>
                    </w:rPr>
                    <w:t>标准</w:t>
                  </w:r>
                </w:p>
              </w:tc>
            </w:tr>
          </w:tbl>
          <w:p>
            <w:pPr>
              <w:pStyle w:val="2"/>
              <w:ind w:firstLine="482"/>
              <w:rPr>
                <w:rFonts w:cs="Times New Roman"/>
                <w:color w:val="auto"/>
                <w:highlight w:val="none"/>
              </w:rPr>
            </w:pPr>
            <w:r>
              <w:rPr>
                <w:rFonts w:cs="Times New Roman"/>
                <w:b/>
                <w:bCs/>
                <w:color w:val="auto"/>
                <w:highlight w:val="none"/>
              </w:rPr>
              <w:t>6、本项目实际建设情况与环评内容的变更情况</w:t>
            </w:r>
          </w:p>
          <w:p>
            <w:pPr>
              <w:pStyle w:val="2"/>
              <w:rPr>
                <w:rFonts w:cs="Times New Roman"/>
                <w:b/>
                <w:bCs/>
                <w:color w:val="auto"/>
                <w:highlight w:val="none"/>
              </w:rPr>
            </w:pPr>
            <w:r>
              <w:rPr>
                <w:rFonts w:cs="Times New Roman"/>
                <w:color w:val="auto"/>
                <w:szCs w:val="24"/>
                <w:highlight w:val="none"/>
              </w:rPr>
              <w:t>根据</w:t>
            </w:r>
            <w:r>
              <w:rPr>
                <w:rFonts w:cs="Times New Roman"/>
                <w:color w:val="auto"/>
                <w:highlight w:val="none"/>
              </w:rPr>
              <w:t>《中华人民共和国环境影响评价法》、《建设项目环境保护管理条例》（国务院令第682号）和关于印发《污染影响类建设项目重大变动清单（试行）》的通知（环办环评函[2020]688号）</w:t>
            </w:r>
            <w:r>
              <w:rPr>
                <w:rFonts w:cs="Times New Roman"/>
                <w:color w:val="auto"/>
                <w:szCs w:val="24"/>
                <w:highlight w:val="none"/>
              </w:rPr>
              <w:t>等有关规定，“建设项目的性质、规模、地点、运营工艺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w:t>
            </w:r>
          </w:p>
          <w:p>
            <w:pPr>
              <w:pStyle w:val="2"/>
              <w:ind w:firstLine="0" w:firstLineChars="0"/>
              <w:jc w:val="center"/>
              <w:rPr>
                <w:rFonts w:cs="Times New Roman"/>
                <w:b/>
                <w:bCs/>
                <w:color w:val="auto"/>
                <w:highlight w:val="none"/>
              </w:rPr>
            </w:pPr>
            <w:r>
              <w:rPr>
                <w:rFonts w:cs="Times New Roman"/>
                <w:b/>
                <w:bCs/>
                <w:color w:val="auto"/>
                <w:highlight w:val="none"/>
              </w:rPr>
              <w:t>表2-</w:t>
            </w:r>
            <w:r>
              <w:rPr>
                <w:rFonts w:hint="eastAsia" w:cs="Times New Roman"/>
                <w:b/>
                <w:bCs/>
                <w:color w:val="auto"/>
                <w:highlight w:val="none"/>
                <w:lang w:val="en-US" w:eastAsia="zh-CN"/>
              </w:rPr>
              <w:t>7</w:t>
            </w:r>
            <w:r>
              <w:rPr>
                <w:rFonts w:cs="Times New Roman"/>
                <w:b/>
                <w:bCs/>
                <w:color w:val="auto"/>
                <w:highlight w:val="none"/>
              </w:rPr>
              <w:t xml:space="preserve">  本项目与环评相比变动情况一览表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1070"/>
              <w:gridCol w:w="2712"/>
              <w:gridCol w:w="2670"/>
              <w:gridCol w:w="1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序号</w:t>
                  </w:r>
                </w:p>
              </w:tc>
              <w:tc>
                <w:tcPr>
                  <w:tcW w:w="1070" w:type="dxa"/>
                  <w:shd w:val="clear" w:color="auto" w:fill="auto"/>
                  <w:vAlign w:val="center"/>
                </w:tcPr>
                <w:p>
                  <w:pPr>
                    <w:pStyle w:val="2"/>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变化类别</w:t>
                  </w:r>
                </w:p>
              </w:tc>
              <w:tc>
                <w:tcPr>
                  <w:tcW w:w="2712" w:type="dxa"/>
                  <w:shd w:val="clear" w:color="auto" w:fill="auto"/>
                  <w:vAlign w:val="center"/>
                </w:tcPr>
                <w:p>
                  <w:pPr>
                    <w:pStyle w:val="2"/>
                    <w:spacing w:line="240" w:lineRule="auto"/>
                    <w:ind w:firstLine="0" w:firstLineChars="0"/>
                    <w:jc w:val="center"/>
                    <w:rPr>
                      <w:rFonts w:hint="eastAsia" w:eastAsia="宋体" w:cs="Times New Roman"/>
                      <w:b/>
                      <w:bCs/>
                      <w:color w:val="auto"/>
                      <w:sz w:val="21"/>
                      <w:szCs w:val="21"/>
                      <w:highlight w:val="none"/>
                      <w:lang w:eastAsia="zh-CN"/>
                    </w:rPr>
                  </w:pPr>
                  <w:r>
                    <w:rPr>
                      <w:rFonts w:hint="eastAsia" w:cs="Times New Roman"/>
                      <w:b/>
                      <w:bCs/>
                      <w:color w:val="auto"/>
                      <w:sz w:val="21"/>
                      <w:szCs w:val="21"/>
                      <w:highlight w:val="none"/>
                      <w:lang w:eastAsia="zh-CN"/>
                    </w:rPr>
                    <w:t>本项目环评</w:t>
                  </w:r>
                </w:p>
              </w:tc>
              <w:tc>
                <w:tcPr>
                  <w:tcW w:w="2670" w:type="dxa"/>
                  <w:shd w:val="clear" w:color="auto" w:fill="auto"/>
                  <w:vAlign w:val="center"/>
                </w:tcPr>
                <w:p>
                  <w:pPr>
                    <w:pStyle w:val="2"/>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目前实际</w:t>
                  </w:r>
                </w:p>
              </w:tc>
              <w:tc>
                <w:tcPr>
                  <w:tcW w:w="1794" w:type="dxa"/>
                  <w:shd w:val="clear" w:color="auto" w:fill="auto"/>
                  <w:vAlign w:val="center"/>
                </w:tcPr>
                <w:p>
                  <w:pPr>
                    <w:pStyle w:val="2"/>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1</w:t>
                  </w:r>
                </w:p>
              </w:tc>
              <w:tc>
                <w:tcPr>
                  <w:tcW w:w="1070" w:type="dxa"/>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性质</w:t>
                  </w:r>
                </w:p>
              </w:tc>
              <w:tc>
                <w:tcPr>
                  <w:tcW w:w="2712" w:type="dxa"/>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rPr>
                    <w:t>改扩建</w:t>
                  </w:r>
                </w:p>
              </w:tc>
              <w:tc>
                <w:tcPr>
                  <w:tcW w:w="2670" w:type="dxa"/>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rPr>
                    <w:t>改扩建</w:t>
                  </w:r>
                </w:p>
              </w:tc>
              <w:tc>
                <w:tcPr>
                  <w:tcW w:w="1794" w:type="dxa"/>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2</w:t>
                  </w:r>
                </w:p>
              </w:tc>
              <w:tc>
                <w:tcPr>
                  <w:tcW w:w="1070" w:type="dxa"/>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规模</w:t>
                  </w:r>
                </w:p>
              </w:tc>
              <w:tc>
                <w:tcPr>
                  <w:tcW w:w="2712" w:type="dxa"/>
                  <w:shd w:val="clear" w:color="auto" w:fill="auto"/>
                  <w:vAlign w:val="center"/>
                </w:tcPr>
                <w:p>
                  <w:pPr>
                    <w:pStyle w:val="2"/>
                    <w:spacing w:line="240" w:lineRule="auto"/>
                    <w:ind w:firstLine="0" w:firstLineChars="0"/>
                    <w:jc w:val="center"/>
                    <w:rPr>
                      <w:rFonts w:cs="Times New Roman"/>
                      <w:color w:val="auto"/>
                      <w:sz w:val="21"/>
                      <w:szCs w:val="21"/>
                      <w:highlight w:val="none"/>
                      <w:lang w:bidi="ar"/>
                    </w:rPr>
                  </w:pPr>
                  <w:r>
                    <w:rPr>
                      <w:rFonts w:cs="Times New Roman"/>
                      <w:color w:val="auto"/>
                      <w:sz w:val="21"/>
                      <w:szCs w:val="21"/>
                      <w:highlight w:val="none"/>
                      <w:lang w:bidi="ar"/>
                    </w:rPr>
                    <w:t>年</w:t>
                  </w:r>
                  <w:r>
                    <w:rPr>
                      <w:rFonts w:hint="eastAsia" w:cs="Times New Roman"/>
                      <w:color w:val="auto"/>
                      <w:sz w:val="21"/>
                      <w:szCs w:val="21"/>
                      <w:highlight w:val="none"/>
                      <w:lang w:bidi="ar"/>
                    </w:rPr>
                    <w:t>修打砂底架780个</w:t>
                  </w:r>
                </w:p>
              </w:tc>
              <w:tc>
                <w:tcPr>
                  <w:tcW w:w="2670" w:type="dxa"/>
                  <w:shd w:val="clear" w:color="auto" w:fill="auto"/>
                  <w:vAlign w:val="center"/>
                </w:tcPr>
                <w:p>
                  <w:pPr>
                    <w:pStyle w:val="2"/>
                    <w:spacing w:line="240" w:lineRule="auto"/>
                    <w:ind w:firstLine="0" w:firstLineChars="0"/>
                    <w:jc w:val="center"/>
                    <w:rPr>
                      <w:rFonts w:cs="Times New Roman"/>
                      <w:color w:val="auto"/>
                      <w:sz w:val="21"/>
                      <w:szCs w:val="21"/>
                      <w:highlight w:val="none"/>
                      <w:lang w:bidi="ar"/>
                    </w:rPr>
                  </w:pPr>
                  <w:r>
                    <w:rPr>
                      <w:rFonts w:cs="Times New Roman"/>
                      <w:color w:val="auto"/>
                      <w:sz w:val="21"/>
                      <w:szCs w:val="21"/>
                      <w:highlight w:val="none"/>
                      <w:lang w:bidi="ar"/>
                    </w:rPr>
                    <w:t>年</w:t>
                  </w:r>
                  <w:r>
                    <w:rPr>
                      <w:rFonts w:hint="eastAsia" w:cs="Times New Roman"/>
                      <w:color w:val="auto"/>
                      <w:sz w:val="21"/>
                      <w:szCs w:val="21"/>
                      <w:highlight w:val="none"/>
                      <w:lang w:bidi="ar"/>
                    </w:rPr>
                    <w:t>修打砂底架780个</w:t>
                  </w:r>
                </w:p>
              </w:tc>
              <w:tc>
                <w:tcPr>
                  <w:tcW w:w="1794" w:type="dxa"/>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3</w:t>
                  </w:r>
                </w:p>
              </w:tc>
              <w:tc>
                <w:tcPr>
                  <w:tcW w:w="1070" w:type="dxa"/>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建设地点</w:t>
                  </w:r>
                </w:p>
              </w:tc>
              <w:tc>
                <w:tcPr>
                  <w:tcW w:w="2712" w:type="dxa"/>
                  <w:shd w:val="clear" w:color="auto" w:fill="auto"/>
                  <w:vAlign w:val="center"/>
                </w:tcPr>
                <w:p>
                  <w:pPr>
                    <w:pStyle w:val="2"/>
                    <w:spacing w:line="240" w:lineRule="auto"/>
                    <w:ind w:firstLine="0" w:firstLineChars="0"/>
                    <w:jc w:val="center"/>
                    <w:rPr>
                      <w:rFonts w:hint="eastAsia" w:eastAsia="宋体" w:cs="Times New Roman"/>
                      <w:color w:val="auto"/>
                      <w:sz w:val="21"/>
                      <w:szCs w:val="21"/>
                      <w:highlight w:val="none"/>
                      <w:lang w:eastAsia="zh-CN" w:bidi="ar"/>
                    </w:rPr>
                  </w:pPr>
                  <w:r>
                    <w:rPr>
                      <w:rFonts w:hint="eastAsia" w:cs="Times New Roman"/>
                      <w:color w:val="auto"/>
                      <w:sz w:val="21"/>
                      <w:szCs w:val="21"/>
                      <w:highlight w:val="none"/>
                      <w:lang w:eastAsia="zh-CN" w:bidi="ar"/>
                    </w:rPr>
                    <w:t>济南市槐荫区槐村街73号，中车山东机车车辆有限公司厂区内</w:t>
                  </w:r>
                </w:p>
              </w:tc>
              <w:tc>
                <w:tcPr>
                  <w:tcW w:w="2670" w:type="dxa"/>
                  <w:shd w:val="clear" w:color="auto" w:fill="auto"/>
                  <w:vAlign w:val="center"/>
                </w:tcPr>
                <w:p>
                  <w:pPr>
                    <w:pStyle w:val="2"/>
                    <w:spacing w:line="240" w:lineRule="auto"/>
                    <w:ind w:firstLine="0" w:firstLineChars="0"/>
                    <w:jc w:val="center"/>
                    <w:rPr>
                      <w:rFonts w:hint="eastAsia" w:eastAsia="宋体" w:cs="Times New Roman"/>
                      <w:color w:val="auto"/>
                      <w:sz w:val="21"/>
                      <w:szCs w:val="21"/>
                      <w:highlight w:val="none"/>
                      <w:lang w:eastAsia="zh-CN" w:bidi="ar"/>
                    </w:rPr>
                  </w:pPr>
                  <w:r>
                    <w:rPr>
                      <w:rFonts w:hint="eastAsia" w:cs="Times New Roman"/>
                      <w:color w:val="auto"/>
                      <w:sz w:val="21"/>
                      <w:szCs w:val="21"/>
                      <w:highlight w:val="none"/>
                      <w:lang w:eastAsia="zh-CN" w:bidi="ar"/>
                    </w:rPr>
                    <w:t>济南市槐荫区槐村街73号，中车山东机车车辆有限公司厂区内</w:t>
                  </w:r>
                </w:p>
              </w:tc>
              <w:tc>
                <w:tcPr>
                  <w:tcW w:w="1794" w:type="dxa"/>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4</w:t>
                  </w:r>
                </w:p>
              </w:tc>
              <w:tc>
                <w:tcPr>
                  <w:tcW w:w="1070" w:type="dxa"/>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运营工艺</w:t>
                  </w:r>
                </w:p>
              </w:tc>
              <w:tc>
                <w:tcPr>
                  <w:tcW w:w="5382" w:type="dxa"/>
                  <w:gridSpan w:val="2"/>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见图2-</w:t>
                  </w:r>
                  <w:r>
                    <w:rPr>
                      <w:rFonts w:hint="eastAsia" w:cs="Times New Roman"/>
                      <w:color w:val="auto"/>
                      <w:sz w:val="21"/>
                      <w:szCs w:val="21"/>
                      <w:highlight w:val="none"/>
                      <w:lang w:val="en-US" w:eastAsia="zh-CN"/>
                    </w:rPr>
                    <w:t>1、2-2</w:t>
                  </w:r>
                </w:p>
              </w:tc>
              <w:tc>
                <w:tcPr>
                  <w:tcW w:w="1794" w:type="dxa"/>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5</w:t>
                  </w:r>
                </w:p>
              </w:tc>
              <w:tc>
                <w:tcPr>
                  <w:tcW w:w="1070" w:type="dxa"/>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平面布置</w:t>
                  </w:r>
                </w:p>
              </w:tc>
              <w:tc>
                <w:tcPr>
                  <w:tcW w:w="5382" w:type="dxa"/>
                  <w:gridSpan w:val="2"/>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见附图3</w:t>
                  </w:r>
                </w:p>
              </w:tc>
              <w:tc>
                <w:tcPr>
                  <w:tcW w:w="1794" w:type="dxa"/>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6</w:t>
                  </w:r>
                </w:p>
              </w:tc>
              <w:tc>
                <w:tcPr>
                  <w:tcW w:w="1070" w:type="dxa"/>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生产设备</w:t>
                  </w:r>
                </w:p>
              </w:tc>
              <w:tc>
                <w:tcPr>
                  <w:tcW w:w="5382" w:type="dxa"/>
                  <w:gridSpan w:val="2"/>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见表2-</w:t>
                  </w:r>
                  <w:r>
                    <w:rPr>
                      <w:rFonts w:hint="eastAsia" w:cs="Times New Roman"/>
                      <w:color w:val="auto"/>
                      <w:sz w:val="21"/>
                      <w:szCs w:val="21"/>
                      <w:highlight w:val="none"/>
                    </w:rPr>
                    <w:t>3</w:t>
                  </w:r>
                </w:p>
              </w:tc>
              <w:tc>
                <w:tcPr>
                  <w:tcW w:w="1794" w:type="dxa"/>
                  <w:shd w:val="clear" w:color="auto" w:fill="auto"/>
                  <w:vAlign w:val="center"/>
                </w:tcPr>
                <w:p>
                  <w:pPr>
                    <w:pStyle w:val="2"/>
                    <w:spacing w:line="240" w:lineRule="auto"/>
                    <w:ind w:firstLine="0" w:firstLineChars="0"/>
                    <w:jc w:val="center"/>
                    <w:rPr>
                      <w:rFonts w:hint="eastAsia" w:eastAsia="宋体" w:cs="Times New Roman"/>
                      <w:color w:val="auto"/>
                      <w:sz w:val="21"/>
                      <w:szCs w:val="21"/>
                      <w:highlight w:val="none"/>
                      <w:lang w:eastAsia="zh-CN"/>
                    </w:rPr>
                  </w:pPr>
                  <w:r>
                    <w:rPr>
                      <w:rFonts w:cs="Times New Roman"/>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7</w:t>
                  </w:r>
                </w:p>
              </w:tc>
              <w:tc>
                <w:tcPr>
                  <w:tcW w:w="1070" w:type="dxa"/>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环境保护措施</w:t>
                  </w:r>
                </w:p>
              </w:tc>
              <w:tc>
                <w:tcPr>
                  <w:tcW w:w="2712" w:type="dxa"/>
                  <w:shd w:val="clear" w:color="auto" w:fill="auto"/>
                  <w:vAlign w:val="center"/>
                </w:tcPr>
                <w:p>
                  <w:pPr>
                    <w:spacing w:line="240" w:lineRule="auto"/>
                    <w:ind w:firstLine="420"/>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废气：项目打砂产生的废气，经过一套“旋风分离器+滤筒除尘器”处理后，通过1根22m高排气筒排放（DA035）。</w:t>
                  </w:r>
                </w:p>
                <w:p>
                  <w:pPr>
                    <w:spacing w:line="240" w:lineRule="auto"/>
                    <w:ind w:firstLine="420"/>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废水：项目无新增员工，无新增生活污水产生、排放；项目不涉及工艺废水产生、排放。</w:t>
                  </w:r>
                </w:p>
              </w:tc>
              <w:tc>
                <w:tcPr>
                  <w:tcW w:w="2670" w:type="dxa"/>
                  <w:shd w:val="clear" w:color="auto" w:fill="auto"/>
                  <w:vAlign w:val="center"/>
                </w:tcPr>
                <w:p>
                  <w:pPr>
                    <w:spacing w:line="240" w:lineRule="auto"/>
                    <w:ind w:firstLine="420"/>
                    <w:rPr>
                      <w:rFonts w:hint="eastAsia"/>
                      <w:color w:val="auto"/>
                      <w:sz w:val="21"/>
                      <w:szCs w:val="21"/>
                      <w:highlight w:val="none"/>
                    </w:rPr>
                  </w:pPr>
                  <w:r>
                    <w:rPr>
                      <w:rFonts w:hint="eastAsia"/>
                      <w:color w:val="auto"/>
                      <w:sz w:val="21"/>
                      <w:szCs w:val="21"/>
                      <w:highlight w:val="none"/>
                    </w:rPr>
                    <w:t>废气：项目打砂产生的废气，经过一套“旋风分离器+滤筒除尘器”处理后，通过1根22m高排气筒排放（DA035）。</w:t>
                  </w:r>
                </w:p>
                <w:p>
                  <w:pPr>
                    <w:spacing w:line="240" w:lineRule="auto"/>
                    <w:ind w:firstLine="420"/>
                    <w:rPr>
                      <w:color w:val="auto"/>
                      <w:sz w:val="21"/>
                      <w:szCs w:val="21"/>
                      <w:highlight w:val="none"/>
                    </w:rPr>
                  </w:pPr>
                  <w:r>
                    <w:rPr>
                      <w:rFonts w:hint="eastAsia"/>
                      <w:color w:val="auto"/>
                      <w:sz w:val="21"/>
                      <w:szCs w:val="21"/>
                      <w:highlight w:val="none"/>
                    </w:rPr>
                    <w:t>废水：项目无新增员工，无新增生活污水产生、排放；项目不涉及工艺废水产生、排放。</w:t>
                  </w:r>
                </w:p>
              </w:tc>
              <w:tc>
                <w:tcPr>
                  <w:tcW w:w="1794" w:type="dxa"/>
                  <w:shd w:val="clear" w:color="auto" w:fill="auto"/>
                  <w:vAlign w:val="center"/>
                </w:tcPr>
                <w:p>
                  <w:pPr>
                    <w:spacing w:line="240" w:lineRule="auto"/>
                    <w:ind w:firstLine="0" w:firstLineChars="0"/>
                    <w:jc w:val="center"/>
                    <w:rPr>
                      <w:color w:val="auto"/>
                      <w:sz w:val="21"/>
                      <w:szCs w:val="21"/>
                      <w:highlight w:val="none"/>
                    </w:rPr>
                  </w:pPr>
                  <w:r>
                    <w:rPr>
                      <w:rFonts w:cs="Times New Roman"/>
                      <w:color w:val="auto"/>
                      <w:sz w:val="21"/>
                      <w:szCs w:val="21"/>
                      <w:highlight w:val="none"/>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8</w:t>
                  </w:r>
                </w:p>
              </w:tc>
              <w:tc>
                <w:tcPr>
                  <w:tcW w:w="1070" w:type="dxa"/>
                  <w:shd w:val="clear" w:color="auto" w:fill="auto"/>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固体废物</w:t>
                  </w:r>
                </w:p>
              </w:tc>
              <w:tc>
                <w:tcPr>
                  <w:tcW w:w="2712" w:type="dxa"/>
                  <w:shd w:val="clear" w:color="auto" w:fill="auto"/>
                  <w:vAlign w:val="center"/>
                </w:tcPr>
                <w:p>
                  <w:pPr>
                    <w:spacing w:line="240" w:lineRule="auto"/>
                    <w:ind w:firstLine="420"/>
                    <w:rPr>
                      <w:color w:val="auto"/>
                      <w:sz w:val="21"/>
                      <w:szCs w:val="21"/>
                      <w:highlight w:val="none"/>
                    </w:rPr>
                  </w:pPr>
                  <w:r>
                    <w:rPr>
                      <w:rFonts w:hint="eastAsia"/>
                      <w:color w:val="auto"/>
                      <w:sz w:val="21"/>
                      <w:szCs w:val="21"/>
                      <w:highlight w:val="none"/>
                    </w:rPr>
                    <w:t>主要是打砂过程中砂尘分离器分离出的金属氧化皮碎片和破碎的钢砂（以破碎的钢砂为主），旋风分离器和滤筒除尘器收集的粉尘及废滤筒，和现有项目打砂房产生同类固废一起由厂区集中处理。</w:t>
                  </w:r>
                </w:p>
              </w:tc>
              <w:tc>
                <w:tcPr>
                  <w:tcW w:w="2670" w:type="dxa"/>
                  <w:shd w:val="clear" w:color="auto" w:fill="auto"/>
                  <w:vAlign w:val="center"/>
                </w:tcPr>
                <w:p>
                  <w:pPr>
                    <w:spacing w:line="240" w:lineRule="auto"/>
                    <w:ind w:firstLine="420"/>
                    <w:rPr>
                      <w:color w:val="auto"/>
                      <w:sz w:val="21"/>
                      <w:szCs w:val="21"/>
                      <w:highlight w:val="none"/>
                    </w:rPr>
                  </w:pPr>
                  <w:r>
                    <w:rPr>
                      <w:rFonts w:hint="eastAsia"/>
                      <w:color w:val="auto"/>
                      <w:sz w:val="21"/>
                      <w:szCs w:val="21"/>
                      <w:highlight w:val="none"/>
                    </w:rPr>
                    <w:t>主要是打砂过程中砂尘分离器分离出的金属氧化皮碎片和破碎的钢砂（以破碎的钢砂为主），旋风分离器和滤筒除尘器收集的粉尘及废滤筒，和现有项目打砂房产生同类固废一起由厂区集中处理。</w:t>
                  </w:r>
                </w:p>
              </w:tc>
              <w:tc>
                <w:tcPr>
                  <w:tcW w:w="1794"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与环评一致</w:t>
                  </w:r>
                </w:p>
              </w:tc>
            </w:tr>
          </w:tbl>
          <w:p>
            <w:pPr>
              <w:pStyle w:val="2"/>
              <w:rPr>
                <w:rFonts w:hint="eastAsia" w:cs="Times New Roman"/>
                <w:color w:val="auto"/>
                <w:szCs w:val="24"/>
                <w:highlight w:val="none"/>
              </w:rPr>
            </w:pPr>
            <w:r>
              <w:rPr>
                <w:rFonts w:hint="eastAsia" w:cs="Times New Roman"/>
                <w:color w:val="auto"/>
                <w:szCs w:val="24"/>
                <w:highlight w:val="none"/>
              </w:rPr>
              <w:t>与环评相较，该项目实际建设过程中项目的性质、规模、地点、运营工艺等内容与环评基本一致。</w:t>
            </w:r>
          </w:p>
          <w:p>
            <w:pPr>
              <w:pStyle w:val="2"/>
              <w:rPr>
                <w:rFonts w:hint="eastAsia" w:eastAsia="宋体" w:cs="Times New Roman"/>
                <w:color w:val="auto"/>
                <w:szCs w:val="24"/>
                <w:highlight w:val="none"/>
                <w:lang w:eastAsia="zh-CN"/>
              </w:rPr>
            </w:pPr>
            <w:r>
              <w:rPr>
                <w:rFonts w:hint="eastAsia" w:cs="Times New Roman"/>
                <w:color w:val="auto"/>
                <w:szCs w:val="24"/>
                <w:highlight w:val="none"/>
                <w:lang w:eastAsia="zh-CN"/>
              </w:rPr>
              <w:t>根据《中华人民共和国环境影响评价法》和关于印发《污染影响类建设项目重大变动清单（试行）》的通知（环办环评函[2020]688号）等的有关规定，项目性质、实际建设地点、生产工艺、防治污染的措施与环评基本一致，不属于重大变动，应纳入竣工环境保护验收管理。</w:t>
            </w:r>
          </w:p>
          <w:p>
            <w:pPr>
              <w:numPr>
                <w:ilvl w:val="0"/>
                <w:numId w:val="3"/>
              </w:numPr>
              <w:ind w:firstLine="482"/>
              <w:rPr>
                <w:b/>
                <w:bCs/>
                <w:color w:val="auto"/>
                <w:highlight w:val="none"/>
              </w:rPr>
            </w:pPr>
            <w:r>
              <w:rPr>
                <w:b/>
                <w:bCs/>
                <w:color w:val="auto"/>
                <w:highlight w:val="none"/>
              </w:rPr>
              <w:t>工艺流程</w:t>
            </w:r>
          </w:p>
          <w:p>
            <w:pPr>
              <w:ind w:firstLine="482"/>
              <w:rPr>
                <w:b/>
                <w:bCs/>
                <w:color w:val="auto"/>
                <w:highlight w:val="none"/>
              </w:rPr>
            </w:pPr>
            <w:r>
              <w:rPr>
                <w:b/>
                <w:bCs/>
                <w:color w:val="auto"/>
                <w:highlight w:val="none"/>
              </w:rPr>
              <w:t>（一）施工期</w:t>
            </w:r>
          </w:p>
          <w:p>
            <w:pPr>
              <w:pStyle w:val="54"/>
              <w:widowControl/>
              <w:rPr>
                <w:color w:val="auto"/>
                <w:highlight w:val="none"/>
              </w:rPr>
            </w:pPr>
            <w:r>
              <w:rPr>
                <w:color w:val="auto"/>
                <w:highlight w:val="none"/>
              </w:rPr>
              <w:t>本项目施工期</w:t>
            </w:r>
            <w:r>
              <w:rPr>
                <w:rFonts w:hint="eastAsia"/>
                <w:color w:val="auto"/>
                <w:highlight w:val="none"/>
                <w:lang w:eastAsia="zh-CN"/>
              </w:rPr>
              <w:t>已结束，</w:t>
            </w:r>
            <w:r>
              <w:rPr>
                <w:color w:val="auto"/>
                <w:highlight w:val="none"/>
              </w:rPr>
              <w:t>不做分析。</w:t>
            </w:r>
          </w:p>
          <w:p>
            <w:pPr>
              <w:adjustRightInd w:val="0"/>
              <w:snapToGrid w:val="0"/>
              <w:ind w:firstLine="482"/>
              <w:jc w:val="left"/>
              <w:rPr>
                <w:b/>
                <w:bCs/>
                <w:color w:val="auto"/>
                <w:highlight w:val="none"/>
              </w:rPr>
            </w:pPr>
            <w:r>
              <w:rPr>
                <w:b/>
                <w:bCs/>
                <w:color w:val="auto"/>
                <w:highlight w:val="none"/>
              </w:rPr>
              <w:t>（二）运营期</w:t>
            </w:r>
          </w:p>
          <w:p>
            <w:pPr>
              <w:pStyle w:val="35"/>
              <w:numPr>
                <w:ilvl w:val="0"/>
                <w:numId w:val="0"/>
              </w:numPr>
              <w:jc w:val="center"/>
            </w:pPr>
            <w:r>
              <w:object>
                <v:shape id="_x0000_i1025" o:spt="75" type="#_x0000_t75" style="height:99.15pt;width:400pt;" o:ole="t" filled="f" o:preferrelative="t" stroked="f" coordsize="21600,21600">
                  <v:path/>
                  <v:fill on="f" focussize="0,0"/>
                  <v:stroke on="f"/>
                  <v:imagedata r:id="rId9" o:title=""/>
                  <o:lock v:ext="edit" aspectratio="f"/>
                  <w10:wrap type="none"/>
                  <w10:anchorlock/>
                </v:shape>
                <o:OLEObject Type="Embed" ProgID="Visio.Drawing.15" ShapeID="_x0000_i1025" DrawAspect="Content" ObjectID="_1468075725" r:id="rId8">
                  <o:LockedField>false</o:LockedField>
                </o:OLEObject>
              </w:object>
            </w:r>
          </w:p>
          <w:p>
            <w:pPr>
              <w:pStyle w:val="35"/>
              <w:numPr>
                <w:ilvl w:val="0"/>
                <w:numId w:val="0"/>
              </w:numPr>
              <w:jc w:val="center"/>
              <w:rPr>
                <w:rFonts w:hint="default" w:ascii="Times New Roman" w:hAnsi="Times New Roman" w:cs="Times New Roman"/>
                <w:b/>
                <w:bCs/>
                <w:sz w:val="24"/>
                <w:szCs w:val="24"/>
                <w:lang w:val="en-US" w:eastAsia="zh-CN"/>
              </w:rPr>
            </w:pPr>
            <w:r>
              <w:rPr>
                <w:b/>
                <w:bCs/>
                <w:color w:val="auto"/>
                <w:szCs w:val="32"/>
                <w:highlight w:val="none"/>
              </w:rPr>
              <w:t>图</w:t>
            </w:r>
            <w:r>
              <w:rPr>
                <w:rFonts w:hint="eastAsia"/>
                <w:b/>
                <w:bCs/>
                <w:color w:val="auto"/>
                <w:szCs w:val="32"/>
                <w:highlight w:val="none"/>
              </w:rPr>
              <w:t>2-</w:t>
            </w:r>
            <w:r>
              <w:rPr>
                <w:rFonts w:hint="eastAsia"/>
                <w:b/>
                <w:bCs/>
                <w:color w:val="auto"/>
                <w:szCs w:val="32"/>
                <w:highlight w:val="none"/>
                <w:lang w:val="en-US" w:eastAsia="zh-CN"/>
              </w:rPr>
              <w:t>1</w:t>
            </w:r>
            <w:r>
              <w:rPr>
                <w:rFonts w:hint="default" w:ascii="Times New Roman" w:hAnsi="Times New Roman" w:cs="Times New Roman"/>
                <w:b/>
                <w:bCs/>
                <w:sz w:val="24"/>
                <w:szCs w:val="24"/>
                <w:lang w:val="en-US" w:eastAsia="zh-CN"/>
              </w:rPr>
              <w:t xml:space="preserve">  项目生产工艺流程图</w:t>
            </w:r>
          </w:p>
          <w:p>
            <w:pPr>
              <w:pStyle w:val="35"/>
              <w:numPr>
                <w:ilvl w:val="0"/>
                <w:numId w:val="0"/>
              </w:numPr>
              <w:spacing w:line="360" w:lineRule="auto"/>
              <w:ind w:firstLine="480" w:firstLineChars="200"/>
              <w:jc w:val="both"/>
              <w:rPr>
                <w:rFonts w:hint="default" w:ascii="Times New Roman" w:hAnsi="Times New Roman" w:cs="Times New Roman"/>
                <w:b w:val="0"/>
                <w:bCs w:val="0"/>
                <w:sz w:val="24"/>
                <w:szCs w:val="24"/>
                <w:lang w:val="en-US" w:eastAsia="zh-CN"/>
              </w:rPr>
            </w:pPr>
            <w:r>
              <w:rPr>
                <w:rFonts w:hint="eastAsia" w:cs="Times New Roman"/>
                <w:b w:val="0"/>
                <w:bCs w:val="0"/>
                <w:sz w:val="24"/>
                <w:szCs w:val="24"/>
                <w:lang w:val="en-US" w:eastAsia="zh-CN"/>
              </w:rPr>
              <w:t>打砂房</w:t>
            </w:r>
            <w:r>
              <w:rPr>
                <w:rFonts w:hint="default" w:ascii="Times New Roman" w:hAnsi="Times New Roman" w:cs="Times New Roman"/>
                <w:b w:val="0"/>
                <w:bCs w:val="0"/>
                <w:sz w:val="24"/>
                <w:szCs w:val="24"/>
                <w:lang w:val="en-US" w:eastAsia="zh-CN"/>
              </w:rPr>
              <w:t>基本工艺流程简述：砂料自动循环、通过开关控制自动向罐体加砂、室内通过侧部吸尘口自动除尘。</w:t>
            </w:r>
          </w:p>
          <w:p>
            <w:pPr>
              <w:pStyle w:val="2"/>
              <w:ind w:left="0" w:leftChars="0" w:firstLine="0" w:firstLineChars="0"/>
              <w:jc w:val="center"/>
              <w:rPr>
                <w:rFonts w:hint="default" w:ascii="Times New Roman" w:hAnsi="Times New Roman" w:eastAsia="宋体" w:cs="Times New Roman"/>
                <w:color w:val="auto"/>
                <w:sz w:val="24"/>
              </w:rPr>
            </w:pPr>
            <w:r>
              <w:rPr>
                <w:rFonts w:hint="eastAsia" w:ascii="Times New Roman" w:hAnsi="Times New Roman" w:eastAsia="宋体" w:cs="Times New Roman"/>
                <w:b w:val="0"/>
                <w:bCs w:val="0"/>
                <w:color w:val="auto"/>
                <w:sz w:val="24"/>
                <w:szCs w:val="24"/>
                <w:lang w:val="en-US" w:eastAsia="zh-CN"/>
              </w:rPr>
              <w:object>
                <v:shape id="_x0000_i1026" o:spt="75" type="#_x0000_t75" style="height:237.2pt;width:415.6pt;" o:ole="t" filled="f" o:preferrelative="t" stroked="f" coordsize="21600,21600">
                  <v:path/>
                  <v:fill on="f" focussize="0,0"/>
                  <v:stroke on="f"/>
                  <v:imagedata r:id="rId11" o:title=""/>
                  <o:lock v:ext="edit" aspectratio="f"/>
                  <w10:wrap type="none"/>
                  <w10:anchorlock/>
                </v:shape>
                <o:OLEObject Type="Embed" ProgID="Visio.Drawing.11" ShapeID="_x0000_i1026" DrawAspect="Content" ObjectID="_1468075726" r:id="rId10">
                  <o:LockedField>false</o:LockedField>
                </o:OLEObject>
              </w:object>
            </w:r>
          </w:p>
          <w:p>
            <w:pPr>
              <w:pStyle w:val="2"/>
              <w:ind w:left="0" w:leftChars="0" w:firstLine="0" w:firstLineChars="0"/>
              <w:jc w:val="center"/>
              <w:rPr>
                <w:rFonts w:hint="eastAsia" w:ascii="Times New Roman" w:hAnsi="Times New Roman" w:eastAsia="宋体" w:cs="Times New Roman"/>
                <w:b/>
                <w:color w:val="auto"/>
                <w:sz w:val="24"/>
                <w:szCs w:val="24"/>
                <w:lang w:eastAsia="zh-CN"/>
              </w:rPr>
            </w:pPr>
            <w:r>
              <w:rPr>
                <w:b/>
                <w:bCs/>
                <w:color w:val="auto"/>
                <w:szCs w:val="32"/>
                <w:highlight w:val="none"/>
              </w:rPr>
              <w:t>图</w:t>
            </w:r>
            <w:r>
              <w:rPr>
                <w:rFonts w:hint="eastAsia"/>
                <w:b/>
                <w:bCs/>
                <w:color w:val="auto"/>
                <w:szCs w:val="32"/>
                <w:highlight w:val="none"/>
              </w:rPr>
              <w:t>2-</w:t>
            </w:r>
            <w:r>
              <w:rPr>
                <w:rFonts w:hint="eastAsia"/>
                <w:b/>
                <w:bCs/>
                <w:color w:val="auto"/>
                <w:szCs w:val="32"/>
                <w:highlight w:val="none"/>
                <w:lang w:val="en-US" w:eastAsia="zh-CN"/>
              </w:rPr>
              <w:t xml:space="preserve">2  </w:t>
            </w:r>
            <w:r>
              <w:rPr>
                <w:rFonts w:hint="eastAsia" w:cs="Times New Roman"/>
                <w:b/>
                <w:color w:val="auto"/>
                <w:sz w:val="24"/>
                <w:szCs w:val="24"/>
                <w:lang w:eastAsia="zh-CN"/>
              </w:rPr>
              <w:t>打砂工艺流程图</w:t>
            </w:r>
          </w:p>
          <w:p>
            <w:pPr>
              <w:pStyle w:val="2"/>
              <w:spacing w:line="360" w:lineRule="auto"/>
              <w:ind w:left="0" w:leftChars="0" w:firstLine="480" w:firstLineChars="200"/>
              <w:rPr>
                <w:rFonts w:hint="eastAsia" w:ascii="Times New Roman" w:hAnsi="Times New Roman" w:eastAsia="宋体" w:cs="Times New Roman"/>
                <w:b w:val="0"/>
                <w:bCs w:val="0"/>
                <w:color w:val="auto"/>
                <w:sz w:val="24"/>
                <w:szCs w:val="24"/>
                <w:lang w:val="en-US" w:eastAsia="zh-CN"/>
              </w:rPr>
            </w:pPr>
            <w:r>
              <w:rPr>
                <w:rFonts w:hint="eastAsia" w:ascii="Times New Roman" w:hAnsi="Times New Roman" w:cs="Times New Roman"/>
                <w:b w:val="0"/>
                <w:bCs w:val="0"/>
                <w:color w:val="auto"/>
                <w:sz w:val="24"/>
                <w:szCs w:val="24"/>
                <w:lang w:val="en-US" w:eastAsia="zh-CN"/>
              </w:rPr>
              <w:t>打</w:t>
            </w:r>
            <w:r>
              <w:rPr>
                <w:rFonts w:hint="eastAsia" w:ascii="Times New Roman" w:hAnsi="Times New Roman" w:eastAsia="宋体" w:cs="Times New Roman"/>
                <w:b w:val="0"/>
                <w:bCs w:val="0"/>
                <w:color w:val="auto"/>
                <w:sz w:val="24"/>
                <w:szCs w:val="24"/>
                <w:lang w:val="en-US" w:eastAsia="zh-CN"/>
              </w:rPr>
              <w:t>砂：将车体交检后</w:t>
            </w:r>
            <w:r>
              <w:rPr>
                <w:rFonts w:hint="eastAsia" w:ascii="Times New Roman" w:hAnsi="Times New Roman" w:cs="Times New Roman"/>
                <w:b w:val="0"/>
                <w:bCs w:val="0"/>
                <w:color w:val="auto"/>
                <w:sz w:val="24"/>
                <w:szCs w:val="24"/>
                <w:lang w:val="en-US" w:eastAsia="zh-CN"/>
              </w:rPr>
              <w:t>需</w:t>
            </w:r>
            <w:r>
              <w:rPr>
                <w:rFonts w:hint="eastAsia" w:ascii="Times New Roman" w:hAnsi="Times New Roman" w:eastAsia="宋体" w:cs="Times New Roman"/>
                <w:b w:val="0"/>
                <w:bCs w:val="0"/>
                <w:color w:val="auto"/>
                <w:sz w:val="24"/>
                <w:szCs w:val="24"/>
                <w:lang w:val="en-US" w:eastAsia="zh-CN"/>
              </w:rPr>
              <w:t>局部返修</w:t>
            </w:r>
            <w:r>
              <w:rPr>
                <w:rFonts w:hint="eastAsia" w:ascii="Times New Roman" w:hAnsi="Times New Roman" w:cs="Times New Roman"/>
                <w:b w:val="0"/>
                <w:bCs w:val="0"/>
                <w:color w:val="auto"/>
                <w:sz w:val="24"/>
                <w:szCs w:val="24"/>
                <w:lang w:val="en-US" w:eastAsia="zh-CN"/>
              </w:rPr>
              <w:t>的工件</w:t>
            </w:r>
            <w:r>
              <w:rPr>
                <w:rFonts w:hint="eastAsia" w:ascii="Times New Roman" w:hAnsi="Times New Roman" w:eastAsia="宋体" w:cs="Times New Roman"/>
                <w:b w:val="0"/>
                <w:bCs w:val="0"/>
                <w:color w:val="auto"/>
                <w:sz w:val="24"/>
                <w:szCs w:val="24"/>
                <w:lang w:val="en-US" w:eastAsia="zh-CN"/>
              </w:rPr>
              <w:t>置于</w:t>
            </w:r>
            <w:r>
              <w:rPr>
                <w:rFonts w:hint="eastAsia" w:ascii="Times New Roman" w:hAnsi="Times New Roman" w:cs="Times New Roman"/>
                <w:b w:val="0"/>
                <w:bCs w:val="0"/>
                <w:color w:val="auto"/>
                <w:sz w:val="24"/>
                <w:szCs w:val="24"/>
                <w:lang w:val="en-US" w:eastAsia="zh-CN"/>
              </w:rPr>
              <w:t>打</w:t>
            </w:r>
            <w:r>
              <w:rPr>
                <w:rFonts w:hint="eastAsia" w:ascii="Times New Roman" w:hAnsi="Times New Roman" w:eastAsia="宋体" w:cs="Times New Roman"/>
                <w:b w:val="0"/>
                <w:bCs w:val="0"/>
                <w:color w:val="auto"/>
                <w:sz w:val="24"/>
                <w:szCs w:val="24"/>
                <w:lang w:val="en-US" w:eastAsia="zh-CN"/>
              </w:rPr>
              <w:t>砂房内。</w:t>
            </w:r>
            <w:r>
              <w:rPr>
                <w:rFonts w:hint="eastAsia" w:ascii="Times New Roman" w:hAnsi="Times New Roman" w:cs="Times New Roman"/>
                <w:b w:val="0"/>
                <w:bCs w:val="0"/>
                <w:color w:val="auto"/>
                <w:sz w:val="24"/>
                <w:szCs w:val="24"/>
                <w:lang w:val="en-US" w:eastAsia="zh-CN"/>
              </w:rPr>
              <w:t>打</w:t>
            </w:r>
            <w:r>
              <w:rPr>
                <w:rFonts w:hint="eastAsia" w:ascii="Times New Roman" w:hAnsi="Times New Roman" w:eastAsia="宋体" w:cs="Times New Roman"/>
                <w:b w:val="0"/>
                <w:bCs w:val="0"/>
                <w:color w:val="auto"/>
                <w:sz w:val="24"/>
                <w:szCs w:val="24"/>
                <w:lang w:val="en-US" w:eastAsia="zh-CN"/>
              </w:rPr>
              <w:t>砂房主要分为</w:t>
            </w:r>
            <w:r>
              <w:rPr>
                <w:rFonts w:hint="eastAsia" w:cs="Times New Roman"/>
                <w:b w:val="0"/>
                <w:bCs w:val="0"/>
                <w:color w:val="auto"/>
                <w:sz w:val="24"/>
                <w:szCs w:val="24"/>
                <w:lang w:val="en-US" w:eastAsia="zh-CN"/>
              </w:rPr>
              <w:t>打</w:t>
            </w:r>
            <w:r>
              <w:rPr>
                <w:rFonts w:hint="eastAsia" w:ascii="Times New Roman" w:hAnsi="Times New Roman" w:eastAsia="宋体" w:cs="Times New Roman"/>
                <w:b w:val="0"/>
                <w:bCs w:val="0"/>
                <w:color w:val="auto"/>
                <w:sz w:val="24"/>
                <w:szCs w:val="24"/>
                <w:lang w:val="en-US" w:eastAsia="zh-CN"/>
              </w:rPr>
              <w:t>砂系统</w:t>
            </w:r>
            <w:r>
              <w:rPr>
                <w:rFonts w:hint="eastAsia" w:ascii="Times New Roman" w:hAnsi="Times New Roman" w:cs="Times New Roman"/>
                <w:b w:val="0"/>
                <w:bCs w:val="0"/>
                <w:color w:val="auto"/>
                <w:sz w:val="24"/>
                <w:szCs w:val="24"/>
                <w:lang w:val="en-US" w:eastAsia="zh-CN"/>
              </w:rPr>
              <w:t>、</w:t>
            </w:r>
            <w:r>
              <w:rPr>
                <w:rFonts w:hint="eastAsia" w:ascii="Times New Roman" w:hAnsi="Times New Roman" w:eastAsia="宋体" w:cs="Times New Roman"/>
                <w:b w:val="0"/>
                <w:bCs w:val="0"/>
                <w:color w:val="auto"/>
                <w:sz w:val="24"/>
                <w:szCs w:val="24"/>
                <w:lang w:val="en-US" w:eastAsia="zh-CN"/>
              </w:rPr>
              <w:t>砂料回收、分离系统，除尘系统。</w:t>
            </w:r>
          </w:p>
          <w:p>
            <w:pPr>
              <w:pStyle w:val="2"/>
              <w:spacing w:line="360" w:lineRule="auto"/>
              <w:ind w:left="0" w:leftChars="0" w:firstLine="480" w:firstLineChars="200"/>
              <w:rPr>
                <w:rFonts w:hint="eastAsia"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①</w:t>
            </w:r>
            <w:r>
              <w:rPr>
                <w:rFonts w:hint="eastAsia" w:ascii="Times New Roman" w:hAnsi="Times New Roman" w:cs="Times New Roman"/>
                <w:b w:val="0"/>
                <w:bCs w:val="0"/>
                <w:color w:val="auto"/>
                <w:sz w:val="24"/>
                <w:szCs w:val="24"/>
                <w:lang w:val="en-US" w:eastAsia="zh-CN"/>
              </w:rPr>
              <w:t>打</w:t>
            </w:r>
            <w:r>
              <w:rPr>
                <w:rFonts w:hint="eastAsia" w:ascii="Times New Roman" w:hAnsi="Times New Roman" w:eastAsia="宋体" w:cs="Times New Roman"/>
                <w:b w:val="0"/>
                <w:bCs w:val="0"/>
                <w:color w:val="auto"/>
                <w:sz w:val="24"/>
                <w:szCs w:val="24"/>
                <w:lang w:val="en-US" w:eastAsia="zh-CN"/>
              </w:rPr>
              <w:t>砂系统的工作原理是：采用压入式喷砂机，在工作状态时，喷砂罐上组合阀动作，将喷砂罐上部封砂顶锥顶起，压缩空气进入喷砂罐内开始充压；同时喷砂罐底部砂阀打开，助推气流控制阀打开，喷砂罐内已经充满的压缩空气强行将砂料从砂阀进砂口压出至出砂口，砂料经助推气流加速后混合物通过喷砂胶管压至高速喷枪内，经高速喷枪进一步加速至超音速，砂料以很高速度喷射待喷工件表面，进行表面清理和强化作业。</w:t>
            </w:r>
          </w:p>
          <w:p>
            <w:pPr>
              <w:pStyle w:val="2"/>
              <w:spacing w:line="360" w:lineRule="auto"/>
              <w:ind w:left="0" w:leftChars="0" w:firstLine="480" w:firstLineChars="200"/>
              <w:rPr>
                <w:rFonts w:hint="eastAsia"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在工作状态时，容器里压缩空气和砂料边混合边喷射，这样使压缩空气得到充分利用，空气的流量和砂料的流量便于调节，能得到理想的混合比，能源和砂料消耗少，研扫效率高，适用于船舶制造，飞机、机车车辆、桥梁、化工等行业金属表面大面积清理除锈。</w:t>
            </w:r>
          </w:p>
          <w:p>
            <w:pPr>
              <w:pStyle w:val="2"/>
              <w:spacing w:line="360" w:lineRule="auto"/>
              <w:ind w:left="0" w:leftChars="0" w:firstLine="480" w:firstLineChars="200"/>
              <w:rPr>
                <w:rFonts w:hint="eastAsia"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②砂料回收、分离系统的工作原理是：喷砂工作时喷射出来的</w:t>
            </w:r>
            <w:r>
              <w:rPr>
                <w:rFonts w:hint="eastAsia" w:cs="Times New Roman"/>
                <w:b w:val="0"/>
                <w:bCs w:val="0"/>
                <w:color w:val="auto"/>
                <w:sz w:val="24"/>
                <w:szCs w:val="24"/>
                <w:lang w:val="en-US" w:eastAsia="zh-CN"/>
              </w:rPr>
              <w:t>砂丸</w:t>
            </w:r>
            <w:r>
              <w:rPr>
                <w:rFonts w:hint="eastAsia" w:ascii="Times New Roman" w:hAnsi="Times New Roman" w:eastAsia="宋体" w:cs="Times New Roman"/>
                <w:b w:val="0"/>
                <w:bCs w:val="0"/>
                <w:color w:val="auto"/>
                <w:sz w:val="24"/>
                <w:szCs w:val="24"/>
                <w:lang w:val="en-US" w:eastAsia="zh-CN"/>
              </w:rPr>
              <w:t>落入底部</w:t>
            </w:r>
            <w:r>
              <w:rPr>
                <w:rFonts w:hint="eastAsia" w:cs="Times New Roman"/>
                <w:b w:val="0"/>
                <w:bCs w:val="0"/>
                <w:color w:val="auto"/>
                <w:sz w:val="24"/>
                <w:szCs w:val="24"/>
                <w:lang w:val="en-US" w:eastAsia="zh-CN"/>
              </w:rPr>
              <w:t>东西</w:t>
            </w:r>
            <w:r>
              <w:rPr>
                <w:rFonts w:hint="eastAsia" w:ascii="Times New Roman" w:hAnsi="Times New Roman" w:eastAsia="宋体" w:cs="Times New Roman"/>
                <w:b w:val="0"/>
                <w:bCs w:val="0"/>
                <w:color w:val="auto"/>
                <w:sz w:val="24"/>
                <w:szCs w:val="24"/>
                <w:lang w:val="en-US" w:eastAsia="zh-CN"/>
              </w:rPr>
              <w:t>纵向</w:t>
            </w:r>
            <w:r>
              <w:rPr>
                <w:rFonts w:hint="eastAsia" w:cs="Times New Roman"/>
                <w:b w:val="0"/>
                <w:bCs w:val="0"/>
                <w:color w:val="auto"/>
                <w:sz w:val="24"/>
                <w:szCs w:val="24"/>
                <w:lang w:val="en-US" w:eastAsia="zh-CN"/>
              </w:rPr>
              <w:t>的回砂坑中，在回砂坑两侧铺设斜度45度的挡板成漏斗形状，下方利用防漏砂式传送带将旧砂输送到斗式提升机，通过斗式提升机提升后进入砂尘分离器，扬尘通过除尘管道进入到旋风分离器和滤筒除尘器后通过一根22米高排气筒（DA035）达标排放，排气筒配置爬梯检测平台；由砂尘分离器分离后的砂丸进入储料箱，储料箱下方设置回收加料阀，可控制对打砂罐的加料，同时对于砂尘分离器设置有检修直爬梯和平台，便于维修维护</w:t>
            </w:r>
            <w:r>
              <w:rPr>
                <w:rFonts w:hint="eastAsia" w:ascii="Times New Roman" w:hAnsi="Times New Roman" w:eastAsia="宋体" w:cs="Times New Roman"/>
                <w:b w:val="0"/>
                <w:bCs w:val="0"/>
                <w:color w:val="auto"/>
                <w:sz w:val="24"/>
                <w:szCs w:val="24"/>
                <w:lang w:val="en-US" w:eastAsia="zh-CN"/>
              </w:rPr>
              <w:t>，如此形成</w:t>
            </w:r>
            <w:r>
              <w:rPr>
                <w:rFonts w:hint="eastAsia" w:cs="Times New Roman"/>
                <w:b w:val="0"/>
                <w:bCs w:val="0"/>
                <w:color w:val="auto"/>
                <w:sz w:val="24"/>
                <w:szCs w:val="24"/>
                <w:lang w:val="en-US" w:eastAsia="zh-CN"/>
              </w:rPr>
              <w:t>钢砂</w:t>
            </w:r>
            <w:r>
              <w:rPr>
                <w:rFonts w:hint="eastAsia" w:ascii="Times New Roman" w:hAnsi="Times New Roman" w:eastAsia="宋体" w:cs="Times New Roman"/>
                <w:b w:val="0"/>
                <w:bCs w:val="0"/>
                <w:color w:val="auto"/>
                <w:sz w:val="24"/>
                <w:szCs w:val="24"/>
                <w:lang w:val="en-US" w:eastAsia="zh-CN"/>
              </w:rPr>
              <w:t>循环使用</w:t>
            </w:r>
          </w:p>
          <w:p>
            <w:pPr>
              <w:pStyle w:val="2"/>
              <w:spacing w:line="360" w:lineRule="auto"/>
              <w:ind w:left="0" w:leftChars="0" w:firstLine="480" w:firstLineChars="200"/>
              <w:rPr>
                <w:rFonts w:hint="eastAsia"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③除尘系统的工作原理是：在打砂房无障碍一侧每5米在1.5米高度位置设置1个格栅式吸风口，共计4个，风口设置为</w:t>
            </w:r>
            <w:r>
              <w:rPr>
                <w:rFonts w:hint="default" w:ascii="Times New Roman" w:hAnsi="Times New Roman" w:eastAsia="宋体" w:cs="Times New Roman"/>
                <w:b w:val="0"/>
                <w:bCs w:val="0"/>
                <w:color w:val="auto"/>
                <w:sz w:val="24"/>
                <w:szCs w:val="24"/>
                <w:lang w:val="en-US" w:eastAsia="zh-CN"/>
              </w:rPr>
              <w:t>800mm×800mm</w:t>
            </w:r>
            <w:r>
              <w:rPr>
                <w:rFonts w:hint="eastAsia" w:ascii="Times New Roman" w:hAnsi="Times New Roman" w:eastAsia="宋体" w:cs="Times New Roman"/>
                <w:b w:val="0"/>
                <w:bCs w:val="0"/>
                <w:color w:val="auto"/>
                <w:sz w:val="24"/>
                <w:szCs w:val="24"/>
                <w:lang w:val="en-US" w:eastAsia="zh-CN"/>
              </w:rPr>
              <w:t>，在每个风口支管上设计手动调节风阀用于均衡距离除尘器远端和近端风口的风量</w:t>
            </w:r>
            <w:r>
              <w:rPr>
                <w:rFonts w:hint="eastAsia" w:cs="Times New Roman"/>
                <w:b w:val="0"/>
                <w:bCs w:val="0"/>
                <w:color w:val="auto"/>
                <w:sz w:val="24"/>
                <w:szCs w:val="24"/>
                <w:lang w:val="en-US" w:eastAsia="zh-CN"/>
              </w:rPr>
              <w:t>，将打</w:t>
            </w:r>
            <w:r>
              <w:rPr>
                <w:rFonts w:hint="eastAsia" w:ascii="Times New Roman" w:hAnsi="Times New Roman" w:eastAsia="宋体" w:cs="Times New Roman"/>
                <w:b w:val="0"/>
                <w:bCs w:val="0"/>
                <w:color w:val="auto"/>
                <w:sz w:val="24"/>
                <w:szCs w:val="24"/>
                <w:lang w:val="en-US" w:eastAsia="zh-CN"/>
              </w:rPr>
              <w:t>砂房内的粉尘</w:t>
            </w:r>
            <w:r>
              <w:rPr>
                <w:rFonts w:hint="eastAsia" w:cs="Times New Roman"/>
                <w:b w:val="0"/>
                <w:bCs w:val="0"/>
                <w:color w:val="auto"/>
                <w:sz w:val="24"/>
                <w:szCs w:val="24"/>
                <w:lang w:val="en-US" w:eastAsia="zh-CN"/>
              </w:rPr>
              <w:t>通过一侧设计管道接入到旋风分离器和滤筒式除尘器，在风机的作用下，经过旋风分离器、滤筒除尘器，经排气筒达标排放</w:t>
            </w:r>
          </w:p>
          <w:p>
            <w:pPr>
              <w:ind w:firstLine="480"/>
              <w:rPr>
                <w:rFonts w:hint="eastAsia"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此工序会产生</w:t>
            </w:r>
            <w:r>
              <w:rPr>
                <w:rFonts w:hint="eastAsia" w:cs="Times New Roman"/>
                <w:b w:val="0"/>
                <w:bCs w:val="0"/>
                <w:color w:val="auto"/>
                <w:sz w:val="24"/>
                <w:szCs w:val="24"/>
                <w:lang w:val="en-US" w:eastAsia="zh-CN"/>
              </w:rPr>
              <w:t>打</w:t>
            </w:r>
            <w:r>
              <w:rPr>
                <w:rFonts w:hint="eastAsia" w:ascii="Times New Roman" w:hAnsi="Times New Roman" w:eastAsia="宋体" w:cs="Times New Roman"/>
                <w:b w:val="0"/>
                <w:bCs w:val="0"/>
                <w:color w:val="auto"/>
                <w:sz w:val="24"/>
                <w:szCs w:val="24"/>
                <w:lang w:val="en-US" w:eastAsia="zh-CN"/>
              </w:rPr>
              <w:t>砂粉尘G</w:t>
            </w:r>
            <w:r>
              <w:rPr>
                <w:rFonts w:hint="eastAsia" w:cs="Times New Roman"/>
                <w:b w:val="0"/>
                <w:bCs w:val="0"/>
                <w:color w:val="auto"/>
                <w:sz w:val="24"/>
                <w:szCs w:val="24"/>
                <w:vertAlign w:val="subscript"/>
                <w:lang w:val="en-US" w:eastAsia="zh-CN"/>
              </w:rPr>
              <w:t>1</w:t>
            </w:r>
            <w:r>
              <w:rPr>
                <w:rFonts w:hint="eastAsia" w:ascii="Times New Roman" w:hAnsi="Times New Roman" w:eastAsia="宋体" w:cs="Times New Roman"/>
                <w:b w:val="0"/>
                <w:bCs w:val="0"/>
                <w:color w:val="auto"/>
                <w:sz w:val="24"/>
                <w:szCs w:val="24"/>
                <w:lang w:val="en-US" w:eastAsia="zh-CN"/>
              </w:rPr>
              <w:t>、</w:t>
            </w:r>
            <w:r>
              <w:rPr>
                <w:rFonts w:hint="eastAsia" w:cs="Times New Roman"/>
                <w:b w:val="0"/>
                <w:bCs w:val="0"/>
                <w:color w:val="auto"/>
                <w:sz w:val="24"/>
                <w:szCs w:val="24"/>
                <w:lang w:val="en-US" w:eastAsia="zh-CN"/>
              </w:rPr>
              <w:t>砂尘分离器分离出的金属氧化皮碎片和破碎的钢砂S</w:t>
            </w:r>
            <w:r>
              <w:rPr>
                <w:rFonts w:hint="eastAsia" w:cs="Times New Roman"/>
                <w:b w:val="0"/>
                <w:bCs w:val="0"/>
                <w:color w:val="auto"/>
                <w:sz w:val="24"/>
                <w:szCs w:val="24"/>
                <w:vertAlign w:val="subscript"/>
                <w:lang w:val="en-US" w:eastAsia="zh-CN"/>
              </w:rPr>
              <w:t>1</w:t>
            </w:r>
            <w:r>
              <w:rPr>
                <w:rFonts w:hint="eastAsia" w:cs="Times New Roman"/>
                <w:b w:val="0"/>
                <w:bCs w:val="0"/>
                <w:color w:val="auto"/>
                <w:sz w:val="24"/>
                <w:szCs w:val="24"/>
                <w:vertAlign w:val="baseline"/>
                <w:lang w:val="en-US" w:eastAsia="zh-CN"/>
              </w:rPr>
              <w:t>、旋风分离器和</w:t>
            </w:r>
            <w:r>
              <w:rPr>
                <w:rFonts w:hint="eastAsia" w:ascii="Times New Roman" w:hAnsi="Times New Roman" w:eastAsia="宋体" w:cs="Times New Roman"/>
                <w:b w:val="0"/>
                <w:bCs w:val="0"/>
                <w:color w:val="auto"/>
                <w:sz w:val="24"/>
                <w:szCs w:val="24"/>
                <w:lang w:val="en-US" w:eastAsia="zh-CN"/>
              </w:rPr>
              <w:t>滤筒除尘器收集的粉尘S</w:t>
            </w:r>
            <w:r>
              <w:rPr>
                <w:rFonts w:hint="eastAsia" w:cs="Times New Roman"/>
                <w:b w:val="0"/>
                <w:bCs w:val="0"/>
                <w:color w:val="auto"/>
                <w:sz w:val="24"/>
                <w:szCs w:val="24"/>
                <w:vertAlign w:val="subscript"/>
                <w:lang w:val="en-US" w:eastAsia="zh-CN"/>
              </w:rPr>
              <w:t>2</w:t>
            </w:r>
            <w:r>
              <w:rPr>
                <w:rFonts w:hint="eastAsia" w:ascii="Times New Roman" w:hAnsi="Times New Roman" w:eastAsia="宋体" w:cs="Times New Roman"/>
                <w:b w:val="0"/>
                <w:bCs w:val="0"/>
                <w:color w:val="auto"/>
                <w:sz w:val="24"/>
                <w:szCs w:val="24"/>
                <w:vertAlign w:val="baseline"/>
                <w:lang w:val="en-US" w:eastAsia="zh-CN"/>
              </w:rPr>
              <w:t>、废滤筒S</w:t>
            </w:r>
            <w:r>
              <w:rPr>
                <w:rFonts w:hint="eastAsia" w:cs="Times New Roman"/>
                <w:b w:val="0"/>
                <w:bCs w:val="0"/>
                <w:color w:val="auto"/>
                <w:sz w:val="24"/>
                <w:szCs w:val="24"/>
                <w:vertAlign w:val="subscript"/>
                <w:lang w:val="en-US" w:eastAsia="zh-CN"/>
              </w:rPr>
              <w:t>3</w:t>
            </w:r>
            <w:r>
              <w:rPr>
                <w:rFonts w:hint="eastAsia" w:ascii="Times New Roman" w:hAnsi="Times New Roman" w:eastAsia="宋体" w:cs="Times New Roman"/>
                <w:b w:val="0"/>
                <w:bCs w:val="0"/>
                <w:color w:val="auto"/>
                <w:sz w:val="24"/>
                <w:szCs w:val="24"/>
                <w:lang w:val="en-US" w:eastAsia="zh-CN"/>
              </w:rPr>
              <w:t>及设备运行噪声N。</w:t>
            </w:r>
          </w:p>
          <w:p>
            <w:pPr>
              <w:pStyle w:val="2"/>
              <w:rPr>
                <w:color w:val="auto"/>
                <w:szCs w:val="32"/>
                <w:highlight w:val="none"/>
              </w:rPr>
            </w:pPr>
          </w:p>
        </w:tc>
      </w:tr>
    </w:tbl>
    <w:p>
      <w:pPr>
        <w:snapToGrid w:val="0"/>
        <w:spacing w:line="240" w:lineRule="auto"/>
        <w:ind w:firstLine="0" w:firstLineChars="0"/>
        <w:outlineLvl w:val="0"/>
        <w:rPr>
          <w:b/>
          <w:bCs/>
          <w:color w:val="auto"/>
          <w:sz w:val="30"/>
          <w:szCs w:val="30"/>
          <w:highlight w:val="none"/>
        </w:rPr>
      </w:pPr>
      <w:bookmarkStart w:id="92" w:name="_Toc25077"/>
      <w:r>
        <w:rPr>
          <w:b/>
          <w:bCs/>
          <w:color w:val="auto"/>
          <w:sz w:val="30"/>
          <w:szCs w:val="30"/>
          <w:highlight w:val="none"/>
        </w:rPr>
        <w:br w:type="page"/>
      </w:r>
      <w:bookmarkStart w:id="93" w:name="_Toc23025"/>
      <w:bookmarkStart w:id="94" w:name="_Toc30675"/>
      <w:bookmarkStart w:id="95" w:name="_Toc19597"/>
      <w:bookmarkStart w:id="96" w:name="_Toc16068"/>
      <w:bookmarkStart w:id="97" w:name="_Toc20706"/>
      <w:bookmarkStart w:id="98" w:name="_Toc21063"/>
      <w:bookmarkStart w:id="99" w:name="_Toc26196"/>
      <w:bookmarkStart w:id="100" w:name="_Toc32150"/>
      <w:bookmarkStart w:id="101" w:name="_Toc18497"/>
      <w:bookmarkStart w:id="102" w:name="_Toc8534"/>
      <w:bookmarkStart w:id="103" w:name="_Toc24360"/>
      <w:bookmarkStart w:id="104" w:name="_Toc23661"/>
      <w:bookmarkStart w:id="105" w:name="_Toc19405"/>
      <w:bookmarkStart w:id="106" w:name="_Toc30922"/>
      <w:bookmarkStart w:id="107" w:name="_Toc32320"/>
      <w:bookmarkStart w:id="108" w:name="_Toc3546"/>
      <w:bookmarkStart w:id="109" w:name="_Toc10002"/>
      <w:bookmarkStart w:id="110" w:name="_Toc2599"/>
      <w:bookmarkStart w:id="111" w:name="_Toc17270"/>
      <w:bookmarkStart w:id="112" w:name="_Toc6227"/>
      <w:bookmarkStart w:id="113" w:name="_Toc383"/>
      <w:bookmarkStart w:id="114" w:name="_Toc19092"/>
      <w:bookmarkStart w:id="115" w:name="_Toc31089"/>
      <w:bookmarkStart w:id="116" w:name="_Toc31388"/>
      <w:bookmarkStart w:id="117" w:name="_Toc25850"/>
      <w:bookmarkStart w:id="118" w:name="_Toc27411"/>
      <w:bookmarkStart w:id="119" w:name="_Toc23748"/>
      <w:bookmarkStart w:id="120" w:name="_Toc23704"/>
      <w:bookmarkStart w:id="121" w:name="_Toc22635"/>
      <w:bookmarkStart w:id="122" w:name="_Toc13067"/>
      <w:bookmarkStart w:id="123" w:name="_Toc6506"/>
      <w:bookmarkStart w:id="124" w:name="_Toc16473"/>
      <w:bookmarkStart w:id="125" w:name="_Toc18284"/>
      <w:bookmarkStart w:id="126" w:name="_Toc17651"/>
      <w:bookmarkStart w:id="127" w:name="_Toc30645"/>
      <w:bookmarkStart w:id="128" w:name="_Toc21179"/>
      <w:bookmarkStart w:id="129" w:name="_Toc23355"/>
      <w:bookmarkStart w:id="130" w:name="_Toc7280"/>
      <w:bookmarkStart w:id="131" w:name="_Toc9551"/>
      <w:bookmarkStart w:id="132" w:name="_Toc21331"/>
      <w:bookmarkStart w:id="133" w:name="_Toc30786"/>
      <w:bookmarkStart w:id="134" w:name="_Toc31085"/>
      <w:bookmarkStart w:id="135" w:name="_Toc25722"/>
      <w:r>
        <w:rPr>
          <w:b/>
          <w:bCs/>
          <w:color w:val="auto"/>
          <w:sz w:val="30"/>
          <w:szCs w:val="30"/>
          <w:highlight w:val="none"/>
        </w:rPr>
        <w:t>表3  主要污染源、污染物处理和排放情况</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tbl>
      <w:tblPr>
        <w:tblStyle w:val="28"/>
        <w:tblpPr w:leftFromText="180" w:rightFromText="180" w:vertAnchor="text" w:horzAnchor="margin" w:tblpXSpec="center" w:tblpY="158"/>
        <w:tblW w:w="5061" w:type="pct"/>
        <w:tblInd w:w="51"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90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pStyle w:val="2"/>
              <w:ind w:firstLine="482"/>
              <w:rPr>
                <w:rFonts w:cs="Times New Roman"/>
                <w:b/>
                <w:bCs/>
                <w:color w:val="auto"/>
                <w:szCs w:val="24"/>
                <w:highlight w:val="none"/>
              </w:rPr>
            </w:pPr>
            <w:r>
              <w:rPr>
                <w:rFonts w:cs="Times New Roman"/>
                <w:b/>
                <w:bCs/>
                <w:color w:val="auto"/>
                <w:szCs w:val="24"/>
                <w:highlight w:val="none"/>
              </w:rPr>
              <w:t>一、主要污染源的产生</w:t>
            </w:r>
          </w:p>
          <w:p>
            <w:pPr>
              <w:pStyle w:val="2"/>
              <w:ind w:firstLine="482"/>
              <w:rPr>
                <w:rFonts w:cs="Times New Roman"/>
                <w:b/>
                <w:bCs/>
                <w:color w:val="auto"/>
                <w:szCs w:val="24"/>
                <w:highlight w:val="none"/>
              </w:rPr>
            </w:pPr>
            <w:r>
              <w:rPr>
                <w:rFonts w:cs="Times New Roman"/>
                <w:b/>
                <w:bCs/>
                <w:color w:val="auto"/>
                <w:szCs w:val="24"/>
                <w:highlight w:val="none"/>
              </w:rPr>
              <w:t>1、废气</w:t>
            </w:r>
          </w:p>
          <w:p>
            <w:pPr>
              <w:pStyle w:val="2"/>
              <w:snapToGrid w:val="0"/>
              <w:rPr>
                <w:rFonts w:cs="Times New Roman"/>
                <w:color w:val="auto"/>
                <w:szCs w:val="24"/>
                <w:highlight w:val="none"/>
              </w:rPr>
            </w:pPr>
            <w:r>
              <w:rPr>
                <w:rFonts w:hint="eastAsia" w:cs="Times New Roman"/>
                <w:color w:val="auto"/>
                <w:szCs w:val="24"/>
                <w:highlight w:val="none"/>
              </w:rPr>
              <w:t>项目产生的废气主要是打砂过程中产生的打砂粉尘。</w:t>
            </w:r>
          </w:p>
          <w:p>
            <w:pPr>
              <w:ind w:firstLine="482"/>
              <w:rPr>
                <w:b/>
                <w:bCs/>
                <w:color w:val="auto"/>
                <w:highlight w:val="none"/>
              </w:rPr>
            </w:pPr>
            <w:r>
              <w:rPr>
                <w:b/>
                <w:bCs/>
                <w:color w:val="auto"/>
                <w:highlight w:val="none"/>
              </w:rPr>
              <w:t>2、废水</w:t>
            </w:r>
          </w:p>
          <w:p>
            <w:pPr>
              <w:pStyle w:val="2"/>
              <w:rPr>
                <w:rFonts w:hint="eastAsia" w:cs="Times New Roman"/>
                <w:color w:val="auto"/>
                <w:kern w:val="0"/>
                <w:szCs w:val="24"/>
                <w:highlight w:val="none"/>
                <w:lang w:bidi="ar"/>
              </w:rPr>
            </w:pPr>
            <w:r>
              <w:rPr>
                <w:rFonts w:hint="eastAsia" w:cs="Times New Roman"/>
                <w:color w:val="auto"/>
                <w:kern w:val="0"/>
                <w:szCs w:val="24"/>
                <w:highlight w:val="none"/>
                <w:lang w:bidi="ar"/>
              </w:rPr>
              <w:t>项目不新增员工，</w:t>
            </w:r>
            <w:r>
              <w:rPr>
                <w:rFonts w:hint="eastAsia" w:cs="Times New Roman"/>
                <w:color w:val="auto"/>
                <w:kern w:val="0"/>
                <w:szCs w:val="24"/>
                <w:highlight w:val="none"/>
                <w:lang w:eastAsia="zh-CN" w:bidi="ar"/>
              </w:rPr>
              <w:t>生产过程中</w:t>
            </w:r>
            <w:r>
              <w:rPr>
                <w:rFonts w:hint="eastAsia" w:cs="Times New Roman"/>
                <w:color w:val="auto"/>
                <w:kern w:val="0"/>
                <w:szCs w:val="24"/>
                <w:highlight w:val="none"/>
                <w:lang w:bidi="ar"/>
              </w:rPr>
              <w:t>无生产废水产生，项目不新增废水排放。</w:t>
            </w:r>
          </w:p>
          <w:p>
            <w:pPr>
              <w:pStyle w:val="2"/>
              <w:ind w:firstLine="482"/>
              <w:rPr>
                <w:rFonts w:cs="Times New Roman"/>
                <w:b/>
                <w:bCs/>
                <w:color w:val="auto"/>
                <w:szCs w:val="24"/>
                <w:highlight w:val="none"/>
              </w:rPr>
            </w:pPr>
            <w:r>
              <w:rPr>
                <w:rFonts w:cs="Times New Roman"/>
                <w:b/>
                <w:bCs/>
                <w:color w:val="auto"/>
                <w:szCs w:val="24"/>
                <w:highlight w:val="none"/>
              </w:rPr>
              <w:t>3、噪声</w:t>
            </w:r>
          </w:p>
          <w:p>
            <w:pPr>
              <w:pStyle w:val="2"/>
              <w:rPr>
                <w:rFonts w:cs="Times New Roman"/>
                <w:color w:val="auto"/>
                <w:szCs w:val="24"/>
                <w:highlight w:val="none"/>
              </w:rPr>
            </w:pPr>
            <w:r>
              <w:rPr>
                <w:rFonts w:hint="eastAsia" w:cs="Times New Roman"/>
                <w:color w:val="auto"/>
                <w:szCs w:val="24"/>
                <w:highlight w:val="none"/>
              </w:rPr>
              <w:t>项目产生的噪声主要是除尘器、风机、提升机、抽尘系统、打砂机等的运行噪声。</w:t>
            </w:r>
          </w:p>
          <w:p>
            <w:pPr>
              <w:pStyle w:val="2"/>
              <w:ind w:firstLine="482"/>
              <w:rPr>
                <w:rFonts w:cs="Times New Roman"/>
                <w:b/>
                <w:bCs/>
                <w:color w:val="auto"/>
                <w:szCs w:val="24"/>
                <w:highlight w:val="none"/>
              </w:rPr>
            </w:pPr>
            <w:r>
              <w:rPr>
                <w:rFonts w:cs="Times New Roman"/>
                <w:b/>
                <w:bCs/>
                <w:color w:val="auto"/>
                <w:szCs w:val="24"/>
                <w:highlight w:val="none"/>
              </w:rPr>
              <w:t>4、固体废物</w:t>
            </w:r>
          </w:p>
          <w:p>
            <w:pPr>
              <w:pStyle w:val="2"/>
              <w:widowControl/>
              <w:adjustRightInd/>
              <w:rPr>
                <w:rFonts w:cs="Times New Roman"/>
                <w:color w:val="auto"/>
                <w:szCs w:val="24"/>
                <w:highlight w:val="none"/>
              </w:rPr>
            </w:pPr>
            <w:r>
              <w:rPr>
                <w:rFonts w:hint="eastAsia" w:cs="Times New Roman"/>
                <w:color w:val="auto"/>
                <w:szCs w:val="24"/>
                <w:highlight w:val="none"/>
              </w:rPr>
              <w:t>项目产生的固体废物主要是打砂过程中砂尘分离器分离出的金属氧化皮碎片和破碎的钢砂（以破碎的钢砂为主），旋风分离器和滤筒除尘器收集的粉尘及废滤筒。</w:t>
            </w:r>
          </w:p>
          <w:p>
            <w:pPr>
              <w:pStyle w:val="2"/>
              <w:ind w:firstLine="482"/>
              <w:rPr>
                <w:rFonts w:cs="Times New Roman"/>
                <w:b/>
                <w:bCs/>
                <w:color w:val="auto"/>
                <w:szCs w:val="24"/>
                <w:highlight w:val="none"/>
              </w:rPr>
            </w:pPr>
            <w:r>
              <w:rPr>
                <w:rFonts w:cs="Times New Roman"/>
                <w:b/>
                <w:bCs/>
                <w:color w:val="auto"/>
                <w:szCs w:val="24"/>
                <w:highlight w:val="none"/>
              </w:rPr>
              <w:t>二、主要污染源处理和排放情况（附示意图、标出废气、废水监测点位）：</w:t>
            </w:r>
          </w:p>
          <w:p>
            <w:pPr>
              <w:pStyle w:val="2"/>
              <w:ind w:firstLine="482"/>
              <w:rPr>
                <w:rFonts w:cs="Times New Roman"/>
                <w:b/>
                <w:bCs/>
                <w:color w:val="auto"/>
                <w:szCs w:val="24"/>
                <w:highlight w:val="none"/>
              </w:rPr>
            </w:pPr>
            <w:r>
              <w:rPr>
                <w:rFonts w:cs="Times New Roman"/>
                <w:b/>
                <w:bCs/>
                <w:color w:val="auto"/>
                <w:szCs w:val="24"/>
                <w:highlight w:val="none"/>
              </w:rPr>
              <w:t>1、废气</w:t>
            </w:r>
          </w:p>
          <w:p>
            <w:pPr>
              <w:pStyle w:val="2"/>
              <w:rPr>
                <w:rFonts w:hint="eastAsia" w:cs="Times New Roman"/>
                <w:color w:val="auto"/>
                <w:szCs w:val="24"/>
                <w:highlight w:val="none"/>
              </w:rPr>
            </w:pPr>
            <w:r>
              <w:rPr>
                <w:rFonts w:hint="eastAsia" w:cs="Times New Roman"/>
                <w:color w:val="auto"/>
                <w:szCs w:val="24"/>
                <w:highlight w:val="none"/>
              </w:rPr>
              <w:t>项目产生的废气主要是打砂过程中产生的打砂粉尘。</w:t>
            </w:r>
          </w:p>
          <w:p>
            <w:pPr>
              <w:pStyle w:val="2"/>
              <w:rPr>
                <w:rFonts w:cs="Times New Roman"/>
                <w:color w:val="auto"/>
                <w:szCs w:val="24"/>
                <w:highlight w:val="none"/>
              </w:rPr>
            </w:pPr>
            <w:r>
              <w:rPr>
                <w:rFonts w:ascii="Calibri" w:hAnsi="Calibri" w:cs="Calibri"/>
                <w:color w:val="auto"/>
                <w:szCs w:val="24"/>
                <w:highlight w:val="none"/>
              </w:rPr>
              <w:t>①</w:t>
            </w:r>
            <w:r>
              <w:rPr>
                <w:rFonts w:hint="eastAsia" w:cs="Times New Roman"/>
                <w:color w:val="auto"/>
                <w:szCs w:val="24"/>
                <w:highlight w:val="none"/>
              </w:rPr>
              <w:t>有组织废气：</w:t>
            </w:r>
          </w:p>
          <w:p>
            <w:pPr>
              <w:pStyle w:val="2"/>
              <w:rPr>
                <w:rFonts w:cs="Times New Roman"/>
                <w:color w:val="auto"/>
                <w:szCs w:val="24"/>
                <w:highlight w:val="none"/>
              </w:rPr>
            </w:pPr>
            <w:r>
              <w:rPr>
                <w:rFonts w:hint="eastAsia" w:cs="Times New Roman"/>
                <w:color w:val="auto"/>
                <w:szCs w:val="24"/>
                <w:highlight w:val="none"/>
                <w:lang w:eastAsia="zh-CN"/>
              </w:rPr>
              <w:t>打砂粉尘</w:t>
            </w:r>
            <w:r>
              <w:rPr>
                <w:rFonts w:hint="eastAsia" w:cs="Times New Roman"/>
                <w:color w:val="auto"/>
                <w:szCs w:val="24"/>
                <w:highlight w:val="none"/>
              </w:rPr>
              <w:t>收集后经旋风分离器和GK-48滤筒除尘器装置处理后通过2</w:t>
            </w:r>
            <w:r>
              <w:rPr>
                <w:rFonts w:hint="eastAsia" w:cs="Times New Roman"/>
                <w:color w:val="auto"/>
                <w:szCs w:val="24"/>
                <w:highlight w:val="none"/>
                <w:lang w:val="en-US" w:eastAsia="zh-CN"/>
              </w:rPr>
              <w:t>2</w:t>
            </w:r>
            <w:r>
              <w:rPr>
                <w:rFonts w:hint="eastAsia" w:cs="Times New Roman"/>
                <w:color w:val="auto"/>
                <w:szCs w:val="24"/>
                <w:highlight w:val="none"/>
              </w:rPr>
              <w:t>米高排气筒（DA0</w:t>
            </w:r>
            <w:r>
              <w:rPr>
                <w:rFonts w:hint="eastAsia" w:cs="Times New Roman"/>
                <w:color w:val="auto"/>
                <w:szCs w:val="24"/>
                <w:highlight w:val="none"/>
                <w:lang w:val="en-US" w:eastAsia="zh-CN"/>
              </w:rPr>
              <w:t>35</w:t>
            </w:r>
            <w:r>
              <w:rPr>
                <w:rFonts w:hint="eastAsia" w:cs="Times New Roman"/>
                <w:color w:val="auto"/>
                <w:szCs w:val="24"/>
                <w:highlight w:val="none"/>
              </w:rPr>
              <w:t>）排放。</w:t>
            </w:r>
          </w:p>
          <w:p>
            <w:pPr>
              <w:pStyle w:val="2"/>
              <w:rPr>
                <w:rFonts w:cs="Times New Roman"/>
                <w:color w:val="auto"/>
                <w:highlight w:val="none"/>
              </w:rPr>
            </w:pPr>
            <w:r>
              <w:rPr>
                <w:rFonts w:ascii="Calibri" w:hAnsi="Calibri" w:cs="Calibri"/>
                <w:color w:val="auto"/>
                <w:highlight w:val="none"/>
              </w:rPr>
              <w:t>②</w:t>
            </w:r>
            <w:r>
              <w:rPr>
                <w:rFonts w:hint="eastAsia" w:cs="Times New Roman"/>
                <w:color w:val="auto"/>
                <w:highlight w:val="none"/>
              </w:rPr>
              <w:t>无组织废气：</w:t>
            </w:r>
          </w:p>
          <w:p>
            <w:pPr>
              <w:pStyle w:val="2"/>
              <w:rPr>
                <w:rFonts w:cs="Times New Roman"/>
                <w:color w:val="auto"/>
                <w:szCs w:val="24"/>
                <w:highlight w:val="none"/>
              </w:rPr>
            </w:pPr>
            <w:r>
              <w:rPr>
                <w:rFonts w:cs="Times New Roman"/>
                <w:color w:val="auto"/>
                <w:szCs w:val="24"/>
                <w:highlight w:val="none"/>
              </w:rPr>
              <w:t>未被收集的</w:t>
            </w:r>
            <w:r>
              <w:rPr>
                <w:rFonts w:hint="eastAsia" w:cs="Times New Roman"/>
                <w:color w:val="auto"/>
                <w:szCs w:val="24"/>
                <w:highlight w:val="none"/>
              </w:rPr>
              <w:t>打砂粉尘，车间</w:t>
            </w:r>
            <w:r>
              <w:rPr>
                <w:rFonts w:cs="Times New Roman"/>
                <w:color w:val="auto"/>
                <w:szCs w:val="24"/>
                <w:highlight w:val="none"/>
              </w:rPr>
              <w:t>通风后无组织排放。</w:t>
            </w:r>
          </w:p>
          <w:p>
            <w:pPr>
              <w:pStyle w:val="2"/>
              <w:rPr>
                <w:rFonts w:cs="Times New Roman"/>
                <w:color w:val="auto"/>
                <w:szCs w:val="24"/>
                <w:highlight w:val="none"/>
              </w:rPr>
            </w:pPr>
            <w:r>
              <w:rPr>
                <w:rFonts w:cs="Times New Roman"/>
                <w:color w:val="auto"/>
                <w:szCs w:val="24"/>
                <w:highlight w:val="none"/>
              </w:rPr>
              <w:t>项目设置1根排气筒，此次验收共对1根排气筒的废气排放情况进行了监测。</w:t>
            </w:r>
          </w:p>
          <w:p>
            <w:pPr>
              <w:pStyle w:val="2"/>
              <w:ind w:firstLine="0" w:firstLineChars="0"/>
              <w:jc w:val="center"/>
              <w:rPr>
                <w:rFonts w:cs="Times New Roman"/>
                <w:color w:val="auto"/>
                <w:highlight w:val="none"/>
              </w:rPr>
            </w:pPr>
            <w:r>
              <w:rPr>
                <w:rFonts w:cs="Times New Roman"/>
                <w:color w:val="auto"/>
                <w:highlight w:val="none"/>
              </w:rPr>
              <w:pict>
                <v:shape id="_x0000_s1078" o:spid="_x0000_s1078" o:spt="100" style="position:absolute;left:0pt;margin-left:270.15pt;margin-top:44.95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color w:val="auto"/>
                <w:highlight w:val="none"/>
              </w:rPr>
              <w:pict>
                <v:shape id="_x0000_s1092" o:spid="_x0000_s1092" o:spt="100" style="position:absolute;left:0pt;margin-left:171.15pt;margin-top:44.95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color w:val="auto"/>
                <w:highlight w:val="none"/>
              </w:rPr>
              <w:pict>
                <v:shape id="ECB019B1-382A-4266-B25C-5B523AA43C14-1" o:spid="ECB019B1-382A-4266-B25C-5B523AA43C14-1" o:spt="75" alt="C:/Users/Administrator/AppData/Local/Temp/wps.wLUleKwps" type="#_x0000_t75" style="height:90.25pt;width:302.05pt;" filled="f" o:preferrelative="t" stroked="f" coordsize="21600,21600">
                  <v:path/>
                  <v:fill on="f" focussize="0,0"/>
                  <v:stroke on="f"/>
                  <v:imagedata r:id="rId12" o:title="wps"/>
                  <o:lock v:ext="edit" aspectratio="t"/>
                  <w10:wrap type="none"/>
                  <w10:anchorlock/>
                </v:shape>
              </w:pict>
            </w:r>
          </w:p>
          <w:p>
            <w:pPr>
              <w:pStyle w:val="2"/>
              <w:ind w:firstLine="0" w:firstLineChars="0"/>
              <w:jc w:val="center"/>
              <w:rPr>
                <w:rFonts w:cs="Times New Roman"/>
                <w:color w:val="auto"/>
                <w:szCs w:val="24"/>
                <w:highlight w:val="none"/>
              </w:rPr>
            </w:pPr>
            <w:r>
              <w:rPr>
                <w:rFonts w:cs="Times New Roman"/>
                <w:color w:val="auto"/>
                <w:highlight w:val="none"/>
              </w:rPr>
              <w:pict>
                <v:shape id="自选图形 317" o:spid="_x0000_s1074" o:spt="100" style="position:absolute;left:0pt;margin-left:282.55pt;margin-top:7.3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b/>
                <w:bCs/>
                <w:color w:val="auto"/>
                <w:szCs w:val="24"/>
                <w:highlight w:val="none"/>
              </w:rPr>
              <w:t>图3-1 废气处理和排放示意图      监测点位</w:t>
            </w:r>
          </w:p>
          <w:p>
            <w:pPr>
              <w:pStyle w:val="2"/>
              <w:ind w:firstLine="482"/>
              <w:rPr>
                <w:rFonts w:cs="Times New Roman"/>
                <w:b/>
                <w:bCs/>
                <w:color w:val="auto"/>
                <w:szCs w:val="24"/>
                <w:highlight w:val="none"/>
              </w:rPr>
            </w:pPr>
            <w:r>
              <w:rPr>
                <w:rFonts w:cs="Times New Roman"/>
                <w:b/>
                <w:bCs/>
                <w:color w:val="auto"/>
                <w:szCs w:val="24"/>
                <w:highlight w:val="none"/>
              </w:rPr>
              <w:t>2、废水</w:t>
            </w:r>
          </w:p>
          <w:p>
            <w:pPr>
              <w:pStyle w:val="2"/>
              <w:adjustRightInd/>
              <w:jc w:val="both"/>
              <w:rPr>
                <w:rFonts w:hint="eastAsia" w:cs="Times New Roman"/>
                <w:color w:val="auto"/>
                <w:kern w:val="0"/>
                <w:szCs w:val="24"/>
                <w:highlight w:val="none"/>
                <w:lang w:bidi="ar"/>
              </w:rPr>
            </w:pPr>
            <w:r>
              <w:rPr>
                <w:rFonts w:hint="eastAsia" w:cs="Times New Roman"/>
                <w:color w:val="auto"/>
                <w:kern w:val="0"/>
                <w:szCs w:val="24"/>
                <w:highlight w:val="none"/>
                <w:lang w:bidi="ar"/>
              </w:rPr>
              <w:t>项目不新增员工，生产过程中无生产废水产生，项目不新增废水排放。</w:t>
            </w:r>
          </w:p>
          <w:p>
            <w:pPr>
              <w:pStyle w:val="2"/>
              <w:ind w:firstLine="482"/>
              <w:rPr>
                <w:rFonts w:cs="Times New Roman"/>
                <w:b/>
                <w:bCs/>
                <w:color w:val="auto"/>
                <w:szCs w:val="24"/>
                <w:highlight w:val="none"/>
              </w:rPr>
            </w:pPr>
            <w:r>
              <w:rPr>
                <w:rFonts w:cs="Times New Roman"/>
                <w:b/>
                <w:bCs/>
                <w:color w:val="auto"/>
                <w:szCs w:val="24"/>
                <w:highlight w:val="none"/>
              </w:rPr>
              <w:t>3、噪声</w:t>
            </w:r>
          </w:p>
          <w:p>
            <w:pPr>
              <w:pStyle w:val="2"/>
              <w:jc w:val="both"/>
              <w:rPr>
                <w:rFonts w:cs="Times New Roman"/>
                <w:color w:val="auto"/>
                <w:highlight w:val="none"/>
              </w:rPr>
            </w:pPr>
            <w:r>
              <w:rPr>
                <w:rFonts w:hint="eastAsia" w:cs="Times New Roman"/>
                <w:color w:val="auto"/>
                <w:szCs w:val="24"/>
                <w:highlight w:val="none"/>
              </w:rPr>
              <w:t>项目产生的噪声主要是除尘器、风机、提升机、抽尘系统、打砂机等的运行噪声，</w:t>
            </w:r>
            <w:r>
              <w:rPr>
                <w:rFonts w:cs="Times New Roman"/>
                <w:color w:val="auto"/>
                <w:highlight w:val="none"/>
              </w:rPr>
              <w:t>项目</w:t>
            </w:r>
            <w:r>
              <w:rPr>
                <w:rFonts w:hint="eastAsia" w:cs="Times New Roman"/>
                <w:color w:val="auto"/>
                <w:szCs w:val="24"/>
                <w:highlight w:val="none"/>
              </w:rPr>
              <w:t>采取</w:t>
            </w:r>
            <w:r>
              <w:rPr>
                <w:rFonts w:cs="Times New Roman"/>
                <w:color w:val="auto"/>
                <w:highlight w:val="none"/>
              </w:rPr>
              <w:t>设备均布置于室内，采取门窗、墙体隔声，全部设备均选用低噪声设备并采取减振措施。加强管理，经常保养和维护机械设备避免设备在不良状态下运行</w:t>
            </w:r>
            <w:r>
              <w:rPr>
                <w:rFonts w:hint="eastAsia" w:cs="Times New Roman"/>
                <w:color w:val="auto"/>
                <w:highlight w:val="none"/>
              </w:rPr>
              <w:t>等措施</w:t>
            </w:r>
            <w:r>
              <w:rPr>
                <w:rFonts w:cs="Times New Roman"/>
                <w:color w:val="auto"/>
                <w:highlight w:val="none"/>
              </w:rPr>
              <w:t>。</w:t>
            </w:r>
          </w:p>
          <w:p>
            <w:pPr>
              <w:pStyle w:val="2"/>
              <w:jc w:val="center"/>
              <w:rPr>
                <w:rFonts w:cs="Times New Roman"/>
                <w:color w:val="auto"/>
                <w:highlight w:val="none"/>
              </w:rPr>
            </w:pPr>
            <w:r>
              <w:rPr>
                <w:rFonts w:cs="Times New Roman"/>
                <w:color w:val="auto"/>
                <w:highlight w:val="none"/>
              </w:rPr>
              <w:pict>
                <v:shape id="自选图形 327" o:spid="_x0000_s1075" o:spt="5" type="#_x0000_t5" style="position:absolute;left:0pt;margin-left:390.25pt;margin-top:34.55pt;height:9.8pt;width:12pt;z-index:251659264;mso-width-relative:page;mso-height-relative:page;" fillcolor="#000000" fill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v:path/>
                  <v:fill on="t" focussize="0,0"/>
                  <v:stroke joinstyle="miter"/>
                  <v:imagedata o:title=""/>
                  <o:lock v:ext="edit"/>
                  <v:textbox>
                    <w:txbxContent>
                      <w:p>
                        <w:pPr>
                          <w:ind w:firstLine="480"/>
                        </w:pPr>
                      </w:p>
                    </w:txbxContent>
                  </v:textbox>
                </v:shape>
              </w:pict>
            </w:r>
            <w:r>
              <w:rPr>
                <w:rFonts w:cs="Times New Roman"/>
                <w:color w:val="auto"/>
                <w:highlight w:val="none"/>
              </w:rPr>
              <w:pict>
                <v:shape id="_x0000_i1028" o:spt="75" type="#_x0000_t75" style="height:67.4pt;width:306.3pt;" filled="f" o:preferrelative="t" stroked="f" coordsize="21600,21600">
                  <v:path/>
                  <v:fill on="f" focussize="0,0"/>
                  <v:stroke on="f"/>
                  <v:imagedata r:id="rId13" o:title=""/>
                  <o:lock v:ext="edit" aspectratio="t"/>
                  <w10:wrap type="none"/>
                  <w10:anchorlock/>
                </v:shape>
              </w:pict>
            </w:r>
          </w:p>
          <w:p>
            <w:pPr>
              <w:pStyle w:val="2"/>
              <w:ind w:firstLine="0" w:firstLineChars="0"/>
              <w:jc w:val="center"/>
              <w:rPr>
                <w:rFonts w:cs="Times New Roman"/>
                <w:b/>
                <w:bCs/>
                <w:color w:val="auto"/>
                <w:szCs w:val="24"/>
                <w:highlight w:val="none"/>
              </w:rPr>
            </w:pPr>
            <w:r>
              <w:rPr>
                <w:rFonts w:cs="Times New Roman"/>
                <w:color w:val="auto"/>
                <w:highlight w:val="none"/>
              </w:rPr>
              <w:pict>
                <v:shape id="自选图形 95" o:spid="_x0000_s1076" o:spt="5" type="#_x0000_t5" style="position:absolute;left:0pt;margin-left:310pt;margin-top:6.05pt;height:9.8pt;width:12pt;z-index:251659264;mso-width-relative:page;mso-height-relative:page;" fillcolor="#000000" fill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v:path/>
                  <v:fill on="t" focussize="0,0"/>
                  <v:stroke joinstyle="miter"/>
                  <v:imagedata o:title=""/>
                  <o:lock v:ext="edit"/>
                  <v:textbox>
                    <w:txbxContent>
                      <w:p>
                        <w:pPr>
                          <w:ind w:firstLine="480"/>
                        </w:pPr>
                      </w:p>
                    </w:txbxContent>
                  </v:textbox>
                </v:shape>
              </w:pict>
            </w:r>
            <w:r>
              <w:rPr>
                <w:rFonts w:cs="Times New Roman"/>
                <w:b/>
                <w:bCs/>
                <w:color w:val="auto"/>
                <w:szCs w:val="24"/>
                <w:highlight w:val="none"/>
              </w:rPr>
              <w:t>图3-</w:t>
            </w:r>
            <w:r>
              <w:rPr>
                <w:rFonts w:hint="eastAsia" w:cs="Times New Roman"/>
                <w:b/>
                <w:bCs/>
                <w:color w:val="auto"/>
                <w:szCs w:val="24"/>
                <w:highlight w:val="none"/>
                <w:lang w:val="en-US" w:eastAsia="zh-CN"/>
              </w:rPr>
              <w:t>2</w:t>
            </w:r>
            <w:r>
              <w:rPr>
                <w:rFonts w:cs="Times New Roman"/>
                <w:b/>
                <w:bCs/>
                <w:color w:val="auto"/>
                <w:szCs w:val="24"/>
                <w:highlight w:val="none"/>
              </w:rPr>
              <w:t xml:space="preserve">  本项目噪声处理和排放示意图       监测点位</w:t>
            </w:r>
          </w:p>
          <w:p>
            <w:pPr>
              <w:pStyle w:val="2"/>
              <w:ind w:firstLine="482"/>
              <w:rPr>
                <w:rFonts w:cs="Times New Roman"/>
                <w:b/>
                <w:bCs/>
                <w:color w:val="auto"/>
                <w:szCs w:val="24"/>
                <w:highlight w:val="none"/>
              </w:rPr>
            </w:pPr>
            <w:r>
              <w:rPr>
                <w:rFonts w:cs="Times New Roman"/>
                <w:b/>
                <w:bCs/>
                <w:color w:val="auto"/>
                <w:szCs w:val="24"/>
                <w:highlight w:val="none"/>
              </w:rPr>
              <w:t>4、固体废物</w:t>
            </w:r>
          </w:p>
          <w:p>
            <w:pPr>
              <w:pStyle w:val="2"/>
              <w:widowControl/>
              <w:adjustRightInd/>
              <w:rPr>
                <w:rFonts w:hint="eastAsia" w:cs="Times New Roman"/>
                <w:color w:val="auto"/>
                <w:szCs w:val="24"/>
                <w:highlight w:val="none"/>
              </w:rPr>
            </w:pPr>
            <w:r>
              <w:rPr>
                <w:rFonts w:hint="eastAsia" w:cs="Times New Roman"/>
                <w:color w:val="auto"/>
                <w:szCs w:val="24"/>
                <w:highlight w:val="none"/>
              </w:rPr>
              <w:t>项目产生的固体废物主要是打砂过程中砂尘分离器分离出的金属氧化皮碎片和破碎的钢砂（以破碎的钢砂为主），旋风分离器和滤筒除尘器收集的粉尘及废滤筒。</w:t>
            </w:r>
          </w:p>
          <w:p>
            <w:pPr>
              <w:pStyle w:val="2"/>
              <w:widowControl/>
              <w:adjustRightInd/>
              <w:rPr>
                <w:rFonts w:hint="default" w:ascii="Times New Roman" w:hAnsi="Times New Roman" w:eastAsia="宋体" w:cs="Times New Roman"/>
                <w:color w:val="auto"/>
                <w:szCs w:val="21"/>
                <w:highlight w:val="none"/>
                <w:lang w:eastAsia="zh-CN" w:bidi="ar"/>
              </w:rPr>
            </w:pPr>
            <w:r>
              <w:rPr>
                <w:rFonts w:hint="eastAsia" w:cs="Times New Roman"/>
                <w:color w:val="auto"/>
                <w:szCs w:val="24"/>
                <w:highlight w:val="none"/>
              </w:rPr>
              <w:t>砂尘分离器分离出的金属氧化皮碎片和破碎的钢砂（以破碎的钢砂为主），旋风分离器和滤筒除尘器收集的粉尘及废滤筒</w:t>
            </w:r>
            <w:r>
              <w:rPr>
                <w:rFonts w:hint="eastAsia" w:cs="Times New Roman"/>
                <w:color w:val="auto"/>
                <w:szCs w:val="24"/>
                <w:highlight w:val="none"/>
                <w:lang w:eastAsia="zh-CN"/>
              </w:rPr>
              <w:t>，收集后</w:t>
            </w:r>
            <w:r>
              <w:rPr>
                <w:rFonts w:hint="default" w:ascii="Times New Roman" w:hAnsi="Times New Roman" w:eastAsia="宋体" w:cs="Times New Roman"/>
                <w:color w:val="auto"/>
                <w:szCs w:val="21"/>
                <w:highlight w:val="none"/>
                <w:lang w:eastAsia="zh-CN" w:bidi="ar"/>
              </w:rPr>
              <w:t>和现有项目打砂房产生同类固废一起由厂区集中处理。</w:t>
            </w:r>
          </w:p>
          <w:p>
            <w:pPr>
              <w:pStyle w:val="2"/>
              <w:snapToGrid w:val="0"/>
              <w:ind w:firstLine="0" w:firstLineChars="0"/>
              <w:rPr>
                <w:rFonts w:cs="Times New Roman"/>
                <w:color w:val="auto"/>
                <w:szCs w:val="24"/>
                <w:highlight w:val="none"/>
              </w:rPr>
            </w:pPr>
          </w:p>
        </w:tc>
      </w:tr>
    </w:tbl>
    <w:p>
      <w:pPr>
        <w:snapToGrid w:val="0"/>
        <w:spacing w:line="240" w:lineRule="auto"/>
        <w:ind w:firstLine="0" w:firstLineChars="0"/>
        <w:outlineLvl w:val="0"/>
        <w:rPr>
          <w:b/>
          <w:bCs/>
          <w:color w:val="auto"/>
          <w:sz w:val="30"/>
          <w:szCs w:val="30"/>
          <w:highlight w:val="none"/>
        </w:rPr>
      </w:pPr>
      <w:bookmarkStart w:id="136" w:name="_Toc5948"/>
      <w:r>
        <w:rPr>
          <w:b/>
          <w:bCs/>
          <w:color w:val="auto"/>
          <w:sz w:val="30"/>
          <w:szCs w:val="30"/>
          <w:highlight w:val="none"/>
        </w:rPr>
        <w:br w:type="page"/>
      </w:r>
      <w:bookmarkStart w:id="137" w:name="_Toc1607"/>
      <w:bookmarkStart w:id="138" w:name="_Toc5937"/>
      <w:bookmarkStart w:id="139" w:name="_Toc21138"/>
      <w:bookmarkStart w:id="140" w:name="_Toc28019"/>
      <w:bookmarkStart w:id="141" w:name="_Toc26043"/>
      <w:bookmarkStart w:id="142" w:name="_Toc28525"/>
      <w:bookmarkStart w:id="143" w:name="_Toc3927"/>
      <w:bookmarkStart w:id="144" w:name="_Toc28751"/>
      <w:bookmarkStart w:id="145" w:name="_Toc13944"/>
      <w:bookmarkStart w:id="146" w:name="_Toc20908"/>
      <w:bookmarkStart w:id="147" w:name="_Toc5246"/>
      <w:bookmarkStart w:id="148" w:name="_Toc21706"/>
      <w:bookmarkStart w:id="149" w:name="_Toc28915"/>
      <w:bookmarkStart w:id="150" w:name="_Toc23660"/>
      <w:bookmarkStart w:id="151" w:name="_Toc5621"/>
      <w:bookmarkStart w:id="152" w:name="_Toc13938"/>
      <w:bookmarkStart w:id="153" w:name="_Toc6038"/>
      <w:bookmarkStart w:id="154" w:name="_Toc11721"/>
      <w:bookmarkStart w:id="155" w:name="_Toc1306"/>
      <w:bookmarkStart w:id="156" w:name="_Toc27173"/>
      <w:bookmarkStart w:id="157" w:name="_Toc3545"/>
      <w:bookmarkStart w:id="158" w:name="_Toc28132"/>
      <w:bookmarkStart w:id="159" w:name="_Toc13383"/>
      <w:bookmarkStart w:id="160" w:name="_Toc25391"/>
      <w:bookmarkStart w:id="161" w:name="_Toc11247"/>
      <w:bookmarkStart w:id="162" w:name="_Toc4592"/>
      <w:bookmarkStart w:id="163" w:name="_Toc11717"/>
      <w:bookmarkStart w:id="164" w:name="_Toc4396"/>
      <w:bookmarkStart w:id="165" w:name="_Toc12683"/>
      <w:bookmarkStart w:id="166" w:name="_Toc32283"/>
      <w:bookmarkStart w:id="167" w:name="_Toc14434"/>
      <w:bookmarkStart w:id="168" w:name="_Toc25885"/>
      <w:bookmarkStart w:id="169" w:name="_Toc6560"/>
      <w:bookmarkStart w:id="170" w:name="_Toc23840"/>
      <w:bookmarkStart w:id="171" w:name="_Toc22181"/>
      <w:bookmarkStart w:id="172" w:name="_Toc4543"/>
      <w:bookmarkStart w:id="173" w:name="_Toc11230"/>
      <w:bookmarkStart w:id="174" w:name="_Toc13651"/>
      <w:bookmarkStart w:id="175" w:name="_Toc30626"/>
      <w:bookmarkStart w:id="176" w:name="_Toc16694"/>
      <w:bookmarkStart w:id="177" w:name="_Toc26525"/>
      <w:bookmarkStart w:id="178" w:name="_Toc25448"/>
      <w:bookmarkStart w:id="179" w:name="_Toc19570"/>
      <w:r>
        <w:rPr>
          <w:b/>
          <w:bCs/>
          <w:color w:val="auto"/>
          <w:sz w:val="30"/>
          <w:szCs w:val="30"/>
          <w:highlight w:val="none"/>
        </w:rPr>
        <w:t>表4  环评主要结论、审批部门审批决定及批复落实情况</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tbl>
      <w:tblPr>
        <w:tblStyle w:val="2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pStyle w:val="2"/>
              <w:adjustRightInd/>
              <w:ind w:firstLine="482"/>
              <w:rPr>
                <w:rFonts w:cs="Times New Roman"/>
                <w:b/>
                <w:bCs/>
                <w:color w:val="auto"/>
                <w:highlight w:val="none"/>
              </w:rPr>
            </w:pPr>
            <w:r>
              <w:rPr>
                <w:rFonts w:cs="Times New Roman"/>
                <w:b/>
                <w:bCs/>
                <w:color w:val="auto"/>
                <w:highlight w:val="none"/>
              </w:rPr>
              <w:t>一、环评主要结论及建议</w:t>
            </w:r>
          </w:p>
          <w:p>
            <w:pPr>
              <w:pStyle w:val="2"/>
              <w:adjustRightInd/>
              <w:ind w:firstLine="482"/>
              <w:rPr>
                <w:rFonts w:cs="Times New Roman"/>
                <w:b/>
                <w:bCs/>
                <w:color w:val="auto"/>
                <w:highlight w:val="none"/>
              </w:rPr>
            </w:pPr>
            <w:r>
              <w:rPr>
                <w:rFonts w:cs="Times New Roman"/>
                <w:b/>
                <w:bCs/>
                <w:color w:val="auto"/>
                <w:highlight w:val="none"/>
              </w:rPr>
              <w:t>1、结论</w:t>
            </w:r>
          </w:p>
          <w:p>
            <w:pPr>
              <w:tabs>
                <w:tab w:val="left" w:pos="339"/>
              </w:tabs>
              <w:ind w:firstLine="480"/>
              <w:jc w:val="left"/>
              <w:rPr>
                <w:rFonts w:hint="eastAsia"/>
                <w:color w:val="auto"/>
                <w:highlight w:val="none"/>
              </w:rPr>
            </w:pPr>
            <w:r>
              <w:rPr>
                <w:rFonts w:hint="eastAsia"/>
                <w:color w:val="auto"/>
                <w:highlight w:val="none"/>
              </w:rPr>
              <w:t>中车山东机车车辆有限公司拟投资84万元建设中车山东机车车辆有限公司原钢构喷漆房改造为打砂房项目，拟将1间闲置原钢构喷漆房隔断为1间打砂房和1间打砂辅助房，不新增占地（原喷漆房占地面积217.5</w:t>
            </w:r>
            <w:r>
              <w:rPr>
                <w:rFonts w:hint="eastAsia"/>
                <w:color w:val="auto"/>
                <w:highlight w:val="none"/>
                <w:lang w:eastAsia="zh-CN"/>
              </w:rPr>
              <w:t>㎡</w:t>
            </w:r>
            <w:r>
              <w:rPr>
                <w:rFonts w:hint="eastAsia"/>
                <w:color w:val="auto"/>
                <w:highlight w:val="none"/>
              </w:rPr>
              <w:t>（29m×7.5m），建成后打砂房建筑面积为157.5</w:t>
            </w:r>
            <w:r>
              <w:rPr>
                <w:rFonts w:hint="eastAsia"/>
                <w:color w:val="auto"/>
                <w:highlight w:val="none"/>
                <w:lang w:eastAsia="zh-CN"/>
              </w:rPr>
              <w:t>㎡</w:t>
            </w:r>
            <w:r>
              <w:rPr>
                <w:rFonts w:hint="eastAsia"/>
                <w:color w:val="auto"/>
                <w:highlight w:val="none"/>
              </w:rPr>
              <w:t>（21m×7.5m），配套建设回砂坑、传送带等回砂收集系统；打砂辅助房建筑面积为60</w:t>
            </w:r>
            <w:r>
              <w:rPr>
                <w:rFonts w:hint="eastAsia"/>
                <w:color w:val="auto"/>
                <w:highlight w:val="none"/>
                <w:lang w:eastAsia="zh-CN"/>
              </w:rPr>
              <w:t>㎡</w:t>
            </w:r>
            <w:r>
              <w:rPr>
                <w:rFonts w:hint="eastAsia"/>
                <w:color w:val="auto"/>
                <w:highlight w:val="none"/>
              </w:rPr>
              <w:t>（8m×7.5m），配套建设喷砂罐、斗式提升机、砂尘分离器以及预冷机等；同时在打砂房北侧配套建设旋风分离器、滤筒除尘器等除尘系统以及1根22m排气筒（DA-035）。项目建成后，具备返修打砂底架780个/年的能力。</w:t>
            </w:r>
          </w:p>
          <w:p>
            <w:pPr>
              <w:tabs>
                <w:tab w:val="left" w:pos="339"/>
              </w:tabs>
              <w:ind w:firstLine="480"/>
              <w:jc w:val="left"/>
              <w:rPr>
                <w:color w:val="auto"/>
                <w:highlight w:val="none"/>
              </w:rPr>
            </w:pPr>
            <w:r>
              <w:rPr>
                <w:rFonts w:hint="eastAsia"/>
                <w:color w:val="auto"/>
                <w:highlight w:val="none"/>
              </w:rPr>
              <w:t>（1）废气</w:t>
            </w:r>
          </w:p>
          <w:p>
            <w:pPr>
              <w:ind w:firstLine="480"/>
              <w:rPr>
                <w:rFonts w:hint="eastAsia"/>
                <w:color w:val="auto"/>
                <w:highlight w:val="none"/>
              </w:rPr>
            </w:pPr>
            <w:r>
              <w:rPr>
                <w:rFonts w:hint="eastAsia"/>
                <w:color w:val="auto"/>
                <w:highlight w:val="none"/>
              </w:rPr>
              <w:t>打砂粉尘产生量约为1.5t/a，打砂房废气收集效率为95%，收集的粉尘经旋风分离器和GK-48滤筒除尘器（处理效率90%）处理后，通过1根22m的排气筒（DA-035）排放，未被收集的5%打砂粉尘则进行无组织排放，粉尘有组织排放量、排放速率、排放浓度分别为0.1425t/a、0.0685kg/h、1.37mg/</w:t>
            </w:r>
            <w:r>
              <w:rPr>
                <w:rFonts w:hint="eastAsia"/>
                <w:color w:val="auto"/>
                <w:highlight w:val="none"/>
                <w:lang w:eastAsia="zh-CN"/>
              </w:rPr>
              <w:t>m³</w:t>
            </w:r>
            <w:r>
              <w:rPr>
                <w:rFonts w:hint="eastAsia"/>
                <w:color w:val="auto"/>
                <w:highlight w:val="none"/>
              </w:rPr>
              <w:t>，有组织排放浓度满足《山东省区域性大气污染物综合排放标准》（DB37/2376-2019）表1重点控制区标准（10mg/</w:t>
            </w:r>
            <w:r>
              <w:rPr>
                <w:rFonts w:hint="eastAsia"/>
                <w:color w:val="auto"/>
                <w:highlight w:val="none"/>
                <w:lang w:eastAsia="zh-CN"/>
              </w:rPr>
              <w:t>m³</w:t>
            </w:r>
            <w:r>
              <w:rPr>
                <w:rFonts w:hint="eastAsia"/>
                <w:color w:val="auto"/>
                <w:highlight w:val="none"/>
              </w:rPr>
              <w:t>），排放速率满足《大气污染物综合排放标准》（GB16297-1996）中二级标准要求（9.32kg/h）；无组织排放量、排放速率分别为0.075t/a、0.036kg/h，根据AERSCREEN软件估算，无组织颗粒物1小时最大落地浓度为0.0353mg/</w:t>
            </w:r>
            <w:r>
              <w:rPr>
                <w:rFonts w:hint="eastAsia"/>
                <w:color w:val="auto"/>
                <w:highlight w:val="none"/>
                <w:lang w:eastAsia="zh-CN"/>
              </w:rPr>
              <w:t>m³</w:t>
            </w:r>
            <w:r>
              <w:rPr>
                <w:rFonts w:hint="eastAsia"/>
                <w:color w:val="auto"/>
                <w:highlight w:val="none"/>
              </w:rPr>
              <w:t>，颗粒物厂界浓度满足《大气污染物综合排放标准》（GB16297-1996）表2无组织排放监控浓度限值。</w:t>
            </w:r>
          </w:p>
          <w:p>
            <w:pPr>
              <w:widowControl/>
              <w:ind w:firstLine="480"/>
              <w:jc w:val="left"/>
              <w:rPr>
                <w:color w:val="auto"/>
                <w:kern w:val="0"/>
                <w:highlight w:val="none"/>
                <w:lang w:bidi="ar"/>
              </w:rPr>
            </w:pPr>
            <w:r>
              <w:rPr>
                <w:rFonts w:hint="eastAsia"/>
                <w:color w:val="auto"/>
                <w:highlight w:val="none"/>
              </w:rPr>
              <w:t>（2）废水</w:t>
            </w:r>
            <w:r>
              <w:rPr>
                <w:color w:val="auto"/>
                <w:kern w:val="0"/>
                <w:highlight w:val="none"/>
                <w:lang w:bidi="ar"/>
              </w:rPr>
              <w:t xml:space="preserve"> </w:t>
            </w:r>
          </w:p>
          <w:p>
            <w:pPr>
              <w:pStyle w:val="2"/>
              <w:rPr>
                <w:rFonts w:hint="eastAsia"/>
                <w:color w:val="auto"/>
                <w:highlight w:val="none"/>
              </w:rPr>
            </w:pPr>
            <w:r>
              <w:rPr>
                <w:rFonts w:hint="eastAsia"/>
                <w:color w:val="auto"/>
                <w:highlight w:val="none"/>
              </w:rPr>
              <w:t>拟建项目不新增员工，运营过程中无生产废水产生，所以拟项目不新增废水排放。</w:t>
            </w:r>
          </w:p>
          <w:p>
            <w:pPr>
              <w:widowControl/>
              <w:ind w:firstLine="480"/>
              <w:jc w:val="left"/>
              <w:rPr>
                <w:color w:val="auto"/>
                <w:kern w:val="0"/>
                <w:highlight w:val="none"/>
                <w:lang w:bidi="ar"/>
              </w:rPr>
            </w:pPr>
            <w:r>
              <w:rPr>
                <w:rFonts w:hint="eastAsia"/>
                <w:color w:val="auto"/>
                <w:highlight w:val="none"/>
              </w:rPr>
              <w:t>（3）</w:t>
            </w:r>
            <w:r>
              <w:rPr>
                <w:color w:val="auto"/>
                <w:kern w:val="0"/>
                <w:highlight w:val="none"/>
                <w:lang w:bidi="ar"/>
              </w:rPr>
              <w:t>噪声</w:t>
            </w:r>
          </w:p>
          <w:p>
            <w:pPr>
              <w:ind w:firstLine="480"/>
              <w:rPr>
                <w:rFonts w:hint="eastAsia"/>
                <w:color w:val="auto"/>
                <w:highlight w:val="none"/>
              </w:rPr>
            </w:pPr>
            <w:r>
              <w:rPr>
                <w:rFonts w:hint="eastAsia"/>
                <w:color w:val="auto"/>
                <w:highlight w:val="none"/>
              </w:rPr>
              <w:t>本项目运营过程噪声主要来自除尘器、风机、提升机、抽尘系统、打砂机产生的设备噪声，噪声值为85-90dB（A），可以采取如下治理措施：在设备选型上，尽量选取同类设备中的噪声较低的产品，对产生机械噪声的设备可在设备与基础之间安装减振装置，并采取其他隔声措施。采取上述措施后，项目厂界噪声可符合《工业企业厂界环境噪声排放标准》（GB 12348-2008）2 类和4类声环境功能区标准的要求。</w:t>
            </w:r>
          </w:p>
          <w:p>
            <w:pPr>
              <w:widowControl/>
              <w:ind w:firstLine="480"/>
              <w:jc w:val="left"/>
              <w:rPr>
                <w:color w:val="auto"/>
                <w:kern w:val="0"/>
                <w:highlight w:val="none"/>
                <w:lang w:bidi="ar"/>
              </w:rPr>
            </w:pPr>
            <w:r>
              <w:rPr>
                <w:color w:val="auto"/>
                <w:kern w:val="0"/>
                <w:highlight w:val="none"/>
                <w:lang w:bidi="ar"/>
              </w:rPr>
              <w:t xml:space="preserve">（4）固体废物 </w:t>
            </w:r>
          </w:p>
          <w:p>
            <w:pPr>
              <w:ind w:firstLine="480"/>
              <w:rPr>
                <w:rFonts w:hint="eastAsia"/>
                <w:color w:val="auto"/>
                <w:highlight w:val="none"/>
              </w:rPr>
            </w:pPr>
            <w:r>
              <w:rPr>
                <w:rFonts w:hint="eastAsia"/>
                <w:color w:val="auto"/>
                <w:highlight w:val="none"/>
              </w:rPr>
              <w:t>拟建项目产生的固体废物主要为砂尘分离器分离出的金属氧化皮碎片和破碎的钢砂（以破碎的钢砂为主），旋风分离器和滤筒除尘器收集的粉尘及废滤筒。以上废物均属于一般固废，存放于固体废物暂存区域，和厂区内现有打砂房产生的同类固废一起由厂区集中处理。</w:t>
            </w:r>
          </w:p>
          <w:p>
            <w:pPr>
              <w:pStyle w:val="27"/>
              <w:ind w:firstLine="480"/>
              <w:rPr>
                <w:rFonts w:ascii="Times New Roman" w:hAnsi="Times New Roman"/>
                <w:color w:val="auto"/>
                <w:sz w:val="24"/>
                <w:highlight w:val="none"/>
              </w:rPr>
            </w:pPr>
            <w:r>
              <w:rPr>
                <w:rFonts w:hint="eastAsia" w:ascii="Times New Roman" w:hAnsi="Times New Roman"/>
                <w:color w:val="auto"/>
                <w:sz w:val="24"/>
                <w:highlight w:val="none"/>
              </w:rPr>
              <w:t>（5）环境风险分析</w:t>
            </w:r>
          </w:p>
          <w:p>
            <w:pPr>
              <w:ind w:firstLine="480"/>
              <w:rPr>
                <w:rFonts w:hint="eastAsia"/>
                <w:color w:val="auto"/>
                <w:highlight w:val="none"/>
              </w:rPr>
            </w:pPr>
            <w:r>
              <w:rPr>
                <w:rFonts w:hint="eastAsia"/>
                <w:color w:val="auto"/>
                <w:highlight w:val="none"/>
              </w:rPr>
              <w:t>项目无重大危险源。在严格按照安全操作程序进行生产的情况下，可有效消除风险因素，避免风险事故发生，则发生对造成环境污染的安全事故的概率很低。</w:t>
            </w:r>
          </w:p>
          <w:p>
            <w:pPr>
              <w:pStyle w:val="27"/>
              <w:ind w:firstLine="480"/>
              <w:rPr>
                <w:rFonts w:ascii="Times New Roman" w:hAnsi="Times New Roman"/>
                <w:color w:val="auto"/>
                <w:sz w:val="24"/>
                <w:highlight w:val="none"/>
              </w:rPr>
            </w:pPr>
            <w:r>
              <w:rPr>
                <w:rFonts w:hint="eastAsia" w:ascii="Times New Roman" w:hAnsi="Times New Roman"/>
                <w:color w:val="auto"/>
                <w:sz w:val="24"/>
                <w:highlight w:val="none"/>
              </w:rPr>
              <w:t>（6）总量控制</w:t>
            </w:r>
          </w:p>
          <w:p>
            <w:pPr>
              <w:ind w:firstLine="480"/>
              <w:rPr>
                <w:rFonts w:hint="eastAsia"/>
                <w:color w:val="auto"/>
                <w:highlight w:val="none"/>
              </w:rPr>
            </w:pPr>
            <w:r>
              <w:rPr>
                <w:rFonts w:hint="eastAsia"/>
                <w:color w:val="auto"/>
                <w:highlight w:val="none"/>
              </w:rPr>
              <w:t>本项目无废水产生，项目营运过程中，无</w:t>
            </w:r>
            <w:r>
              <w:rPr>
                <w:rFonts w:hint="eastAsia"/>
                <w:color w:val="auto"/>
                <w:highlight w:val="none"/>
                <w:lang w:eastAsia="zh-CN"/>
              </w:rPr>
              <w:t>二氧化硫</w:t>
            </w:r>
            <w:r>
              <w:rPr>
                <w:rFonts w:hint="eastAsia"/>
                <w:color w:val="auto"/>
                <w:highlight w:val="none"/>
              </w:rPr>
              <w:t>、</w:t>
            </w:r>
            <w:r>
              <w:rPr>
                <w:rFonts w:hint="eastAsia"/>
                <w:color w:val="auto"/>
                <w:highlight w:val="none"/>
                <w:lang w:eastAsia="zh-CN"/>
              </w:rPr>
              <w:t>氮氧化物</w:t>
            </w:r>
            <w:r>
              <w:rPr>
                <w:rFonts w:hint="eastAsia"/>
                <w:color w:val="auto"/>
                <w:highlight w:val="none"/>
              </w:rPr>
              <w:t>的排放，颗粒物的排放量为0.2175t/a。</w:t>
            </w:r>
          </w:p>
          <w:p>
            <w:pPr>
              <w:ind w:firstLine="480"/>
              <w:rPr>
                <w:color w:val="auto"/>
                <w:highlight w:val="none"/>
              </w:rPr>
            </w:pPr>
            <w:r>
              <w:rPr>
                <w:color w:val="auto"/>
                <w:highlight w:val="none"/>
              </w:rPr>
              <w:t>（7）总体结论</w:t>
            </w:r>
          </w:p>
          <w:p>
            <w:pPr>
              <w:ind w:firstLine="480"/>
              <w:rPr>
                <w:rFonts w:hint="eastAsia"/>
                <w:color w:val="auto"/>
                <w:highlight w:val="none"/>
              </w:rPr>
            </w:pPr>
            <w:r>
              <w:rPr>
                <w:rFonts w:hint="eastAsia"/>
                <w:color w:val="auto"/>
                <w:highlight w:val="none"/>
              </w:rPr>
              <w:t>通过上述分析，项目符合国家产业政策，具有良好的经济效益和社会效益。对环境质量影响较小；固体废物去向明确，不会造成二次污染；厂界噪声达标，项目对职工及外环境影响较小。从环境保护角度看，项目的建设是可行的。</w:t>
            </w:r>
          </w:p>
          <w:p>
            <w:pPr>
              <w:ind w:firstLine="482"/>
              <w:rPr>
                <w:b/>
                <w:bCs/>
                <w:color w:val="auto"/>
                <w:highlight w:val="none"/>
              </w:rPr>
            </w:pPr>
            <w:r>
              <w:rPr>
                <w:b/>
                <w:bCs/>
                <w:color w:val="auto"/>
                <w:highlight w:val="none"/>
              </w:rPr>
              <w:t>2、建议</w:t>
            </w:r>
          </w:p>
          <w:p>
            <w:pPr>
              <w:pStyle w:val="2"/>
              <w:adjustRightInd/>
              <w:rPr>
                <w:rFonts w:hint="eastAsia" w:cs="Times New Roman"/>
                <w:color w:val="auto"/>
                <w:highlight w:val="none"/>
              </w:rPr>
            </w:pPr>
            <w:r>
              <w:rPr>
                <w:rFonts w:hint="eastAsia" w:cs="Times New Roman"/>
                <w:color w:val="auto"/>
                <w:highlight w:val="none"/>
                <w:lang w:eastAsia="zh-CN"/>
              </w:rPr>
              <w:t>（</w:t>
            </w:r>
            <w:r>
              <w:rPr>
                <w:rFonts w:hint="eastAsia" w:cs="Times New Roman"/>
                <w:color w:val="auto"/>
                <w:highlight w:val="none"/>
                <w:lang w:val="en-US" w:eastAsia="zh-CN"/>
              </w:rPr>
              <w:t>1</w:t>
            </w:r>
            <w:r>
              <w:rPr>
                <w:rFonts w:hint="eastAsia" w:cs="Times New Roman"/>
                <w:color w:val="auto"/>
                <w:highlight w:val="none"/>
                <w:lang w:eastAsia="zh-CN"/>
              </w:rPr>
              <w:t>）</w:t>
            </w:r>
            <w:r>
              <w:rPr>
                <w:rFonts w:hint="eastAsia" w:cs="Times New Roman"/>
                <w:color w:val="auto"/>
                <w:highlight w:val="none"/>
              </w:rPr>
              <w:t>做好隔音工作，生产采取基础减震措施。</w:t>
            </w:r>
          </w:p>
          <w:p>
            <w:pPr>
              <w:pStyle w:val="2"/>
              <w:adjustRightInd/>
              <w:rPr>
                <w:rFonts w:hint="eastAsia" w:cs="Times New Roman"/>
                <w:color w:val="auto"/>
                <w:highlight w:val="none"/>
              </w:rPr>
            </w:pPr>
            <w:r>
              <w:rPr>
                <w:rFonts w:hint="eastAsia" w:cs="Times New Roman"/>
                <w:color w:val="auto"/>
                <w:highlight w:val="none"/>
                <w:lang w:eastAsia="zh-CN"/>
              </w:rPr>
              <w:t>（</w:t>
            </w:r>
            <w:r>
              <w:rPr>
                <w:rFonts w:hint="eastAsia" w:cs="Times New Roman"/>
                <w:color w:val="auto"/>
                <w:highlight w:val="none"/>
                <w:lang w:val="en-US" w:eastAsia="zh-CN"/>
              </w:rPr>
              <w:t>2</w:t>
            </w:r>
            <w:r>
              <w:rPr>
                <w:rFonts w:hint="eastAsia" w:cs="Times New Roman"/>
                <w:color w:val="auto"/>
                <w:highlight w:val="none"/>
                <w:lang w:eastAsia="zh-CN"/>
              </w:rPr>
              <w:t>）</w:t>
            </w:r>
            <w:r>
              <w:rPr>
                <w:rFonts w:hint="eastAsia" w:cs="Times New Roman"/>
                <w:color w:val="auto"/>
                <w:highlight w:val="none"/>
              </w:rPr>
              <w:t>加强固废的管理。</w:t>
            </w:r>
          </w:p>
          <w:p>
            <w:pPr>
              <w:pStyle w:val="2"/>
              <w:adjustRightInd/>
              <w:rPr>
                <w:rFonts w:hint="eastAsia" w:cs="Times New Roman"/>
                <w:color w:val="auto"/>
                <w:highlight w:val="none"/>
              </w:rPr>
            </w:pPr>
            <w:r>
              <w:rPr>
                <w:rFonts w:hint="eastAsia" w:cs="Times New Roman"/>
                <w:color w:val="auto"/>
                <w:highlight w:val="none"/>
                <w:lang w:eastAsia="zh-CN"/>
              </w:rPr>
              <w:t>（</w:t>
            </w:r>
            <w:r>
              <w:rPr>
                <w:rFonts w:hint="eastAsia" w:cs="Times New Roman"/>
                <w:color w:val="auto"/>
                <w:highlight w:val="none"/>
                <w:lang w:val="en-US" w:eastAsia="zh-CN"/>
              </w:rPr>
              <w:t>3</w:t>
            </w:r>
            <w:r>
              <w:rPr>
                <w:rFonts w:hint="eastAsia" w:cs="Times New Roman"/>
                <w:color w:val="auto"/>
                <w:highlight w:val="none"/>
                <w:lang w:eastAsia="zh-CN"/>
              </w:rPr>
              <w:t>）</w:t>
            </w:r>
            <w:r>
              <w:rPr>
                <w:rFonts w:hint="eastAsia" w:cs="Times New Roman"/>
                <w:color w:val="auto"/>
                <w:highlight w:val="none"/>
              </w:rPr>
              <w:t>在项目营运期间严格落实国家有关安全、消防的各项规定。</w:t>
            </w:r>
          </w:p>
          <w:p>
            <w:pPr>
              <w:pStyle w:val="2"/>
              <w:adjustRightInd/>
              <w:rPr>
                <w:rFonts w:hint="eastAsia" w:cs="Times New Roman"/>
                <w:color w:val="auto"/>
                <w:highlight w:val="none"/>
              </w:rPr>
            </w:pPr>
            <w:r>
              <w:rPr>
                <w:rFonts w:hint="eastAsia" w:cs="Times New Roman"/>
                <w:color w:val="auto"/>
                <w:highlight w:val="none"/>
                <w:lang w:eastAsia="zh-CN"/>
              </w:rPr>
              <w:t>（</w:t>
            </w:r>
            <w:r>
              <w:rPr>
                <w:rFonts w:hint="eastAsia" w:cs="Times New Roman"/>
                <w:color w:val="auto"/>
                <w:highlight w:val="none"/>
                <w:lang w:val="en-US" w:eastAsia="zh-CN"/>
              </w:rPr>
              <w:t>4</w:t>
            </w:r>
            <w:r>
              <w:rPr>
                <w:rFonts w:hint="eastAsia" w:cs="Times New Roman"/>
                <w:color w:val="auto"/>
                <w:highlight w:val="none"/>
                <w:lang w:eastAsia="zh-CN"/>
              </w:rPr>
              <w:t>）</w:t>
            </w:r>
            <w:r>
              <w:rPr>
                <w:rFonts w:hint="eastAsia" w:cs="Times New Roman"/>
                <w:color w:val="auto"/>
                <w:highlight w:val="none"/>
              </w:rPr>
              <w:t>为工人配备打砂服等防护措施，防止对身体造成危害。</w:t>
            </w:r>
          </w:p>
          <w:p>
            <w:pPr>
              <w:pStyle w:val="2"/>
              <w:adjustRightInd/>
              <w:rPr>
                <w:rFonts w:hint="eastAsia" w:cs="Times New Roman"/>
                <w:color w:val="auto"/>
                <w:highlight w:val="none"/>
              </w:rPr>
            </w:pPr>
            <w:r>
              <w:rPr>
                <w:rFonts w:hint="eastAsia" w:cs="Times New Roman"/>
                <w:color w:val="auto"/>
                <w:highlight w:val="none"/>
                <w:lang w:eastAsia="zh-CN"/>
              </w:rPr>
              <w:t>（</w:t>
            </w:r>
            <w:r>
              <w:rPr>
                <w:rFonts w:hint="eastAsia" w:cs="Times New Roman"/>
                <w:color w:val="auto"/>
                <w:highlight w:val="none"/>
                <w:lang w:val="en-US" w:eastAsia="zh-CN"/>
              </w:rPr>
              <w:t>5</w:t>
            </w:r>
            <w:r>
              <w:rPr>
                <w:rFonts w:hint="eastAsia" w:cs="Times New Roman"/>
                <w:color w:val="auto"/>
                <w:highlight w:val="none"/>
                <w:lang w:eastAsia="zh-CN"/>
              </w:rPr>
              <w:t>）</w:t>
            </w:r>
            <w:r>
              <w:rPr>
                <w:rFonts w:hint="eastAsia" w:cs="Times New Roman"/>
                <w:color w:val="auto"/>
                <w:highlight w:val="none"/>
              </w:rPr>
              <w:t>增加厂区绿化及美化环境，降低污染。</w:t>
            </w:r>
          </w:p>
          <w:p>
            <w:pPr>
              <w:pStyle w:val="2"/>
              <w:adjustRightInd/>
              <w:rPr>
                <w:rFonts w:hint="eastAsia" w:cs="Times New Roman"/>
                <w:color w:val="auto"/>
                <w:highlight w:val="none"/>
              </w:rPr>
            </w:pPr>
            <w:r>
              <w:rPr>
                <w:rFonts w:hint="eastAsia" w:cs="Times New Roman"/>
                <w:color w:val="auto"/>
                <w:highlight w:val="none"/>
                <w:lang w:eastAsia="zh-CN"/>
              </w:rPr>
              <w:t>（</w:t>
            </w:r>
            <w:r>
              <w:rPr>
                <w:rFonts w:hint="eastAsia" w:cs="Times New Roman"/>
                <w:color w:val="auto"/>
                <w:highlight w:val="none"/>
                <w:lang w:val="en-US" w:eastAsia="zh-CN"/>
              </w:rPr>
              <w:t>6</w:t>
            </w:r>
            <w:r>
              <w:rPr>
                <w:rFonts w:hint="eastAsia" w:cs="Times New Roman"/>
                <w:color w:val="auto"/>
                <w:highlight w:val="none"/>
                <w:lang w:eastAsia="zh-CN"/>
              </w:rPr>
              <w:t>）</w:t>
            </w:r>
            <w:r>
              <w:rPr>
                <w:rFonts w:hint="eastAsia" w:cs="Times New Roman"/>
                <w:color w:val="auto"/>
                <w:highlight w:val="none"/>
              </w:rPr>
              <w:t>配备灭火器材，防范火灾事故的发生。</w:t>
            </w:r>
          </w:p>
          <w:p>
            <w:pPr>
              <w:pStyle w:val="2"/>
              <w:adjustRightInd/>
              <w:rPr>
                <w:rFonts w:hint="eastAsia" w:cs="Times New Roman"/>
                <w:color w:val="auto"/>
                <w:highlight w:val="none"/>
              </w:rPr>
            </w:pPr>
            <w:r>
              <w:rPr>
                <w:rFonts w:hint="eastAsia" w:cs="Times New Roman"/>
                <w:color w:val="auto"/>
                <w:highlight w:val="none"/>
                <w:lang w:eastAsia="zh-CN"/>
              </w:rPr>
              <w:t>（</w:t>
            </w:r>
            <w:r>
              <w:rPr>
                <w:rFonts w:hint="eastAsia" w:cs="Times New Roman"/>
                <w:color w:val="auto"/>
                <w:highlight w:val="none"/>
                <w:lang w:val="en-US" w:eastAsia="zh-CN"/>
              </w:rPr>
              <w:t>7</w:t>
            </w:r>
            <w:r>
              <w:rPr>
                <w:rFonts w:hint="eastAsia" w:cs="Times New Roman"/>
                <w:color w:val="auto"/>
                <w:highlight w:val="none"/>
                <w:lang w:eastAsia="zh-CN"/>
              </w:rPr>
              <w:t>）</w:t>
            </w:r>
            <w:r>
              <w:rPr>
                <w:rFonts w:hint="eastAsia" w:cs="Times New Roman"/>
                <w:color w:val="auto"/>
                <w:highlight w:val="none"/>
              </w:rPr>
              <w:t>严格执行环保“三同时”制度，确保各项环保措施落实到位。</w:t>
            </w:r>
          </w:p>
          <w:p>
            <w:pPr>
              <w:pStyle w:val="2"/>
              <w:adjustRightInd/>
              <w:rPr>
                <w:rFonts w:hint="eastAsia" w:cs="Times New Roman"/>
                <w:color w:val="auto"/>
                <w:highlight w:val="none"/>
              </w:rPr>
            </w:pPr>
            <w:r>
              <w:rPr>
                <w:rFonts w:hint="eastAsia" w:cs="Times New Roman"/>
                <w:color w:val="auto"/>
                <w:highlight w:val="none"/>
                <w:lang w:eastAsia="zh-CN"/>
              </w:rPr>
              <w:t>（</w:t>
            </w:r>
            <w:r>
              <w:rPr>
                <w:rFonts w:hint="eastAsia" w:cs="Times New Roman"/>
                <w:color w:val="auto"/>
                <w:highlight w:val="none"/>
                <w:lang w:val="en-US" w:eastAsia="zh-CN"/>
              </w:rPr>
              <w:t>8</w:t>
            </w:r>
            <w:r>
              <w:rPr>
                <w:rFonts w:hint="eastAsia" w:cs="Times New Roman"/>
                <w:color w:val="auto"/>
                <w:highlight w:val="none"/>
                <w:lang w:eastAsia="zh-CN"/>
              </w:rPr>
              <w:t>）</w:t>
            </w:r>
            <w:r>
              <w:rPr>
                <w:rFonts w:hint="eastAsia" w:cs="Times New Roman"/>
                <w:color w:val="auto"/>
                <w:highlight w:val="none"/>
              </w:rPr>
              <w:t>随时接受当地环保部门的监督。</w:t>
            </w:r>
          </w:p>
          <w:p>
            <w:pPr>
              <w:pStyle w:val="2"/>
              <w:adjustRightInd/>
              <w:rPr>
                <w:rFonts w:cs="Times New Roman"/>
                <w:color w:val="auto"/>
                <w:highlight w:val="none"/>
              </w:rPr>
            </w:pPr>
          </w:p>
          <w:p>
            <w:pPr>
              <w:pStyle w:val="2"/>
              <w:adjustRightInd/>
              <w:ind w:firstLine="482"/>
              <w:rPr>
                <w:rFonts w:cs="Times New Roman"/>
                <w:b/>
                <w:bCs/>
                <w:color w:val="auto"/>
                <w:highlight w:val="none"/>
              </w:rPr>
            </w:pPr>
          </w:p>
          <w:p>
            <w:pPr>
              <w:pStyle w:val="2"/>
              <w:adjustRightInd/>
              <w:ind w:firstLine="482"/>
              <w:rPr>
                <w:rFonts w:cs="Times New Roman"/>
                <w:b/>
                <w:bCs/>
                <w:color w:val="auto"/>
                <w:highlight w:val="none"/>
              </w:rPr>
            </w:pPr>
          </w:p>
          <w:p>
            <w:pPr>
              <w:pStyle w:val="2"/>
              <w:adjustRightInd/>
              <w:ind w:firstLine="482"/>
              <w:rPr>
                <w:rFonts w:cs="Times New Roman"/>
                <w:b/>
                <w:bCs/>
                <w:color w:val="auto"/>
                <w:highlight w:val="none"/>
              </w:rPr>
            </w:pPr>
          </w:p>
          <w:p>
            <w:pPr>
              <w:pStyle w:val="2"/>
              <w:adjustRightInd/>
              <w:ind w:firstLine="482"/>
              <w:rPr>
                <w:rFonts w:cs="Times New Roman"/>
                <w:b/>
                <w:bCs/>
                <w:color w:val="auto"/>
                <w:highlight w:val="none"/>
              </w:rPr>
            </w:pPr>
          </w:p>
          <w:p>
            <w:pPr>
              <w:pStyle w:val="2"/>
              <w:adjustRightInd/>
              <w:ind w:firstLine="482"/>
              <w:rPr>
                <w:rFonts w:cs="Times New Roman"/>
                <w:b/>
                <w:bCs/>
                <w:color w:val="auto"/>
                <w:highlight w:val="none"/>
              </w:rPr>
            </w:pPr>
          </w:p>
          <w:p>
            <w:pPr>
              <w:pStyle w:val="2"/>
              <w:adjustRightInd/>
              <w:ind w:firstLine="482"/>
              <w:rPr>
                <w:rFonts w:cs="Times New Roman"/>
                <w:b/>
                <w:bCs/>
                <w:color w:val="auto"/>
                <w:highlight w:val="none"/>
              </w:rPr>
            </w:pPr>
            <w:r>
              <w:rPr>
                <w:rFonts w:cs="Times New Roman"/>
                <w:b/>
                <w:bCs/>
                <w:color w:val="auto"/>
                <w:highlight w:val="none"/>
              </w:rPr>
              <w:t>二、环评批复</w:t>
            </w:r>
          </w:p>
          <w:p>
            <w:pPr>
              <w:widowControl/>
              <w:ind w:firstLine="480"/>
              <w:jc w:val="right"/>
              <w:rPr>
                <w:color w:val="auto"/>
                <w:highlight w:val="none"/>
              </w:rPr>
            </w:pPr>
            <w:bookmarkStart w:id="180" w:name="bookmark4"/>
            <w:bookmarkStart w:id="181" w:name="bookmark5"/>
            <w:bookmarkStart w:id="182" w:name="bookmark3"/>
            <w:r>
              <w:rPr>
                <w:rFonts w:hint="eastAsia"/>
                <w:color w:val="auto"/>
                <w:highlight w:val="none"/>
              </w:rPr>
              <w:t>济槐环建审</w:t>
            </w:r>
            <w:r>
              <w:rPr>
                <w:color w:val="auto"/>
                <w:highlight w:val="none"/>
              </w:rPr>
              <w:t>[202</w:t>
            </w:r>
            <w:r>
              <w:rPr>
                <w:rFonts w:hint="eastAsia"/>
                <w:color w:val="auto"/>
                <w:highlight w:val="none"/>
                <w:lang w:val="en-US" w:eastAsia="zh-CN"/>
              </w:rPr>
              <w:t>0</w:t>
            </w:r>
            <w:r>
              <w:rPr>
                <w:color w:val="auto"/>
                <w:highlight w:val="none"/>
              </w:rPr>
              <w:t>]</w:t>
            </w:r>
            <w:r>
              <w:rPr>
                <w:rFonts w:hint="eastAsia"/>
                <w:color w:val="auto"/>
                <w:highlight w:val="none"/>
                <w:lang w:val="en-US" w:eastAsia="zh-CN"/>
              </w:rPr>
              <w:t>45</w:t>
            </w:r>
            <w:r>
              <w:rPr>
                <w:color w:val="auto"/>
                <w:highlight w:val="none"/>
              </w:rPr>
              <w:t>号</w:t>
            </w:r>
          </w:p>
          <w:p>
            <w:pPr>
              <w:widowControl/>
              <w:ind w:firstLine="480"/>
              <w:jc w:val="left"/>
              <w:rPr>
                <w:rFonts w:hint="eastAsia"/>
                <w:color w:val="auto"/>
                <w:highlight w:val="none"/>
              </w:rPr>
            </w:pPr>
            <w:r>
              <w:rPr>
                <w:rFonts w:hint="eastAsia"/>
                <w:color w:val="auto"/>
                <w:highlight w:val="none"/>
              </w:rPr>
              <w:t>中车山东机车车辆有限公司：</w:t>
            </w:r>
          </w:p>
          <w:p>
            <w:pPr>
              <w:widowControl/>
              <w:ind w:firstLine="480"/>
              <w:jc w:val="left"/>
              <w:rPr>
                <w:rFonts w:hint="eastAsia"/>
                <w:color w:val="auto"/>
                <w:highlight w:val="none"/>
              </w:rPr>
            </w:pPr>
            <w:r>
              <w:rPr>
                <w:rFonts w:hint="eastAsia"/>
                <w:color w:val="auto"/>
                <w:highlight w:val="none"/>
              </w:rPr>
              <w:t>你单位报送的《中车山东机车车辆有限公司原钢构喷漆房改造为打砂房项目环境影响报告表》及相关申请材料收悉，经审查，符合济南市建设项目环境影响评价文件告知承诺制审批的相关要求，我局原则同意该项目环境影响报告表结论以及拟采取的环境保护措施。</w:t>
            </w:r>
          </w:p>
          <w:p>
            <w:pPr>
              <w:widowControl/>
              <w:ind w:firstLine="480"/>
              <w:jc w:val="left"/>
              <w:rPr>
                <w:rFonts w:hint="eastAsia"/>
                <w:color w:val="auto"/>
                <w:highlight w:val="none"/>
              </w:rPr>
            </w:pPr>
            <w:r>
              <w:rPr>
                <w:rFonts w:hint="eastAsia"/>
                <w:color w:val="auto"/>
                <w:highlight w:val="none"/>
              </w:rPr>
              <w:t>你单位要严格落实相关承诺事项和各项生态环境保护措施。项目建设必须严格执行环境保护设施与主体工程同时设计、同时施工、同时投产使用的环境保护“三同时”制度。要按规定进行建设项目竣工环境保护验收，经验收合格后方可正式投入使用，并按规定申领排污许可证。</w:t>
            </w:r>
          </w:p>
          <w:p>
            <w:pPr>
              <w:widowControl/>
              <w:ind w:firstLine="480"/>
              <w:jc w:val="left"/>
              <w:rPr>
                <w:rFonts w:hint="eastAsia"/>
                <w:color w:val="auto"/>
                <w:highlight w:val="none"/>
              </w:rPr>
            </w:pPr>
            <w:r>
              <w:rPr>
                <w:rFonts w:hint="eastAsia"/>
                <w:color w:val="auto"/>
                <w:highlight w:val="none"/>
              </w:rPr>
              <w:t>槐荫区环境监察大队要加强该建设项目的日常监督检查，做好监督抽查工作。</w:t>
            </w:r>
          </w:p>
          <w:p>
            <w:pPr>
              <w:widowControl/>
              <w:ind w:firstLine="0" w:firstLineChars="0"/>
              <w:jc w:val="right"/>
              <w:rPr>
                <w:rFonts w:hint="eastAsia"/>
                <w:color w:val="auto"/>
                <w:highlight w:val="none"/>
              </w:rPr>
            </w:pPr>
          </w:p>
          <w:p>
            <w:pPr>
              <w:widowControl/>
              <w:ind w:firstLine="0" w:firstLineChars="0"/>
              <w:jc w:val="right"/>
              <w:rPr>
                <w:color w:val="auto"/>
                <w:highlight w:val="none"/>
              </w:rPr>
            </w:pPr>
            <w:r>
              <w:rPr>
                <w:rFonts w:hint="eastAsia"/>
                <w:color w:val="auto"/>
                <w:highlight w:val="none"/>
                <w:lang w:eastAsia="zh-CN"/>
              </w:rPr>
              <w:t>2020年11月</w:t>
            </w:r>
            <w:r>
              <w:rPr>
                <w:rFonts w:hint="eastAsia"/>
                <w:color w:val="auto"/>
                <w:highlight w:val="none"/>
              </w:rPr>
              <w:t>26日</w:t>
            </w:r>
          </w:p>
          <w:bookmarkEnd w:id="180"/>
          <w:bookmarkEnd w:id="181"/>
          <w:bookmarkEnd w:id="182"/>
          <w:p>
            <w:pPr>
              <w:pStyle w:val="2"/>
              <w:adjustRightInd/>
              <w:ind w:firstLine="482"/>
              <w:rPr>
                <w:rFonts w:cs="Times New Roman"/>
                <w:b/>
                <w:bCs/>
                <w:color w:val="auto"/>
                <w:highlight w:val="none"/>
              </w:rPr>
            </w:pPr>
          </w:p>
          <w:p>
            <w:pPr>
              <w:pStyle w:val="2"/>
              <w:adjustRightInd/>
              <w:ind w:firstLine="482"/>
              <w:rPr>
                <w:rFonts w:cs="Times New Roman"/>
                <w:b/>
                <w:bCs/>
                <w:color w:val="auto"/>
                <w:highlight w:val="none"/>
              </w:rPr>
            </w:pPr>
          </w:p>
          <w:p>
            <w:pPr>
              <w:pStyle w:val="2"/>
              <w:adjustRightInd/>
              <w:ind w:firstLine="482"/>
              <w:rPr>
                <w:rFonts w:cs="Times New Roman"/>
                <w:b/>
                <w:bCs/>
                <w:color w:val="auto"/>
                <w:highlight w:val="none"/>
              </w:rPr>
            </w:pPr>
          </w:p>
          <w:p>
            <w:pPr>
              <w:pStyle w:val="2"/>
              <w:adjustRightInd/>
              <w:ind w:firstLine="482"/>
              <w:rPr>
                <w:rFonts w:cs="Times New Roman"/>
                <w:b/>
                <w:bCs/>
                <w:color w:val="auto"/>
                <w:highlight w:val="none"/>
              </w:rPr>
            </w:pPr>
          </w:p>
          <w:p>
            <w:pPr>
              <w:pStyle w:val="2"/>
              <w:adjustRightInd/>
              <w:ind w:firstLine="482"/>
              <w:rPr>
                <w:rFonts w:cs="Times New Roman"/>
                <w:b/>
                <w:bCs/>
                <w:color w:val="auto"/>
                <w:highlight w:val="none"/>
              </w:rPr>
            </w:pPr>
          </w:p>
          <w:p>
            <w:pPr>
              <w:pStyle w:val="2"/>
              <w:adjustRightInd/>
              <w:ind w:firstLine="482"/>
              <w:rPr>
                <w:rFonts w:cs="Times New Roman"/>
                <w:b/>
                <w:bCs/>
                <w:color w:val="auto"/>
                <w:highlight w:val="none"/>
              </w:rPr>
            </w:pPr>
          </w:p>
          <w:p>
            <w:pPr>
              <w:pStyle w:val="2"/>
              <w:adjustRightInd/>
              <w:ind w:firstLine="482"/>
              <w:rPr>
                <w:rFonts w:cs="Times New Roman"/>
                <w:b/>
                <w:bCs/>
                <w:color w:val="auto"/>
                <w:highlight w:val="none"/>
              </w:rPr>
            </w:pPr>
          </w:p>
          <w:p>
            <w:pPr>
              <w:pStyle w:val="2"/>
              <w:adjustRightInd/>
              <w:ind w:firstLine="482"/>
              <w:rPr>
                <w:rFonts w:cs="Times New Roman"/>
                <w:b/>
                <w:bCs/>
                <w:color w:val="auto"/>
                <w:highlight w:val="none"/>
              </w:rPr>
            </w:pPr>
          </w:p>
          <w:p>
            <w:pPr>
              <w:pStyle w:val="2"/>
              <w:adjustRightInd/>
              <w:ind w:firstLine="482"/>
              <w:rPr>
                <w:rFonts w:cs="Times New Roman"/>
                <w:b/>
                <w:bCs/>
                <w:color w:val="auto"/>
                <w:highlight w:val="none"/>
              </w:rPr>
            </w:pPr>
          </w:p>
          <w:p>
            <w:pPr>
              <w:pStyle w:val="2"/>
              <w:adjustRightInd/>
              <w:ind w:firstLine="482"/>
              <w:rPr>
                <w:rFonts w:cs="Times New Roman"/>
                <w:b/>
                <w:bCs/>
                <w:color w:val="auto"/>
                <w:highlight w:val="none"/>
              </w:rPr>
            </w:pPr>
          </w:p>
          <w:p>
            <w:pPr>
              <w:pStyle w:val="2"/>
              <w:adjustRightInd/>
              <w:ind w:firstLine="482"/>
              <w:rPr>
                <w:rFonts w:cs="Times New Roman"/>
                <w:b/>
                <w:bCs/>
                <w:color w:val="auto"/>
                <w:highlight w:val="none"/>
              </w:rPr>
            </w:pPr>
          </w:p>
          <w:p>
            <w:pPr>
              <w:pStyle w:val="2"/>
              <w:adjustRightInd/>
              <w:ind w:firstLine="482"/>
              <w:rPr>
                <w:rFonts w:cs="Times New Roman"/>
                <w:b/>
                <w:bCs/>
                <w:color w:val="auto"/>
                <w:highlight w:val="none"/>
              </w:rPr>
            </w:pPr>
          </w:p>
          <w:p>
            <w:pPr>
              <w:pStyle w:val="2"/>
              <w:adjustRightInd/>
              <w:ind w:firstLine="482"/>
              <w:rPr>
                <w:rFonts w:cs="Times New Roman"/>
                <w:b/>
                <w:bCs/>
                <w:color w:val="auto"/>
                <w:highlight w:val="none"/>
              </w:rPr>
            </w:pPr>
          </w:p>
          <w:p>
            <w:pPr>
              <w:pStyle w:val="2"/>
              <w:adjustRightInd/>
              <w:ind w:firstLine="482"/>
              <w:rPr>
                <w:rFonts w:cs="Times New Roman"/>
                <w:b/>
                <w:bCs/>
                <w:color w:val="auto"/>
                <w:highlight w:val="none"/>
              </w:rPr>
            </w:pPr>
          </w:p>
          <w:p>
            <w:pPr>
              <w:pStyle w:val="2"/>
              <w:adjustRightInd/>
              <w:ind w:firstLine="482"/>
              <w:rPr>
                <w:rFonts w:cs="Times New Roman"/>
                <w:b/>
                <w:bCs/>
                <w:color w:val="auto"/>
                <w:highlight w:val="none"/>
              </w:rPr>
            </w:pPr>
          </w:p>
          <w:p>
            <w:pPr>
              <w:pStyle w:val="2"/>
              <w:adjustRightInd/>
              <w:ind w:firstLine="482"/>
              <w:rPr>
                <w:rFonts w:cs="Times New Roman"/>
                <w:b/>
                <w:bCs/>
                <w:color w:val="auto"/>
                <w:highlight w:val="none"/>
              </w:rPr>
            </w:pPr>
            <w:r>
              <w:rPr>
                <w:rFonts w:cs="Times New Roman"/>
                <w:b/>
                <w:bCs/>
                <w:color w:val="auto"/>
                <w:highlight w:val="none"/>
              </w:rPr>
              <w:t>三、环评批复落实情况</w:t>
            </w:r>
          </w:p>
          <w:tbl>
            <w:tblPr>
              <w:tblStyle w:val="28"/>
              <w:tblW w:w="4998"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2810"/>
              <w:gridCol w:w="4253"/>
              <w:gridCol w:w="117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0" w:type="pct"/>
                  <w:tcBorders>
                    <w:tl2br w:val="nil"/>
                    <w:tr2bl w:val="nil"/>
                  </w:tcBorders>
                  <w:shd w:val="clear" w:color="auto" w:fill="auto"/>
                  <w:vAlign w:val="center"/>
                </w:tcPr>
                <w:p>
                  <w:pPr>
                    <w:adjustRightInd w:val="0"/>
                    <w:snapToGrid w:val="0"/>
                    <w:spacing w:line="240" w:lineRule="auto"/>
                    <w:ind w:firstLine="0" w:firstLineChars="0"/>
                    <w:jc w:val="center"/>
                    <w:rPr>
                      <w:color w:val="auto"/>
                      <w:sz w:val="21"/>
                      <w:szCs w:val="21"/>
                      <w:highlight w:val="none"/>
                    </w:rPr>
                  </w:pPr>
                  <w:r>
                    <w:rPr>
                      <w:b/>
                      <w:bCs/>
                      <w:color w:val="auto"/>
                      <w:sz w:val="21"/>
                      <w:szCs w:val="21"/>
                      <w:highlight w:val="none"/>
                    </w:rPr>
                    <w:t>项目</w:t>
                  </w:r>
                </w:p>
              </w:tc>
              <w:tc>
                <w:tcPr>
                  <w:tcW w:w="1578" w:type="pct"/>
                  <w:tcBorders>
                    <w:tl2br w:val="nil"/>
                    <w:tr2bl w:val="nil"/>
                  </w:tcBorders>
                  <w:shd w:val="clear" w:color="auto" w:fill="auto"/>
                  <w:vAlign w:val="center"/>
                </w:tcPr>
                <w:p>
                  <w:pPr>
                    <w:adjustRightInd w:val="0"/>
                    <w:snapToGrid w:val="0"/>
                    <w:spacing w:line="240" w:lineRule="auto"/>
                    <w:ind w:firstLine="0" w:firstLineChars="0"/>
                    <w:jc w:val="center"/>
                    <w:rPr>
                      <w:color w:val="auto"/>
                      <w:sz w:val="21"/>
                      <w:szCs w:val="21"/>
                      <w:highlight w:val="none"/>
                    </w:rPr>
                  </w:pPr>
                  <w:r>
                    <w:rPr>
                      <w:b/>
                      <w:bCs/>
                      <w:color w:val="auto"/>
                      <w:sz w:val="21"/>
                      <w:szCs w:val="21"/>
                      <w:highlight w:val="none"/>
                    </w:rPr>
                    <w:t>环评批复要求</w:t>
                  </w:r>
                </w:p>
              </w:tc>
              <w:tc>
                <w:tcPr>
                  <w:tcW w:w="2388" w:type="pct"/>
                  <w:tcBorders>
                    <w:tl2br w:val="nil"/>
                    <w:tr2bl w:val="nil"/>
                  </w:tcBorders>
                  <w:shd w:val="clear" w:color="auto" w:fill="auto"/>
                  <w:vAlign w:val="center"/>
                </w:tcPr>
                <w:p>
                  <w:pPr>
                    <w:adjustRightInd w:val="0"/>
                    <w:snapToGrid w:val="0"/>
                    <w:spacing w:line="240" w:lineRule="auto"/>
                    <w:ind w:firstLine="0" w:firstLineChars="0"/>
                    <w:jc w:val="center"/>
                    <w:rPr>
                      <w:color w:val="auto"/>
                      <w:sz w:val="21"/>
                      <w:szCs w:val="21"/>
                      <w:highlight w:val="none"/>
                    </w:rPr>
                  </w:pPr>
                  <w:r>
                    <w:rPr>
                      <w:b/>
                      <w:bCs/>
                      <w:color w:val="auto"/>
                      <w:sz w:val="21"/>
                      <w:szCs w:val="21"/>
                      <w:highlight w:val="none"/>
                    </w:rPr>
                    <w:t>实际落实情况</w:t>
                  </w:r>
                </w:p>
              </w:tc>
              <w:tc>
                <w:tcPr>
                  <w:tcW w:w="662" w:type="pct"/>
                  <w:tcBorders>
                    <w:tl2br w:val="nil"/>
                    <w:tr2bl w:val="nil"/>
                  </w:tcBorders>
                  <w:shd w:val="clear" w:color="auto" w:fill="auto"/>
                  <w:vAlign w:val="center"/>
                </w:tcPr>
                <w:p>
                  <w:pPr>
                    <w:adjustRightInd w:val="0"/>
                    <w:snapToGrid w:val="0"/>
                    <w:spacing w:line="240" w:lineRule="auto"/>
                    <w:ind w:firstLine="0" w:firstLineChars="0"/>
                    <w:jc w:val="center"/>
                    <w:rPr>
                      <w:color w:val="auto"/>
                      <w:sz w:val="21"/>
                      <w:szCs w:val="21"/>
                      <w:highlight w:val="none"/>
                    </w:rPr>
                  </w:pPr>
                  <w:r>
                    <w:rPr>
                      <w:b/>
                      <w:bCs/>
                      <w:color w:val="auto"/>
                      <w:sz w:val="21"/>
                      <w:szCs w:val="21"/>
                      <w:highlight w:val="none"/>
                    </w:rPr>
                    <w:t>变更情况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0" w:type="pct"/>
                  <w:tcBorders>
                    <w:tl2br w:val="nil"/>
                    <w:tr2bl w:val="nil"/>
                  </w:tcBorders>
                  <w:shd w:val="clear" w:color="auto" w:fill="auto"/>
                  <w:vAlign w:val="center"/>
                </w:tcPr>
                <w:p>
                  <w:pPr>
                    <w:pStyle w:val="21"/>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工程内容</w:t>
                  </w:r>
                </w:p>
              </w:tc>
              <w:tc>
                <w:tcPr>
                  <w:tcW w:w="1578" w:type="pct"/>
                  <w:tcBorders>
                    <w:tl2br w:val="nil"/>
                    <w:tr2bl w:val="nil"/>
                  </w:tcBorders>
                  <w:shd w:val="clear" w:color="auto" w:fill="auto"/>
                  <w:vAlign w:val="center"/>
                </w:tcPr>
                <w:p>
                  <w:pPr>
                    <w:spacing w:line="240" w:lineRule="auto"/>
                    <w:ind w:firstLine="420"/>
                    <w:rPr>
                      <w:color w:val="auto"/>
                      <w:sz w:val="21"/>
                      <w:szCs w:val="21"/>
                      <w:highlight w:val="none"/>
                    </w:rPr>
                  </w:pPr>
                  <w:r>
                    <w:rPr>
                      <w:rFonts w:hint="eastAsia"/>
                      <w:color w:val="auto"/>
                      <w:sz w:val="21"/>
                      <w:szCs w:val="21"/>
                      <w:highlight w:val="none"/>
                    </w:rPr>
                    <w:t>项目将</w:t>
                  </w:r>
                  <w:r>
                    <w:rPr>
                      <w:rFonts w:hint="eastAsia"/>
                      <w:color w:val="auto"/>
                      <w:sz w:val="21"/>
                      <w:szCs w:val="21"/>
                      <w:highlight w:val="none"/>
                      <w:lang w:val="en-US" w:eastAsia="zh-CN"/>
                    </w:rPr>
                    <w:t>1</w:t>
                  </w:r>
                  <w:r>
                    <w:rPr>
                      <w:rFonts w:hint="eastAsia"/>
                      <w:color w:val="auto"/>
                      <w:sz w:val="21"/>
                      <w:szCs w:val="21"/>
                      <w:highlight w:val="none"/>
                    </w:rPr>
                    <w:t>间闲置原钢构喷漆房隔断为1间打砂房和1间打砂辅助房，项目在原有喷漆房的基础上进行设计改造，不新增占地，项目建成后，具备返修打砂底架780个/年的能力</w:t>
                  </w:r>
                </w:p>
              </w:tc>
              <w:tc>
                <w:tcPr>
                  <w:tcW w:w="2388" w:type="pct"/>
                  <w:tcBorders>
                    <w:tl2br w:val="nil"/>
                    <w:tr2bl w:val="nil"/>
                  </w:tcBorders>
                  <w:shd w:val="clear" w:color="auto" w:fill="auto"/>
                  <w:vAlign w:val="center"/>
                </w:tcPr>
                <w:p>
                  <w:pPr>
                    <w:spacing w:line="240" w:lineRule="auto"/>
                    <w:ind w:firstLine="420"/>
                    <w:rPr>
                      <w:color w:val="auto"/>
                      <w:sz w:val="21"/>
                      <w:szCs w:val="21"/>
                      <w:highlight w:val="none"/>
                    </w:rPr>
                  </w:pPr>
                  <w:r>
                    <w:rPr>
                      <w:rFonts w:hint="eastAsia"/>
                      <w:color w:val="auto"/>
                      <w:sz w:val="21"/>
                      <w:szCs w:val="21"/>
                      <w:highlight w:val="none"/>
                    </w:rPr>
                    <w:t>项目将</w:t>
                  </w:r>
                  <w:r>
                    <w:rPr>
                      <w:rFonts w:hint="eastAsia"/>
                      <w:color w:val="auto"/>
                      <w:sz w:val="21"/>
                      <w:szCs w:val="21"/>
                      <w:highlight w:val="none"/>
                      <w:lang w:val="en-US" w:eastAsia="zh-CN"/>
                    </w:rPr>
                    <w:t>1</w:t>
                  </w:r>
                  <w:r>
                    <w:rPr>
                      <w:rFonts w:hint="eastAsia"/>
                      <w:color w:val="auto"/>
                      <w:sz w:val="21"/>
                      <w:szCs w:val="21"/>
                      <w:highlight w:val="none"/>
                    </w:rPr>
                    <w:t>间闲置原钢构喷漆房隔断为1间打砂房和1间打砂辅助房，项目在原有喷漆房的基础上进行设计改造，不新增占地，项目建成后，具备返修打砂底架780个/年的能力</w:t>
                  </w:r>
                </w:p>
              </w:tc>
              <w:tc>
                <w:tcPr>
                  <w:tcW w:w="662" w:type="pct"/>
                  <w:tcBorders>
                    <w:tl2br w:val="nil"/>
                    <w:tr2bl w:val="nil"/>
                  </w:tcBorders>
                  <w:shd w:val="clear" w:color="auto" w:fill="auto"/>
                  <w:vAlign w:val="center"/>
                </w:tcPr>
                <w:p>
                  <w:pPr>
                    <w:pStyle w:val="21"/>
                    <w:jc w:val="center"/>
                    <w:rPr>
                      <w:rFonts w:ascii="Times New Roman" w:hAnsi="Times New Roman"/>
                      <w:color w:val="auto"/>
                      <w:sz w:val="21"/>
                      <w:szCs w:val="21"/>
                      <w:highlight w:val="none"/>
                    </w:rPr>
                  </w:pPr>
                  <w:r>
                    <w:rPr>
                      <w:rFonts w:ascii="Times New Roman" w:hAnsi="Times New Roman"/>
                      <w:color w:val="auto"/>
                      <w:sz w:val="21"/>
                      <w:szCs w:val="21"/>
                      <w:highlight w:val="none"/>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0" w:type="pct"/>
                  <w:tcBorders>
                    <w:tl2br w:val="nil"/>
                    <w:tr2bl w:val="nil"/>
                  </w:tcBorders>
                  <w:shd w:val="clear" w:color="auto" w:fill="auto"/>
                  <w:vAlign w:val="center"/>
                </w:tcPr>
                <w:p>
                  <w:pPr>
                    <w:pStyle w:val="21"/>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废气</w:t>
                  </w:r>
                </w:p>
              </w:tc>
              <w:tc>
                <w:tcPr>
                  <w:tcW w:w="1578" w:type="pct"/>
                  <w:tcBorders>
                    <w:tl2br w:val="nil"/>
                    <w:tr2bl w:val="nil"/>
                  </w:tcBorders>
                  <w:shd w:val="clear" w:color="auto" w:fill="auto"/>
                  <w:vAlign w:val="center"/>
                </w:tcPr>
                <w:p>
                  <w:pPr>
                    <w:spacing w:line="240" w:lineRule="auto"/>
                    <w:ind w:firstLine="420"/>
                    <w:rPr>
                      <w:rFonts w:hint="eastAsia"/>
                      <w:color w:val="auto"/>
                      <w:sz w:val="21"/>
                      <w:szCs w:val="21"/>
                      <w:highlight w:val="none"/>
                      <w:lang w:eastAsia="zh-CN"/>
                    </w:rPr>
                  </w:pPr>
                  <w:r>
                    <w:rPr>
                      <w:rFonts w:hint="eastAsia"/>
                      <w:color w:val="auto"/>
                      <w:sz w:val="21"/>
                      <w:szCs w:val="21"/>
                      <w:highlight w:val="none"/>
                    </w:rPr>
                    <w:t>打砂收集的粉尘经旋风分离器和GK-48滤筒除尘器处理后，通过1根22m的排气筒（DA-035）排放，未被收集的打砂粉尘则进行无组织排放</w:t>
                  </w:r>
                  <w:r>
                    <w:rPr>
                      <w:rFonts w:hint="eastAsia"/>
                      <w:color w:val="auto"/>
                      <w:sz w:val="21"/>
                      <w:szCs w:val="21"/>
                      <w:highlight w:val="none"/>
                      <w:lang w:eastAsia="zh-CN"/>
                    </w:rPr>
                    <w:t>。</w:t>
                  </w:r>
                </w:p>
                <w:p>
                  <w:pPr>
                    <w:spacing w:line="240" w:lineRule="auto"/>
                    <w:ind w:firstLine="420"/>
                    <w:rPr>
                      <w:rFonts w:hint="eastAsia"/>
                      <w:color w:val="auto"/>
                      <w:sz w:val="21"/>
                      <w:szCs w:val="21"/>
                      <w:highlight w:val="none"/>
                    </w:rPr>
                  </w:pPr>
                  <w:r>
                    <w:rPr>
                      <w:rFonts w:hint="eastAsia"/>
                      <w:color w:val="auto"/>
                      <w:sz w:val="21"/>
                      <w:szCs w:val="21"/>
                      <w:highlight w:val="none"/>
                    </w:rPr>
                    <w:t>有组织排放浓度满足《山东省区域性大气污染物综合排放标准》（DB37/2376-2019）表1重点控制区标准，排放速率满足《大气污染物综合排放标准》（GB16297-1996）中二级标准要求；</w:t>
                  </w:r>
                </w:p>
                <w:p>
                  <w:pPr>
                    <w:spacing w:line="240" w:lineRule="auto"/>
                    <w:ind w:firstLine="420"/>
                    <w:rPr>
                      <w:color w:val="auto"/>
                      <w:sz w:val="21"/>
                      <w:szCs w:val="21"/>
                      <w:highlight w:val="none"/>
                    </w:rPr>
                  </w:pPr>
                  <w:r>
                    <w:rPr>
                      <w:rFonts w:hint="eastAsia"/>
                      <w:color w:val="auto"/>
                      <w:sz w:val="21"/>
                      <w:szCs w:val="21"/>
                      <w:highlight w:val="none"/>
                    </w:rPr>
                    <w:t>颗粒物厂界浓度满足《大气污染物综合排放标准》（GB16297-1996）表2无组织排放监控浓度限值。</w:t>
                  </w:r>
                </w:p>
              </w:tc>
              <w:tc>
                <w:tcPr>
                  <w:tcW w:w="2388" w:type="pct"/>
                  <w:tcBorders>
                    <w:tl2br w:val="nil"/>
                    <w:tr2bl w:val="nil"/>
                  </w:tcBorders>
                  <w:shd w:val="clear" w:color="auto" w:fill="auto"/>
                  <w:vAlign w:val="center"/>
                </w:tcPr>
                <w:p>
                  <w:pPr>
                    <w:pStyle w:val="21"/>
                    <w:ind w:firstLine="420" w:firstLineChars="200"/>
                    <w:jc w:val="both"/>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项目产生的废气主要是打砂过程中产生的打砂粉尘。</w:t>
                  </w:r>
                </w:p>
                <w:p>
                  <w:pPr>
                    <w:pStyle w:val="21"/>
                    <w:ind w:firstLine="420" w:firstLineChars="200"/>
                    <w:jc w:val="both"/>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①有组织废气：</w:t>
                  </w:r>
                </w:p>
                <w:p>
                  <w:pPr>
                    <w:pStyle w:val="21"/>
                    <w:ind w:firstLine="420" w:firstLineChars="200"/>
                    <w:jc w:val="both"/>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打砂粉尘收集后经旋风分离器和GK-48滤筒除尘器装置处理后通过22米高排气筒（DA035）排放。</w:t>
                  </w:r>
                </w:p>
                <w:p>
                  <w:pPr>
                    <w:pStyle w:val="21"/>
                    <w:ind w:firstLine="420" w:firstLineChars="200"/>
                    <w:jc w:val="both"/>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②无组织废气：</w:t>
                  </w:r>
                </w:p>
                <w:p>
                  <w:pPr>
                    <w:pStyle w:val="21"/>
                    <w:ind w:firstLine="420" w:firstLineChars="200"/>
                    <w:jc w:val="both"/>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未被收集的打砂粉尘，车间通风后无组织排放。</w:t>
                  </w:r>
                </w:p>
                <w:p>
                  <w:pPr>
                    <w:pStyle w:val="21"/>
                    <w:ind w:firstLine="420" w:firstLineChars="200"/>
                    <w:jc w:val="both"/>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由监测结果可知，验收监测期间：打砂废气排气筒DA035中主要污染物颗粒物最高排放浓度为1.7mg/m³，最高排放速率为0.059kg/h，有组织颗粒物排放浓度满足《山东省区域性大气污染物综合排放标准》（DB37/2376-2019）标准中表1重点控制区的要求，排放速率满足《大气污染物综合排放标准》（GB16297-1996）表2二级标准的要求。</w:t>
                  </w:r>
                </w:p>
                <w:p>
                  <w:pPr>
                    <w:pStyle w:val="21"/>
                    <w:ind w:firstLine="420" w:firstLineChars="200"/>
                    <w:jc w:val="both"/>
                    <w:rPr>
                      <w:rFonts w:ascii="Times New Roman" w:hAnsi="Times New Roman"/>
                      <w:color w:val="auto"/>
                      <w:sz w:val="21"/>
                      <w:szCs w:val="21"/>
                      <w:highlight w:val="none"/>
                    </w:rPr>
                  </w:pPr>
                  <w:r>
                    <w:rPr>
                      <w:rFonts w:hint="eastAsia" w:ascii="Times New Roman" w:hAnsi="Times New Roman"/>
                      <w:color w:val="auto"/>
                      <w:sz w:val="21"/>
                      <w:szCs w:val="21"/>
                      <w:highlight w:val="none"/>
                    </w:rPr>
                    <w:t>由监测结果可知，验收监测期间：厂界无组织排放的颗粒物周界外浓度最高点浓度为341μg/m³，满足《大气污染物综合排放标准》（GB16297-1996）表2无组织排放浓度限值。</w:t>
                  </w:r>
                </w:p>
              </w:tc>
              <w:tc>
                <w:tcPr>
                  <w:tcW w:w="662" w:type="pct"/>
                  <w:tcBorders>
                    <w:tl2br w:val="nil"/>
                    <w:tr2bl w:val="nil"/>
                  </w:tcBorders>
                  <w:shd w:val="clear" w:color="auto" w:fill="auto"/>
                  <w:vAlign w:val="center"/>
                </w:tcPr>
                <w:p>
                  <w:pPr>
                    <w:pStyle w:val="21"/>
                    <w:jc w:val="center"/>
                    <w:rPr>
                      <w:rFonts w:ascii="Times New Roman" w:hAnsi="Times New Roman"/>
                      <w:color w:val="auto"/>
                      <w:sz w:val="21"/>
                      <w:szCs w:val="21"/>
                      <w:highlight w:val="none"/>
                    </w:rPr>
                  </w:pPr>
                  <w:r>
                    <w:rPr>
                      <w:rFonts w:ascii="Times New Roman" w:hAnsi="Times New Roman"/>
                      <w:color w:val="auto"/>
                      <w:sz w:val="21"/>
                      <w:szCs w:val="21"/>
                      <w:highlight w:val="none"/>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0" w:type="pct"/>
                  <w:tcBorders>
                    <w:tl2br w:val="nil"/>
                    <w:tr2bl w:val="nil"/>
                  </w:tcBorders>
                  <w:shd w:val="clear" w:color="auto" w:fill="auto"/>
                  <w:vAlign w:val="center"/>
                </w:tcPr>
                <w:p>
                  <w:pPr>
                    <w:pStyle w:val="21"/>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废水</w:t>
                  </w:r>
                </w:p>
              </w:tc>
              <w:tc>
                <w:tcPr>
                  <w:tcW w:w="1578" w:type="pct"/>
                  <w:tcBorders>
                    <w:tl2br w:val="nil"/>
                    <w:tr2bl w:val="nil"/>
                  </w:tcBorders>
                  <w:shd w:val="clear" w:color="auto" w:fill="auto"/>
                  <w:vAlign w:val="center"/>
                </w:tcPr>
                <w:p>
                  <w:pPr>
                    <w:spacing w:line="240" w:lineRule="auto"/>
                    <w:ind w:firstLine="420"/>
                    <w:rPr>
                      <w:color w:val="auto"/>
                      <w:sz w:val="21"/>
                      <w:szCs w:val="21"/>
                      <w:highlight w:val="none"/>
                    </w:rPr>
                  </w:pPr>
                  <w:r>
                    <w:rPr>
                      <w:rFonts w:hint="eastAsia"/>
                      <w:color w:val="auto"/>
                      <w:sz w:val="21"/>
                      <w:szCs w:val="21"/>
                      <w:highlight w:val="none"/>
                    </w:rPr>
                    <w:t>项目不新增员工，运营过程中无生产废水产生，所以拟项目不新增废水排放。</w:t>
                  </w:r>
                </w:p>
              </w:tc>
              <w:tc>
                <w:tcPr>
                  <w:tcW w:w="2388" w:type="pct"/>
                  <w:tcBorders>
                    <w:tl2br w:val="nil"/>
                    <w:tr2bl w:val="nil"/>
                  </w:tcBorders>
                  <w:shd w:val="clear" w:color="auto" w:fill="auto"/>
                  <w:vAlign w:val="center"/>
                </w:tcPr>
                <w:p>
                  <w:pPr>
                    <w:spacing w:line="240" w:lineRule="auto"/>
                    <w:ind w:firstLine="420"/>
                    <w:rPr>
                      <w:color w:val="auto"/>
                      <w:sz w:val="21"/>
                      <w:szCs w:val="21"/>
                      <w:highlight w:val="none"/>
                    </w:rPr>
                  </w:pPr>
                  <w:r>
                    <w:rPr>
                      <w:rFonts w:hint="eastAsia"/>
                      <w:color w:val="auto"/>
                      <w:sz w:val="21"/>
                      <w:szCs w:val="21"/>
                      <w:highlight w:val="none"/>
                    </w:rPr>
                    <w:t>项目不新增员工，生产过程中无生产废水产生，项目不新增废水排放。</w:t>
                  </w:r>
                </w:p>
              </w:tc>
              <w:tc>
                <w:tcPr>
                  <w:tcW w:w="662" w:type="pct"/>
                  <w:tcBorders>
                    <w:tl2br w:val="nil"/>
                    <w:tr2bl w:val="nil"/>
                  </w:tcBorders>
                  <w:shd w:val="clear" w:color="auto" w:fill="auto"/>
                  <w:vAlign w:val="center"/>
                </w:tcPr>
                <w:p>
                  <w:pPr>
                    <w:pStyle w:val="21"/>
                    <w:jc w:val="center"/>
                    <w:rPr>
                      <w:rFonts w:ascii="Times New Roman" w:hAnsi="Times New Roman"/>
                      <w:color w:val="auto"/>
                      <w:sz w:val="21"/>
                      <w:szCs w:val="21"/>
                      <w:highlight w:val="none"/>
                    </w:rPr>
                  </w:pPr>
                  <w:r>
                    <w:rPr>
                      <w:rFonts w:ascii="Times New Roman" w:hAnsi="Times New Roman"/>
                      <w:color w:val="auto"/>
                      <w:sz w:val="21"/>
                      <w:szCs w:val="21"/>
                      <w:highlight w:val="none"/>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0" w:type="pct"/>
                  <w:tcBorders>
                    <w:tl2br w:val="nil"/>
                    <w:tr2bl w:val="nil"/>
                  </w:tcBorders>
                  <w:shd w:val="clear" w:color="auto" w:fill="auto"/>
                  <w:vAlign w:val="center"/>
                </w:tcPr>
                <w:p>
                  <w:pPr>
                    <w:pStyle w:val="21"/>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噪声</w:t>
                  </w:r>
                </w:p>
              </w:tc>
              <w:tc>
                <w:tcPr>
                  <w:tcW w:w="1578" w:type="pct"/>
                  <w:tcBorders>
                    <w:tl2br w:val="nil"/>
                    <w:tr2bl w:val="nil"/>
                  </w:tcBorders>
                  <w:shd w:val="clear" w:color="auto" w:fill="auto"/>
                  <w:vAlign w:val="center"/>
                </w:tcPr>
                <w:p>
                  <w:pPr>
                    <w:spacing w:line="240" w:lineRule="auto"/>
                    <w:ind w:firstLine="420"/>
                    <w:rPr>
                      <w:color w:val="auto"/>
                      <w:sz w:val="21"/>
                      <w:szCs w:val="21"/>
                      <w:highlight w:val="none"/>
                    </w:rPr>
                  </w:pPr>
                  <w:r>
                    <w:rPr>
                      <w:color w:val="auto"/>
                      <w:sz w:val="21"/>
                      <w:szCs w:val="21"/>
                      <w:highlight w:val="none"/>
                    </w:rPr>
                    <w:t>合理布置各类噪声源，并采取消音、隔声、减震等降噪措施，确保厂界噪声满足</w:t>
                  </w:r>
                  <w:r>
                    <w:rPr>
                      <w:rFonts w:hint="eastAsia"/>
                      <w:color w:val="auto"/>
                      <w:sz w:val="21"/>
                      <w:szCs w:val="21"/>
                      <w:highlight w:val="none"/>
                    </w:rPr>
                    <w:t>《工业企业厂界环境噪声排放标准》（GB 12348-2008）2 类和4类声环境功能区标准的要求</w:t>
                  </w:r>
                  <w:r>
                    <w:rPr>
                      <w:color w:val="auto"/>
                      <w:sz w:val="21"/>
                      <w:szCs w:val="21"/>
                      <w:highlight w:val="none"/>
                    </w:rPr>
                    <w:t>。</w:t>
                  </w:r>
                </w:p>
              </w:tc>
              <w:tc>
                <w:tcPr>
                  <w:tcW w:w="2388" w:type="pct"/>
                  <w:tcBorders>
                    <w:tl2br w:val="nil"/>
                    <w:tr2bl w:val="nil"/>
                  </w:tcBorders>
                  <w:shd w:val="clear" w:color="auto" w:fill="auto"/>
                  <w:vAlign w:val="center"/>
                </w:tcPr>
                <w:p>
                  <w:pPr>
                    <w:numPr>
                      <w:ilvl w:val="255"/>
                      <w:numId w:val="0"/>
                    </w:numPr>
                    <w:spacing w:line="240" w:lineRule="auto"/>
                    <w:ind w:firstLine="420" w:firstLineChars="200"/>
                    <w:rPr>
                      <w:rFonts w:hint="eastAsia"/>
                      <w:color w:val="auto"/>
                      <w:sz w:val="21"/>
                      <w:szCs w:val="21"/>
                      <w:highlight w:val="none"/>
                    </w:rPr>
                  </w:pPr>
                  <w:r>
                    <w:rPr>
                      <w:rFonts w:hint="eastAsia"/>
                      <w:color w:val="auto"/>
                      <w:sz w:val="21"/>
                      <w:szCs w:val="21"/>
                      <w:highlight w:val="none"/>
                    </w:rPr>
                    <w:t>项目产生的噪声主要是除尘器、风机、提升机、抽尘系统、打砂机等的运行噪声，项目采取设备均布置于室内，采取门窗、墙体隔声，全部设备均选用低噪声设备并采取减振措施。加强管理，经常保养和维护机械设备避免设备在不良状态下运行等措施。</w:t>
                  </w:r>
                </w:p>
                <w:p>
                  <w:pPr>
                    <w:numPr>
                      <w:ilvl w:val="255"/>
                      <w:numId w:val="0"/>
                    </w:numPr>
                    <w:spacing w:line="240" w:lineRule="auto"/>
                    <w:ind w:firstLine="420" w:firstLineChars="200"/>
                    <w:rPr>
                      <w:color w:val="auto"/>
                      <w:sz w:val="21"/>
                      <w:szCs w:val="21"/>
                      <w:highlight w:val="none"/>
                    </w:rPr>
                  </w:pPr>
                  <w:r>
                    <w:rPr>
                      <w:rFonts w:hint="eastAsia"/>
                      <w:color w:val="auto"/>
                      <w:sz w:val="21"/>
                      <w:szCs w:val="21"/>
                      <w:highlight w:val="none"/>
                    </w:rPr>
                    <w:t>由监测结果可知，验收监测期间：项目1#东厂界、2#南厂界、3#西厂界，昼间厂界噪声最大值分别为52.3dB（A）、53.1dB（A）、53.9dB（A），均满足《工业企业厂界环境噪声排放标准》(GB12348-2008)2类昼间标准。4#北厂界（靠近铁路干线）昼间厂界噪声最大值为51.9dB（A），满足《工业企业厂界环境噪声排放标准》(GB12348-2008)4类昼间标准。项目南侧的5#济车东门住宅区（距厂区70m），东侧的6#济南市昆仑小学（距厂区25m），东侧的7#昆仑街小区（距厂区187m），昼间敏感点噪声最大值分别为51.4dB（A）、52.6dB（A）、50.4dB（A），均满足《声环境质量标准》(GB3096-2008)2类昼间标准。项目夜间不运行。</w:t>
                  </w:r>
                </w:p>
              </w:tc>
              <w:tc>
                <w:tcPr>
                  <w:tcW w:w="662" w:type="pct"/>
                  <w:tcBorders>
                    <w:tl2br w:val="nil"/>
                    <w:tr2bl w:val="nil"/>
                  </w:tcBorders>
                  <w:shd w:val="clear" w:color="auto" w:fill="auto"/>
                  <w:vAlign w:val="center"/>
                </w:tcPr>
                <w:p>
                  <w:pPr>
                    <w:pStyle w:val="21"/>
                    <w:jc w:val="center"/>
                    <w:rPr>
                      <w:rFonts w:ascii="Times New Roman" w:hAnsi="Times New Roman"/>
                      <w:color w:val="auto"/>
                      <w:sz w:val="21"/>
                      <w:szCs w:val="21"/>
                      <w:highlight w:val="none"/>
                    </w:rPr>
                  </w:pPr>
                  <w:r>
                    <w:rPr>
                      <w:rFonts w:ascii="Times New Roman" w:hAnsi="Times New Roman"/>
                      <w:color w:val="auto"/>
                      <w:sz w:val="21"/>
                      <w:szCs w:val="21"/>
                      <w:highlight w:val="none"/>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0" w:type="pct"/>
                  <w:tcBorders>
                    <w:tl2br w:val="nil"/>
                    <w:tr2bl w:val="nil"/>
                  </w:tcBorders>
                  <w:shd w:val="clear" w:color="auto" w:fill="auto"/>
                  <w:vAlign w:val="center"/>
                </w:tcPr>
                <w:p>
                  <w:pPr>
                    <w:pStyle w:val="21"/>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固废</w:t>
                  </w:r>
                </w:p>
              </w:tc>
              <w:tc>
                <w:tcPr>
                  <w:tcW w:w="1578" w:type="pct"/>
                  <w:tcBorders>
                    <w:tl2br w:val="nil"/>
                    <w:tr2bl w:val="nil"/>
                  </w:tcBorders>
                  <w:shd w:val="clear" w:color="auto" w:fill="auto"/>
                  <w:vAlign w:val="center"/>
                </w:tcPr>
                <w:p>
                  <w:pPr>
                    <w:spacing w:line="240" w:lineRule="auto"/>
                    <w:ind w:firstLine="420"/>
                    <w:jc w:val="center"/>
                    <w:rPr>
                      <w:color w:val="auto"/>
                      <w:sz w:val="21"/>
                      <w:szCs w:val="21"/>
                      <w:highlight w:val="none"/>
                    </w:rPr>
                  </w:pPr>
                  <w:r>
                    <w:rPr>
                      <w:rFonts w:hint="eastAsia"/>
                      <w:color w:val="auto"/>
                      <w:sz w:val="21"/>
                      <w:szCs w:val="21"/>
                      <w:highlight w:val="none"/>
                    </w:rPr>
                    <w:t>项目产生的固体废物主要为砂尘分离器分离出的金属氧化皮碎片和破碎的钢砂（以破碎的钢砂为主），旋风分离器和滤筒除尘器收集的粉尘及废滤筒。以上废物均属于一般固废，存放于固体废物暂存区域，和厂区内现有打砂房产生的同类固废一起由厂区集中处理。</w:t>
                  </w:r>
                </w:p>
              </w:tc>
              <w:tc>
                <w:tcPr>
                  <w:tcW w:w="2388" w:type="pct"/>
                  <w:tcBorders>
                    <w:tl2br w:val="nil"/>
                    <w:tr2bl w:val="nil"/>
                  </w:tcBorders>
                  <w:shd w:val="clear" w:color="auto" w:fill="auto"/>
                  <w:vAlign w:val="center"/>
                </w:tcPr>
                <w:p>
                  <w:pPr>
                    <w:spacing w:line="240" w:lineRule="auto"/>
                    <w:ind w:firstLine="420"/>
                    <w:jc w:val="left"/>
                    <w:rPr>
                      <w:rFonts w:hint="eastAsia"/>
                      <w:color w:val="auto"/>
                      <w:sz w:val="21"/>
                      <w:szCs w:val="21"/>
                      <w:highlight w:val="none"/>
                    </w:rPr>
                  </w:pPr>
                  <w:r>
                    <w:rPr>
                      <w:rFonts w:hint="eastAsia"/>
                      <w:color w:val="auto"/>
                      <w:sz w:val="21"/>
                      <w:szCs w:val="21"/>
                      <w:highlight w:val="none"/>
                    </w:rPr>
                    <w:t>项目产生的固体废物主要是打砂过程中砂尘分离器分离出的金属氧化皮碎片和破碎的钢砂（以破碎的钢砂为主），旋风分离器和滤筒除尘器收集的粉尘及废滤筒。</w:t>
                  </w:r>
                </w:p>
                <w:p>
                  <w:pPr>
                    <w:spacing w:line="240" w:lineRule="auto"/>
                    <w:ind w:firstLine="420"/>
                    <w:jc w:val="left"/>
                    <w:rPr>
                      <w:rFonts w:hint="eastAsia"/>
                      <w:color w:val="auto"/>
                      <w:sz w:val="21"/>
                      <w:szCs w:val="21"/>
                      <w:highlight w:val="none"/>
                    </w:rPr>
                  </w:pPr>
                  <w:r>
                    <w:rPr>
                      <w:rFonts w:hint="eastAsia"/>
                      <w:color w:val="auto"/>
                      <w:sz w:val="21"/>
                      <w:szCs w:val="21"/>
                      <w:highlight w:val="none"/>
                    </w:rPr>
                    <w:t>砂尘分离器分离出的金属氧化皮碎片和破碎的钢砂（以破碎的钢砂为主），旋风分离器和滤筒除尘器收集的粉尘及废滤筒，收集后和现有项目打砂房产生同类固废一起由厂区集中处理。</w:t>
                  </w:r>
                </w:p>
                <w:p>
                  <w:pPr>
                    <w:spacing w:line="240" w:lineRule="auto"/>
                    <w:ind w:firstLine="420"/>
                    <w:jc w:val="left"/>
                    <w:rPr>
                      <w:color w:val="auto"/>
                      <w:sz w:val="21"/>
                      <w:szCs w:val="21"/>
                      <w:highlight w:val="none"/>
                    </w:rPr>
                  </w:pPr>
                  <w:r>
                    <w:rPr>
                      <w:rFonts w:hint="eastAsia"/>
                      <w:color w:val="auto"/>
                      <w:sz w:val="21"/>
                      <w:szCs w:val="21"/>
                      <w:highlight w:val="none"/>
                    </w:rPr>
                    <w:t>一般固废的处置符合《一般工业固体废物贮存和填埋污染控制标准》(GB18599-2020)的要求。</w:t>
                  </w:r>
                </w:p>
              </w:tc>
              <w:tc>
                <w:tcPr>
                  <w:tcW w:w="662" w:type="pct"/>
                  <w:tcBorders>
                    <w:tl2br w:val="nil"/>
                    <w:tr2bl w:val="nil"/>
                  </w:tcBorders>
                  <w:shd w:val="clear" w:color="auto" w:fill="auto"/>
                  <w:vAlign w:val="center"/>
                </w:tcPr>
                <w:p>
                  <w:pPr>
                    <w:pStyle w:val="21"/>
                    <w:jc w:val="center"/>
                    <w:rPr>
                      <w:rFonts w:ascii="Times New Roman" w:hAnsi="Times New Roman"/>
                      <w:color w:val="auto"/>
                      <w:sz w:val="21"/>
                      <w:szCs w:val="21"/>
                      <w:highlight w:val="none"/>
                    </w:rPr>
                  </w:pPr>
                  <w:r>
                    <w:rPr>
                      <w:rFonts w:ascii="Times New Roman" w:hAnsi="Times New Roman"/>
                      <w:color w:val="auto"/>
                      <w:sz w:val="21"/>
                      <w:szCs w:val="21"/>
                      <w:highlight w:val="none"/>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0" w:type="pct"/>
                  <w:tcBorders>
                    <w:tl2br w:val="nil"/>
                    <w:tr2bl w:val="nil"/>
                  </w:tcBorders>
                  <w:shd w:val="clear" w:color="auto" w:fill="auto"/>
                  <w:vAlign w:val="center"/>
                </w:tcPr>
                <w:p>
                  <w:pPr>
                    <w:pStyle w:val="21"/>
                    <w:jc w:val="center"/>
                    <w:rPr>
                      <w:rFonts w:ascii="Times New Roman" w:hAnsi="Times New Roman"/>
                      <w:b/>
                      <w:bCs/>
                      <w:color w:val="auto"/>
                      <w:sz w:val="21"/>
                      <w:szCs w:val="21"/>
                      <w:highlight w:val="none"/>
                    </w:rPr>
                  </w:pPr>
                  <w:r>
                    <w:rPr>
                      <w:rFonts w:hint="eastAsia" w:ascii="Times New Roman" w:hAnsi="Times New Roman"/>
                      <w:b/>
                      <w:bCs/>
                      <w:color w:val="auto"/>
                      <w:sz w:val="21"/>
                      <w:szCs w:val="21"/>
                      <w:highlight w:val="none"/>
                    </w:rPr>
                    <w:t>总量控制</w:t>
                  </w:r>
                </w:p>
              </w:tc>
              <w:tc>
                <w:tcPr>
                  <w:tcW w:w="1578" w:type="pct"/>
                  <w:tcBorders>
                    <w:tl2br w:val="nil"/>
                    <w:tr2bl w:val="nil"/>
                  </w:tcBorders>
                  <w:shd w:val="clear" w:color="auto" w:fill="auto"/>
                  <w:vAlign w:val="center"/>
                </w:tcPr>
                <w:p>
                  <w:pPr>
                    <w:spacing w:line="240" w:lineRule="auto"/>
                    <w:ind w:firstLine="420"/>
                    <w:jc w:val="center"/>
                    <w:rPr>
                      <w:color w:val="auto"/>
                      <w:sz w:val="21"/>
                      <w:szCs w:val="21"/>
                      <w:highlight w:val="none"/>
                    </w:rPr>
                  </w:pPr>
                  <w:r>
                    <w:rPr>
                      <w:rFonts w:hint="eastAsia"/>
                      <w:color w:val="auto"/>
                      <w:sz w:val="21"/>
                      <w:szCs w:val="21"/>
                      <w:highlight w:val="none"/>
                    </w:rPr>
                    <w:t>本项目无废水产生，项目营运过程中颗粒物的排放量为0.2175t/a。</w:t>
                  </w:r>
                </w:p>
              </w:tc>
              <w:tc>
                <w:tcPr>
                  <w:tcW w:w="2388" w:type="pct"/>
                  <w:tcBorders>
                    <w:tl2br w:val="nil"/>
                    <w:tr2bl w:val="nil"/>
                  </w:tcBorders>
                  <w:shd w:val="clear" w:color="auto" w:fill="auto"/>
                  <w:vAlign w:val="center"/>
                </w:tcPr>
                <w:p>
                  <w:pPr>
                    <w:spacing w:line="240" w:lineRule="auto"/>
                    <w:ind w:firstLine="0" w:firstLineChars="0"/>
                    <w:jc w:val="left"/>
                    <w:rPr>
                      <w:color w:val="auto"/>
                      <w:sz w:val="21"/>
                      <w:szCs w:val="21"/>
                      <w:highlight w:val="none"/>
                    </w:rPr>
                  </w:pPr>
                  <w:r>
                    <w:rPr>
                      <w:rFonts w:hint="eastAsia"/>
                      <w:color w:val="auto"/>
                      <w:sz w:val="21"/>
                      <w:szCs w:val="21"/>
                      <w:highlight w:val="none"/>
                    </w:rPr>
                    <w:t>项目在打砂工序产生粉尘，打砂工序排气筒年排气时间为2080小时，根据验收监测结果核算，项目排放量颗粒物：0.12272t/a，满足总量控制要求。</w:t>
                  </w:r>
                </w:p>
              </w:tc>
              <w:tc>
                <w:tcPr>
                  <w:tcW w:w="662" w:type="pct"/>
                  <w:tcBorders>
                    <w:tl2br w:val="nil"/>
                    <w:tr2bl w:val="nil"/>
                  </w:tcBorders>
                  <w:shd w:val="clear" w:color="auto" w:fill="auto"/>
                  <w:vAlign w:val="center"/>
                </w:tcPr>
                <w:p>
                  <w:pPr>
                    <w:pStyle w:val="21"/>
                    <w:jc w:val="center"/>
                    <w:rPr>
                      <w:rFonts w:ascii="Times New Roman" w:hAnsi="Times New Roman"/>
                      <w:color w:val="auto"/>
                      <w:sz w:val="21"/>
                      <w:szCs w:val="21"/>
                      <w:highlight w:val="none"/>
                    </w:rPr>
                  </w:pPr>
                  <w:r>
                    <w:rPr>
                      <w:rFonts w:ascii="Times New Roman" w:hAnsi="Times New Roman"/>
                      <w:color w:val="auto"/>
                      <w:sz w:val="21"/>
                      <w:szCs w:val="21"/>
                      <w:highlight w:val="none"/>
                    </w:rPr>
                    <w:t>已落实，</w:t>
                  </w:r>
                  <w:r>
                    <w:rPr>
                      <w:rFonts w:hint="eastAsia" w:ascii="Times New Roman" w:hAnsi="Times New Roman"/>
                      <w:color w:val="auto"/>
                      <w:sz w:val="21"/>
                      <w:szCs w:val="21"/>
                      <w:highlight w:val="none"/>
                    </w:rPr>
                    <w:t>满足要求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0" w:type="pct"/>
                  <w:tcBorders>
                    <w:tl2br w:val="nil"/>
                    <w:tr2bl w:val="nil"/>
                  </w:tcBorders>
                  <w:shd w:val="clear" w:color="auto" w:fill="auto"/>
                  <w:vAlign w:val="center"/>
                </w:tcPr>
                <w:p>
                  <w:pPr>
                    <w:pStyle w:val="21"/>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排污许可</w:t>
                  </w:r>
                </w:p>
              </w:tc>
              <w:tc>
                <w:tcPr>
                  <w:tcW w:w="1578" w:type="pct"/>
                  <w:tcBorders>
                    <w:tl2br w:val="nil"/>
                    <w:tr2bl w:val="nil"/>
                  </w:tcBorders>
                  <w:shd w:val="clear" w:color="auto" w:fill="auto"/>
                  <w:vAlign w:val="center"/>
                </w:tcPr>
                <w:p>
                  <w:pPr>
                    <w:spacing w:line="240" w:lineRule="auto"/>
                    <w:ind w:firstLine="0" w:firstLineChars="0"/>
                    <w:jc w:val="center"/>
                    <w:rPr>
                      <w:color w:val="auto"/>
                      <w:sz w:val="21"/>
                      <w:szCs w:val="21"/>
                      <w:highlight w:val="none"/>
                    </w:rPr>
                  </w:pPr>
                  <w:r>
                    <w:rPr>
                      <w:color w:val="auto"/>
                      <w:sz w:val="21"/>
                      <w:szCs w:val="21"/>
                      <w:highlight w:val="none"/>
                    </w:rPr>
                    <w:t>按国家有关规定申领排污许可证</w:t>
                  </w:r>
                </w:p>
              </w:tc>
              <w:tc>
                <w:tcPr>
                  <w:tcW w:w="2388" w:type="pct"/>
                  <w:tcBorders>
                    <w:tl2br w:val="nil"/>
                    <w:tr2bl w:val="nil"/>
                  </w:tcBorders>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根据《固定污染源排污许可分类管理名录（2019 年版）》，项目已申领排污许可</w:t>
                  </w:r>
                  <w:r>
                    <w:rPr>
                      <w:rFonts w:hint="eastAsia"/>
                      <w:color w:val="auto"/>
                      <w:sz w:val="21"/>
                      <w:szCs w:val="21"/>
                      <w:highlight w:val="none"/>
                      <w:lang w:eastAsia="zh-CN"/>
                    </w:rPr>
                    <w:t>证，证书编号</w:t>
                  </w:r>
                  <w:r>
                    <w:rPr>
                      <w:rFonts w:hint="eastAsia"/>
                      <w:color w:val="auto"/>
                      <w:sz w:val="21"/>
                      <w:szCs w:val="21"/>
                      <w:highlight w:val="none"/>
                    </w:rPr>
                    <w:t>：91370100664851254J001V</w:t>
                  </w:r>
                </w:p>
              </w:tc>
              <w:tc>
                <w:tcPr>
                  <w:tcW w:w="662" w:type="pct"/>
                  <w:tcBorders>
                    <w:tl2br w:val="nil"/>
                    <w:tr2bl w:val="nil"/>
                  </w:tcBorders>
                  <w:shd w:val="clear" w:color="auto" w:fill="auto"/>
                  <w:vAlign w:val="center"/>
                </w:tcPr>
                <w:p>
                  <w:pPr>
                    <w:pStyle w:val="21"/>
                    <w:jc w:val="center"/>
                    <w:rPr>
                      <w:rFonts w:ascii="Times New Roman" w:hAnsi="Times New Roman"/>
                      <w:color w:val="auto"/>
                      <w:sz w:val="21"/>
                      <w:szCs w:val="21"/>
                      <w:highlight w:val="none"/>
                    </w:rPr>
                  </w:pPr>
                  <w:r>
                    <w:rPr>
                      <w:rFonts w:ascii="Times New Roman" w:hAnsi="Times New Roman"/>
                      <w:color w:val="auto"/>
                      <w:sz w:val="21"/>
                      <w:szCs w:val="21"/>
                      <w:highlight w:val="none"/>
                    </w:rPr>
                    <w:t>已落实，无变更</w:t>
                  </w:r>
                </w:p>
              </w:tc>
            </w:tr>
          </w:tbl>
          <w:p>
            <w:pPr>
              <w:pStyle w:val="2"/>
              <w:snapToGrid w:val="0"/>
              <w:ind w:firstLine="0" w:firstLineChars="0"/>
              <w:rPr>
                <w:rFonts w:cs="Times New Roman"/>
                <w:color w:val="auto"/>
                <w:highlight w:val="none"/>
              </w:rPr>
            </w:pPr>
          </w:p>
        </w:tc>
      </w:tr>
    </w:tbl>
    <w:p>
      <w:pPr>
        <w:snapToGrid w:val="0"/>
        <w:ind w:firstLine="0" w:firstLineChars="0"/>
        <w:outlineLvl w:val="0"/>
        <w:rPr>
          <w:b/>
          <w:bCs/>
          <w:color w:val="auto"/>
          <w:sz w:val="30"/>
          <w:szCs w:val="30"/>
          <w:highlight w:val="none"/>
        </w:rPr>
      </w:pPr>
      <w:bookmarkStart w:id="183" w:name="_Toc20923"/>
      <w:bookmarkStart w:id="184" w:name="_Toc21732"/>
      <w:bookmarkStart w:id="185" w:name="_Toc32634"/>
      <w:bookmarkStart w:id="186" w:name="_Toc32636"/>
      <w:bookmarkStart w:id="187" w:name="_Toc9381"/>
      <w:bookmarkStart w:id="188" w:name="_Toc32687"/>
      <w:bookmarkStart w:id="189" w:name="_Toc23110"/>
      <w:bookmarkStart w:id="190" w:name="_Toc18624"/>
      <w:bookmarkStart w:id="191" w:name="_Toc22787"/>
      <w:bookmarkStart w:id="192" w:name="_Toc24915"/>
      <w:bookmarkStart w:id="193" w:name="_Toc25742"/>
      <w:bookmarkStart w:id="194" w:name="_Toc18894"/>
      <w:bookmarkStart w:id="195" w:name="_Toc16311"/>
      <w:bookmarkStart w:id="196" w:name="_Toc8940"/>
      <w:r>
        <w:rPr>
          <w:b/>
          <w:bCs/>
          <w:color w:val="auto"/>
          <w:sz w:val="30"/>
          <w:szCs w:val="30"/>
          <w:highlight w:val="none"/>
        </w:rPr>
        <w:br w:type="page"/>
      </w:r>
      <w:bookmarkStart w:id="197" w:name="_Toc25892"/>
      <w:bookmarkStart w:id="198" w:name="_Toc18686"/>
      <w:bookmarkStart w:id="199" w:name="_Toc1108"/>
      <w:bookmarkStart w:id="200" w:name="_Toc30006"/>
      <w:bookmarkStart w:id="201" w:name="_Toc26828"/>
      <w:bookmarkStart w:id="202" w:name="_Toc20405"/>
      <w:bookmarkStart w:id="203" w:name="_Toc22085"/>
      <w:bookmarkStart w:id="204" w:name="_Toc2001"/>
      <w:bookmarkStart w:id="205" w:name="_Toc32185"/>
      <w:bookmarkStart w:id="206" w:name="_Toc9442"/>
      <w:bookmarkStart w:id="207" w:name="_Toc27305"/>
      <w:bookmarkStart w:id="208" w:name="_Toc16379"/>
      <w:bookmarkStart w:id="209" w:name="_Toc22857"/>
      <w:bookmarkStart w:id="210" w:name="_Toc28861"/>
      <w:bookmarkStart w:id="211" w:name="_Toc22939"/>
      <w:bookmarkStart w:id="212" w:name="_Toc15787"/>
      <w:bookmarkStart w:id="213" w:name="_Toc17985"/>
      <w:bookmarkStart w:id="214" w:name="_Toc31624"/>
      <w:bookmarkStart w:id="215" w:name="_Toc2346"/>
      <w:bookmarkStart w:id="216" w:name="_Toc16005"/>
      <w:bookmarkStart w:id="217" w:name="_Toc24066"/>
      <w:bookmarkStart w:id="218" w:name="_Toc8315"/>
      <w:bookmarkStart w:id="219" w:name="_Toc30858"/>
      <w:bookmarkStart w:id="220" w:name="_Toc32658"/>
      <w:bookmarkStart w:id="221" w:name="_Toc10395"/>
      <w:bookmarkStart w:id="222" w:name="_Toc19777"/>
      <w:bookmarkStart w:id="223" w:name="_Toc3415"/>
      <w:bookmarkStart w:id="224" w:name="_Toc7174"/>
      <w:bookmarkStart w:id="225" w:name="_Toc21996"/>
      <w:r>
        <w:rPr>
          <w:b/>
          <w:bCs/>
          <w:color w:val="auto"/>
          <w:sz w:val="30"/>
          <w:szCs w:val="30"/>
          <w:highlight w:val="none"/>
        </w:rPr>
        <w:t>表</w:t>
      </w:r>
      <w:r>
        <w:rPr>
          <w:rFonts w:hint="eastAsia"/>
          <w:b/>
          <w:bCs/>
          <w:color w:val="auto"/>
          <w:sz w:val="30"/>
          <w:szCs w:val="30"/>
          <w:highlight w:val="none"/>
          <w:lang w:val="en-US" w:eastAsia="zh-CN"/>
        </w:rPr>
        <w:t>5</w:t>
      </w:r>
      <w:r>
        <w:rPr>
          <w:b/>
          <w:bCs/>
          <w:color w:val="auto"/>
          <w:sz w:val="30"/>
          <w:szCs w:val="30"/>
          <w:highlight w:val="none"/>
        </w:rPr>
        <w:t xml:space="preserve">  验收监测内容</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tbl>
      <w:tblPr>
        <w:tblStyle w:val="28"/>
        <w:tblpPr w:leftFromText="180" w:rightFromText="180" w:vertAnchor="text" w:horzAnchor="margin" w:tblpXSpec="center" w:tblpY="15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3" w:hRule="atLeast"/>
          <w:jc w:val="center"/>
        </w:trPr>
        <w:tc>
          <w:tcPr>
            <w:tcW w:w="5000" w:type="pct"/>
            <w:tcBorders>
              <w:top w:val="single" w:color="000000" w:sz="12" w:space="0"/>
              <w:bottom w:val="single" w:color="auto" w:sz="4" w:space="0"/>
            </w:tcBorders>
          </w:tcPr>
          <w:p>
            <w:pPr>
              <w:ind w:firstLine="480"/>
              <w:rPr>
                <w:color w:val="auto"/>
                <w:highlight w:val="none"/>
              </w:rPr>
            </w:pPr>
            <w:r>
              <w:rPr>
                <w:color w:val="auto"/>
                <w:highlight w:val="none"/>
              </w:rPr>
              <w:t>本项目验收监测的主要内容包括废气、废水和噪声。</w:t>
            </w:r>
          </w:p>
          <w:p>
            <w:pPr>
              <w:ind w:firstLine="482"/>
              <w:rPr>
                <w:b/>
                <w:bCs/>
                <w:color w:val="auto"/>
                <w:highlight w:val="none"/>
              </w:rPr>
            </w:pPr>
            <w:r>
              <w:rPr>
                <w:b/>
                <w:bCs/>
                <w:color w:val="auto"/>
                <w:highlight w:val="none"/>
              </w:rPr>
              <w:t>1、废气检测</w:t>
            </w:r>
          </w:p>
          <w:p>
            <w:pPr>
              <w:ind w:firstLine="480"/>
              <w:rPr>
                <w:color w:val="auto"/>
                <w:highlight w:val="none"/>
              </w:rPr>
            </w:pPr>
            <w:r>
              <w:rPr>
                <w:color w:val="auto"/>
                <w:highlight w:val="none"/>
              </w:rPr>
              <w:t>（1）有组织废气</w:t>
            </w:r>
          </w:p>
          <w:p>
            <w:pPr>
              <w:ind w:firstLine="480"/>
              <w:rPr>
                <w:color w:val="auto"/>
                <w:highlight w:val="none"/>
              </w:rPr>
            </w:pPr>
            <w:r>
              <w:rPr>
                <w:color w:val="auto"/>
                <w:highlight w:val="none"/>
              </w:rPr>
              <w:t>①检测因子、点位和频次</w:t>
            </w:r>
          </w:p>
          <w:p>
            <w:pPr>
              <w:ind w:firstLine="480"/>
              <w:rPr>
                <w:color w:val="auto"/>
                <w:highlight w:val="none"/>
              </w:rPr>
            </w:pPr>
            <w:r>
              <w:rPr>
                <w:color w:val="auto"/>
                <w:highlight w:val="none"/>
              </w:rPr>
              <w:t>本项目有组织废气监测内容、频次见表6-1。</w:t>
            </w:r>
          </w:p>
          <w:p>
            <w:pPr>
              <w:pStyle w:val="2"/>
              <w:ind w:firstLine="0" w:firstLineChars="0"/>
              <w:jc w:val="center"/>
              <w:rPr>
                <w:rFonts w:cs="Times New Roman"/>
                <w:color w:val="auto"/>
                <w:highlight w:val="none"/>
              </w:rPr>
            </w:pPr>
            <w:r>
              <w:rPr>
                <w:rFonts w:cs="Times New Roman"/>
                <w:b/>
                <w:bCs/>
                <w:color w:val="auto"/>
                <w:highlight w:val="none"/>
              </w:rPr>
              <w:t>表6-1  有组织废气监测内容、监测频次一览表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6"/>
              <w:gridCol w:w="2069"/>
              <w:gridCol w:w="1933"/>
              <w:gridCol w:w="1846"/>
              <w:gridCol w:w="1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9" w:type="pct"/>
                  <w:vAlign w:val="center"/>
                </w:tcPr>
                <w:p>
                  <w:pPr>
                    <w:pStyle w:val="48"/>
                    <w:adjustRightInd w:val="0"/>
                    <w:snapToGrid w:val="0"/>
                    <w:spacing w:line="240" w:lineRule="auto"/>
                    <w:ind w:firstLine="0" w:firstLineChars="0"/>
                    <w:rPr>
                      <w:b/>
                      <w:bCs/>
                      <w:color w:val="auto"/>
                      <w:sz w:val="21"/>
                      <w:szCs w:val="21"/>
                      <w:highlight w:val="none"/>
                    </w:rPr>
                  </w:pPr>
                  <w:r>
                    <w:rPr>
                      <w:b/>
                      <w:bCs/>
                      <w:color w:val="auto"/>
                      <w:sz w:val="21"/>
                      <w:szCs w:val="21"/>
                      <w:highlight w:val="none"/>
                    </w:rPr>
                    <w:t>编号</w:t>
                  </w:r>
                </w:p>
              </w:tc>
              <w:tc>
                <w:tcPr>
                  <w:tcW w:w="1161" w:type="pct"/>
                  <w:vAlign w:val="center"/>
                </w:tcPr>
                <w:p>
                  <w:pPr>
                    <w:pStyle w:val="48"/>
                    <w:adjustRightInd w:val="0"/>
                    <w:snapToGrid w:val="0"/>
                    <w:spacing w:line="240" w:lineRule="auto"/>
                    <w:ind w:firstLine="0" w:firstLineChars="0"/>
                    <w:rPr>
                      <w:b/>
                      <w:bCs/>
                      <w:color w:val="auto"/>
                      <w:sz w:val="21"/>
                      <w:szCs w:val="21"/>
                      <w:highlight w:val="none"/>
                    </w:rPr>
                  </w:pPr>
                  <w:r>
                    <w:rPr>
                      <w:b/>
                      <w:bCs/>
                      <w:color w:val="auto"/>
                      <w:sz w:val="21"/>
                      <w:szCs w:val="21"/>
                      <w:highlight w:val="none"/>
                    </w:rPr>
                    <w:t>点位名称</w:t>
                  </w:r>
                </w:p>
              </w:tc>
              <w:tc>
                <w:tcPr>
                  <w:tcW w:w="1085" w:type="pct"/>
                  <w:vAlign w:val="center"/>
                </w:tcPr>
                <w:p>
                  <w:pPr>
                    <w:pStyle w:val="48"/>
                    <w:adjustRightInd w:val="0"/>
                    <w:snapToGrid w:val="0"/>
                    <w:spacing w:line="240" w:lineRule="auto"/>
                    <w:ind w:firstLine="0" w:firstLineChars="0"/>
                    <w:rPr>
                      <w:b/>
                      <w:bCs/>
                      <w:color w:val="auto"/>
                      <w:sz w:val="21"/>
                      <w:szCs w:val="21"/>
                      <w:highlight w:val="none"/>
                    </w:rPr>
                  </w:pPr>
                  <w:r>
                    <w:rPr>
                      <w:b/>
                      <w:bCs/>
                      <w:color w:val="auto"/>
                      <w:sz w:val="21"/>
                      <w:szCs w:val="21"/>
                      <w:highlight w:val="none"/>
                    </w:rPr>
                    <w:t>处理措施</w:t>
                  </w:r>
                </w:p>
              </w:tc>
              <w:tc>
                <w:tcPr>
                  <w:tcW w:w="1036" w:type="pct"/>
                  <w:vAlign w:val="center"/>
                </w:tcPr>
                <w:p>
                  <w:pPr>
                    <w:pStyle w:val="48"/>
                    <w:adjustRightInd w:val="0"/>
                    <w:snapToGrid w:val="0"/>
                    <w:spacing w:line="240" w:lineRule="auto"/>
                    <w:ind w:firstLine="0" w:firstLineChars="0"/>
                    <w:rPr>
                      <w:b/>
                      <w:bCs/>
                      <w:color w:val="auto"/>
                      <w:sz w:val="21"/>
                      <w:szCs w:val="21"/>
                      <w:highlight w:val="none"/>
                    </w:rPr>
                  </w:pPr>
                  <w:r>
                    <w:rPr>
                      <w:b/>
                      <w:bCs/>
                      <w:color w:val="auto"/>
                      <w:sz w:val="21"/>
                      <w:szCs w:val="21"/>
                      <w:highlight w:val="none"/>
                    </w:rPr>
                    <w:t>监测项目</w:t>
                  </w:r>
                </w:p>
              </w:tc>
              <w:tc>
                <w:tcPr>
                  <w:tcW w:w="1067" w:type="pct"/>
                  <w:vAlign w:val="center"/>
                </w:tcPr>
                <w:p>
                  <w:pPr>
                    <w:pStyle w:val="48"/>
                    <w:adjustRightInd w:val="0"/>
                    <w:snapToGrid w:val="0"/>
                    <w:spacing w:line="240" w:lineRule="auto"/>
                    <w:ind w:firstLine="0" w:firstLineChars="0"/>
                    <w:rPr>
                      <w:b/>
                      <w:bCs/>
                      <w:color w:val="auto"/>
                      <w:sz w:val="21"/>
                      <w:szCs w:val="21"/>
                      <w:highlight w:val="none"/>
                    </w:rPr>
                  </w:pPr>
                  <w:r>
                    <w:rPr>
                      <w:b/>
                      <w:bCs/>
                      <w:color w:val="auto"/>
                      <w:sz w:val="21"/>
                      <w:szCs w:val="21"/>
                      <w:highlight w:val="none"/>
                    </w:rPr>
                    <w:t>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9" w:type="pct"/>
                  <w:vMerge w:val="restart"/>
                  <w:vAlign w:val="center"/>
                </w:tcPr>
                <w:p>
                  <w:pPr>
                    <w:pStyle w:val="2"/>
                    <w:widowControl/>
                    <w:adjustRightInd/>
                    <w:spacing w:line="240" w:lineRule="auto"/>
                    <w:ind w:firstLine="0" w:firstLineChars="0"/>
                    <w:jc w:val="center"/>
                    <w:rPr>
                      <w:rFonts w:cs="Times New Roman"/>
                      <w:color w:val="auto"/>
                      <w:sz w:val="21"/>
                      <w:szCs w:val="21"/>
                      <w:highlight w:val="none"/>
                      <w:shd w:val="clear" w:color="auto" w:fill="FFFFFF"/>
                    </w:rPr>
                  </w:pPr>
                  <w:r>
                    <w:rPr>
                      <w:rFonts w:hint="eastAsia" w:cs="Times New Roman"/>
                      <w:color w:val="auto"/>
                      <w:sz w:val="21"/>
                      <w:szCs w:val="21"/>
                      <w:highlight w:val="none"/>
                      <w:shd w:val="clear" w:color="auto" w:fill="FFFFFF"/>
                    </w:rPr>
                    <w:t>1</w:t>
                  </w:r>
                </w:p>
              </w:tc>
              <w:tc>
                <w:tcPr>
                  <w:tcW w:w="1161" w:type="pct"/>
                  <w:vAlign w:val="center"/>
                </w:tcPr>
                <w:p>
                  <w:pPr>
                    <w:pStyle w:val="2"/>
                    <w:spacing w:line="240" w:lineRule="auto"/>
                    <w:ind w:firstLine="0" w:firstLineChars="0"/>
                    <w:jc w:val="center"/>
                    <w:rPr>
                      <w:rFonts w:cs="Times New Roman"/>
                      <w:color w:val="auto"/>
                      <w:sz w:val="21"/>
                      <w:szCs w:val="21"/>
                      <w:highlight w:val="none"/>
                      <w:shd w:val="clear" w:color="auto" w:fill="FFFFFF"/>
                    </w:rPr>
                  </w:pPr>
                  <w:r>
                    <w:rPr>
                      <w:rFonts w:hint="eastAsia" w:ascii="Times New Roman" w:hAnsi="Times New Roman" w:cs="Times New Roman" w:eastAsiaTheme="minorEastAsia"/>
                      <w:color w:val="000000"/>
                      <w:kern w:val="0"/>
                      <w:sz w:val="21"/>
                      <w:szCs w:val="21"/>
                      <w:shd w:val="clear" w:color="auto" w:fill="FFFFFF"/>
                      <w:lang w:val="en-US" w:eastAsia="zh-CN" w:bidi="ar"/>
                    </w:rPr>
                    <w:t>打砂废气排气筒DA035出口</w:t>
                  </w:r>
                </w:p>
              </w:tc>
              <w:tc>
                <w:tcPr>
                  <w:tcW w:w="1085" w:type="pct"/>
                  <w:vAlign w:val="center"/>
                </w:tcPr>
                <w:p>
                  <w:pPr>
                    <w:pStyle w:val="2"/>
                    <w:spacing w:line="240" w:lineRule="auto"/>
                    <w:ind w:firstLine="0" w:firstLineChars="0"/>
                    <w:jc w:val="center"/>
                    <w:rPr>
                      <w:rFonts w:cs="Times New Roman"/>
                      <w:color w:val="auto"/>
                      <w:sz w:val="21"/>
                      <w:szCs w:val="21"/>
                      <w:highlight w:val="none"/>
                      <w:shd w:val="clear" w:color="auto" w:fill="FFFFFF"/>
                    </w:rPr>
                  </w:pPr>
                  <w:r>
                    <w:rPr>
                      <w:rFonts w:hint="default" w:ascii="Times New Roman" w:hAnsi="Times New Roman" w:cs="Times New Roman" w:eastAsiaTheme="minorEastAsia"/>
                      <w:color w:val="000000"/>
                      <w:spacing w:val="0"/>
                      <w:sz w:val="21"/>
                      <w:szCs w:val="21"/>
                      <w:shd w:val="clear" w:color="auto" w:fill="FFFFFF"/>
                      <w:lang w:val="en-US" w:eastAsia="zh-CN"/>
                    </w:rPr>
                    <w:t>旋风分离器+滤筒除尘器</w:t>
                  </w:r>
                </w:p>
              </w:tc>
              <w:tc>
                <w:tcPr>
                  <w:tcW w:w="1036" w:type="pct"/>
                  <w:vAlign w:val="center"/>
                </w:tcPr>
                <w:p>
                  <w:pPr>
                    <w:pStyle w:val="2"/>
                    <w:spacing w:line="240" w:lineRule="auto"/>
                    <w:ind w:firstLine="0" w:firstLineChars="0"/>
                    <w:jc w:val="center"/>
                    <w:rPr>
                      <w:rFonts w:cs="Times New Roman"/>
                      <w:color w:val="auto"/>
                      <w:sz w:val="21"/>
                      <w:szCs w:val="21"/>
                      <w:highlight w:val="none"/>
                      <w:shd w:val="clear" w:color="auto" w:fill="FFFFFF"/>
                    </w:rPr>
                  </w:pPr>
                  <w:r>
                    <w:rPr>
                      <w:rFonts w:hint="eastAsia" w:ascii="Times New Roman" w:hAnsi="Times New Roman" w:cs="Times New Roman" w:eastAsiaTheme="minorEastAsia"/>
                      <w:color w:val="000000"/>
                      <w:spacing w:val="0"/>
                      <w:sz w:val="21"/>
                      <w:szCs w:val="21"/>
                      <w:shd w:val="clear" w:color="auto" w:fill="FFFFFF"/>
                      <w:lang w:val="en-US" w:eastAsia="zh-CN"/>
                    </w:rPr>
                    <w:t>颗粒物</w:t>
                  </w:r>
                </w:p>
              </w:tc>
              <w:tc>
                <w:tcPr>
                  <w:tcW w:w="1067" w:type="pct"/>
                  <w:vAlign w:val="center"/>
                </w:tcPr>
                <w:p>
                  <w:pPr>
                    <w:pStyle w:val="2"/>
                    <w:spacing w:line="240" w:lineRule="auto"/>
                    <w:ind w:firstLine="0" w:firstLineChars="0"/>
                    <w:jc w:val="center"/>
                    <w:rPr>
                      <w:rFonts w:hint="eastAsia" w:ascii="Times New Roman" w:hAnsi="Times New Roman" w:eastAsia="宋体" w:cs="Times New Roman"/>
                      <w:color w:val="auto"/>
                      <w:kern w:val="2"/>
                      <w:sz w:val="21"/>
                      <w:szCs w:val="21"/>
                      <w:highlight w:val="none"/>
                      <w:shd w:val="clear" w:color="auto" w:fill="FFFFFF"/>
                      <w:lang w:val="en-US" w:eastAsia="zh-CN" w:bidi="ar-SA"/>
                    </w:rPr>
                  </w:pPr>
                  <w:r>
                    <w:rPr>
                      <w:rFonts w:hint="eastAsia" w:cs="Times New Roman"/>
                      <w:color w:val="auto"/>
                      <w:sz w:val="21"/>
                      <w:szCs w:val="21"/>
                      <w:highlight w:val="none"/>
                      <w:shd w:val="clear" w:color="auto" w:fill="FFFFFF"/>
                    </w:rPr>
                    <w:t>监测2天，3次/天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9" w:type="pct"/>
                  <w:vMerge w:val="continue"/>
                  <w:vAlign w:val="center"/>
                </w:tcPr>
                <w:p>
                  <w:pPr>
                    <w:pStyle w:val="2"/>
                    <w:widowControl/>
                    <w:adjustRightInd/>
                    <w:spacing w:line="240" w:lineRule="auto"/>
                    <w:ind w:firstLine="0" w:firstLineChars="0"/>
                    <w:jc w:val="center"/>
                    <w:rPr>
                      <w:rFonts w:hint="eastAsia" w:cs="Times New Roman"/>
                      <w:color w:val="auto"/>
                      <w:sz w:val="21"/>
                      <w:szCs w:val="21"/>
                      <w:highlight w:val="none"/>
                      <w:shd w:val="clear" w:color="auto" w:fill="FFFFFF"/>
                    </w:rPr>
                  </w:pPr>
                </w:p>
              </w:tc>
              <w:tc>
                <w:tcPr>
                  <w:tcW w:w="1161" w:type="pct"/>
                  <w:vAlign w:val="center"/>
                </w:tcPr>
                <w:p>
                  <w:pPr>
                    <w:pStyle w:val="2"/>
                    <w:spacing w:line="240" w:lineRule="auto"/>
                    <w:ind w:firstLine="0" w:firstLineChars="0"/>
                    <w:jc w:val="center"/>
                    <w:rPr>
                      <w:rFonts w:hint="eastAsia" w:ascii="Times New Roman" w:hAnsi="Times New Roman" w:eastAsia="宋体" w:cs="Times New Roman"/>
                      <w:color w:val="auto"/>
                      <w:kern w:val="2"/>
                      <w:sz w:val="21"/>
                      <w:szCs w:val="21"/>
                      <w:highlight w:val="none"/>
                      <w:shd w:val="clear" w:color="auto" w:fill="FFFFFF"/>
                      <w:lang w:val="en-US" w:eastAsia="zh-CN" w:bidi="ar-SA"/>
                    </w:rPr>
                  </w:pPr>
                  <w:r>
                    <w:rPr>
                      <w:rFonts w:hint="eastAsia" w:ascii="Times New Roman" w:hAnsi="Times New Roman" w:cs="Times New Roman" w:eastAsiaTheme="minorEastAsia"/>
                      <w:color w:val="000000"/>
                      <w:kern w:val="0"/>
                      <w:sz w:val="21"/>
                      <w:szCs w:val="21"/>
                      <w:shd w:val="clear" w:color="auto" w:fill="FFFFFF"/>
                      <w:lang w:val="en-US" w:eastAsia="zh-CN" w:bidi="ar"/>
                    </w:rPr>
                    <w:t>打砂废气排气筒DA035进口</w:t>
                  </w:r>
                </w:p>
              </w:tc>
              <w:tc>
                <w:tcPr>
                  <w:tcW w:w="1085" w:type="pct"/>
                  <w:vAlign w:val="center"/>
                </w:tcPr>
                <w:p>
                  <w:pPr>
                    <w:pStyle w:val="2"/>
                    <w:spacing w:line="240" w:lineRule="auto"/>
                    <w:ind w:firstLine="0" w:firstLineChars="0"/>
                    <w:jc w:val="center"/>
                    <w:rPr>
                      <w:rFonts w:hint="default" w:ascii="Times New Roman" w:hAnsi="Times New Roman" w:eastAsia="宋体" w:cs="Times New Roman"/>
                      <w:color w:val="auto"/>
                      <w:kern w:val="2"/>
                      <w:sz w:val="21"/>
                      <w:szCs w:val="21"/>
                      <w:highlight w:val="none"/>
                      <w:shd w:val="clear" w:color="auto" w:fill="FFFFFF"/>
                      <w:lang w:val="en-US" w:eastAsia="zh-CN" w:bidi="ar-SA"/>
                    </w:rPr>
                  </w:pPr>
                  <w:r>
                    <w:rPr>
                      <w:rFonts w:hint="default" w:ascii="Times New Roman" w:hAnsi="Times New Roman" w:cs="Times New Roman" w:eastAsiaTheme="minorEastAsia"/>
                      <w:color w:val="000000"/>
                      <w:spacing w:val="0"/>
                      <w:sz w:val="21"/>
                      <w:szCs w:val="21"/>
                      <w:shd w:val="clear" w:color="auto" w:fill="FFFFFF"/>
                      <w:lang w:val="en-US" w:eastAsia="zh-CN"/>
                    </w:rPr>
                    <w:t>旋风分离器+滤筒除尘器</w:t>
                  </w:r>
                </w:p>
              </w:tc>
              <w:tc>
                <w:tcPr>
                  <w:tcW w:w="1036" w:type="pct"/>
                  <w:vAlign w:val="center"/>
                </w:tcPr>
                <w:p>
                  <w:pPr>
                    <w:pStyle w:val="2"/>
                    <w:spacing w:line="240" w:lineRule="auto"/>
                    <w:ind w:firstLine="0" w:firstLineChars="0"/>
                    <w:jc w:val="center"/>
                    <w:rPr>
                      <w:rFonts w:hint="eastAsia" w:ascii="Times New Roman" w:hAnsi="Times New Roman" w:eastAsia="宋体" w:cs="Times New Roman"/>
                      <w:color w:val="auto"/>
                      <w:kern w:val="2"/>
                      <w:sz w:val="21"/>
                      <w:szCs w:val="21"/>
                      <w:highlight w:val="none"/>
                      <w:shd w:val="clear" w:color="auto" w:fill="FFFFFF"/>
                      <w:lang w:val="en-US" w:eastAsia="zh-CN" w:bidi="ar-SA"/>
                    </w:rPr>
                  </w:pPr>
                  <w:r>
                    <w:rPr>
                      <w:rFonts w:hint="eastAsia" w:ascii="Times New Roman" w:hAnsi="Times New Roman" w:cs="Times New Roman" w:eastAsiaTheme="minorEastAsia"/>
                      <w:color w:val="000000"/>
                      <w:spacing w:val="0"/>
                      <w:sz w:val="21"/>
                      <w:szCs w:val="21"/>
                      <w:shd w:val="clear" w:color="auto" w:fill="FFFFFF"/>
                      <w:lang w:val="en-US" w:eastAsia="zh-CN"/>
                    </w:rPr>
                    <w:t>颗粒物</w:t>
                  </w:r>
                </w:p>
              </w:tc>
              <w:tc>
                <w:tcPr>
                  <w:tcW w:w="1067" w:type="pct"/>
                  <w:vAlign w:val="center"/>
                </w:tcPr>
                <w:p>
                  <w:pPr>
                    <w:pStyle w:val="2"/>
                    <w:spacing w:line="240" w:lineRule="auto"/>
                    <w:ind w:firstLine="0" w:firstLineChars="0"/>
                    <w:jc w:val="center"/>
                    <w:rPr>
                      <w:rFonts w:hint="eastAsia" w:ascii="Times New Roman" w:hAnsi="Times New Roman" w:eastAsia="宋体" w:cs="Times New Roman"/>
                      <w:color w:val="auto"/>
                      <w:kern w:val="2"/>
                      <w:sz w:val="21"/>
                      <w:szCs w:val="21"/>
                      <w:highlight w:val="none"/>
                      <w:shd w:val="clear" w:color="auto" w:fill="FFFFFF"/>
                      <w:lang w:val="en-US" w:eastAsia="zh-CN" w:bidi="ar-SA"/>
                    </w:rPr>
                  </w:pPr>
                  <w:r>
                    <w:rPr>
                      <w:rFonts w:hint="eastAsia" w:cs="Times New Roman"/>
                      <w:color w:val="auto"/>
                      <w:sz w:val="21"/>
                      <w:szCs w:val="21"/>
                      <w:highlight w:val="none"/>
                      <w:shd w:val="clear" w:color="auto" w:fill="FFFFFF"/>
                    </w:rPr>
                    <w:t>监测2天，</w:t>
                  </w:r>
                  <w:r>
                    <w:rPr>
                      <w:rFonts w:hint="eastAsia" w:cs="Times New Roman"/>
                      <w:color w:val="auto"/>
                      <w:sz w:val="21"/>
                      <w:szCs w:val="21"/>
                      <w:highlight w:val="none"/>
                      <w:shd w:val="clear" w:color="auto" w:fill="FFFFFF"/>
                      <w:lang w:val="en-US" w:eastAsia="zh-CN"/>
                    </w:rPr>
                    <w:t>1</w:t>
                  </w:r>
                  <w:r>
                    <w:rPr>
                      <w:rFonts w:hint="eastAsia" w:cs="Times New Roman"/>
                      <w:color w:val="auto"/>
                      <w:sz w:val="21"/>
                      <w:szCs w:val="21"/>
                      <w:highlight w:val="none"/>
                      <w:shd w:val="clear" w:color="auto" w:fill="FFFFFF"/>
                    </w:rPr>
                    <w:t>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5"/>
                  <w:vAlign w:val="center"/>
                </w:tcPr>
                <w:p>
                  <w:pPr>
                    <w:pStyle w:val="2"/>
                    <w:spacing w:line="240" w:lineRule="auto"/>
                    <w:ind w:firstLine="0" w:firstLineChars="0"/>
                    <w:jc w:val="both"/>
                    <w:rPr>
                      <w:rFonts w:hint="eastAsia" w:eastAsia="宋体" w:cs="Times New Roman"/>
                      <w:color w:val="auto"/>
                      <w:sz w:val="21"/>
                      <w:szCs w:val="21"/>
                      <w:highlight w:val="none"/>
                      <w:shd w:val="clear" w:color="auto" w:fill="FFFFFF"/>
                      <w:lang w:eastAsia="zh-CN"/>
                    </w:rPr>
                  </w:pPr>
                  <w:r>
                    <w:rPr>
                      <w:rFonts w:hint="eastAsia" w:cs="Times New Roman"/>
                      <w:color w:val="auto"/>
                      <w:sz w:val="21"/>
                      <w:szCs w:val="21"/>
                      <w:highlight w:val="none"/>
                      <w:shd w:val="clear" w:color="auto" w:fill="FFFFFF"/>
                      <w:lang w:eastAsia="zh-CN"/>
                    </w:rPr>
                    <w:t>备注：</w:t>
                  </w:r>
                  <w:r>
                    <w:rPr>
                      <w:rFonts w:hint="eastAsia" w:cs="Times New Roman"/>
                      <w:color w:val="auto"/>
                      <w:sz w:val="21"/>
                      <w:szCs w:val="21"/>
                      <w:shd w:val="clear" w:color="auto" w:fill="FFFFFF"/>
                      <w:lang w:eastAsia="zh-CN"/>
                    </w:rPr>
                    <w:t>依据</w:t>
                  </w:r>
                  <w:r>
                    <w:rPr>
                      <w:rFonts w:hint="default" w:ascii="Times New Roman" w:hAnsi="Times New Roman" w:cs="Times New Roman"/>
                      <w:color w:val="auto"/>
                      <w:sz w:val="21"/>
                      <w:szCs w:val="21"/>
                      <w:shd w:val="clear" w:color="auto" w:fill="FFFFFF"/>
                      <w:lang w:eastAsia="zh-CN"/>
                    </w:rPr>
                    <w:t>生态环境部关于发布《建设项目竣工环境保护验收技术指南</w:t>
                  </w:r>
                  <w:r>
                    <w:rPr>
                      <w:rFonts w:hint="eastAsia" w:cs="Times New Roman"/>
                      <w:color w:val="auto"/>
                      <w:sz w:val="21"/>
                      <w:szCs w:val="21"/>
                      <w:shd w:val="clear" w:color="auto" w:fill="FFFFFF"/>
                      <w:lang w:val="en-US" w:eastAsia="zh-CN"/>
                    </w:rPr>
                    <w:t xml:space="preserve"> </w:t>
                  </w:r>
                  <w:r>
                    <w:rPr>
                      <w:rFonts w:hint="default" w:ascii="Times New Roman" w:hAnsi="Times New Roman" w:cs="Times New Roman"/>
                      <w:color w:val="auto"/>
                      <w:sz w:val="21"/>
                      <w:szCs w:val="21"/>
                      <w:shd w:val="clear" w:color="auto" w:fill="FFFFFF"/>
                      <w:lang w:eastAsia="zh-CN"/>
                    </w:rPr>
                    <w:t>污染影响类》的公告</w:t>
                  </w:r>
                  <w:r>
                    <w:rPr>
                      <w:rFonts w:hint="eastAsia" w:cs="Times New Roman"/>
                      <w:color w:val="auto"/>
                      <w:sz w:val="21"/>
                      <w:szCs w:val="21"/>
                      <w:shd w:val="clear" w:color="auto" w:fill="FFFFFF"/>
                      <w:lang w:eastAsia="zh-CN"/>
                    </w:rPr>
                    <w:t>中</w:t>
                  </w:r>
                  <w:r>
                    <w:rPr>
                      <w:rFonts w:hint="eastAsia" w:cs="Times New Roman"/>
                      <w:color w:val="auto"/>
                      <w:sz w:val="21"/>
                      <w:szCs w:val="21"/>
                      <w:shd w:val="clear" w:color="auto" w:fill="FFFFFF"/>
                      <w:lang w:val="en-US" w:eastAsia="zh-CN"/>
                    </w:rPr>
                    <w:t>6.3.4验收监测频次确定原则6）对设施处理效率的监测，可选择主要因子并适当减少监测频次，故此次</w:t>
                  </w:r>
                  <w:r>
                    <w:rPr>
                      <w:rFonts w:hint="default" w:ascii="Times New Roman" w:hAnsi="Times New Roman" w:eastAsia="宋体" w:cs="Times New Roman"/>
                      <w:kern w:val="0"/>
                      <w:sz w:val="21"/>
                      <w:szCs w:val="21"/>
                      <w:shd w:val="clear"/>
                      <w:lang w:val="en-US" w:eastAsia="zh-CN" w:bidi="ar"/>
                    </w:rPr>
                    <w:t>排气筒进口</w:t>
                  </w:r>
                  <w:r>
                    <w:rPr>
                      <w:rFonts w:hint="eastAsia" w:ascii="Times New Roman" w:hAnsi="Times New Roman" w:cs="Times New Roman"/>
                      <w:strike w:val="0"/>
                      <w:color w:val="auto"/>
                      <w:sz w:val="21"/>
                      <w:szCs w:val="21"/>
                      <w:highlight w:val="none"/>
                      <w:shd w:val="clear" w:color="auto" w:fill="FFFFFF"/>
                      <w:lang w:val="en-US" w:eastAsia="zh-CN" w:bidi="ar"/>
                    </w:rPr>
                    <w:t>监测频次为</w:t>
                  </w:r>
                  <w:r>
                    <w:rPr>
                      <w:rFonts w:hint="default" w:ascii="Times New Roman" w:hAnsi="Times New Roman" w:cs="Times New Roman"/>
                      <w:color w:val="auto"/>
                      <w:sz w:val="21"/>
                      <w:szCs w:val="21"/>
                      <w:shd w:val="clear" w:color="auto" w:fill="FFFFFF"/>
                      <w:lang w:eastAsia="zh-CN"/>
                    </w:rPr>
                    <w:t>监测</w:t>
                  </w:r>
                  <w:r>
                    <w:rPr>
                      <w:rFonts w:hint="eastAsia" w:ascii="Times New Roman" w:hAnsi="Times New Roman" w:cs="Times New Roman"/>
                      <w:color w:val="auto"/>
                      <w:sz w:val="21"/>
                      <w:szCs w:val="21"/>
                      <w:shd w:val="clear" w:color="auto" w:fill="FFFFFF"/>
                      <w:lang w:val="en-US" w:eastAsia="zh-CN"/>
                    </w:rPr>
                    <w:t>2</w:t>
                  </w:r>
                  <w:r>
                    <w:rPr>
                      <w:rFonts w:hint="default" w:ascii="Times New Roman" w:hAnsi="Times New Roman" w:cs="Times New Roman"/>
                      <w:color w:val="auto"/>
                      <w:sz w:val="21"/>
                      <w:szCs w:val="21"/>
                      <w:shd w:val="clear" w:color="auto" w:fill="FFFFFF"/>
                      <w:lang w:eastAsia="zh-CN"/>
                    </w:rPr>
                    <w:t>天，1次/天</w:t>
                  </w:r>
                  <w:r>
                    <w:rPr>
                      <w:rFonts w:hint="eastAsia" w:cs="Times New Roman"/>
                      <w:color w:val="auto"/>
                      <w:sz w:val="21"/>
                      <w:szCs w:val="21"/>
                      <w:shd w:val="clear" w:color="auto" w:fill="FFFFFF"/>
                      <w:lang w:eastAsia="zh-CN"/>
                    </w:rPr>
                    <w:t>；</w:t>
                  </w:r>
                </w:p>
              </w:tc>
            </w:tr>
          </w:tbl>
          <w:p>
            <w:pPr>
              <w:ind w:firstLine="480"/>
              <w:rPr>
                <w:color w:val="auto"/>
                <w:highlight w:val="none"/>
              </w:rPr>
            </w:pPr>
            <w:r>
              <w:rPr>
                <w:color w:val="auto"/>
                <w:highlight w:val="none"/>
              </w:rPr>
              <w:t>②监测分析方法</w:t>
            </w:r>
          </w:p>
          <w:p>
            <w:pPr>
              <w:ind w:firstLine="480"/>
              <w:jc w:val="left"/>
              <w:rPr>
                <w:color w:val="auto"/>
                <w:highlight w:val="none"/>
              </w:rPr>
            </w:pPr>
            <w:r>
              <w:rPr>
                <w:color w:val="auto"/>
                <w:highlight w:val="none"/>
              </w:rPr>
              <w:t>本项目有组织废气监测分析方法见表6-2。</w:t>
            </w:r>
          </w:p>
          <w:p>
            <w:pPr>
              <w:pStyle w:val="2"/>
              <w:ind w:firstLine="0" w:firstLineChars="0"/>
              <w:jc w:val="center"/>
              <w:rPr>
                <w:rFonts w:cs="Times New Roman"/>
                <w:b/>
                <w:bCs/>
                <w:color w:val="auto"/>
                <w:highlight w:val="none"/>
              </w:rPr>
            </w:pPr>
            <w:r>
              <w:rPr>
                <w:rFonts w:cs="Times New Roman"/>
                <w:b/>
                <w:bCs/>
                <w:color w:val="auto"/>
                <w:highlight w:val="none"/>
              </w:rPr>
              <w:t>表6-2 有组织废气监测因子分析方法</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78"/>
              <w:gridCol w:w="3397"/>
              <w:gridCol w:w="1951"/>
              <w:gridCol w:w="1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78"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检测项目</w:t>
                  </w:r>
                </w:p>
              </w:tc>
              <w:tc>
                <w:tcPr>
                  <w:tcW w:w="3397" w:type="dxa"/>
                  <w:vAlign w:val="center"/>
                </w:tcPr>
                <w:p>
                  <w:pPr>
                    <w:spacing w:line="240" w:lineRule="auto"/>
                    <w:ind w:left="-25" w:right="-53" w:firstLine="0" w:firstLineChars="0"/>
                    <w:jc w:val="center"/>
                    <w:rPr>
                      <w:b/>
                      <w:bCs/>
                      <w:color w:val="auto"/>
                      <w:sz w:val="21"/>
                      <w:szCs w:val="21"/>
                      <w:highlight w:val="none"/>
                    </w:rPr>
                  </w:pPr>
                  <w:r>
                    <w:rPr>
                      <w:b/>
                      <w:bCs/>
                      <w:color w:val="auto"/>
                      <w:sz w:val="21"/>
                      <w:szCs w:val="21"/>
                      <w:highlight w:val="none"/>
                    </w:rPr>
                    <w:t>检测方法</w:t>
                  </w:r>
                </w:p>
              </w:tc>
              <w:tc>
                <w:tcPr>
                  <w:tcW w:w="1951"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方法来源</w:t>
                  </w:r>
                </w:p>
              </w:tc>
              <w:tc>
                <w:tcPr>
                  <w:tcW w:w="1788"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检出限</w:t>
                  </w:r>
                  <w:r>
                    <w:rPr>
                      <w:rFonts w:hint="eastAsia"/>
                      <w:b/>
                      <w:bCs/>
                      <w:color w:val="auto"/>
                      <w:sz w:val="21"/>
                      <w:szCs w:val="21"/>
                      <w:highlight w:val="none"/>
                    </w:rPr>
                    <w:t>（</w:t>
                  </w:r>
                  <w:r>
                    <w:rPr>
                      <w:b/>
                      <w:bCs/>
                      <w:color w:val="auto"/>
                      <w:sz w:val="21"/>
                      <w:szCs w:val="21"/>
                      <w:highlight w:val="none"/>
                    </w:rPr>
                    <w:t>mg/</w:t>
                  </w:r>
                  <w:r>
                    <w:rPr>
                      <w:rFonts w:hint="eastAsia"/>
                      <w:b/>
                      <w:bCs/>
                      <w:color w:val="auto"/>
                      <w:sz w:val="21"/>
                      <w:szCs w:val="21"/>
                      <w:highlight w:val="none"/>
                      <w:lang w:eastAsia="zh-CN"/>
                    </w:rPr>
                    <w:t>m³</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2"/>
                    <w:spacing w:line="240" w:lineRule="auto"/>
                    <w:ind w:firstLine="0" w:firstLineChars="0"/>
                    <w:jc w:val="center"/>
                    <w:rPr>
                      <w:rFonts w:cs="Times New Roman"/>
                      <w:color w:val="auto"/>
                      <w:sz w:val="21"/>
                      <w:szCs w:val="21"/>
                      <w:highlight w:val="none"/>
                      <w:shd w:val="clear" w:color="auto" w:fill="FFFFFF"/>
                    </w:rPr>
                  </w:pPr>
                  <w:r>
                    <w:rPr>
                      <w:rFonts w:hint="eastAsia" w:cs="Times New Roman"/>
                      <w:color w:val="auto"/>
                      <w:sz w:val="21"/>
                      <w:szCs w:val="21"/>
                      <w:highlight w:val="none"/>
                      <w:shd w:val="clear" w:color="auto" w:fill="FFFFFF"/>
                    </w:rPr>
                    <w:t>颗粒物</w:t>
                  </w:r>
                </w:p>
              </w:tc>
              <w:tc>
                <w:tcPr>
                  <w:tcW w:w="0" w:type="auto"/>
                  <w:vAlign w:val="center"/>
                </w:tcPr>
                <w:p>
                  <w:pPr>
                    <w:pStyle w:val="2"/>
                    <w:spacing w:line="240" w:lineRule="auto"/>
                    <w:ind w:firstLine="0" w:firstLineChars="0"/>
                    <w:jc w:val="center"/>
                    <w:rPr>
                      <w:rFonts w:cs="Times New Roman"/>
                      <w:color w:val="auto"/>
                      <w:sz w:val="21"/>
                      <w:szCs w:val="21"/>
                      <w:highlight w:val="none"/>
                      <w:shd w:val="clear" w:color="auto" w:fill="FFFFFF"/>
                    </w:rPr>
                  </w:pPr>
                  <w:r>
                    <w:rPr>
                      <w:rFonts w:hint="eastAsia" w:cs="Times New Roman"/>
                      <w:color w:val="auto"/>
                      <w:sz w:val="21"/>
                      <w:szCs w:val="21"/>
                      <w:highlight w:val="none"/>
                      <w:shd w:val="clear" w:color="auto" w:fill="FFFFFF"/>
                    </w:rPr>
                    <w:t>重量法</w:t>
                  </w:r>
                </w:p>
              </w:tc>
              <w:tc>
                <w:tcPr>
                  <w:tcW w:w="0" w:type="auto"/>
                  <w:vAlign w:val="center"/>
                </w:tcPr>
                <w:p>
                  <w:pPr>
                    <w:pStyle w:val="2"/>
                    <w:spacing w:line="240" w:lineRule="auto"/>
                    <w:ind w:firstLine="0" w:firstLineChars="0"/>
                    <w:jc w:val="center"/>
                    <w:rPr>
                      <w:rFonts w:cs="Times New Roman"/>
                      <w:color w:val="auto"/>
                      <w:sz w:val="21"/>
                      <w:szCs w:val="21"/>
                      <w:highlight w:val="none"/>
                      <w:shd w:val="clear" w:color="auto" w:fill="FFFFFF"/>
                    </w:rPr>
                  </w:pPr>
                  <w:r>
                    <w:rPr>
                      <w:rFonts w:hint="eastAsia" w:cs="Times New Roman"/>
                      <w:color w:val="auto"/>
                      <w:sz w:val="21"/>
                      <w:szCs w:val="21"/>
                      <w:highlight w:val="none"/>
                      <w:shd w:val="clear" w:color="auto" w:fill="FFFFFF"/>
                    </w:rPr>
                    <w:t>HJ 836-2017</w:t>
                  </w:r>
                </w:p>
              </w:tc>
              <w:tc>
                <w:tcPr>
                  <w:tcW w:w="0" w:type="auto"/>
                  <w:vAlign w:val="center"/>
                </w:tcPr>
                <w:p>
                  <w:pPr>
                    <w:pStyle w:val="2"/>
                    <w:spacing w:line="240" w:lineRule="auto"/>
                    <w:ind w:firstLine="0" w:firstLineChars="0"/>
                    <w:jc w:val="center"/>
                    <w:rPr>
                      <w:rFonts w:cs="Times New Roman"/>
                      <w:color w:val="auto"/>
                      <w:sz w:val="21"/>
                      <w:szCs w:val="21"/>
                      <w:highlight w:val="none"/>
                      <w:shd w:val="clear" w:color="auto" w:fill="FFFFFF"/>
                    </w:rPr>
                  </w:pPr>
                  <w:r>
                    <w:rPr>
                      <w:rFonts w:hint="eastAsia" w:cs="Times New Roman"/>
                      <w:color w:val="auto"/>
                      <w:sz w:val="21"/>
                      <w:szCs w:val="21"/>
                      <w:highlight w:val="none"/>
                      <w:shd w:val="clear" w:color="auto" w:fill="FFFFFF"/>
                    </w:rPr>
                    <w:t>1.0</w:t>
                  </w:r>
                </w:p>
              </w:tc>
            </w:tr>
          </w:tbl>
          <w:p>
            <w:pPr>
              <w:ind w:firstLine="480"/>
              <w:rPr>
                <w:color w:val="auto"/>
                <w:highlight w:val="none"/>
              </w:rPr>
            </w:pPr>
            <w:r>
              <w:rPr>
                <w:color w:val="auto"/>
                <w:highlight w:val="none"/>
              </w:rPr>
              <w:t>（2）厂界无组织废气检测</w:t>
            </w:r>
          </w:p>
          <w:p>
            <w:pPr>
              <w:ind w:firstLine="480"/>
              <w:rPr>
                <w:color w:val="auto"/>
                <w:highlight w:val="none"/>
              </w:rPr>
            </w:pPr>
            <w:r>
              <w:rPr>
                <w:color w:val="auto"/>
                <w:highlight w:val="none"/>
              </w:rPr>
              <w:t>①检测因子、点位和频次</w:t>
            </w:r>
          </w:p>
          <w:p>
            <w:pPr>
              <w:ind w:firstLine="480"/>
              <w:jc w:val="left"/>
              <w:rPr>
                <w:color w:val="auto"/>
                <w:highlight w:val="none"/>
              </w:rPr>
            </w:pPr>
            <w:r>
              <w:rPr>
                <w:color w:val="auto"/>
                <w:highlight w:val="none"/>
              </w:rPr>
              <w:t>本项目无组织废气</w:t>
            </w:r>
            <w:r>
              <w:rPr>
                <w:rFonts w:hint="eastAsia"/>
                <w:color w:val="auto"/>
                <w:highlight w:val="none"/>
              </w:rPr>
              <w:t>监测</w:t>
            </w:r>
            <w:r>
              <w:rPr>
                <w:color w:val="auto"/>
                <w:highlight w:val="none"/>
              </w:rPr>
              <w:t>点位和频次见表6-3。无组织废气监测点位图见下图6-1。</w:t>
            </w:r>
          </w:p>
          <w:p>
            <w:pPr>
              <w:pStyle w:val="2"/>
              <w:ind w:firstLine="0" w:firstLineChars="0"/>
              <w:jc w:val="center"/>
              <w:rPr>
                <w:rFonts w:cs="Times New Roman"/>
                <w:b/>
                <w:bCs/>
                <w:color w:val="auto"/>
                <w:highlight w:val="none"/>
              </w:rPr>
            </w:pPr>
            <w:r>
              <w:rPr>
                <w:rFonts w:cs="Times New Roman"/>
                <w:b/>
                <w:bCs/>
                <w:color w:val="auto"/>
                <w:highlight w:val="none"/>
              </w:rPr>
              <w:t>表6-3  无组织废气检测内容、频次一览表</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44"/>
              <w:gridCol w:w="2445"/>
              <w:gridCol w:w="1830"/>
              <w:gridCol w:w="2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58" w:type="pct"/>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检测项目</w:t>
                  </w:r>
                </w:p>
              </w:tc>
              <w:tc>
                <w:tcPr>
                  <w:tcW w:w="1371" w:type="pct"/>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检测点位</w:t>
                  </w:r>
                </w:p>
              </w:tc>
              <w:tc>
                <w:tcPr>
                  <w:tcW w:w="1026" w:type="pct"/>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频次</w:t>
                  </w:r>
                </w:p>
              </w:tc>
              <w:tc>
                <w:tcPr>
                  <w:tcW w:w="1343" w:type="pct"/>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58" w:type="pct"/>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颗粒物</w:t>
                  </w:r>
                </w:p>
              </w:tc>
              <w:tc>
                <w:tcPr>
                  <w:tcW w:w="1371" w:type="pct"/>
                  <w:vAlign w:val="center"/>
                </w:tcPr>
                <w:p>
                  <w:pPr>
                    <w:pStyle w:val="2"/>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上风向设置1个检测点，下风向设置3个检测点</w:t>
                  </w:r>
                </w:p>
              </w:tc>
              <w:tc>
                <w:tcPr>
                  <w:tcW w:w="1026" w:type="pct"/>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3</w:t>
                  </w:r>
                  <w:r>
                    <w:rPr>
                      <w:color w:val="auto"/>
                      <w:sz w:val="21"/>
                      <w:szCs w:val="21"/>
                      <w:highlight w:val="none"/>
                    </w:rPr>
                    <w:t>次/天，共2天</w:t>
                  </w:r>
                </w:p>
              </w:tc>
              <w:tc>
                <w:tcPr>
                  <w:tcW w:w="1343" w:type="pct"/>
                  <w:vAlign w:val="center"/>
                </w:tcPr>
                <w:p>
                  <w:pPr>
                    <w:spacing w:line="240" w:lineRule="auto"/>
                    <w:ind w:firstLine="0" w:firstLineChars="0"/>
                    <w:jc w:val="center"/>
                    <w:rPr>
                      <w:color w:val="auto"/>
                      <w:sz w:val="21"/>
                      <w:szCs w:val="21"/>
                      <w:highlight w:val="none"/>
                    </w:rPr>
                  </w:pPr>
                  <w:r>
                    <w:rPr>
                      <w:color w:val="auto"/>
                      <w:sz w:val="21"/>
                      <w:szCs w:val="21"/>
                      <w:highlight w:val="none"/>
                    </w:rPr>
                    <w:t>同步记录天气情况、风向风速、大气温度、大气压力等气象参数。</w:t>
                  </w:r>
                </w:p>
              </w:tc>
            </w:tr>
          </w:tbl>
          <w:p>
            <w:pPr>
              <w:ind w:firstLine="480"/>
              <w:rPr>
                <w:color w:val="auto"/>
                <w:highlight w:val="none"/>
              </w:rPr>
            </w:pPr>
            <w:r>
              <w:rPr>
                <w:color w:val="auto"/>
                <w:highlight w:val="none"/>
              </w:rPr>
              <w:t>②检测分析方法</w:t>
            </w:r>
          </w:p>
          <w:p>
            <w:pPr>
              <w:pStyle w:val="2"/>
              <w:jc w:val="both"/>
              <w:rPr>
                <w:rFonts w:cs="Times New Roman"/>
                <w:color w:val="auto"/>
                <w:szCs w:val="24"/>
                <w:highlight w:val="none"/>
              </w:rPr>
            </w:pPr>
            <w:r>
              <w:rPr>
                <w:rFonts w:cs="Times New Roman"/>
                <w:color w:val="auto"/>
                <w:szCs w:val="24"/>
                <w:highlight w:val="none"/>
              </w:rPr>
              <w:t>本项目无组织废气检测分析方法见表6-4。</w:t>
            </w:r>
          </w:p>
          <w:p>
            <w:pPr>
              <w:pStyle w:val="2"/>
              <w:ind w:firstLine="0" w:firstLineChars="0"/>
              <w:jc w:val="center"/>
              <w:rPr>
                <w:rFonts w:cs="Times New Roman"/>
                <w:color w:val="auto"/>
                <w:highlight w:val="none"/>
              </w:rPr>
            </w:pPr>
            <w:r>
              <w:rPr>
                <w:rFonts w:cs="Times New Roman"/>
                <w:b/>
                <w:bCs/>
                <w:color w:val="auto"/>
                <w:highlight w:val="none"/>
              </w:rPr>
              <w:t>表6-4  无组织废气监测因子分析方法</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77"/>
              <w:gridCol w:w="2704"/>
              <w:gridCol w:w="2527"/>
              <w:gridCol w:w="18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77"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检测项目</w:t>
                  </w:r>
                </w:p>
              </w:tc>
              <w:tc>
                <w:tcPr>
                  <w:tcW w:w="2704" w:type="dxa"/>
                  <w:vAlign w:val="center"/>
                </w:tcPr>
                <w:p>
                  <w:pPr>
                    <w:spacing w:line="240" w:lineRule="auto"/>
                    <w:ind w:left="-25" w:right="-53" w:firstLine="0" w:firstLineChars="0"/>
                    <w:jc w:val="center"/>
                    <w:rPr>
                      <w:b/>
                      <w:bCs/>
                      <w:color w:val="auto"/>
                      <w:sz w:val="21"/>
                      <w:szCs w:val="21"/>
                      <w:highlight w:val="none"/>
                    </w:rPr>
                  </w:pPr>
                  <w:r>
                    <w:rPr>
                      <w:b/>
                      <w:bCs/>
                      <w:color w:val="auto"/>
                      <w:sz w:val="21"/>
                      <w:szCs w:val="21"/>
                      <w:highlight w:val="none"/>
                    </w:rPr>
                    <w:t>检测方法</w:t>
                  </w:r>
                </w:p>
              </w:tc>
              <w:tc>
                <w:tcPr>
                  <w:tcW w:w="2527"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方法来源</w:t>
                  </w:r>
                </w:p>
              </w:tc>
              <w:tc>
                <w:tcPr>
                  <w:tcW w:w="1806"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检出限</w:t>
                  </w:r>
                  <w:r>
                    <w:rPr>
                      <w:rFonts w:hint="eastAsia"/>
                      <w:b/>
                      <w:bCs/>
                      <w:color w:val="auto"/>
                      <w:sz w:val="21"/>
                      <w:szCs w:val="21"/>
                      <w:highlight w:val="none"/>
                    </w:rPr>
                    <w:t>（μg</w:t>
                  </w:r>
                  <w:r>
                    <w:rPr>
                      <w:b/>
                      <w:bCs/>
                      <w:color w:val="auto"/>
                      <w:sz w:val="21"/>
                      <w:szCs w:val="21"/>
                      <w:highlight w:val="none"/>
                    </w:rPr>
                    <w:t>/</w:t>
                  </w:r>
                  <w:r>
                    <w:rPr>
                      <w:rFonts w:hint="eastAsia"/>
                      <w:b/>
                      <w:bCs/>
                      <w:color w:val="auto"/>
                      <w:sz w:val="21"/>
                      <w:szCs w:val="21"/>
                      <w:highlight w:val="none"/>
                      <w:lang w:eastAsia="zh-CN"/>
                    </w:rPr>
                    <w:t>m³</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2"/>
                    <w:spacing w:line="240" w:lineRule="auto"/>
                    <w:ind w:firstLine="0" w:firstLineChars="0"/>
                    <w:jc w:val="center"/>
                    <w:rPr>
                      <w:rFonts w:cs="Times New Roman"/>
                      <w:color w:val="auto"/>
                      <w:sz w:val="21"/>
                      <w:szCs w:val="21"/>
                      <w:highlight w:val="none"/>
                      <w:shd w:val="clear" w:color="auto" w:fill="FFFFFF"/>
                    </w:rPr>
                  </w:pPr>
                  <w:r>
                    <w:rPr>
                      <w:rFonts w:hint="eastAsia" w:cs="Times New Roman"/>
                      <w:color w:val="auto"/>
                      <w:sz w:val="21"/>
                      <w:szCs w:val="21"/>
                      <w:highlight w:val="none"/>
                      <w:shd w:val="clear" w:color="auto" w:fill="FFFFFF"/>
                    </w:rPr>
                    <w:t>颗粒物</w:t>
                  </w:r>
                </w:p>
              </w:tc>
              <w:tc>
                <w:tcPr>
                  <w:tcW w:w="2704" w:type="dxa"/>
                  <w:vAlign w:val="center"/>
                </w:tcPr>
                <w:p>
                  <w:pPr>
                    <w:pStyle w:val="2"/>
                    <w:spacing w:line="240" w:lineRule="auto"/>
                    <w:ind w:firstLine="0" w:firstLineChars="0"/>
                    <w:jc w:val="center"/>
                    <w:rPr>
                      <w:rFonts w:cs="Times New Roman"/>
                      <w:color w:val="auto"/>
                      <w:sz w:val="21"/>
                      <w:szCs w:val="21"/>
                      <w:highlight w:val="none"/>
                      <w:shd w:val="clear" w:color="auto" w:fill="FFFFFF"/>
                    </w:rPr>
                  </w:pPr>
                  <w:r>
                    <w:rPr>
                      <w:rFonts w:cs="Times New Roman"/>
                      <w:color w:val="auto"/>
                      <w:sz w:val="21"/>
                      <w:szCs w:val="21"/>
                      <w:highlight w:val="none"/>
                      <w:shd w:val="clear" w:color="auto" w:fill="FFFFFF"/>
                    </w:rPr>
                    <w:t>重量法</w:t>
                  </w:r>
                </w:p>
              </w:tc>
              <w:tc>
                <w:tcPr>
                  <w:tcW w:w="2527" w:type="dxa"/>
                  <w:vAlign w:val="center"/>
                </w:tcPr>
                <w:p>
                  <w:pPr>
                    <w:pStyle w:val="2"/>
                    <w:spacing w:line="240" w:lineRule="auto"/>
                    <w:ind w:firstLine="0" w:firstLineChars="0"/>
                    <w:jc w:val="center"/>
                    <w:rPr>
                      <w:rFonts w:cs="Times New Roman"/>
                      <w:color w:val="auto"/>
                      <w:sz w:val="21"/>
                      <w:szCs w:val="21"/>
                      <w:highlight w:val="none"/>
                      <w:shd w:val="clear" w:color="auto" w:fill="FFFFFF"/>
                    </w:rPr>
                  </w:pPr>
                  <w:r>
                    <w:rPr>
                      <w:rFonts w:hint="eastAsia" w:cs="Times New Roman"/>
                      <w:color w:val="auto"/>
                      <w:sz w:val="21"/>
                      <w:szCs w:val="21"/>
                      <w:highlight w:val="none"/>
                      <w:shd w:val="clear" w:color="auto" w:fill="FFFFFF"/>
                    </w:rPr>
                    <w:t>HJ 1263-2022</w:t>
                  </w:r>
                </w:p>
              </w:tc>
              <w:tc>
                <w:tcPr>
                  <w:tcW w:w="1806" w:type="dxa"/>
                  <w:vAlign w:val="center"/>
                </w:tcPr>
                <w:p>
                  <w:pPr>
                    <w:pStyle w:val="2"/>
                    <w:spacing w:line="240" w:lineRule="auto"/>
                    <w:ind w:firstLine="0" w:firstLineChars="0"/>
                    <w:jc w:val="center"/>
                    <w:rPr>
                      <w:rFonts w:hint="default" w:eastAsia="宋体" w:cs="Times New Roman"/>
                      <w:color w:val="auto"/>
                      <w:sz w:val="21"/>
                      <w:szCs w:val="21"/>
                      <w:highlight w:val="none"/>
                      <w:shd w:val="clear" w:color="auto" w:fill="FFFFFF"/>
                      <w:lang w:val="en-US" w:eastAsia="zh-CN" w:bidi="ar"/>
                    </w:rPr>
                  </w:pPr>
                  <w:r>
                    <w:rPr>
                      <w:rFonts w:hint="eastAsia" w:cs="Times New Roman"/>
                      <w:color w:val="auto"/>
                      <w:sz w:val="21"/>
                      <w:szCs w:val="21"/>
                      <w:highlight w:val="none"/>
                      <w:shd w:val="clear" w:color="auto" w:fill="FFFFFF"/>
                      <w:lang w:val="en-US" w:eastAsia="zh-CN"/>
                    </w:rPr>
                    <w:t>0.07</w:t>
                  </w:r>
                </w:p>
              </w:tc>
            </w:tr>
          </w:tbl>
          <w:p>
            <w:pPr>
              <w:tabs>
                <w:tab w:val="left" w:pos="2565"/>
                <w:tab w:val="center" w:pos="4812"/>
              </w:tabs>
              <w:ind w:firstLine="0" w:firstLineChars="0"/>
              <w:jc w:val="center"/>
              <w:rPr>
                <w:color w:val="auto"/>
                <w:highlight w:val="none"/>
              </w:rPr>
            </w:pPr>
            <w:r>
              <w:pict>
                <v:shape id="_x0000_i1029" o:spt="75" type="#_x0000_t75" style="height:320.35pt;width:445.95pt;" filled="f" stroked="f" coordsize="21600,21600">
                  <v:path/>
                  <v:fill on="f" focussize="0,0"/>
                  <v:stroke on="f"/>
                  <v:imagedata r:id="rId14" o:title=""/>
                  <o:lock v:ext="edit" aspectratio="t"/>
                  <w10:wrap type="none"/>
                  <w10:anchorlock/>
                </v:shape>
              </w:pict>
            </w:r>
          </w:p>
          <w:p>
            <w:pPr>
              <w:tabs>
                <w:tab w:val="left" w:pos="2565"/>
                <w:tab w:val="center" w:pos="4812"/>
              </w:tabs>
              <w:ind w:firstLine="482"/>
              <w:jc w:val="center"/>
              <w:rPr>
                <w:rFonts w:hint="eastAsia" w:eastAsia="宋体"/>
                <w:color w:val="auto"/>
                <w:highlight w:val="none"/>
                <w:lang w:eastAsia="zh-CN"/>
              </w:rPr>
            </w:pPr>
            <w:r>
              <w:rPr>
                <w:b/>
                <w:bCs/>
                <w:color w:val="auto"/>
                <w:highlight w:val="none"/>
              </w:rPr>
              <w:pict>
                <v:shape id="文本框 47" o:spid="_x0000_s1077" o:spt="202" type="#_x0000_t202" style="position:absolute;left:0pt;margin-left:421.4pt;margin-top:11.6pt;height:20.5pt;width:25.95pt;z-index:251659264;mso-width-relative:page;mso-height-relative:page;" filled="f" stroked="f" coordsize="21600,21600" o:gfxdata="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yubuS1AAAAAMBAAAPAAAAAAAAAAEAIAAAACIAAABkcnMvZG93bnJldi54bWxQSwEC&#10;FAAUAAAACACHTuJAkkS9t78BAABKAwAADgAAAAAAAAABACAAAAAjAQAAZHJzL2Uyb0RvYy54bWxQ&#10;SwUGAAAAAAYABgBZAQAAVAUAAAAA&#10;">
                  <v:path/>
                  <v:fill on="f" focussize="0,0"/>
                  <v:stroke on="f" joinstyle="miter"/>
                  <v:imagedata o:title=""/>
                  <o:lock v:ext="edit"/>
                  <v:textbox inset="7.19992125984252pt,1.27mm,7.19992125984252pt,1.27mm">
                    <w:txbxContent>
                      <w:p>
                        <w:pPr>
                          <w:ind w:firstLine="482"/>
                          <w:rPr>
                            <w:b/>
                            <w:bCs/>
                          </w:rPr>
                        </w:pPr>
                        <w:r>
                          <w:rPr>
                            <w:rFonts w:hint="eastAsia"/>
                            <w:b/>
                            <w:bCs/>
                          </w:rPr>
                          <w:t>N</w:t>
                        </w:r>
                      </w:p>
                    </w:txbxContent>
                  </v:textbox>
                </v:shape>
              </w:pict>
            </w:r>
            <w:r>
              <w:rPr>
                <w:b/>
                <w:bCs/>
                <w:color w:val="auto"/>
                <w:highlight w:val="none"/>
              </w:rPr>
              <w:t>图6-1 无组织检测点位</w:t>
            </w:r>
            <w:r>
              <w:rPr>
                <w:rFonts w:hint="eastAsia"/>
                <w:b/>
                <w:bCs/>
                <w:color w:val="auto"/>
                <w:highlight w:val="none"/>
                <w:lang w:eastAsia="zh-CN"/>
              </w:rPr>
              <w:t>（风向：西南风）</w:t>
            </w:r>
          </w:p>
          <w:p>
            <w:pPr>
              <w:ind w:firstLine="482"/>
              <w:rPr>
                <w:b/>
                <w:bCs/>
                <w:color w:val="auto"/>
                <w:highlight w:val="none"/>
              </w:rPr>
            </w:pPr>
            <w:r>
              <w:rPr>
                <w:b/>
                <w:bCs/>
                <w:color w:val="auto"/>
                <w:highlight w:val="none"/>
              </w:rPr>
              <w:t>2、废水检测</w:t>
            </w:r>
          </w:p>
          <w:p>
            <w:pPr>
              <w:ind w:firstLine="480"/>
              <w:rPr>
                <w:rFonts w:hint="eastAsia"/>
                <w:color w:val="auto"/>
                <w:highlight w:val="none"/>
              </w:rPr>
            </w:pPr>
            <w:r>
              <w:rPr>
                <w:rFonts w:hint="eastAsia"/>
                <w:color w:val="auto"/>
                <w:highlight w:val="none"/>
              </w:rPr>
              <w:t>项目不新增员工，生产过程中无生产废水产生，项目不新增废水排放。</w:t>
            </w:r>
          </w:p>
          <w:p>
            <w:pPr>
              <w:ind w:firstLine="482"/>
              <w:rPr>
                <w:b/>
                <w:bCs/>
                <w:color w:val="auto"/>
                <w:highlight w:val="none"/>
              </w:rPr>
            </w:pPr>
            <w:r>
              <w:rPr>
                <w:b/>
                <w:bCs/>
                <w:color w:val="auto"/>
                <w:highlight w:val="none"/>
              </w:rPr>
              <w:t>3、噪声检测</w:t>
            </w:r>
          </w:p>
          <w:p>
            <w:pPr>
              <w:ind w:firstLine="480"/>
              <w:rPr>
                <w:color w:val="auto"/>
                <w:highlight w:val="none"/>
              </w:rPr>
            </w:pPr>
            <w:r>
              <w:rPr>
                <w:color w:val="auto"/>
                <w:highlight w:val="none"/>
              </w:rPr>
              <w:t>（1）噪声检测点位和频次</w:t>
            </w:r>
          </w:p>
          <w:p>
            <w:pPr>
              <w:ind w:firstLine="480"/>
              <w:rPr>
                <w:color w:val="auto"/>
                <w:highlight w:val="none"/>
              </w:rPr>
            </w:pPr>
            <w:r>
              <w:rPr>
                <w:color w:val="auto"/>
                <w:highlight w:val="none"/>
              </w:rPr>
              <w:t>本项目厂界四周</w:t>
            </w:r>
            <w:r>
              <w:rPr>
                <w:rFonts w:hint="eastAsia"/>
                <w:color w:val="auto"/>
                <w:highlight w:val="none"/>
                <w:lang w:eastAsia="zh-CN"/>
              </w:rPr>
              <w:t>设置</w:t>
            </w:r>
            <w:r>
              <w:rPr>
                <w:rFonts w:hint="eastAsia"/>
                <w:color w:val="auto"/>
                <w:highlight w:val="none"/>
                <w:lang w:val="en-US" w:eastAsia="zh-CN"/>
              </w:rPr>
              <w:t>4</w:t>
            </w:r>
            <w:r>
              <w:rPr>
                <w:color w:val="auto"/>
                <w:highlight w:val="none"/>
              </w:rPr>
              <w:t>个监测点位，</w:t>
            </w:r>
            <w:r>
              <w:rPr>
                <w:rFonts w:hint="eastAsia"/>
                <w:color w:val="auto"/>
                <w:highlight w:val="none"/>
                <w:lang w:eastAsia="zh-CN"/>
              </w:rPr>
              <w:t>敏感点设置</w:t>
            </w:r>
            <w:r>
              <w:rPr>
                <w:rFonts w:hint="eastAsia"/>
                <w:color w:val="auto"/>
                <w:highlight w:val="none"/>
                <w:lang w:val="en-US" w:eastAsia="zh-CN"/>
              </w:rPr>
              <w:t>3个</w:t>
            </w:r>
            <w:r>
              <w:rPr>
                <w:rFonts w:hint="eastAsia"/>
                <w:color w:val="auto"/>
                <w:highlight w:val="none"/>
              </w:rPr>
              <w:t>监测点位，</w:t>
            </w:r>
            <w:r>
              <w:rPr>
                <w:rFonts w:hint="eastAsia"/>
                <w:color w:val="auto"/>
                <w:highlight w:val="none"/>
                <w:lang w:eastAsia="zh-CN"/>
              </w:rPr>
              <w:t>分别为</w:t>
            </w:r>
            <w:r>
              <w:rPr>
                <w:rFonts w:hint="eastAsia"/>
                <w:color w:val="auto"/>
                <w:highlight w:val="none"/>
              </w:rPr>
              <w:t>项目南侧的济车东门住宅区</w:t>
            </w:r>
            <w:r>
              <w:rPr>
                <w:rFonts w:hint="eastAsia"/>
                <w:color w:val="auto"/>
                <w:highlight w:val="none"/>
                <w:lang w:eastAsia="zh-CN"/>
              </w:rPr>
              <w:t>（距厂区70m），东</w:t>
            </w:r>
            <w:r>
              <w:rPr>
                <w:rFonts w:hint="eastAsia"/>
                <w:color w:val="auto"/>
                <w:highlight w:val="none"/>
              </w:rPr>
              <w:t>侧的济南市昆仑小学</w:t>
            </w:r>
            <w:r>
              <w:rPr>
                <w:rFonts w:hint="eastAsia"/>
                <w:color w:val="auto"/>
                <w:highlight w:val="none"/>
                <w:lang w:eastAsia="zh-CN"/>
              </w:rPr>
              <w:t>（距厂区25m）</w:t>
            </w:r>
            <w:r>
              <w:rPr>
                <w:rFonts w:hint="eastAsia"/>
                <w:color w:val="auto"/>
                <w:highlight w:val="none"/>
              </w:rPr>
              <w:t>，</w:t>
            </w:r>
            <w:r>
              <w:rPr>
                <w:rFonts w:hint="eastAsia"/>
                <w:color w:val="auto"/>
                <w:highlight w:val="none"/>
                <w:lang w:eastAsia="zh-CN"/>
              </w:rPr>
              <w:t>东</w:t>
            </w:r>
            <w:r>
              <w:rPr>
                <w:rFonts w:hint="eastAsia"/>
                <w:color w:val="auto"/>
                <w:highlight w:val="none"/>
              </w:rPr>
              <w:t>侧的昆仑街小区</w:t>
            </w:r>
            <w:r>
              <w:rPr>
                <w:rFonts w:hint="eastAsia"/>
                <w:color w:val="auto"/>
                <w:highlight w:val="none"/>
                <w:lang w:eastAsia="zh-CN"/>
              </w:rPr>
              <w:t>（距厂区187m）</w:t>
            </w:r>
            <w:r>
              <w:rPr>
                <w:rFonts w:hint="eastAsia"/>
                <w:color w:val="auto"/>
                <w:highlight w:val="none"/>
              </w:rPr>
              <w:t>，共</w:t>
            </w:r>
            <w:r>
              <w:rPr>
                <w:rFonts w:hint="eastAsia"/>
                <w:color w:val="auto"/>
                <w:highlight w:val="none"/>
                <w:lang w:val="en-US" w:eastAsia="zh-CN"/>
              </w:rPr>
              <w:t>7</w:t>
            </w:r>
            <w:r>
              <w:rPr>
                <w:rFonts w:hint="eastAsia"/>
                <w:color w:val="auto"/>
                <w:highlight w:val="none"/>
              </w:rPr>
              <w:t>个</w:t>
            </w:r>
            <w:r>
              <w:rPr>
                <w:color w:val="auto"/>
                <w:highlight w:val="none"/>
              </w:rPr>
              <w:t>监测点位</w:t>
            </w:r>
            <w:r>
              <w:rPr>
                <w:rFonts w:hint="eastAsia"/>
                <w:color w:val="auto"/>
                <w:highlight w:val="none"/>
              </w:rPr>
              <w:t>。</w:t>
            </w:r>
            <w:r>
              <w:rPr>
                <w:color w:val="auto"/>
                <w:highlight w:val="none"/>
              </w:rPr>
              <w:t>每天昼间监测一次，监测两天。</w:t>
            </w:r>
          </w:p>
          <w:p>
            <w:pPr>
              <w:ind w:firstLine="480"/>
              <w:rPr>
                <w:color w:val="auto"/>
                <w:highlight w:val="none"/>
              </w:rPr>
            </w:pPr>
            <w:r>
              <w:rPr>
                <w:color w:val="auto"/>
                <w:highlight w:val="none"/>
              </w:rPr>
              <w:t>噪声检测点位见下图6-2所示。</w:t>
            </w:r>
          </w:p>
          <w:p>
            <w:pPr>
              <w:ind w:firstLine="480"/>
              <w:rPr>
                <w:color w:val="auto"/>
                <w:highlight w:val="none"/>
              </w:rPr>
            </w:pPr>
            <w:r>
              <w:rPr>
                <w:color w:val="auto"/>
                <w:highlight w:val="none"/>
              </w:rPr>
              <w:t>（2）检测分析方法</w:t>
            </w:r>
          </w:p>
          <w:p>
            <w:pPr>
              <w:ind w:firstLine="480"/>
              <w:rPr>
                <w:color w:val="auto"/>
                <w:highlight w:val="none"/>
              </w:rPr>
            </w:pPr>
            <w:r>
              <w:rPr>
                <w:color w:val="auto"/>
                <w:highlight w:val="none"/>
              </w:rPr>
              <w:t>本项目噪声检测分析方法见表6-</w:t>
            </w:r>
            <w:r>
              <w:rPr>
                <w:rFonts w:hint="eastAsia"/>
                <w:color w:val="auto"/>
                <w:highlight w:val="none"/>
                <w:lang w:val="en-US" w:eastAsia="zh-CN"/>
              </w:rPr>
              <w:t>5</w:t>
            </w:r>
            <w:r>
              <w:rPr>
                <w:color w:val="auto"/>
                <w:highlight w:val="none"/>
              </w:rPr>
              <w:t>。</w:t>
            </w:r>
          </w:p>
          <w:p>
            <w:pPr>
              <w:ind w:firstLine="482"/>
              <w:jc w:val="center"/>
              <w:rPr>
                <w:b/>
                <w:bCs/>
                <w:color w:val="auto"/>
                <w:highlight w:val="none"/>
              </w:rPr>
            </w:pPr>
            <w:r>
              <w:rPr>
                <w:b/>
                <w:bCs/>
                <w:color w:val="auto"/>
                <w:highlight w:val="none"/>
              </w:rPr>
              <w:t>表6-</w:t>
            </w:r>
            <w:r>
              <w:rPr>
                <w:rFonts w:hint="eastAsia"/>
                <w:b/>
                <w:bCs/>
                <w:color w:val="auto"/>
                <w:highlight w:val="none"/>
                <w:lang w:val="en-US" w:eastAsia="zh-CN"/>
              </w:rPr>
              <w:t>5</w:t>
            </w:r>
            <w:r>
              <w:rPr>
                <w:b/>
                <w:bCs/>
                <w:color w:val="auto"/>
                <w:highlight w:val="none"/>
              </w:rPr>
              <w:t xml:space="preserve">  噪声检测分析方法</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2072"/>
              <w:gridCol w:w="2242"/>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78"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项目名称</w:t>
                  </w:r>
                </w:p>
              </w:tc>
              <w:tc>
                <w:tcPr>
                  <w:tcW w:w="2072"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检测分析方法</w:t>
                  </w:r>
                </w:p>
              </w:tc>
              <w:tc>
                <w:tcPr>
                  <w:tcW w:w="2242"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方法来源</w:t>
                  </w:r>
                </w:p>
              </w:tc>
              <w:tc>
                <w:tcPr>
                  <w:tcW w:w="2222"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78" w:type="dxa"/>
                  <w:vAlign w:val="center"/>
                </w:tcPr>
                <w:p>
                  <w:pPr>
                    <w:spacing w:line="240" w:lineRule="auto"/>
                    <w:ind w:firstLine="0" w:firstLineChars="0"/>
                    <w:jc w:val="center"/>
                    <w:rPr>
                      <w:color w:val="auto"/>
                      <w:sz w:val="21"/>
                      <w:szCs w:val="21"/>
                      <w:highlight w:val="none"/>
                    </w:rPr>
                  </w:pPr>
                  <w:r>
                    <w:rPr>
                      <w:color w:val="auto"/>
                      <w:sz w:val="21"/>
                      <w:szCs w:val="21"/>
                      <w:highlight w:val="none"/>
                    </w:rPr>
                    <w:t>厂界噪声dB（A）</w:t>
                  </w:r>
                </w:p>
              </w:tc>
              <w:tc>
                <w:tcPr>
                  <w:tcW w:w="2072" w:type="dxa"/>
                  <w:vAlign w:val="center"/>
                </w:tcPr>
                <w:p>
                  <w:pPr>
                    <w:spacing w:line="240" w:lineRule="auto"/>
                    <w:ind w:firstLine="0" w:firstLineChars="0"/>
                    <w:jc w:val="center"/>
                    <w:rPr>
                      <w:color w:val="auto"/>
                      <w:sz w:val="21"/>
                      <w:szCs w:val="21"/>
                      <w:highlight w:val="none"/>
                    </w:rPr>
                  </w:pPr>
                  <w:r>
                    <w:rPr>
                      <w:color w:val="auto"/>
                      <w:sz w:val="21"/>
                      <w:szCs w:val="21"/>
                      <w:highlight w:val="none"/>
                    </w:rPr>
                    <w:t>声级计法</w:t>
                  </w:r>
                </w:p>
              </w:tc>
              <w:tc>
                <w:tcPr>
                  <w:tcW w:w="2242" w:type="dxa"/>
                  <w:vAlign w:val="center"/>
                </w:tcPr>
                <w:p>
                  <w:pPr>
                    <w:spacing w:line="240" w:lineRule="auto"/>
                    <w:ind w:firstLine="0" w:firstLineChars="0"/>
                    <w:jc w:val="center"/>
                    <w:rPr>
                      <w:color w:val="auto"/>
                      <w:sz w:val="21"/>
                      <w:szCs w:val="21"/>
                      <w:highlight w:val="none"/>
                    </w:rPr>
                  </w:pPr>
                  <w:r>
                    <w:rPr>
                      <w:color w:val="auto"/>
                      <w:sz w:val="21"/>
                      <w:szCs w:val="21"/>
                      <w:highlight w:val="none"/>
                    </w:rPr>
                    <w:t>GB12348-2008</w:t>
                  </w:r>
                </w:p>
              </w:tc>
              <w:tc>
                <w:tcPr>
                  <w:tcW w:w="2222" w:type="dxa"/>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78" w:type="dxa"/>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敏感点噪声</w:t>
                  </w:r>
                  <w:r>
                    <w:rPr>
                      <w:color w:val="auto"/>
                      <w:sz w:val="21"/>
                      <w:szCs w:val="21"/>
                      <w:highlight w:val="none"/>
                    </w:rPr>
                    <w:t>dB（A）</w:t>
                  </w:r>
                </w:p>
              </w:tc>
              <w:tc>
                <w:tcPr>
                  <w:tcW w:w="2072" w:type="dxa"/>
                  <w:vAlign w:val="center"/>
                </w:tcPr>
                <w:p>
                  <w:pPr>
                    <w:spacing w:line="240" w:lineRule="auto"/>
                    <w:ind w:firstLine="0" w:firstLineChars="0"/>
                    <w:jc w:val="center"/>
                    <w:rPr>
                      <w:color w:val="auto"/>
                      <w:sz w:val="21"/>
                      <w:szCs w:val="21"/>
                      <w:highlight w:val="none"/>
                    </w:rPr>
                  </w:pPr>
                  <w:r>
                    <w:rPr>
                      <w:color w:val="auto"/>
                      <w:sz w:val="21"/>
                      <w:szCs w:val="21"/>
                      <w:highlight w:val="none"/>
                    </w:rPr>
                    <w:t>声级计法</w:t>
                  </w:r>
                </w:p>
              </w:tc>
              <w:tc>
                <w:tcPr>
                  <w:tcW w:w="2242" w:type="dxa"/>
                  <w:vAlign w:val="center"/>
                </w:tcPr>
                <w:p>
                  <w:pPr>
                    <w:spacing w:line="240" w:lineRule="auto"/>
                    <w:ind w:firstLine="0" w:firstLineChars="0"/>
                    <w:jc w:val="center"/>
                    <w:rPr>
                      <w:color w:val="auto"/>
                      <w:sz w:val="21"/>
                      <w:szCs w:val="21"/>
                      <w:highlight w:val="none"/>
                    </w:rPr>
                  </w:pPr>
                  <w:r>
                    <w:rPr>
                      <w:color w:val="auto"/>
                      <w:sz w:val="21"/>
                      <w:szCs w:val="21"/>
                      <w:highlight w:val="none"/>
                    </w:rPr>
                    <w:t>GB3096-2008</w:t>
                  </w:r>
                </w:p>
              </w:tc>
              <w:tc>
                <w:tcPr>
                  <w:tcW w:w="2222" w:type="dxa"/>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r>
          </w:tbl>
          <w:p>
            <w:pPr>
              <w:pStyle w:val="27"/>
              <w:ind w:firstLine="0" w:firstLineChars="0"/>
              <w:rPr>
                <w:color w:val="auto"/>
                <w:highlight w:val="none"/>
              </w:rPr>
            </w:pPr>
            <w:r>
              <w:pict>
                <v:shape id="_x0000_i1030" o:spt="75" type="#_x0000_t75" style="height:350.25pt;width:443.25pt;" filled="f" stroked="f" coordsize="21600,21600">
                  <v:path/>
                  <v:fill on="f" focussize="0,0"/>
                  <v:stroke on="f"/>
                  <v:imagedata r:id="rId15" o:title=""/>
                  <o:lock v:ext="edit" aspectratio="t"/>
                  <w10:wrap type="none"/>
                  <w10:anchorlock/>
                </v:shape>
              </w:pict>
            </w:r>
          </w:p>
          <w:p>
            <w:pPr>
              <w:ind w:firstLine="482"/>
              <w:jc w:val="center"/>
              <w:rPr>
                <w:b/>
                <w:bCs/>
                <w:color w:val="auto"/>
                <w:highlight w:val="none"/>
              </w:rPr>
            </w:pPr>
            <w:r>
              <w:rPr>
                <w:b/>
                <w:bCs/>
                <w:color w:val="auto"/>
                <w:highlight w:val="none"/>
              </w:rPr>
              <w:t>图6-2  噪声检测点位</w:t>
            </w:r>
          </w:p>
          <w:p>
            <w:pPr>
              <w:pStyle w:val="21"/>
              <w:rPr>
                <w:rFonts w:ascii="Times New Roman" w:hAnsi="Times New Roman"/>
                <w:color w:val="auto"/>
                <w:highlight w:val="none"/>
              </w:rPr>
            </w:pPr>
          </w:p>
          <w:p>
            <w:pPr>
              <w:pStyle w:val="21"/>
              <w:rPr>
                <w:rFonts w:ascii="Times New Roman" w:hAnsi="Times New Roman"/>
                <w:color w:val="auto"/>
                <w:highlight w:val="none"/>
              </w:rPr>
            </w:pPr>
          </w:p>
        </w:tc>
      </w:tr>
    </w:tbl>
    <w:p>
      <w:pPr>
        <w:snapToGrid w:val="0"/>
        <w:spacing w:line="240" w:lineRule="auto"/>
        <w:ind w:firstLine="0" w:firstLineChars="0"/>
        <w:outlineLvl w:val="0"/>
        <w:rPr>
          <w:b/>
          <w:bCs/>
          <w:color w:val="auto"/>
          <w:sz w:val="30"/>
          <w:szCs w:val="30"/>
          <w:highlight w:val="none"/>
        </w:rPr>
      </w:pPr>
      <w:r>
        <w:rPr>
          <w:b/>
          <w:bCs/>
          <w:color w:val="auto"/>
          <w:sz w:val="32"/>
          <w:szCs w:val="32"/>
          <w:highlight w:val="none"/>
        </w:rPr>
        <w:br w:type="page"/>
      </w:r>
      <w:bookmarkStart w:id="226" w:name="_Toc19020"/>
      <w:bookmarkStart w:id="227" w:name="_Toc18700"/>
      <w:bookmarkStart w:id="228" w:name="_Toc31921"/>
      <w:bookmarkStart w:id="229" w:name="_Toc15276"/>
      <w:bookmarkStart w:id="230" w:name="_Toc11328"/>
      <w:bookmarkStart w:id="231" w:name="_Toc4800"/>
      <w:bookmarkStart w:id="232" w:name="_Toc26106"/>
      <w:bookmarkStart w:id="233" w:name="_Toc31607"/>
      <w:bookmarkStart w:id="234" w:name="_Toc14536"/>
      <w:bookmarkStart w:id="235" w:name="_Toc28437"/>
      <w:bookmarkStart w:id="236" w:name="_Toc23240"/>
      <w:bookmarkStart w:id="237" w:name="_Toc22505"/>
      <w:bookmarkStart w:id="238" w:name="_Toc3734"/>
      <w:bookmarkStart w:id="239" w:name="_Toc7291"/>
      <w:bookmarkStart w:id="240" w:name="_Toc12263"/>
      <w:bookmarkStart w:id="241" w:name="_Toc28843"/>
      <w:bookmarkStart w:id="242" w:name="_Toc3345"/>
      <w:bookmarkStart w:id="243" w:name="_Toc12503"/>
      <w:bookmarkStart w:id="244" w:name="_Toc25702"/>
      <w:bookmarkStart w:id="245" w:name="_Toc8531"/>
      <w:bookmarkStart w:id="246" w:name="_Toc13251"/>
      <w:bookmarkStart w:id="247" w:name="_Toc1575"/>
      <w:bookmarkStart w:id="248" w:name="_Toc15052"/>
      <w:bookmarkStart w:id="249" w:name="_Toc22248"/>
      <w:bookmarkStart w:id="250" w:name="_Toc10302"/>
      <w:bookmarkStart w:id="251" w:name="_Toc5662"/>
      <w:bookmarkStart w:id="252" w:name="_Toc19481"/>
      <w:bookmarkStart w:id="253" w:name="_Toc1906"/>
      <w:bookmarkStart w:id="254" w:name="_Toc5609"/>
      <w:bookmarkStart w:id="255" w:name="_Toc24634"/>
      <w:bookmarkStart w:id="256" w:name="_Toc11106"/>
      <w:bookmarkStart w:id="257" w:name="_Toc21259"/>
      <w:bookmarkStart w:id="258" w:name="_Toc13478"/>
      <w:bookmarkStart w:id="259" w:name="_Toc1251"/>
      <w:bookmarkStart w:id="260" w:name="_Toc26466"/>
      <w:bookmarkStart w:id="261" w:name="_Toc29175"/>
      <w:bookmarkStart w:id="262" w:name="_Toc11054"/>
      <w:bookmarkStart w:id="263" w:name="_Toc13182"/>
      <w:bookmarkStart w:id="264" w:name="_Toc27956"/>
      <w:bookmarkStart w:id="265" w:name="_Toc32675"/>
      <w:bookmarkStart w:id="266" w:name="_Toc15751"/>
      <w:bookmarkStart w:id="267" w:name="_Toc30238"/>
      <w:bookmarkStart w:id="268" w:name="_Toc9124"/>
      <w:r>
        <w:rPr>
          <w:b/>
          <w:bCs/>
          <w:color w:val="auto"/>
          <w:sz w:val="30"/>
          <w:szCs w:val="30"/>
          <w:highlight w:val="none"/>
        </w:rPr>
        <w:t>表</w:t>
      </w:r>
      <w:r>
        <w:rPr>
          <w:rFonts w:hint="eastAsia"/>
          <w:b/>
          <w:bCs/>
          <w:color w:val="auto"/>
          <w:sz w:val="30"/>
          <w:szCs w:val="30"/>
          <w:highlight w:val="none"/>
          <w:lang w:val="en-US" w:eastAsia="zh-CN"/>
        </w:rPr>
        <w:t>6</w:t>
      </w:r>
      <w:r>
        <w:rPr>
          <w:b/>
          <w:bCs/>
          <w:color w:val="auto"/>
          <w:sz w:val="30"/>
          <w:szCs w:val="30"/>
          <w:highlight w:val="none"/>
        </w:rPr>
        <w:t xml:space="preserve">  验收监测质量保证及质量控制</w:t>
      </w:r>
      <w:bookmarkEnd w:id="226"/>
      <w:bookmarkEnd w:id="227"/>
      <w:bookmarkEnd w:id="228"/>
      <w:bookmarkEnd w:id="229"/>
      <w:bookmarkEnd w:id="230"/>
      <w:bookmarkEnd w:id="231"/>
      <w:bookmarkEnd w:id="232"/>
      <w:bookmarkEnd w:id="233"/>
      <w:bookmarkEnd w:id="234"/>
    </w:p>
    <w:tbl>
      <w:tblPr>
        <w:tblStyle w:val="28"/>
        <w:tblpPr w:leftFromText="180" w:rightFromText="180" w:vertAnchor="text" w:horzAnchor="margin" w:tblpXSpec="center" w:tblpY="1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widowControl/>
              <w:ind w:firstLine="480"/>
              <w:jc w:val="left"/>
              <w:rPr>
                <w:color w:val="auto"/>
                <w:highlight w:val="none"/>
              </w:rPr>
            </w:pPr>
            <w:r>
              <w:rPr>
                <w:color w:val="auto"/>
                <w:highlight w:val="none"/>
              </w:rPr>
              <w:t>为保证验收监测数据的合理性、可靠性、准确性，对监测的全过程（布点、采样、样品贮存、实验室分析和数据处理等）进行了质量控制，具体要求如下：</w:t>
            </w:r>
          </w:p>
          <w:p>
            <w:pPr>
              <w:widowControl/>
              <w:numPr>
                <w:ilvl w:val="0"/>
                <w:numId w:val="4"/>
              </w:numPr>
              <w:ind w:firstLine="480"/>
              <w:jc w:val="left"/>
              <w:rPr>
                <w:color w:val="auto"/>
                <w:highlight w:val="none"/>
              </w:rPr>
            </w:pPr>
            <w:r>
              <w:rPr>
                <w:color w:val="auto"/>
                <w:highlight w:val="none"/>
              </w:rPr>
              <w:t>所有参加监测采样和分析人员必须持证上岗。</w:t>
            </w:r>
          </w:p>
          <w:p>
            <w:pPr>
              <w:widowControl/>
              <w:numPr>
                <w:ilvl w:val="0"/>
                <w:numId w:val="4"/>
              </w:numPr>
              <w:ind w:firstLine="480"/>
              <w:jc w:val="left"/>
              <w:rPr>
                <w:color w:val="auto"/>
                <w:highlight w:val="none"/>
              </w:rPr>
            </w:pPr>
            <w:r>
              <w:rPr>
                <w:color w:val="auto"/>
                <w:highlight w:val="none"/>
              </w:rPr>
              <w:t>由厂方提供验收监测期间的工况条件，验收监测工况负荷达到额定负荷。</w:t>
            </w:r>
          </w:p>
          <w:p>
            <w:pPr>
              <w:widowControl/>
              <w:numPr>
                <w:ilvl w:val="0"/>
                <w:numId w:val="4"/>
              </w:numPr>
              <w:ind w:firstLine="480"/>
              <w:jc w:val="left"/>
              <w:rPr>
                <w:color w:val="auto"/>
                <w:highlight w:val="none"/>
              </w:rPr>
            </w:pPr>
            <w:r>
              <w:rPr>
                <w:color w:val="auto"/>
                <w:highlight w:val="none"/>
              </w:rPr>
              <w:t>严格按照验收监测方案的要求开展监测工作。</w:t>
            </w:r>
          </w:p>
          <w:p>
            <w:pPr>
              <w:widowControl/>
              <w:numPr>
                <w:ilvl w:val="0"/>
                <w:numId w:val="4"/>
              </w:numPr>
              <w:ind w:firstLine="480"/>
              <w:jc w:val="left"/>
              <w:rPr>
                <w:color w:val="auto"/>
                <w:highlight w:val="none"/>
              </w:rPr>
            </w:pPr>
            <w:r>
              <w:rPr>
                <w:color w:val="auto"/>
                <w:highlight w:val="none"/>
              </w:rPr>
              <w:t>合理规范设施监测点位、确定监测因子与频次，保证验收监测数据的准确性和代表性。</w:t>
            </w:r>
          </w:p>
          <w:p>
            <w:pPr>
              <w:widowControl/>
              <w:numPr>
                <w:ilvl w:val="0"/>
                <w:numId w:val="4"/>
              </w:numPr>
              <w:ind w:firstLine="480"/>
              <w:jc w:val="left"/>
              <w:rPr>
                <w:color w:val="auto"/>
                <w:highlight w:val="none"/>
              </w:rPr>
            </w:pPr>
            <w:r>
              <w:rPr>
                <w:color w:val="auto"/>
                <w:highlight w:val="none"/>
              </w:rPr>
              <w:t>采样人员严格遵照采样技术规范进行采样工作，认真填写采样记录，按规定保存、运输样品。</w:t>
            </w:r>
          </w:p>
          <w:p>
            <w:pPr>
              <w:widowControl/>
              <w:numPr>
                <w:ilvl w:val="0"/>
                <w:numId w:val="4"/>
              </w:numPr>
              <w:ind w:firstLine="480"/>
              <w:jc w:val="left"/>
              <w:rPr>
                <w:color w:val="auto"/>
                <w:highlight w:val="none"/>
              </w:rPr>
            </w:pPr>
            <w:r>
              <w:rPr>
                <w:color w:val="auto"/>
                <w:highlight w:val="none"/>
              </w:rPr>
              <w:t>监测分析采用国家有关部门颁布的标准分析方法或推荐方法；监测人员经过考核合格并持有上岗证；所用监测仪器、量具均经计量部门检定合格并在有效期内使用。</w:t>
            </w:r>
          </w:p>
          <w:p>
            <w:pPr>
              <w:widowControl/>
              <w:numPr>
                <w:ilvl w:val="0"/>
                <w:numId w:val="4"/>
              </w:numPr>
              <w:ind w:firstLine="480"/>
              <w:jc w:val="left"/>
              <w:rPr>
                <w:color w:val="auto"/>
                <w:highlight w:val="none"/>
              </w:rPr>
            </w:pPr>
            <w:r>
              <w:rPr>
                <w:color w:val="auto"/>
                <w:highlight w:val="none"/>
              </w:rPr>
              <w:t>气样测定前校准仪器，在测试时保证其采样流量。</w:t>
            </w:r>
          </w:p>
          <w:p>
            <w:pPr>
              <w:widowControl/>
              <w:numPr>
                <w:ilvl w:val="0"/>
                <w:numId w:val="4"/>
              </w:numPr>
              <w:ind w:firstLine="480"/>
              <w:jc w:val="left"/>
              <w:rPr>
                <w:color w:val="auto"/>
                <w:highlight w:val="none"/>
              </w:rPr>
            </w:pPr>
            <w:r>
              <w:rPr>
                <w:color w:val="auto"/>
                <w:highlight w:val="none"/>
              </w:rPr>
              <w:t>采样分析及分析结果按国家标准和监测技术规范的相关要求进行数据处理和填报。</w:t>
            </w:r>
          </w:p>
          <w:p>
            <w:pPr>
              <w:widowControl/>
              <w:numPr>
                <w:ilvl w:val="0"/>
                <w:numId w:val="4"/>
              </w:numPr>
              <w:ind w:firstLine="480"/>
              <w:jc w:val="left"/>
              <w:rPr>
                <w:color w:val="auto"/>
                <w:highlight w:val="none"/>
              </w:rPr>
            </w:pPr>
            <w:r>
              <w:rPr>
                <w:color w:val="auto"/>
                <w:highlight w:val="none"/>
              </w:rPr>
              <w:t>监测数据和报告严格执行三级审核制度。</w:t>
            </w:r>
          </w:p>
          <w:p>
            <w:pPr>
              <w:ind w:firstLine="482"/>
              <w:rPr>
                <w:b/>
                <w:bCs/>
                <w:color w:val="auto"/>
                <w:highlight w:val="none"/>
              </w:rPr>
            </w:pPr>
            <w:r>
              <w:rPr>
                <w:rFonts w:hint="eastAsia"/>
                <w:b/>
                <w:bCs/>
                <w:color w:val="auto"/>
                <w:highlight w:val="none"/>
              </w:rPr>
              <w:t>1、气体监测分析过程中的质量保证和质量控制</w:t>
            </w:r>
          </w:p>
          <w:p>
            <w:pPr>
              <w:spacing w:line="360" w:lineRule="auto"/>
              <w:ind w:firstLine="480"/>
              <w:rPr>
                <w:color w:val="auto"/>
                <w:highlight w:val="none"/>
              </w:rPr>
            </w:pPr>
            <w:r>
              <w:rPr>
                <w:color w:val="auto"/>
                <w:highlight w:val="none"/>
              </w:rPr>
              <w:t>监测质量保证和质量控制按照《固定污染源监测质量保证与质量控制技术规范（试行）》（HJ/T373-2007）、《大气污染物无组织排放监测技术导则》（HJ/T 55-2000）的相关要求进行。</w:t>
            </w:r>
          </w:p>
          <w:p>
            <w:pPr>
              <w:spacing w:line="360" w:lineRule="auto"/>
              <w:ind w:firstLine="480"/>
              <w:rPr>
                <w:color w:val="auto"/>
                <w:highlight w:val="none"/>
              </w:rPr>
            </w:pPr>
            <w:r>
              <w:rPr>
                <w:color w:val="auto"/>
                <w:highlight w:val="none"/>
              </w:rPr>
              <w:t>（1）废气采样前，采样员检查并确认了废气采样管、连接管、滤料、样品吸收瓶的材质，确认满足被测废气的特性要求，确保废气监测因子不吸附、不溶出和不与待测污染物发生化学反应。同时，采样管的耐压和耐温性能符合污染源监测的实际需要。</w:t>
            </w:r>
          </w:p>
          <w:p>
            <w:pPr>
              <w:spacing w:line="360" w:lineRule="auto"/>
              <w:ind w:firstLine="480"/>
              <w:rPr>
                <w:color w:val="auto"/>
                <w:highlight w:val="none"/>
              </w:rPr>
            </w:pPr>
            <w:r>
              <w:rPr>
                <w:color w:val="auto"/>
                <w:highlight w:val="none"/>
              </w:rPr>
              <w:t>（2）采样员在采样前认真检查并确认了废气采样管、滤料、吸收瓶的清洁度，确保采样设备及容器符合采样要求。</w:t>
            </w:r>
          </w:p>
          <w:p>
            <w:pPr>
              <w:spacing w:line="360" w:lineRule="auto"/>
              <w:ind w:firstLine="480"/>
              <w:rPr>
                <w:color w:val="auto"/>
                <w:highlight w:val="none"/>
              </w:rPr>
            </w:pPr>
            <w:r>
              <w:rPr>
                <w:color w:val="auto"/>
                <w:highlight w:val="none"/>
              </w:rPr>
              <w:t>（3）现场监测设备在投入使用前，采样员对仪器设备都进行了检查和校准，并保持检查和校准记录。</w:t>
            </w:r>
          </w:p>
          <w:p>
            <w:pPr>
              <w:spacing w:line="360" w:lineRule="auto"/>
              <w:ind w:firstLine="480"/>
              <w:rPr>
                <w:color w:val="auto"/>
                <w:highlight w:val="none"/>
              </w:rPr>
            </w:pPr>
            <w:r>
              <w:rPr>
                <w:color w:val="auto"/>
                <w:highlight w:val="none"/>
              </w:rPr>
              <w:t>（4）废气采样系统连接好后对其进行了气密性检查，确保整体系统不漏气。</w:t>
            </w:r>
          </w:p>
          <w:p>
            <w:pPr>
              <w:autoSpaceDE w:val="0"/>
              <w:autoSpaceDN w:val="0"/>
              <w:spacing w:line="360" w:lineRule="auto"/>
              <w:ind w:firstLine="480"/>
              <w:rPr>
                <w:color w:val="auto"/>
                <w:highlight w:val="none"/>
              </w:rPr>
            </w:pPr>
            <w:r>
              <w:rPr>
                <w:color w:val="auto"/>
                <w:highlight w:val="none"/>
              </w:rPr>
              <w:t>（5）监测数据和技术报告执行了三级审核制度。</w:t>
            </w:r>
          </w:p>
          <w:p>
            <w:pPr>
              <w:ind w:firstLine="482"/>
              <w:rPr>
                <w:b/>
                <w:color w:val="auto"/>
                <w:highlight w:val="none"/>
              </w:rPr>
            </w:pPr>
            <w:r>
              <w:rPr>
                <w:rFonts w:hint="eastAsia"/>
                <w:b/>
                <w:color w:val="auto"/>
                <w:highlight w:val="none"/>
                <w:lang w:val="en-US" w:eastAsia="zh-CN"/>
              </w:rPr>
              <w:t>2</w:t>
            </w:r>
            <w:r>
              <w:rPr>
                <w:rFonts w:hint="eastAsia"/>
                <w:b/>
                <w:color w:val="auto"/>
                <w:highlight w:val="none"/>
              </w:rPr>
              <w:t>、</w:t>
            </w:r>
            <w:r>
              <w:rPr>
                <w:b/>
                <w:color w:val="auto"/>
                <w:highlight w:val="none"/>
              </w:rPr>
              <w:t>噪声监测分析过程中的质量保证和质量控制</w:t>
            </w:r>
          </w:p>
          <w:p>
            <w:pPr>
              <w:autoSpaceDE w:val="0"/>
              <w:autoSpaceDN w:val="0"/>
              <w:spacing w:line="360" w:lineRule="auto"/>
              <w:ind w:firstLine="480"/>
              <w:rPr>
                <w:color w:val="auto"/>
                <w:highlight w:val="none"/>
              </w:rPr>
            </w:pPr>
            <w:r>
              <w:rPr>
                <w:color w:val="auto"/>
                <w:highlight w:val="none"/>
              </w:rPr>
              <w:t>噪声测量质量保证与质量控制按《环境噪声监测技术规范噪声测量值修正》</w:t>
            </w:r>
            <w:r>
              <w:rPr>
                <w:rFonts w:hint="eastAsia"/>
                <w:color w:val="auto"/>
                <w:highlight w:val="none"/>
              </w:rPr>
              <w:t>（HJ 706-2014）</w:t>
            </w:r>
            <w:r>
              <w:rPr>
                <w:color w:val="auto"/>
                <w:highlight w:val="none"/>
              </w:rPr>
              <w:t>和《工业企业厂界环境噪声排放标准》（GB12348-2008）中的有关规定进行。监测时使用经计量部门检定、并在有效试用期内的声级计；声级计在测时前后用标准发生源进行校准。</w:t>
            </w:r>
          </w:p>
          <w:p>
            <w:pPr>
              <w:autoSpaceDE w:val="0"/>
              <w:autoSpaceDN w:val="0"/>
              <w:spacing w:line="360" w:lineRule="auto"/>
              <w:ind w:firstLine="480"/>
              <w:rPr>
                <w:color w:val="auto"/>
                <w:highlight w:val="none"/>
              </w:rPr>
            </w:pPr>
            <w:r>
              <w:rPr>
                <w:color w:val="auto"/>
                <w:highlight w:val="none"/>
              </w:rPr>
              <w:t>（1）合理规范地设置监测点位、监测因子与频率，保证监测数据具备科学性和代表性。</w:t>
            </w:r>
          </w:p>
          <w:p>
            <w:pPr>
              <w:autoSpaceDE w:val="0"/>
              <w:autoSpaceDN w:val="0"/>
              <w:spacing w:line="360" w:lineRule="auto"/>
              <w:ind w:firstLine="480"/>
              <w:rPr>
                <w:color w:val="auto"/>
                <w:highlight w:val="none"/>
              </w:rPr>
            </w:pPr>
            <w:r>
              <w:rPr>
                <w:color w:val="auto"/>
                <w:highlight w:val="none"/>
              </w:rPr>
              <w:t>（2）优先采用国标监测分析方法，监测采样与测试分析人员均经国家考核合格并持证上岗，监测仪器经计量部门检定并在有效使用期内。</w:t>
            </w:r>
          </w:p>
          <w:p>
            <w:pPr>
              <w:autoSpaceDE w:val="0"/>
              <w:autoSpaceDN w:val="0"/>
              <w:spacing w:line="360" w:lineRule="auto"/>
              <w:ind w:firstLine="480"/>
              <w:rPr>
                <w:color w:val="auto"/>
                <w:highlight w:val="none"/>
              </w:rPr>
            </w:pPr>
            <w:r>
              <w:rPr>
                <w:color w:val="auto"/>
                <w:highlight w:val="none"/>
              </w:rPr>
              <w:t>（3）测量时传声器加设防风罩。</w:t>
            </w:r>
          </w:p>
          <w:p>
            <w:pPr>
              <w:autoSpaceDE w:val="0"/>
              <w:autoSpaceDN w:val="0"/>
              <w:spacing w:line="360" w:lineRule="auto"/>
              <w:ind w:firstLine="480"/>
              <w:rPr>
                <w:color w:val="auto"/>
                <w:highlight w:val="none"/>
              </w:rPr>
            </w:pPr>
            <w:r>
              <w:rPr>
                <w:color w:val="auto"/>
                <w:highlight w:val="none"/>
              </w:rPr>
              <w:t>（4）测量在无风雪、无雷电天气，风速</w:t>
            </w:r>
            <w:r>
              <w:rPr>
                <w:rFonts w:hint="eastAsia"/>
                <w:color w:val="auto"/>
                <w:highlight w:val="none"/>
              </w:rPr>
              <w:t>均</w:t>
            </w:r>
            <w:r>
              <w:rPr>
                <w:color w:val="auto"/>
                <w:highlight w:val="none"/>
              </w:rPr>
              <w:t>小于5m/s，满足要求。</w:t>
            </w:r>
          </w:p>
          <w:p>
            <w:pPr>
              <w:autoSpaceDE w:val="0"/>
              <w:autoSpaceDN w:val="0"/>
              <w:spacing w:line="360" w:lineRule="auto"/>
              <w:ind w:firstLine="480"/>
              <w:rPr>
                <w:color w:val="auto"/>
                <w:highlight w:val="none"/>
              </w:rPr>
            </w:pPr>
            <w:r>
              <w:rPr>
                <w:color w:val="auto"/>
                <w:highlight w:val="none"/>
              </w:rPr>
              <w:t xml:space="preserve">（5）监测数据和技术报告执行三级审核制度。 </w:t>
            </w:r>
          </w:p>
          <w:p>
            <w:pPr>
              <w:autoSpaceDE w:val="0"/>
              <w:autoSpaceDN w:val="0"/>
              <w:spacing w:line="360" w:lineRule="auto"/>
              <w:ind w:firstLine="480"/>
              <w:rPr>
                <w:color w:val="auto"/>
                <w:highlight w:val="none"/>
              </w:rPr>
            </w:pPr>
            <w:r>
              <w:rPr>
                <w:color w:val="auto"/>
                <w:highlight w:val="none"/>
              </w:rPr>
              <w:t>（6）声级计在测试前后用标准声源进行校准，测量前后仪器的灵敏度相差不大于0.5dB。</w:t>
            </w:r>
          </w:p>
          <w:p>
            <w:pPr>
              <w:autoSpaceDE w:val="0"/>
              <w:autoSpaceDN w:val="0"/>
              <w:spacing w:line="360" w:lineRule="auto"/>
              <w:ind w:firstLine="480"/>
              <w:rPr>
                <w:b/>
                <w:color w:val="auto"/>
                <w:highlight w:val="none"/>
              </w:rPr>
            </w:pPr>
            <w:r>
              <w:rPr>
                <w:color w:val="auto"/>
                <w:szCs w:val="20"/>
                <w:highlight w:val="none"/>
              </w:rPr>
              <w:t>噪声监测分析质量控制表见</w:t>
            </w:r>
            <w:r>
              <w:rPr>
                <w:rFonts w:hint="eastAsia"/>
                <w:color w:val="auto"/>
                <w:szCs w:val="20"/>
                <w:highlight w:val="none"/>
              </w:rPr>
              <w:t>下</w:t>
            </w:r>
            <w:r>
              <w:rPr>
                <w:color w:val="auto"/>
                <w:szCs w:val="20"/>
                <w:highlight w:val="none"/>
              </w:rPr>
              <w:t>表</w:t>
            </w:r>
            <w:r>
              <w:rPr>
                <w:rFonts w:hint="eastAsia"/>
                <w:color w:val="auto"/>
                <w:szCs w:val="20"/>
                <w:highlight w:val="none"/>
              </w:rPr>
              <w:t>。</w:t>
            </w:r>
          </w:p>
          <w:p>
            <w:pPr>
              <w:pStyle w:val="67"/>
              <w:spacing w:before="0" w:beforeAutospacing="0" w:after="0" w:afterAutospacing="0" w:line="360" w:lineRule="auto"/>
              <w:ind w:firstLine="482"/>
              <w:jc w:val="center"/>
              <w:rPr>
                <w:rFonts w:ascii="Times New Roman" w:hAnsi="Times New Roman" w:cs="Times New Roman"/>
                <w:b/>
                <w:bCs/>
                <w:color w:val="auto"/>
                <w:highlight w:val="none"/>
              </w:rPr>
            </w:pPr>
            <w:r>
              <w:rPr>
                <w:rFonts w:ascii="Times New Roman" w:hAnsi="Times New Roman" w:cs="Times New Roman"/>
                <w:b/>
                <w:bCs/>
                <w:color w:val="auto"/>
                <w:highlight w:val="none"/>
              </w:rPr>
              <w:t>表</w:t>
            </w:r>
            <w:r>
              <w:rPr>
                <w:rFonts w:hint="eastAsia" w:ascii="Times New Roman" w:hAnsi="Times New Roman" w:cs="Times New Roman"/>
                <w:b/>
                <w:bCs/>
                <w:color w:val="auto"/>
                <w:highlight w:val="none"/>
              </w:rPr>
              <w:t>5-</w:t>
            </w:r>
            <w:r>
              <w:rPr>
                <w:rFonts w:hint="eastAsia" w:ascii="Times New Roman" w:hAnsi="Times New Roman" w:cs="Times New Roman"/>
                <w:b/>
                <w:bCs/>
                <w:color w:val="auto"/>
                <w:highlight w:val="none"/>
                <w:lang w:val="en-US" w:eastAsia="zh-CN"/>
              </w:rPr>
              <w:t>1</w:t>
            </w:r>
            <w:r>
              <w:rPr>
                <w:rFonts w:ascii="Times New Roman" w:hAnsi="Times New Roman" w:cs="Times New Roman"/>
                <w:b/>
                <w:bCs/>
                <w:color w:val="auto"/>
                <w:highlight w:val="none"/>
              </w:rPr>
              <w:t xml:space="preserve">  噪声质量控制表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9"/>
              <w:gridCol w:w="1272"/>
              <w:gridCol w:w="1465"/>
              <w:gridCol w:w="1204"/>
              <w:gridCol w:w="1507"/>
              <w:gridCol w:w="1484"/>
              <w:gridCol w:w="10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blHeader/>
                <w:jc w:val="center"/>
              </w:trPr>
              <w:tc>
                <w:tcPr>
                  <w:tcW w:w="544"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监测项目</w:t>
                  </w:r>
                </w:p>
              </w:tc>
              <w:tc>
                <w:tcPr>
                  <w:tcW w:w="714"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标准值</w:t>
                  </w:r>
                </w:p>
              </w:tc>
              <w:tc>
                <w:tcPr>
                  <w:tcW w:w="1498" w:type="pct"/>
                  <w:gridSpan w:val="2"/>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校验日期</w:t>
                  </w:r>
                </w:p>
              </w:tc>
              <w:tc>
                <w:tcPr>
                  <w:tcW w:w="846"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仪器显示dB(A）</w:t>
                  </w:r>
                </w:p>
              </w:tc>
              <w:tc>
                <w:tcPr>
                  <w:tcW w:w="833"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示值偏差dB(A）</w:t>
                  </w:r>
                </w:p>
              </w:tc>
              <w:tc>
                <w:tcPr>
                  <w:tcW w:w="562"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color w:val="auto"/>
                      <w:sz w:val="21"/>
                      <w:szCs w:val="21"/>
                      <w:highlight w:val="none"/>
                    </w:rPr>
                  </w:pPr>
                  <w:r>
                    <w:rPr>
                      <w:rFonts w:cs="Times New Roman"/>
                      <w:b/>
                      <w:bCs/>
                      <w:color w:val="auto"/>
                      <w:sz w:val="21"/>
                      <w:szCs w:val="21"/>
                      <w:highlight w:val="none"/>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4" w:type="pct"/>
                  <w:vMerge w:val="restar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噪声</w:t>
                  </w:r>
                </w:p>
              </w:tc>
              <w:tc>
                <w:tcPr>
                  <w:tcW w:w="714" w:type="pct"/>
                  <w:vMerge w:val="restar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94.0</w:t>
                  </w:r>
                </w:p>
                <w:p>
                  <w:pPr>
                    <w:pStyle w:val="2"/>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（标准声源）</w:t>
                  </w:r>
                </w:p>
              </w:tc>
              <w:tc>
                <w:tcPr>
                  <w:tcW w:w="822" w:type="pct"/>
                  <w:vMerge w:val="restar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hint="default"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2023.9.5</w:t>
                  </w:r>
                </w:p>
              </w:tc>
              <w:tc>
                <w:tcPr>
                  <w:tcW w:w="676"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hint="eastAsia" w:cs="Times New Roman"/>
                      <w:color w:val="auto"/>
                      <w:sz w:val="21"/>
                      <w:szCs w:val="21"/>
                      <w:highlight w:val="none"/>
                    </w:rPr>
                  </w:pPr>
                  <w:r>
                    <w:rPr>
                      <w:rFonts w:cs="Times New Roman"/>
                      <w:color w:val="auto"/>
                      <w:sz w:val="21"/>
                      <w:szCs w:val="21"/>
                      <w:highlight w:val="none"/>
                    </w:rPr>
                    <w:t>测量前</w:t>
                  </w:r>
                </w:p>
              </w:tc>
              <w:tc>
                <w:tcPr>
                  <w:tcW w:w="846"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hint="default"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93.7</w:t>
                  </w:r>
                </w:p>
              </w:tc>
              <w:tc>
                <w:tcPr>
                  <w:tcW w:w="833" w:type="pc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hint="default"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-0.3</w:t>
                  </w:r>
                </w:p>
              </w:tc>
              <w:tc>
                <w:tcPr>
                  <w:tcW w:w="562" w:type="pct"/>
                  <w:vMerge w:val="restar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4" w:type="pct"/>
                  <w:vMerge w:val="continue"/>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color w:val="auto"/>
                      <w:sz w:val="21"/>
                      <w:szCs w:val="21"/>
                      <w:highlight w:val="none"/>
                    </w:rPr>
                  </w:pPr>
                </w:p>
              </w:tc>
              <w:tc>
                <w:tcPr>
                  <w:tcW w:w="714" w:type="pct"/>
                  <w:vMerge w:val="continue"/>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color w:val="auto"/>
                      <w:sz w:val="21"/>
                      <w:szCs w:val="21"/>
                      <w:highlight w:val="none"/>
                    </w:rPr>
                  </w:pPr>
                </w:p>
              </w:tc>
              <w:tc>
                <w:tcPr>
                  <w:tcW w:w="822" w:type="pct"/>
                  <w:vMerge w:val="continue"/>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color w:val="auto"/>
                      <w:sz w:val="21"/>
                      <w:szCs w:val="21"/>
                      <w:highlight w:val="none"/>
                    </w:rPr>
                  </w:pPr>
                </w:p>
              </w:tc>
              <w:tc>
                <w:tcPr>
                  <w:tcW w:w="676"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hint="eastAsia" w:cs="Times New Roman"/>
                      <w:color w:val="auto"/>
                      <w:sz w:val="21"/>
                      <w:szCs w:val="21"/>
                      <w:highlight w:val="none"/>
                    </w:rPr>
                  </w:pPr>
                  <w:r>
                    <w:rPr>
                      <w:rFonts w:cs="Times New Roman"/>
                      <w:color w:val="auto"/>
                      <w:sz w:val="21"/>
                      <w:szCs w:val="21"/>
                      <w:highlight w:val="none"/>
                    </w:rPr>
                    <w:t>测量后</w:t>
                  </w:r>
                </w:p>
              </w:tc>
              <w:tc>
                <w:tcPr>
                  <w:tcW w:w="846"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hint="default"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94.0</w:t>
                  </w:r>
                </w:p>
              </w:tc>
              <w:tc>
                <w:tcPr>
                  <w:tcW w:w="833" w:type="pct"/>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hint="default"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562" w:type="pct"/>
                  <w:vMerge w:val="continue"/>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4" w:type="pct"/>
                  <w:vMerge w:val="continue"/>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color w:val="auto"/>
                      <w:sz w:val="21"/>
                      <w:szCs w:val="21"/>
                      <w:highlight w:val="none"/>
                    </w:rPr>
                  </w:pPr>
                </w:p>
              </w:tc>
              <w:tc>
                <w:tcPr>
                  <w:tcW w:w="714" w:type="pct"/>
                  <w:vMerge w:val="continue"/>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color w:val="auto"/>
                      <w:sz w:val="21"/>
                      <w:szCs w:val="21"/>
                      <w:highlight w:val="none"/>
                    </w:rPr>
                  </w:pPr>
                </w:p>
              </w:tc>
              <w:tc>
                <w:tcPr>
                  <w:tcW w:w="822" w:type="pct"/>
                  <w:vMerge w:val="restar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hint="default"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2023.9.6</w:t>
                  </w:r>
                </w:p>
              </w:tc>
              <w:tc>
                <w:tcPr>
                  <w:tcW w:w="676"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hint="eastAsia" w:cs="Times New Roman"/>
                      <w:color w:val="auto"/>
                      <w:sz w:val="21"/>
                      <w:szCs w:val="21"/>
                      <w:highlight w:val="none"/>
                    </w:rPr>
                  </w:pPr>
                  <w:r>
                    <w:rPr>
                      <w:rFonts w:cs="Times New Roman"/>
                      <w:color w:val="auto"/>
                      <w:sz w:val="21"/>
                      <w:szCs w:val="21"/>
                      <w:highlight w:val="none"/>
                    </w:rPr>
                    <w:t>测量前</w:t>
                  </w:r>
                </w:p>
              </w:tc>
              <w:tc>
                <w:tcPr>
                  <w:tcW w:w="846"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hint="default"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93.8</w:t>
                  </w:r>
                </w:p>
              </w:tc>
              <w:tc>
                <w:tcPr>
                  <w:tcW w:w="833" w:type="pc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hint="default"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-0.2</w:t>
                  </w:r>
                </w:p>
              </w:tc>
              <w:tc>
                <w:tcPr>
                  <w:tcW w:w="562" w:type="pct"/>
                  <w:vMerge w:val="restar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cs="Times New Roman"/>
                      <w:color w:val="auto"/>
                      <w:sz w:val="21"/>
                      <w:szCs w:val="21"/>
                      <w:highlight w:val="none"/>
                    </w:rPr>
                  </w:pPr>
                  <w:r>
                    <w:rPr>
                      <w:rFonts w:cs="Times New Roman"/>
                      <w:color w:val="auto"/>
                      <w:sz w:val="21"/>
                      <w:szCs w:val="21"/>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4" w:type="pct"/>
                  <w:vMerge w:val="continue"/>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color w:val="auto"/>
                      <w:sz w:val="21"/>
                      <w:szCs w:val="21"/>
                      <w:highlight w:val="none"/>
                    </w:rPr>
                  </w:pPr>
                </w:p>
              </w:tc>
              <w:tc>
                <w:tcPr>
                  <w:tcW w:w="714" w:type="pct"/>
                  <w:vMerge w:val="continue"/>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color w:val="auto"/>
                      <w:sz w:val="21"/>
                      <w:szCs w:val="21"/>
                      <w:highlight w:val="none"/>
                    </w:rPr>
                  </w:pPr>
                </w:p>
              </w:tc>
              <w:tc>
                <w:tcPr>
                  <w:tcW w:w="822" w:type="pct"/>
                  <w:vMerge w:val="continue"/>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color w:val="auto"/>
                      <w:sz w:val="21"/>
                      <w:szCs w:val="21"/>
                      <w:highlight w:val="none"/>
                    </w:rPr>
                  </w:pPr>
                </w:p>
              </w:tc>
              <w:tc>
                <w:tcPr>
                  <w:tcW w:w="676"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hint="eastAsia" w:cs="Times New Roman"/>
                      <w:color w:val="auto"/>
                      <w:sz w:val="21"/>
                      <w:szCs w:val="21"/>
                      <w:highlight w:val="none"/>
                    </w:rPr>
                  </w:pPr>
                  <w:r>
                    <w:rPr>
                      <w:rFonts w:cs="Times New Roman"/>
                      <w:color w:val="auto"/>
                      <w:sz w:val="21"/>
                      <w:szCs w:val="21"/>
                      <w:highlight w:val="none"/>
                    </w:rPr>
                    <w:t>测量后</w:t>
                  </w:r>
                </w:p>
              </w:tc>
              <w:tc>
                <w:tcPr>
                  <w:tcW w:w="846"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lang w:val="en-US" w:eastAsia="zh-CN"/>
                    </w:rPr>
                    <w:t>93.8</w:t>
                  </w:r>
                </w:p>
              </w:tc>
              <w:tc>
                <w:tcPr>
                  <w:tcW w:w="833" w:type="pct"/>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lang w:val="en-US" w:eastAsia="zh-CN"/>
                    </w:rPr>
                    <w:t>-0.2</w:t>
                  </w:r>
                </w:p>
              </w:tc>
              <w:tc>
                <w:tcPr>
                  <w:tcW w:w="562" w:type="pct"/>
                  <w:vMerge w:val="continue"/>
                  <w:tcBorders>
                    <w:left w:val="single" w:color="auto" w:sz="4" w:space="0"/>
                    <w:bottom w:val="single" w:color="auto" w:sz="4" w:space="0"/>
                    <w:right w:val="single" w:color="auto" w:sz="4" w:space="0"/>
                  </w:tcBorders>
                  <w:vAlign w:val="center"/>
                </w:tcPr>
                <w:p>
                  <w:pPr>
                    <w:spacing w:after="31" w:afterLines="10"/>
                    <w:ind w:left="-120" w:leftChars="-50" w:right="-120" w:rightChars="-50" w:firstLine="42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7"/>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rPr>
                      <w:color w:val="auto"/>
                      <w:sz w:val="21"/>
                      <w:szCs w:val="21"/>
                      <w:highlight w:val="none"/>
                    </w:rPr>
                  </w:pPr>
                  <w:r>
                    <w:rPr>
                      <w:color w:val="auto"/>
                      <w:sz w:val="21"/>
                      <w:szCs w:val="21"/>
                      <w:highlight w:val="none"/>
                    </w:rPr>
                    <w:t>备注：</w:t>
                  </w:r>
                  <w:r>
                    <w:rPr>
                      <w:rFonts w:hint="eastAsia"/>
                      <w:color w:val="auto"/>
                      <w:sz w:val="21"/>
                      <w:szCs w:val="21"/>
                      <w:highlight w:val="none"/>
                    </w:rPr>
                    <w:t>仪器名称</w:t>
                  </w:r>
                  <w:r>
                    <w:rPr>
                      <w:rFonts w:hint="eastAsia"/>
                      <w:color w:val="auto"/>
                      <w:sz w:val="21"/>
                      <w:szCs w:val="21"/>
                      <w:highlight w:val="none"/>
                      <w:lang w:eastAsia="zh-CN"/>
                    </w:rPr>
                    <w:t>：</w:t>
                  </w:r>
                  <w:r>
                    <w:rPr>
                      <w:rFonts w:cs="Times New Roman"/>
                      <w:color w:val="auto"/>
                      <w:sz w:val="21"/>
                      <w:szCs w:val="21"/>
                      <w:highlight w:val="none"/>
                    </w:rPr>
                    <w:t>多功能声级计</w:t>
                  </w:r>
                  <w:r>
                    <w:rPr>
                      <w:color w:val="auto"/>
                      <w:sz w:val="21"/>
                      <w:szCs w:val="21"/>
                      <w:highlight w:val="none"/>
                    </w:rPr>
                    <w:t>；</w:t>
                  </w:r>
                </w:p>
                <w:p>
                  <w:pPr>
                    <w:spacing w:line="240" w:lineRule="auto"/>
                    <w:ind w:firstLine="0" w:firstLineChars="0"/>
                    <w:rPr>
                      <w:color w:val="auto"/>
                      <w:sz w:val="21"/>
                      <w:szCs w:val="21"/>
                      <w:highlight w:val="none"/>
                    </w:rPr>
                  </w:pPr>
                  <w:r>
                    <w:rPr>
                      <w:color w:val="auto"/>
                      <w:sz w:val="21"/>
                      <w:szCs w:val="21"/>
                      <w:highlight w:val="none"/>
                    </w:rPr>
                    <w:t>前、后校准示值偏差允许范围：</w:t>
                  </w:r>
                  <w:r>
                    <w:rPr>
                      <w:bCs/>
                      <w:color w:val="auto"/>
                      <w:sz w:val="21"/>
                      <w:szCs w:val="21"/>
                      <w:highlight w:val="none"/>
                    </w:rPr>
                    <w:t>±0.5</w:t>
                  </w:r>
                  <w:r>
                    <w:rPr>
                      <w:color w:val="auto"/>
                      <w:sz w:val="21"/>
                      <w:szCs w:val="21"/>
                      <w:highlight w:val="none"/>
                    </w:rPr>
                    <w:t xml:space="preserve"> dB(A）。</w:t>
                  </w:r>
                </w:p>
              </w:tc>
            </w:tr>
          </w:tbl>
          <w:p>
            <w:pPr>
              <w:pStyle w:val="67"/>
              <w:spacing w:before="0" w:beforeAutospacing="0" w:after="0" w:afterAutospacing="0" w:line="360" w:lineRule="auto"/>
              <w:ind w:firstLine="482"/>
              <w:jc w:val="center"/>
              <w:rPr>
                <w:rFonts w:ascii="Times New Roman" w:hAnsi="Times New Roman" w:cs="Times New Roman"/>
                <w:b/>
                <w:bCs/>
                <w:color w:val="auto"/>
                <w:highlight w:val="none"/>
              </w:rPr>
            </w:pPr>
          </w:p>
          <w:p>
            <w:pPr>
              <w:pStyle w:val="67"/>
              <w:spacing w:before="0" w:beforeAutospacing="0" w:after="0" w:afterAutospacing="0" w:line="360" w:lineRule="auto"/>
              <w:ind w:firstLine="482"/>
              <w:jc w:val="center"/>
              <w:rPr>
                <w:rFonts w:ascii="Times New Roman" w:hAnsi="Times New Roman" w:cs="Times New Roman"/>
                <w:b/>
                <w:bCs/>
                <w:color w:val="auto"/>
                <w:highlight w:val="none"/>
              </w:rPr>
            </w:pPr>
          </w:p>
          <w:p>
            <w:pPr>
              <w:pStyle w:val="2"/>
              <w:snapToGrid w:val="0"/>
              <w:ind w:firstLine="0" w:firstLineChars="0"/>
              <w:rPr>
                <w:rFonts w:cs="Times New Roman"/>
                <w:color w:val="auto"/>
                <w:highlight w:val="none"/>
              </w:rPr>
            </w:pPr>
          </w:p>
        </w:tc>
      </w:tr>
    </w:tbl>
    <w:p>
      <w:pPr>
        <w:adjustRightInd w:val="0"/>
        <w:snapToGrid w:val="0"/>
        <w:ind w:firstLine="0" w:firstLineChars="0"/>
        <w:outlineLvl w:val="0"/>
        <w:rPr>
          <w:color w:val="auto"/>
          <w:highlight w:val="none"/>
        </w:rPr>
      </w:pPr>
      <w:r>
        <w:rPr>
          <w:b/>
          <w:bCs/>
          <w:color w:val="auto"/>
          <w:sz w:val="32"/>
          <w:szCs w:val="32"/>
          <w:highlight w:val="none"/>
        </w:rPr>
        <w:br w:type="page"/>
      </w:r>
      <w:bookmarkStart w:id="269" w:name="_Toc13037"/>
      <w:bookmarkStart w:id="270" w:name="_Toc26693"/>
      <w:bookmarkStart w:id="271" w:name="_Toc11778"/>
      <w:bookmarkStart w:id="272" w:name="_Toc2961"/>
      <w:bookmarkStart w:id="273" w:name="_Toc11622"/>
      <w:bookmarkStart w:id="274" w:name="_Toc25903"/>
      <w:bookmarkStart w:id="275" w:name="_Toc25554"/>
      <w:bookmarkStart w:id="276" w:name="_Toc7521"/>
      <w:bookmarkStart w:id="277" w:name="_Toc27905"/>
      <w:r>
        <w:rPr>
          <w:b/>
          <w:bCs/>
          <w:color w:val="auto"/>
          <w:sz w:val="32"/>
          <w:szCs w:val="32"/>
          <w:highlight w:val="none"/>
        </w:rPr>
        <w:t>表7  验收监测期间工况记录及验收监测结果</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tbl>
      <w:tblPr>
        <w:tblStyle w:val="28"/>
        <w:tblpPr w:leftFromText="180" w:rightFromText="180" w:vertAnchor="text" w:horzAnchor="margin" w:tblpXSpec="center" w:tblpY="158"/>
        <w:tblW w:w="5001" w:type="pct"/>
        <w:tblInd w:w="-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7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000" w:type="pct"/>
            <w:tcBorders>
              <w:top w:val="single" w:color="000000" w:sz="12" w:space="0"/>
              <w:bottom w:val="single" w:color="auto" w:sz="4" w:space="0"/>
            </w:tcBorders>
            <w:vAlign w:val="center"/>
          </w:tcPr>
          <w:p>
            <w:pPr>
              <w:ind w:firstLine="482"/>
              <w:rPr>
                <w:b/>
                <w:bCs/>
                <w:color w:val="auto"/>
                <w:highlight w:val="none"/>
              </w:rPr>
            </w:pPr>
            <w:r>
              <w:rPr>
                <w:b/>
                <w:bCs/>
                <w:color w:val="auto"/>
                <w:highlight w:val="none"/>
              </w:rPr>
              <w:t>一、验收监测期间工况记录</w:t>
            </w:r>
          </w:p>
          <w:p>
            <w:pPr>
              <w:ind w:firstLine="480"/>
              <w:rPr>
                <w:color w:val="auto"/>
                <w:highlight w:val="none"/>
              </w:rPr>
            </w:pPr>
            <w:r>
              <w:rPr>
                <w:rFonts w:hint="eastAsia"/>
                <w:color w:val="auto"/>
                <w:highlight w:val="none"/>
              </w:rPr>
              <w:t>监测</w:t>
            </w:r>
            <w:r>
              <w:rPr>
                <w:color w:val="auto"/>
                <w:highlight w:val="none"/>
              </w:rPr>
              <w:t>期间本项目运行正常。</w:t>
            </w:r>
            <w:r>
              <w:rPr>
                <w:rFonts w:hint="eastAsia"/>
                <w:color w:val="auto"/>
                <w:highlight w:val="none"/>
              </w:rPr>
              <w:t>检测</w:t>
            </w:r>
            <w:r>
              <w:rPr>
                <w:color w:val="auto"/>
                <w:highlight w:val="none"/>
              </w:rPr>
              <w:t>期间运营工况见表</w:t>
            </w:r>
            <w:r>
              <w:rPr>
                <w:rFonts w:hint="eastAsia"/>
                <w:color w:val="auto"/>
                <w:highlight w:val="none"/>
              </w:rPr>
              <w:t>7</w:t>
            </w:r>
            <w:r>
              <w:rPr>
                <w:color w:val="auto"/>
                <w:highlight w:val="none"/>
              </w:rPr>
              <w:t>-1。</w:t>
            </w:r>
          </w:p>
          <w:p>
            <w:pPr>
              <w:ind w:firstLine="482"/>
              <w:jc w:val="center"/>
              <w:rPr>
                <w:b/>
                <w:bCs/>
                <w:color w:val="auto"/>
                <w:highlight w:val="none"/>
              </w:rPr>
            </w:pPr>
            <w:r>
              <w:rPr>
                <w:b/>
                <w:bCs/>
                <w:color w:val="auto"/>
                <w:highlight w:val="none"/>
              </w:rPr>
              <w:t>表</w:t>
            </w:r>
            <w:r>
              <w:rPr>
                <w:rFonts w:hint="eastAsia"/>
                <w:b/>
                <w:bCs/>
                <w:color w:val="auto"/>
                <w:highlight w:val="none"/>
              </w:rPr>
              <w:t>7</w:t>
            </w:r>
            <w:r>
              <w:rPr>
                <w:b/>
                <w:bCs/>
                <w:color w:val="auto"/>
                <w:highlight w:val="none"/>
              </w:rPr>
              <w:t>-1  本项目监测期间项目运营工况一览表</w:t>
            </w:r>
          </w:p>
          <w:tbl>
            <w:tblPr>
              <w:tblStyle w:val="2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9"/>
              <w:gridCol w:w="1711"/>
              <w:gridCol w:w="837"/>
              <w:gridCol w:w="1659"/>
              <w:gridCol w:w="1661"/>
              <w:gridCol w:w="15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Align w:val="center"/>
                </w:tcPr>
                <w:p>
                  <w:pPr>
                    <w:pStyle w:val="41"/>
                    <w:ind w:firstLine="0" w:firstLineChars="0"/>
                    <w:rPr>
                      <w:rFonts w:hint="eastAsia" w:ascii="Times New Roman" w:hAnsi="Times New Roman" w:eastAsia="宋体" w:cs="Times New Roman"/>
                      <w:b/>
                      <w:bCs/>
                      <w:color w:val="auto"/>
                      <w:szCs w:val="21"/>
                      <w:highlight w:val="none"/>
                      <w:vertAlign w:val="baseline"/>
                      <w:lang w:eastAsia="zh-CN"/>
                    </w:rPr>
                  </w:pPr>
                  <w:r>
                    <w:rPr>
                      <w:rFonts w:hint="eastAsia" w:ascii="Times New Roman" w:hAnsi="Times New Roman" w:eastAsia="宋体" w:cs="Times New Roman"/>
                      <w:b/>
                      <w:bCs/>
                      <w:color w:val="auto"/>
                      <w:szCs w:val="21"/>
                      <w:highlight w:val="none"/>
                      <w:vertAlign w:val="baseline"/>
                      <w:lang w:eastAsia="zh-CN"/>
                    </w:rPr>
                    <w:t>日期</w:t>
                  </w:r>
                </w:p>
              </w:tc>
              <w:tc>
                <w:tcPr>
                  <w:tcW w:w="957" w:type="pct"/>
                  <w:vAlign w:val="center"/>
                </w:tcPr>
                <w:p>
                  <w:pPr>
                    <w:pStyle w:val="41"/>
                    <w:ind w:firstLine="0" w:firstLineChars="0"/>
                    <w:rPr>
                      <w:rFonts w:hint="eastAsia" w:ascii="Times New Roman" w:hAnsi="Times New Roman" w:eastAsia="宋体" w:cs="Times New Roman"/>
                      <w:b/>
                      <w:bCs/>
                      <w:color w:val="auto"/>
                      <w:szCs w:val="21"/>
                      <w:highlight w:val="none"/>
                      <w:vertAlign w:val="baseline"/>
                      <w:lang w:eastAsia="zh-CN"/>
                    </w:rPr>
                  </w:pPr>
                  <w:r>
                    <w:rPr>
                      <w:rFonts w:hint="eastAsia" w:ascii="Times New Roman" w:hAnsi="Times New Roman" w:eastAsia="宋体" w:cs="Times New Roman"/>
                      <w:b/>
                      <w:bCs/>
                      <w:color w:val="auto"/>
                      <w:szCs w:val="21"/>
                      <w:highlight w:val="none"/>
                      <w:vertAlign w:val="baseline"/>
                      <w:lang w:eastAsia="zh-CN"/>
                    </w:rPr>
                    <w:t>产品名称</w:t>
                  </w:r>
                </w:p>
              </w:tc>
              <w:tc>
                <w:tcPr>
                  <w:tcW w:w="468" w:type="pct"/>
                  <w:vAlign w:val="center"/>
                </w:tcPr>
                <w:p>
                  <w:pPr>
                    <w:pStyle w:val="41"/>
                    <w:ind w:firstLine="0" w:firstLineChars="0"/>
                    <w:rPr>
                      <w:rFonts w:hint="eastAsia" w:ascii="Times New Roman" w:hAnsi="Times New Roman" w:eastAsia="宋体" w:cs="Times New Roman"/>
                      <w:b/>
                      <w:bCs/>
                      <w:color w:val="auto"/>
                      <w:szCs w:val="21"/>
                      <w:highlight w:val="none"/>
                      <w:vertAlign w:val="baseline"/>
                      <w:lang w:eastAsia="zh-CN"/>
                    </w:rPr>
                  </w:pPr>
                  <w:r>
                    <w:rPr>
                      <w:rFonts w:hint="eastAsia" w:ascii="Times New Roman" w:hAnsi="Times New Roman" w:eastAsia="宋体" w:cs="Times New Roman"/>
                      <w:b/>
                      <w:bCs/>
                      <w:color w:val="auto"/>
                      <w:szCs w:val="21"/>
                      <w:highlight w:val="none"/>
                      <w:vertAlign w:val="baseline"/>
                      <w:lang w:eastAsia="zh-CN"/>
                    </w:rPr>
                    <w:t>单位</w:t>
                  </w:r>
                </w:p>
              </w:tc>
              <w:tc>
                <w:tcPr>
                  <w:tcW w:w="928" w:type="pct"/>
                  <w:vAlign w:val="center"/>
                </w:tcPr>
                <w:p>
                  <w:pPr>
                    <w:pStyle w:val="41"/>
                    <w:ind w:firstLine="0" w:firstLineChars="0"/>
                    <w:rPr>
                      <w:rFonts w:hint="eastAsia" w:ascii="Times New Roman" w:hAnsi="Times New Roman" w:eastAsia="宋体" w:cs="Times New Roman"/>
                      <w:b/>
                      <w:bCs/>
                      <w:color w:val="auto"/>
                      <w:szCs w:val="21"/>
                      <w:highlight w:val="none"/>
                      <w:vertAlign w:val="baseline"/>
                      <w:lang w:eastAsia="zh-CN"/>
                    </w:rPr>
                  </w:pPr>
                  <w:r>
                    <w:rPr>
                      <w:rFonts w:hint="eastAsia" w:ascii="Times New Roman" w:hAnsi="Times New Roman" w:eastAsia="宋体" w:cs="Times New Roman"/>
                      <w:b/>
                      <w:bCs/>
                      <w:color w:val="auto"/>
                      <w:szCs w:val="21"/>
                      <w:highlight w:val="none"/>
                      <w:vertAlign w:val="baseline"/>
                      <w:lang w:eastAsia="zh-CN"/>
                    </w:rPr>
                    <w:t>设计日处理量</w:t>
                  </w:r>
                </w:p>
              </w:tc>
              <w:tc>
                <w:tcPr>
                  <w:tcW w:w="929" w:type="pct"/>
                  <w:vAlign w:val="center"/>
                </w:tcPr>
                <w:p>
                  <w:pPr>
                    <w:pStyle w:val="41"/>
                    <w:ind w:firstLine="0" w:firstLineChars="0"/>
                    <w:rPr>
                      <w:rFonts w:hint="eastAsia" w:ascii="Times New Roman" w:hAnsi="Times New Roman" w:eastAsia="宋体" w:cs="Times New Roman"/>
                      <w:b/>
                      <w:bCs/>
                      <w:color w:val="auto"/>
                      <w:szCs w:val="21"/>
                      <w:highlight w:val="none"/>
                      <w:vertAlign w:val="baseline"/>
                      <w:lang w:eastAsia="zh-CN"/>
                    </w:rPr>
                  </w:pPr>
                  <w:r>
                    <w:rPr>
                      <w:rFonts w:hint="eastAsia" w:ascii="Times New Roman" w:hAnsi="Times New Roman" w:eastAsia="宋体" w:cs="Times New Roman"/>
                      <w:b/>
                      <w:bCs/>
                      <w:color w:val="auto"/>
                      <w:szCs w:val="21"/>
                      <w:highlight w:val="none"/>
                      <w:vertAlign w:val="baseline"/>
                      <w:lang w:eastAsia="zh-CN"/>
                    </w:rPr>
                    <w:t>实际日处理量</w:t>
                  </w:r>
                </w:p>
              </w:tc>
              <w:tc>
                <w:tcPr>
                  <w:tcW w:w="882" w:type="pct"/>
                  <w:vAlign w:val="center"/>
                </w:tcPr>
                <w:p>
                  <w:pPr>
                    <w:pStyle w:val="41"/>
                    <w:ind w:firstLine="0" w:firstLineChars="0"/>
                    <w:rPr>
                      <w:rFonts w:hint="eastAsia" w:ascii="Times New Roman" w:hAnsi="Times New Roman" w:eastAsia="宋体" w:cs="Times New Roman"/>
                      <w:b/>
                      <w:bCs/>
                      <w:color w:val="auto"/>
                      <w:szCs w:val="21"/>
                      <w:highlight w:val="none"/>
                      <w:vertAlign w:val="baseline"/>
                      <w:lang w:eastAsia="zh-CN"/>
                    </w:rPr>
                  </w:pPr>
                  <w:r>
                    <w:rPr>
                      <w:rFonts w:hint="eastAsia" w:ascii="Times New Roman" w:hAnsi="Times New Roman" w:eastAsia="宋体" w:cs="Times New Roman"/>
                      <w:b/>
                      <w:bCs/>
                      <w:color w:val="auto"/>
                      <w:szCs w:val="21"/>
                      <w:highlight w:val="none"/>
                      <w:vertAlign w:val="baseline"/>
                      <w:lang w:eastAsia="zh-CN"/>
                    </w:rPr>
                    <w:t>生产负荷（</w:t>
                  </w:r>
                  <w:r>
                    <w:rPr>
                      <w:rFonts w:hint="eastAsia" w:ascii="Times New Roman" w:hAnsi="Times New Roman" w:eastAsia="宋体" w:cs="Times New Roman"/>
                      <w:b/>
                      <w:bCs/>
                      <w:color w:val="auto"/>
                      <w:szCs w:val="21"/>
                      <w:highlight w:val="none"/>
                      <w:vertAlign w:val="baseline"/>
                      <w:lang w:val="en-US" w:eastAsia="zh-CN"/>
                    </w:rPr>
                    <w:t>%</w:t>
                  </w:r>
                  <w:r>
                    <w:rPr>
                      <w:rFonts w:hint="eastAsia" w:ascii="Times New Roman" w:hAnsi="Times New Roman" w:eastAsia="宋体" w:cs="Times New Roman"/>
                      <w:b/>
                      <w:bCs/>
                      <w:color w:val="auto"/>
                      <w:szCs w:val="21"/>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Align w:val="center"/>
                </w:tcPr>
                <w:p>
                  <w:pPr>
                    <w:pStyle w:val="41"/>
                    <w:ind w:firstLine="0" w:firstLineChars="0"/>
                    <w:rPr>
                      <w:rFonts w:hint="eastAsia" w:ascii="Times New Roman" w:hAnsi="Times New Roman" w:eastAsia="宋体" w:cs="Times New Roman"/>
                      <w:color w:val="auto"/>
                      <w:szCs w:val="21"/>
                      <w:highlight w:val="none"/>
                      <w:vertAlign w:val="baseline"/>
                      <w:lang w:val="en-US" w:eastAsia="zh-CN"/>
                    </w:rPr>
                  </w:pPr>
                  <w:r>
                    <w:rPr>
                      <w:rFonts w:hint="eastAsia" w:ascii="Times New Roman" w:hAnsi="Times New Roman" w:eastAsia="宋体" w:cs="Times New Roman"/>
                      <w:color w:val="auto"/>
                      <w:szCs w:val="21"/>
                      <w:highlight w:val="none"/>
                      <w:vertAlign w:val="baseline"/>
                      <w:lang w:val="en-US" w:eastAsia="zh-CN"/>
                    </w:rPr>
                    <w:t>2023.09.05</w:t>
                  </w:r>
                </w:p>
              </w:tc>
              <w:tc>
                <w:tcPr>
                  <w:tcW w:w="957" w:type="pct"/>
                  <w:vAlign w:val="center"/>
                </w:tcPr>
                <w:p>
                  <w:pPr>
                    <w:pStyle w:val="41"/>
                    <w:ind w:firstLine="0" w:firstLineChars="0"/>
                    <w:rPr>
                      <w:rFonts w:hint="eastAsia" w:ascii="Times New Roman" w:hAnsi="Times New Roman" w:eastAsia="宋体" w:cs="Times New Roman"/>
                      <w:color w:val="auto"/>
                      <w:szCs w:val="21"/>
                      <w:highlight w:val="none"/>
                      <w:vertAlign w:val="baseline"/>
                      <w:lang w:eastAsia="zh-CN"/>
                    </w:rPr>
                  </w:pPr>
                  <w:r>
                    <w:rPr>
                      <w:rFonts w:hint="eastAsia" w:ascii="Times New Roman" w:hAnsi="Times New Roman" w:eastAsia="宋体" w:cs="Times New Roman"/>
                      <w:color w:val="auto"/>
                      <w:szCs w:val="21"/>
                      <w:highlight w:val="none"/>
                      <w:vertAlign w:val="baseline"/>
                      <w:lang w:eastAsia="zh-CN"/>
                    </w:rPr>
                    <w:t>返修打砂底架</w:t>
                  </w:r>
                </w:p>
              </w:tc>
              <w:tc>
                <w:tcPr>
                  <w:tcW w:w="468" w:type="pct"/>
                  <w:vAlign w:val="center"/>
                </w:tcPr>
                <w:p>
                  <w:pPr>
                    <w:pStyle w:val="41"/>
                    <w:ind w:firstLine="0" w:firstLineChars="0"/>
                    <w:rPr>
                      <w:rFonts w:hint="eastAsia" w:ascii="Times New Roman" w:hAnsi="Times New Roman" w:eastAsia="宋体" w:cs="Times New Roman"/>
                      <w:color w:val="auto"/>
                      <w:szCs w:val="21"/>
                      <w:highlight w:val="none"/>
                      <w:vertAlign w:val="baseline"/>
                      <w:lang w:val="en-US" w:eastAsia="zh-CN"/>
                    </w:rPr>
                  </w:pPr>
                  <w:r>
                    <w:rPr>
                      <w:rFonts w:hint="eastAsia" w:ascii="Times New Roman" w:hAnsi="Times New Roman" w:eastAsia="宋体" w:cs="Times New Roman"/>
                      <w:color w:val="auto"/>
                      <w:szCs w:val="21"/>
                      <w:highlight w:val="none"/>
                      <w:vertAlign w:val="baseline"/>
                      <w:lang w:val="en-US" w:eastAsia="zh-CN"/>
                    </w:rPr>
                    <w:t>个</w:t>
                  </w:r>
                </w:p>
              </w:tc>
              <w:tc>
                <w:tcPr>
                  <w:tcW w:w="928" w:type="pct"/>
                  <w:vAlign w:val="center"/>
                </w:tcPr>
                <w:p>
                  <w:pPr>
                    <w:pStyle w:val="41"/>
                    <w:ind w:firstLine="0" w:firstLineChars="0"/>
                    <w:rPr>
                      <w:rFonts w:hint="eastAsia" w:ascii="Times New Roman" w:hAnsi="Times New Roman" w:eastAsia="宋体" w:cs="Times New Roman"/>
                      <w:color w:val="auto"/>
                      <w:szCs w:val="21"/>
                      <w:highlight w:val="none"/>
                      <w:vertAlign w:val="baseline"/>
                      <w:lang w:val="en-US" w:eastAsia="zh-CN"/>
                    </w:rPr>
                  </w:pPr>
                  <w:r>
                    <w:rPr>
                      <w:rFonts w:hint="eastAsia" w:ascii="Times New Roman" w:hAnsi="Times New Roman" w:eastAsia="宋体" w:cs="Times New Roman"/>
                      <w:color w:val="auto"/>
                      <w:szCs w:val="21"/>
                      <w:highlight w:val="none"/>
                      <w:vertAlign w:val="baseline"/>
                      <w:lang w:val="en-US" w:eastAsia="zh-CN"/>
                    </w:rPr>
                    <w:t>3</w:t>
                  </w:r>
                </w:p>
              </w:tc>
              <w:tc>
                <w:tcPr>
                  <w:tcW w:w="929" w:type="pct"/>
                  <w:vAlign w:val="center"/>
                </w:tcPr>
                <w:p>
                  <w:pPr>
                    <w:pStyle w:val="41"/>
                    <w:ind w:firstLine="0" w:firstLineChars="0"/>
                    <w:rPr>
                      <w:rFonts w:hint="eastAsia" w:ascii="Times New Roman" w:hAnsi="Times New Roman" w:eastAsia="宋体" w:cs="Times New Roman"/>
                      <w:color w:val="auto"/>
                      <w:szCs w:val="21"/>
                      <w:highlight w:val="none"/>
                      <w:vertAlign w:val="baseline"/>
                      <w:lang w:val="en-US" w:eastAsia="zh-CN"/>
                    </w:rPr>
                  </w:pPr>
                  <w:r>
                    <w:rPr>
                      <w:rFonts w:hint="eastAsia" w:ascii="Times New Roman" w:hAnsi="Times New Roman" w:eastAsia="宋体" w:cs="Times New Roman"/>
                      <w:color w:val="auto"/>
                      <w:szCs w:val="21"/>
                      <w:highlight w:val="none"/>
                      <w:vertAlign w:val="baseline"/>
                      <w:lang w:val="en-US" w:eastAsia="zh-CN"/>
                    </w:rPr>
                    <w:t>2.6</w:t>
                  </w:r>
                </w:p>
              </w:tc>
              <w:tc>
                <w:tcPr>
                  <w:tcW w:w="882" w:type="pct"/>
                  <w:vAlign w:val="center"/>
                </w:tcPr>
                <w:p>
                  <w:pPr>
                    <w:pStyle w:val="41"/>
                    <w:ind w:firstLine="0" w:firstLineChars="0"/>
                    <w:rPr>
                      <w:rFonts w:hint="eastAsia" w:ascii="Times New Roman" w:hAnsi="Times New Roman" w:eastAsia="宋体" w:cs="Times New Roman"/>
                      <w:color w:val="auto"/>
                      <w:szCs w:val="21"/>
                      <w:highlight w:val="none"/>
                      <w:vertAlign w:val="baseline"/>
                      <w:lang w:val="en-US" w:eastAsia="zh-CN"/>
                    </w:rPr>
                  </w:pPr>
                  <w:r>
                    <w:rPr>
                      <w:rFonts w:hint="eastAsia" w:ascii="Times New Roman" w:hAnsi="Times New Roman" w:eastAsia="宋体" w:cs="Times New Roman"/>
                      <w:color w:val="auto"/>
                      <w:szCs w:val="21"/>
                      <w:highlight w:val="none"/>
                      <w:vertAlign w:val="baseline"/>
                      <w:lang w:val="en-US" w:eastAsia="zh-CN"/>
                    </w:rPr>
                    <w:t>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Align w:val="center"/>
                </w:tcPr>
                <w:p>
                  <w:pPr>
                    <w:pStyle w:val="41"/>
                    <w:ind w:firstLine="0" w:firstLineChars="0"/>
                    <w:rPr>
                      <w:rFonts w:hint="eastAsia" w:ascii="Times New Roman" w:hAnsi="Times New Roman" w:eastAsia="宋体" w:cs="Times New Roman"/>
                      <w:color w:val="auto"/>
                      <w:szCs w:val="21"/>
                      <w:highlight w:val="none"/>
                      <w:vertAlign w:val="baseline"/>
                      <w:lang w:val="en-US" w:eastAsia="zh-CN"/>
                    </w:rPr>
                  </w:pPr>
                  <w:r>
                    <w:rPr>
                      <w:rFonts w:hint="eastAsia" w:ascii="Times New Roman" w:hAnsi="Times New Roman" w:eastAsia="宋体" w:cs="Times New Roman"/>
                      <w:color w:val="auto"/>
                      <w:szCs w:val="21"/>
                      <w:highlight w:val="none"/>
                      <w:vertAlign w:val="baseline"/>
                      <w:lang w:val="en-US" w:eastAsia="zh-CN"/>
                    </w:rPr>
                    <w:t>2023.09.06</w:t>
                  </w:r>
                </w:p>
              </w:tc>
              <w:tc>
                <w:tcPr>
                  <w:tcW w:w="957" w:type="pct"/>
                  <w:vAlign w:val="center"/>
                </w:tcPr>
                <w:p>
                  <w:pPr>
                    <w:pStyle w:val="41"/>
                    <w:ind w:firstLine="0" w:firstLineChars="0"/>
                    <w:rPr>
                      <w:rFonts w:hint="eastAsia" w:ascii="Times New Roman" w:hAnsi="Times New Roman" w:eastAsia="宋体" w:cs="Times New Roman"/>
                      <w:color w:val="auto"/>
                      <w:szCs w:val="21"/>
                      <w:highlight w:val="none"/>
                      <w:vertAlign w:val="baseline"/>
                      <w:lang w:val="en-US" w:eastAsia="zh-CN"/>
                    </w:rPr>
                  </w:pPr>
                  <w:r>
                    <w:rPr>
                      <w:rFonts w:hint="eastAsia" w:ascii="Times New Roman" w:hAnsi="Times New Roman" w:eastAsia="宋体" w:cs="Times New Roman"/>
                      <w:color w:val="auto"/>
                      <w:szCs w:val="21"/>
                      <w:highlight w:val="none"/>
                      <w:vertAlign w:val="baseline"/>
                      <w:lang w:eastAsia="zh-CN"/>
                    </w:rPr>
                    <w:t>返修打砂底架</w:t>
                  </w:r>
                </w:p>
              </w:tc>
              <w:tc>
                <w:tcPr>
                  <w:tcW w:w="468" w:type="pct"/>
                  <w:vAlign w:val="center"/>
                </w:tcPr>
                <w:p>
                  <w:pPr>
                    <w:pStyle w:val="41"/>
                    <w:ind w:firstLine="0" w:firstLineChars="0"/>
                    <w:rPr>
                      <w:rFonts w:hint="eastAsia" w:ascii="Times New Roman" w:hAnsi="Times New Roman" w:eastAsia="宋体" w:cs="Times New Roman"/>
                      <w:color w:val="auto"/>
                      <w:szCs w:val="21"/>
                      <w:highlight w:val="none"/>
                      <w:vertAlign w:val="baseline"/>
                      <w:lang w:val="en-US" w:eastAsia="zh-CN"/>
                    </w:rPr>
                  </w:pPr>
                  <w:r>
                    <w:rPr>
                      <w:rFonts w:hint="eastAsia" w:ascii="Times New Roman" w:hAnsi="Times New Roman" w:eastAsia="宋体" w:cs="Times New Roman"/>
                      <w:color w:val="auto"/>
                      <w:szCs w:val="21"/>
                      <w:highlight w:val="none"/>
                      <w:vertAlign w:val="baseline"/>
                      <w:lang w:val="en-US" w:eastAsia="zh-CN"/>
                    </w:rPr>
                    <w:t>个</w:t>
                  </w:r>
                </w:p>
              </w:tc>
              <w:tc>
                <w:tcPr>
                  <w:tcW w:w="928" w:type="pct"/>
                  <w:vAlign w:val="center"/>
                </w:tcPr>
                <w:p>
                  <w:pPr>
                    <w:pStyle w:val="41"/>
                    <w:ind w:firstLine="0" w:firstLineChars="0"/>
                    <w:rPr>
                      <w:rFonts w:hint="eastAsia" w:ascii="Times New Roman" w:hAnsi="Times New Roman" w:eastAsia="宋体" w:cs="Times New Roman"/>
                      <w:color w:val="auto"/>
                      <w:szCs w:val="21"/>
                      <w:highlight w:val="none"/>
                      <w:vertAlign w:val="baseline"/>
                      <w:lang w:val="en-US" w:eastAsia="zh-CN"/>
                    </w:rPr>
                  </w:pPr>
                  <w:r>
                    <w:rPr>
                      <w:rFonts w:hint="eastAsia" w:ascii="Times New Roman" w:hAnsi="Times New Roman" w:eastAsia="宋体" w:cs="Times New Roman"/>
                      <w:color w:val="auto"/>
                      <w:szCs w:val="21"/>
                      <w:highlight w:val="none"/>
                      <w:vertAlign w:val="baseline"/>
                      <w:lang w:val="en-US" w:eastAsia="zh-CN"/>
                    </w:rPr>
                    <w:t>3</w:t>
                  </w:r>
                </w:p>
              </w:tc>
              <w:tc>
                <w:tcPr>
                  <w:tcW w:w="929" w:type="pct"/>
                  <w:vAlign w:val="center"/>
                </w:tcPr>
                <w:p>
                  <w:pPr>
                    <w:pStyle w:val="41"/>
                    <w:ind w:firstLine="0" w:firstLineChars="0"/>
                    <w:rPr>
                      <w:rFonts w:hint="eastAsia" w:ascii="Times New Roman" w:hAnsi="Times New Roman" w:eastAsia="宋体" w:cs="Times New Roman"/>
                      <w:color w:val="auto"/>
                      <w:szCs w:val="21"/>
                      <w:highlight w:val="none"/>
                      <w:vertAlign w:val="baseline"/>
                      <w:lang w:val="en-US" w:eastAsia="zh-CN"/>
                    </w:rPr>
                  </w:pPr>
                  <w:r>
                    <w:rPr>
                      <w:rFonts w:hint="eastAsia" w:ascii="Times New Roman" w:hAnsi="Times New Roman" w:eastAsia="宋体" w:cs="Times New Roman"/>
                      <w:color w:val="auto"/>
                      <w:szCs w:val="21"/>
                      <w:highlight w:val="none"/>
                      <w:vertAlign w:val="baseline"/>
                      <w:lang w:val="en-US" w:eastAsia="zh-CN"/>
                    </w:rPr>
                    <w:t>2.6</w:t>
                  </w:r>
                </w:p>
              </w:tc>
              <w:tc>
                <w:tcPr>
                  <w:tcW w:w="882" w:type="pct"/>
                  <w:vAlign w:val="center"/>
                </w:tcPr>
                <w:p>
                  <w:pPr>
                    <w:pStyle w:val="41"/>
                    <w:ind w:firstLine="0" w:firstLineChars="0"/>
                    <w:rPr>
                      <w:rFonts w:hint="eastAsia" w:ascii="Times New Roman" w:hAnsi="Times New Roman" w:eastAsia="宋体" w:cs="Times New Roman"/>
                      <w:color w:val="auto"/>
                      <w:szCs w:val="21"/>
                      <w:highlight w:val="none"/>
                      <w:vertAlign w:val="baseline"/>
                      <w:lang w:val="en-US" w:eastAsia="zh-CN"/>
                    </w:rPr>
                  </w:pPr>
                  <w:r>
                    <w:rPr>
                      <w:rFonts w:hint="eastAsia" w:ascii="Times New Roman" w:hAnsi="Times New Roman" w:eastAsia="宋体" w:cs="Times New Roman"/>
                      <w:color w:val="auto"/>
                      <w:szCs w:val="21"/>
                      <w:highlight w:val="none"/>
                      <w:vertAlign w:val="baseline"/>
                      <w:lang w:val="en-US" w:eastAsia="zh-CN"/>
                    </w:rPr>
                    <w:t>87</w:t>
                  </w:r>
                </w:p>
              </w:tc>
            </w:tr>
          </w:tbl>
          <w:p>
            <w:pPr>
              <w:ind w:firstLine="480"/>
              <w:rPr>
                <w:color w:val="auto"/>
                <w:highlight w:val="none"/>
              </w:rPr>
            </w:pPr>
            <w:r>
              <w:rPr>
                <w:color w:val="auto"/>
                <w:highlight w:val="none"/>
              </w:rPr>
              <w:t>监测期间气象情况见表7-</w:t>
            </w:r>
            <w:r>
              <w:rPr>
                <w:rFonts w:hint="eastAsia"/>
                <w:color w:val="auto"/>
                <w:highlight w:val="none"/>
              </w:rPr>
              <w:t>2</w:t>
            </w:r>
            <w:r>
              <w:rPr>
                <w:color w:val="auto"/>
                <w:highlight w:val="none"/>
              </w:rPr>
              <w:t>。</w:t>
            </w:r>
          </w:p>
          <w:p>
            <w:pPr>
              <w:ind w:firstLine="482"/>
              <w:jc w:val="center"/>
              <w:rPr>
                <w:b/>
                <w:bCs/>
                <w:color w:val="auto"/>
                <w:highlight w:val="none"/>
              </w:rPr>
            </w:pPr>
            <w:r>
              <w:rPr>
                <w:b/>
                <w:bCs/>
                <w:color w:val="auto"/>
                <w:highlight w:val="none"/>
              </w:rPr>
              <w:t>表7-</w:t>
            </w:r>
            <w:r>
              <w:rPr>
                <w:rFonts w:hint="eastAsia"/>
                <w:b/>
                <w:bCs/>
                <w:color w:val="auto"/>
                <w:highlight w:val="none"/>
              </w:rPr>
              <w:t>2</w:t>
            </w:r>
            <w:r>
              <w:rPr>
                <w:b/>
                <w:bCs/>
                <w:color w:val="auto"/>
                <w:highlight w:val="none"/>
              </w:rPr>
              <w:t xml:space="preserve">  监测期间气象表</w:t>
            </w:r>
          </w:p>
          <w:tbl>
            <w:tblPr>
              <w:tblStyle w:val="28"/>
              <w:tblW w:w="4997" w:type="pct"/>
              <w:jc w:val="center"/>
              <w:tblLayout w:type="autofit"/>
              <w:tblCellMar>
                <w:top w:w="0" w:type="dxa"/>
                <w:left w:w="108" w:type="dxa"/>
                <w:bottom w:w="0" w:type="dxa"/>
                <w:right w:w="108" w:type="dxa"/>
              </w:tblCellMar>
            </w:tblPr>
            <w:tblGrid>
              <w:gridCol w:w="1213"/>
              <w:gridCol w:w="1217"/>
              <w:gridCol w:w="1104"/>
              <w:gridCol w:w="993"/>
              <w:gridCol w:w="992"/>
              <w:gridCol w:w="881"/>
              <w:gridCol w:w="1219"/>
              <w:gridCol w:w="1325"/>
            </w:tblGrid>
            <w:tr>
              <w:tblPrEx>
                <w:tblCellMar>
                  <w:top w:w="0" w:type="dxa"/>
                  <w:left w:w="108" w:type="dxa"/>
                  <w:bottom w:w="0" w:type="dxa"/>
                  <w:right w:w="108" w:type="dxa"/>
                </w:tblCellMar>
              </w:tblPrEx>
              <w:trPr>
                <w:trHeight w:val="397" w:hRule="atLeast"/>
                <w:jc w:val="center"/>
              </w:trPr>
              <w:tc>
                <w:tcPr>
                  <w:tcW w:w="1358" w:type="pct"/>
                  <w:gridSpan w:val="2"/>
                  <w:tcBorders>
                    <w:top w:val="single" w:color="auto" w:sz="4" w:space="0"/>
                    <w:left w:val="single" w:color="000000" w:sz="4" w:space="0"/>
                    <w:bottom w:val="single" w:color="000000" w:sz="4" w:space="0"/>
                    <w:right w:val="single" w:color="000000" w:sz="4" w:space="0"/>
                  </w:tcBorders>
                  <w:vAlign w:val="center"/>
                </w:tcPr>
                <w:p>
                  <w:pPr>
                    <w:pStyle w:val="49"/>
                    <w:rPr>
                      <w:rFonts w:ascii="Times New Roman" w:hAnsi="Times New Roman" w:eastAsia="宋体" w:cs="Times New Roman"/>
                      <w:b/>
                      <w:bCs/>
                      <w:color w:val="auto"/>
                      <w:sz w:val="21"/>
                      <w:szCs w:val="21"/>
                      <w:highlight w:val="none"/>
                      <w:lang w:val="en-US"/>
                    </w:rPr>
                  </w:pPr>
                  <w:r>
                    <w:rPr>
                      <w:rFonts w:ascii="Times New Roman" w:hAnsi="Times New Roman" w:eastAsia="宋体" w:cs="Times New Roman"/>
                      <w:b/>
                      <w:bCs/>
                      <w:color w:val="auto"/>
                      <w:sz w:val="21"/>
                      <w:szCs w:val="21"/>
                      <w:highlight w:val="none"/>
                      <w:lang w:val="en-US"/>
                    </w:rPr>
                    <w:t>日期</w:t>
                  </w:r>
                </w:p>
              </w:tc>
              <w:tc>
                <w:tcPr>
                  <w:tcW w:w="617" w:type="pct"/>
                  <w:tcBorders>
                    <w:top w:val="single" w:color="auto" w:sz="4" w:space="0"/>
                    <w:left w:val="single" w:color="000000" w:sz="4" w:space="0"/>
                    <w:bottom w:val="single" w:color="000000" w:sz="4" w:space="0"/>
                    <w:right w:val="single" w:color="000000" w:sz="4" w:space="0"/>
                  </w:tcBorders>
                  <w:vAlign w:val="center"/>
                </w:tcPr>
                <w:p>
                  <w:pPr>
                    <w:pStyle w:val="49"/>
                    <w:rPr>
                      <w:rFonts w:ascii="Times New Roman" w:hAnsi="Times New Roman" w:eastAsia="宋体" w:cs="Times New Roman"/>
                      <w:b/>
                      <w:bCs/>
                      <w:color w:val="auto"/>
                      <w:sz w:val="21"/>
                      <w:szCs w:val="21"/>
                      <w:highlight w:val="none"/>
                      <w:lang w:val="en-US"/>
                    </w:rPr>
                  </w:pPr>
                  <w:r>
                    <w:rPr>
                      <w:rFonts w:ascii="Times New Roman" w:hAnsi="Times New Roman" w:eastAsia="宋体" w:cs="Times New Roman"/>
                      <w:b/>
                      <w:bCs/>
                      <w:color w:val="auto"/>
                      <w:sz w:val="21"/>
                      <w:szCs w:val="21"/>
                      <w:highlight w:val="none"/>
                      <w:lang w:val="en-US"/>
                    </w:rPr>
                    <w:t>温度</w:t>
                  </w:r>
                </w:p>
                <w:p>
                  <w:pPr>
                    <w:pStyle w:val="49"/>
                    <w:rPr>
                      <w:rFonts w:ascii="Times New Roman" w:hAnsi="Times New Roman" w:eastAsia="宋体" w:cs="Times New Roman"/>
                      <w:b/>
                      <w:bCs/>
                      <w:color w:val="auto"/>
                      <w:sz w:val="21"/>
                      <w:szCs w:val="21"/>
                      <w:highlight w:val="none"/>
                      <w:lang w:val="en-US"/>
                    </w:rPr>
                  </w:pPr>
                  <w:r>
                    <w:rPr>
                      <w:rFonts w:ascii="Times New Roman" w:hAnsi="Times New Roman" w:eastAsia="宋体" w:cs="Times New Roman"/>
                      <w:b/>
                      <w:bCs/>
                      <w:color w:val="auto"/>
                      <w:sz w:val="21"/>
                      <w:szCs w:val="21"/>
                      <w:highlight w:val="none"/>
                      <w:lang w:val="en-US"/>
                    </w:rPr>
                    <w:t>(℃)</w:t>
                  </w:r>
                </w:p>
              </w:tc>
              <w:tc>
                <w:tcPr>
                  <w:tcW w:w="555" w:type="pct"/>
                  <w:tcBorders>
                    <w:top w:val="single" w:color="auto" w:sz="4" w:space="0"/>
                    <w:left w:val="single" w:color="000000" w:sz="4" w:space="0"/>
                    <w:bottom w:val="single" w:color="000000" w:sz="4" w:space="0"/>
                    <w:right w:val="single" w:color="000000" w:sz="4" w:space="0"/>
                  </w:tcBorders>
                  <w:vAlign w:val="center"/>
                </w:tcPr>
                <w:p>
                  <w:pPr>
                    <w:pStyle w:val="49"/>
                    <w:rPr>
                      <w:rFonts w:ascii="Times New Roman" w:hAnsi="Times New Roman" w:eastAsia="宋体" w:cs="Times New Roman"/>
                      <w:b/>
                      <w:bCs/>
                      <w:color w:val="auto"/>
                      <w:sz w:val="21"/>
                      <w:szCs w:val="21"/>
                      <w:highlight w:val="none"/>
                      <w:lang w:val="en-US" w:eastAsia="zh-CN"/>
                    </w:rPr>
                  </w:pPr>
                  <w:r>
                    <w:rPr>
                      <w:rFonts w:ascii="Times New Roman" w:hAnsi="Times New Roman" w:eastAsia="宋体" w:cs="Times New Roman"/>
                      <w:b/>
                      <w:bCs/>
                      <w:color w:val="auto"/>
                      <w:sz w:val="21"/>
                      <w:szCs w:val="21"/>
                      <w:highlight w:val="none"/>
                      <w:lang w:val="en-US" w:eastAsia="zh-CN"/>
                    </w:rPr>
                    <w:t>湿度</w:t>
                  </w:r>
                </w:p>
                <w:p>
                  <w:pPr>
                    <w:pStyle w:val="49"/>
                    <w:rPr>
                      <w:rFonts w:ascii="Times New Roman" w:hAnsi="Times New Roman" w:eastAsia="宋体" w:cs="Times New Roman"/>
                      <w:b/>
                      <w:bCs/>
                      <w:color w:val="auto"/>
                      <w:szCs w:val="21"/>
                      <w:highlight w:val="none"/>
                      <w:lang w:val="en-US" w:eastAsia="zh-CN"/>
                    </w:rPr>
                  </w:pPr>
                  <w:r>
                    <w:rPr>
                      <w:rFonts w:ascii="Times New Roman" w:hAnsi="Times New Roman" w:eastAsia="宋体" w:cs="Times New Roman"/>
                      <w:b/>
                      <w:bCs/>
                      <w:color w:val="auto"/>
                      <w:sz w:val="21"/>
                      <w:szCs w:val="21"/>
                      <w:highlight w:val="none"/>
                      <w:lang w:val="en-US"/>
                    </w:rPr>
                    <w:t>(</w:t>
                  </w:r>
                  <w:r>
                    <w:rPr>
                      <w:rFonts w:ascii="Times New Roman" w:hAnsi="Times New Roman" w:eastAsia="宋体" w:cs="Times New Roman"/>
                      <w:b/>
                      <w:bCs/>
                      <w:color w:val="auto"/>
                      <w:sz w:val="21"/>
                      <w:szCs w:val="21"/>
                      <w:highlight w:val="none"/>
                      <w:lang w:val="en-US" w:eastAsia="zh-CN"/>
                    </w:rPr>
                    <w:t>%</w:t>
                  </w:r>
                  <w:r>
                    <w:rPr>
                      <w:rFonts w:ascii="Times New Roman" w:hAnsi="Times New Roman" w:eastAsia="宋体" w:cs="Times New Roman"/>
                      <w:b/>
                      <w:bCs/>
                      <w:color w:val="auto"/>
                      <w:sz w:val="21"/>
                      <w:szCs w:val="21"/>
                      <w:highlight w:val="none"/>
                      <w:lang w:val="en-US"/>
                    </w:rPr>
                    <w:t>)</w:t>
                  </w:r>
                </w:p>
              </w:tc>
              <w:tc>
                <w:tcPr>
                  <w:tcW w:w="554" w:type="pct"/>
                  <w:tcBorders>
                    <w:top w:val="single" w:color="auto" w:sz="4" w:space="0"/>
                    <w:left w:val="single" w:color="000000" w:sz="4" w:space="0"/>
                    <w:bottom w:val="single" w:color="000000" w:sz="4" w:space="0"/>
                    <w:right w:val="single" w:color="000000" w:sz="4" w:space="0"/>
                  </w:tcBorders>
                  <w:vAlign w:val="center"/>
                </w:tcPr>
                <w:p>
                  <w:pPr>
                    <w:pStyle w:val="49"/>
                    <w:rPr>
                      <w:rFonts w:ascii="Times New Roman" w:hAnsi="Times New Roman" w:eastAsia="宋体" w:cs="Times New Roman"/>
                      <w:b/>
                      <w:bCs/>
                      <w:color w:val="auto"/>
                      <w:sz w:val="21"/>
                      <w:szCs w:val="21"/>
                      <w:highlight w:val="none"/>
                      <w:lang w:val="en-US"/>
                    </w:rPr>
                  </w:pPr>
                  <w:r>
                    <w:rPr>
                      <w:rFonts w:ascii="Times New Roman" w:hAnsi="Times New Roman" w:eastAsia="宋体" w:cs="Times New Roman"/>
                      <w:b/>
                      <w:bCs/>
                      <w:color w:val="auto"/>
                      <w:sz w:val="21"/>
                      <w:szCs w:val="21"/>
                      <w:highlight w:val="none"/>
                      <w:lang w:val="en-US"/>
                    </w:rPr>
                    <w:t>总云</w:t>
                  </w:r>
                  <w:r>
                    <w:rPr>
                      <w:rFonts w:ascii="Times New Roman" w:hAnsi="Times New Roman" w:eastAsia="宋体" w:cs="Times New Roman"/>
                      <w:b/>
                      <w:bCs/>
                      <w:color w:val="auto"/>
                      <w:sz w:val="21"/>
                      <w:szCs w:val="21"/>
                      <w:highlight w:val="none"/>
                    </w:rPr>
                    <w:t>/低云</w:t>
                  </w:r>
                </w:p>
              </w:tc>
              <w:tc>
                <w:tcPr>
                  <w:tcW w:w="492" w:type="pct"/>
                  <w:tcBorders>
                    <w:top w:val="single" w:color="auto" w:sz="4" w:space="0"/>
                    <w:left w:val="single" w:color="000000" w:sz="4" w:space="0"/>
                    <w:bottom w:val="single" w:color="000000" w:sz="4" w:space="0"/>
                    <w:right w:val="single" w:color="000000" w:sz="4" w:space="0"/>
                  </w:tcBorders>
                  <w:vAlign w:val="center"/>
                </w:tcPr>
                <w:p>
                  <w:pPr>
                    <w:pStyle w:val="49"/>
                    <w:rPr>
                      <w:rFonts w:ascii="Times New Roman" w:hAnsi="Times New Roman" w:eastAsia="宋体" w:cs="Times New Roman"/>
                      <w:b/>
                      <w:bCs/>
                      <w:color w:val="auto"/>
                      <w:sz w:val="21"/>
                      <w:szCs w:val="21"/>
                      <w:highlight w:val="none"/>
                      <w:lang w:val="en-US"/>
                    </w:rPr>
                  </w:pPr>
                  <w:r>
                    <w:rPr>
                      <w:rFonts w:ascii="Times New Roman" w:hAnsi="Times New Roman" w:eastAsia="宋体" w:cs="Times New Roman"/>
                      <w:b/>
                      <w:bCs/>
                      <w:color w:val="auto"/>
                      <w:sz w:val="21"/>
                      <w:szCs w:val="21"/>
                      <w:highlight w:val="none"/>
                      <w:lang w:val="en-US"/>
                    </w:rPr>
                    <w:t>风向</w:t>
                  </w:r>
                </w:p>
              </w:tc>
              <w:tc>
                <w:tcPr>
                  <w:tcW w:w="681" w:type="pct"/>
                  <w:tcBorders>
                    <w:top w:val="single" w:color="auto" w:sz="4" w:space="0"/>
                    <w:left w:val="single" w:color="000000" w:sz="4" w:space="0"/>
                    <w:bottom w:val="single" w:color="000000" w:sz="4" w:space="0"/>
                    <w:right w:val="single" w:color="000000" w:sz="4" w:space="0"/>
                  </w:tcBorders>
                  <w:vAlign w:val="center"/>
                </w:tcPr>
                <w:p>
                  <w:pPr>
                    <w:pStyle w:val="49"/>
                    <w:rPr>
                      <w:rFonts w:ascii="Times New Roman" w:hAnsi="Times New Roman" w:eastAsia="宋体" w:cs="Times New Roman"/>
                      <w:b/>
                      <w:bCs/>
                      <w:color w:val="auto"/>
                      <w:sz w:val="21"/>
                      <w:szCs w:val="21"/>
                      <w:highlight w:val="none"/>
                      <w:lang w:val="en-US"/>
                    </w:rPr>
                  </w:pPr>
                  <w:r>
                    <w:rPr>
                      <w:rFonts w:ascii="Times New Roman" w:hAnsi="Times New Roman" w:eastAsia="宋体" w:cs="Times New Roman"/>
                      <w:b/>
                      <w:bCs/>
                      <w:color w:val="auto"/>
                      <w:sz w:val="21"/>
                      <w:szCs w:val="21"/>
                      <w:highlight w:val="none"/>
                      <w:lang w:val="en-US"/>
                    </w:rPr>
                    <w:t>风速</w:t>
                  </w:r>
                </w:p>
                <w:p>
                  <w:pPr>
                    <w:pStyle w:val="49"/>
                    <w:rPr>
                      <w:rFonts w:ascii="Times New Roman" w:hAnsi="Times New Roman" w:eastAsia="宋体" w:cs="Times New Roman"/>
                      <w:b/>
                      <w:bCs/>
                      <w:color w:val="auto"/>
                      <w:sz w:val="21"/>
                      <w:szCs w:val="21"/>
                      <w:highlight w:val="none"/>
                      <w:lang w:val="en-US"/>
                    </w:rPr>
                  </w:pPr>
                  <w:r>
                    <w:rPr>
                      <w:rFonts w:ascii="Times New Roman" w:hAnsi="Times New Roman" w:eastAsia="宋体" w:cs="Times New Roman"/>
                      <w:b/>
                      <w:bCs/>
                      <w:color w:val="auto"/>
                      <w:sz w:val="21"/>
                      <w:szCs w:val="21"/>
                      <w:highlight w:val="none"/>
                      <w:lang w:val="en-US"/>
                    </w:rPr>
                    <w:t>(m/s)</w:t>
                  </w:r>
                </w:p>
              </w:tc>
              <w:tc>
                <w:tcPr>
                  <w:tcW w:w="740" w:type="pct"/>
                  <w:tcBorders>
                    <w:top w:val="single" w:color="auto" w:sz="4" w:space="0"/>
                    <w:left w:val="single" w:color="000000" w:sz="4" w:space="0"/>
                    <w:bottom w:val="single" w:color="000000" w:sz="4" w:space="0"/>
                    <w:right w:val="single" w:color="auto" w:sz="4" w:space="0"/>
                  </w:tcBorders>
                  <w:vAlign w:val="center"/>
                </w:tcPr>
                <w:p>
                  <w:pPr>
                    <w:pStyle w:val="49"/>
                    <w:rPr>
                      <w:rFonts w:ascii="Times New Roman" w:hAnsi="Times New Roman" w:eastAsia="宋体" w:cs="Times New Roman"/>
                      <w:b/>
                      <w:bCs/>
                      <w:color w:val="auto"/>
                      <w:sz w:val="21"/>
                      <w:szCs w:val="21"/>
                      <w:highlight w:val="none"/>
                      <w:lang w:val="en-US"/>
                    </w:rPr>
                  </w:pPr>
                  <w:r>
                    <w:rPr>
                      <w:rFonts w:ascii="Times New Roman" w:hAnsi="Times New Roman" w:eastAsia="宋体" w:cs="Times New Roman"/>
                      <w:b/>
                      <w:bCs/>
                      <w:color w:val="auto"/>
                      <w:sz w:val="21"/>
                      <w:szCs w:val="21"/>
                      <w:highlight w:val="none"/>
                      <w:lang w:val="en-US"/>
                    </w:rPr>
                    <w:t>大气压(</w:t>
                  </w:r>
                  <w:r>
                    <w:rPr>
                      <w:rFonts w:ascii="Times New Roman" w:hAnsi="Times New Roman" w:eastAsia="宋体" w:cs="Times New Roman"/>
                      <w:b/>
                      <w:bCs/>
                      <w:color w:val="auto"/>
                      <w:sz w:val="21"/>
                      <w:szCs w:val="21"/>
                      <w:highlight w:val="none"/>
                      <w:lang w:val="en-US" w:eastAsia="zh-CN"/>
                    </w:rPr>
                    <w:t>k</w:t>
                  </w:r>
                  <w:r>
                    <w:rPr>
                      <w:rFonts w:ascii="Times New Roman" w:hAnsi="Times New Roman" w:eastAsia="宋体" w:cs="Times New Roman"/>
                      <w:b/>
                      <w:bCs/>
                      <w:color w:val="auto"/>
                      <w:sz w:val="21"/>
                      <w:szCs w:val="21"/>
                      <w:highlight w:val="none"/>
                      <w:lang w:val="en-US"/>
                    </w:rPr>
                    <w:t>Pa)</w:t>
                  </w:r>
                </w:p>
              </w:tc>
            </w:tr>
            <w:tr>
              <w:tblPrEx>
                <w:tblCellMar>
                  <w:top w:w="0" w:type="dxa"/>
                  <w:left w:w="108" w:type="dxa"/>
                  <w:bottom w:w="0" w:type="dxa"/>
                  <w:right w:w="108" w:type="dxa"/>
                </w:tblCellMar>
              </w:tblPrEx>
              <w:trPr>
                <w:trHeight w:val="397" w:hRule="atLeast"/>
                <w:jc w:val="center"/>
              </w:trPr>
              <w:tc>
                <w:tcPr>
                  <w:tcW w:w="678" w:type="pct"/>
                  <w:vMerge w:val="restart"/>
                  <w:tcBorders>
                    <w:top w:val="single" w:color="000000" w:sz="4" w:space="0"/>
                    <w:left w:val="single" w:color="auto" w:sz="4" w:space="0"/>
                    <w:right w:val="single" w:color="000000" w:sz="4" w:space="0"/>
                  </w:tcBorders>
                  <w:vAlign w:val="center"/>
                </w:tcPr>
                <w:p>
                  <w:pPr>
                    <w:pStyle w:val="49"/>
                    <w:rPr>
                      <w:rFonts w:ascii="Times New Roman" w:hAnsi="Times New Roman" w:eastAsia="宋体" w:cs="Times New Roman"/>
                      <w:bCs w:val="0"/>
                      <w:color w:val="auto"/>
                      <w:sz w:val="21"/>
                      <w:szCs w:val="21"/>
                      <w:highlight w:val="none"/>
                      <w:lang w:val="en-US" w:eastAsia="zh-CN"/>
                    </w:rPr>
                  </w:pPr>
                  <w:r>
                    <w:rPr>
                      <w:rFonts w:ascii="Times New Roman" w:hAnsi="Times New Roman" w:eastAsia="宋体" w:cs="Times New Roman"/>
                      <w:bCs w:val="0"/>
                      <w:color w:val="auto"/>
                      <w:sz w:val="21"/>
                      <w:szCs w:val="21"/>
                      <w:highlight w:val="none"/>
                      <w:lang w:val="en-US" w:eastAsia="zh-CN"/>
                    </w:rPr>
                    <w:t>202</w:t>
                  </w:r>
                  <w:r>
                    <w:rPr>
                      <w:rFonts w:hint="default" w:ascii="Times New Roman" w:hAnsi="Times New Roman" w:eastAsia="宋体" w:cs="Times New Roman"/>
                      <w:bCs w:val="0"/>
                      <w:color w:val="auto"/>
                      <w:sz w:val="21"/>
                      <w:szCs w:val="21"/>
                      <w:highlight w:val="none"/>
                      <w:lang w:val="en-US" w:eastAsia="zh-CN"/>
                    </w:rPr>
                    <w:t>3</w:t>
                  </w:r>
                  <w:r>
                    <w:rPr>
                      <w:rFonts w:ascii="Times New Roman" w:hAnsi="Times New Roman" w:eastAsia="宋体" w:cs="Times New Roman"/>
                      <w:bCs w:val="0"/>
                      <w:color w:val="auto"/>
                      <w:sz w:val="21"/>
                      <w:szCs w:val="21"/>
                      <w:highlight w:val="none"/>
                      <w:lang w:val="en-US" w:eastAsia="zh-CN"/>
                    </w:rPr>
                    <w:t>.</w:t>
                  </w:r>
                </w:p>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09</w:t>
                  </w:r>
                  <w:r>
                    <w:rPr>
                      <w:rFonts w:ascii="Times New Roman" w:hAnsi="Times New Roman" w:eastAsia="宋体" w:cs="Times New Roman"/>
                      <w:bCs w:val="0"/>
                      <w:color w:val="auto"/>
                      <w:sz w:val="21"/>
                      <w:szCs w:val="21"/>
                      <w:highlight w:val="none"/>
                      <w:lang w:val="en-US" w:eastAsia="zh-CN"/>
                    </w:rPr>
                    <w:t>.</w:t>
                  </w:r>
                  <w:r>
                    <w:rPr>
                      <w:rFonts w:hint="default" w:ascii="Times New Roman" w:hAnsi="Times New Roman" w:eastAsia="宋体" w:cs="Times New Roman"/>
                      <w:bCs w:val="0"/>
                      <w:color w:val="auto"/>
                      <w:sz w:val="21"/>
                      <w:szCs w:val="21"/>
                      <w:highlight w:val="none"/>
                      <w:lang w:val="en-US" w:eastAsia="zh-CN"/>
                    </w:rPr>
                    <w:t>05</w:t>
                  </w:r>
                </w:p>
              </w:tc>
              <w:tc>
                <w:tcPr>
                  <w:tcW w:w="679"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9:47</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28.3</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60</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SW</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1.8</w:t>
                  </w:r>
                </w:p>
              </w:tc>
              <w:tc>
                <w:tcPr>
                  <w:tcW w:w="740" w:type="pct"/>
                  <w:tcBorders>
                    <w:top w:val="single" w:color="000000" w:sz="4" w:space="0"/>
                    <w:left w:val="single" w:color="000000" w:sz="4" w:space="0"/>
                    <w:bottom w:val="single" w:color="000000" w:sz="4" w:space="0"/>
                    <w:right w:val="single" w:color="auto" w:sz="4" w:space="0"/>
                  </w:tcBorders>
                  <w:vAlign w:val="center"/>
                </w:tcPr>
                <w:p>
                  <w:pPr>
                    <w:pStyle w:val="4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101.51</w:t>
                  </w:r>
                </w:p>
              </w:tc>
            </w:tr>
            <w:tr>
              <w:tblPrEx>
                <w:tblCellMar>
                  <w:top w:w="0" w:type="dxa"/>
                  <w:left w:w="108" w:type="dxa"/>
                  <w:bottom w:w="0" w:type="dxa"/>
                  <w:right w:w="108" w:type="dxa"/>
                </w:tblCellMar>
              </w:tblPrEx>
              <w:trPr>
                <w:trHeight w:val="397" w:hRule="atLeast"/>
                <w:jc w:val="center"/>
              </w:trPr>
              <w:tc>
                <w:tcPr>
                  <w:tcW w:w="678" w:type="pct"/>
                  <w:vMerge w:val="continue"/>
                  <w:tcBorders>
                    <w:left w:val="single" w:color="auto" w:sz="4" w:space="0"/>
                    <w:right w:val="single" w:color="000000" w:sz="4" w:space="0"/>
                  </w:tcBorders>
                  <w:vAlign w:val="center"/>
                </w:tcPr>
                <w:p>
                  <w:pPr>
                    <w:pStyle w:val="49"/>
                    <w:rPr>
                      <w:rFonts w:hint="default" w:ascii="Times New Roman" w:hAnsi="Times New Roman" w:eastAsia="宋体" w:cs="Times New Roman"/>
                      <w:bCs w:val="0"/>
                      <w:color w:val="auto"/>
                      <w:sz w:val="21"/>
                      <w:szCs w:val="21"/>
                      <w:highlight w:val="none"/>
                      <w:lang w:val="en-US" w:eastAsia="zh-CN"/>
                    </w:rPr>
                  </w:pPr>
                </w:p>
              </w:tc>
              <w:tc>
                <w:tcPr>
                  <w:tcW w:w="679"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11:08</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30.2</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52</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SW</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1.5</w:t>
                  </w:r>
                </w:p>
              </w:tc>
              <w:tc>
                <w:tcPr>
                  <w:tcW w:w="740" w:type="pct"/>
                  <w:tcBorders>
                    <w:top w:val="single" w:color="000000" w:sz="4" w:space="0"/>
                    <w:left w:val="single" w:color="000000" w:sz="4" w:space="0"/>
                    <w:bottom w:val="single" w:color="000000" w:sz="4" w:space="0"/>
                    <w:right w:val="single" w:color="auto" w:sz="4" w:space="0"/>
                  </w:tcBorders>
                  <w:vAlign w:val="center"/>
                </w:tcPr>
                <w:p>
                  <w:pPr>
                    <w:pStyle w:val="4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101.47</w:t>
                  </w:r>
                </w:p>
              </w:tc>
            </w:tr>
            <w:tr>
              <w:tblPrEx>
                <w:tblCellMar>
                  <w:top w:w="0" w:type="dxa"/>
                  <w:left w:w="108" w:type="dxa"/>
                  <w:bottom w:w="0" w:type="dxa"/>
                  <w:right w:w="108" w:type="dxa"/>
                </w:tblCellMar>
              </w:tblPrEx>
              <w:trPr>
                <w:trHeight w:val="397" w:hRule="atLeast"/>
                <w:jc w:val="center"/>
              </w:trPr>
              <w:tc>
                <w:tcPr>
                  <w:tcW w:w="678" w:type="pct"/>
                  <w:vMerge w:val="continue"/>
                  <w:tcBorders>
                    <w:left w:val="single" w:color="auto" w:sz="4" w:space="0"/>
                    <w:right w:val="single" w:color="000000" w:sz="4" w:space="0"/>
                  </w:tcBorders>
                  <w:vAlign w:val="center"/>
                </w:tcPr>
                <w:p>
                  <w:pPr>
                    <w:pStyle w:val="49"/>
                    <w:rPr>
                      <w:rFonts w:hint="default" w:ascii="Times New Roman" w:hAnsi="Times New Roman" w:eastAsia="宋体" w:cs="Times New Roman"/>
                      <w:bCs w:val="0"/>
                      <w:color w:val="auto"/>
                      <w:sz w:val="21"/>
                      <w:szCs w:val="21"/>
                      <w:highlight w:val="none"/>
                      <w:lang w:val="en-US" w:eastAsia="zh-CN"/>
                    </w:rPr>
                  </w:pPr>
                </w:p>
              </w:tc>
              <w:tc>
                <w:tcPr>
                  <w:tcW w:w="679" w:type="pct"/>
                  <w:tcBorders>
                    <w:top w:val="single" w:color="000000" w:sz="4" w:space="0"/>
                    <w:left w:val="single" w:color="000000" w:sz="4" w:space="0"/>
                    <w:bottom w:val="single" w:color="auto"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13:11</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32.3</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48</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SW</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1.4</w:t>
                  </w:r>
                </w:p>
              </w:tc>
              <w:tc>
                <w:tcPr>
                  <w:tcW w:w="740" w:type="pct"/>
                  <w:tcBorders>
                    <w:top w:val="single" w:color="000000" w:sz="4" w:space="0"/>
                    <w:left w:val="single" w:color="000000" w:sz="4" w:space="0"/>
                    <w:bottom w:val="single" w:color="000000" w:sz="4" w:space="0"/>
                    <w:right w:val="single" w:color="auto" w:sz="4" w:space="0"/>
                  </w:tcBorders>
                  <w:vAlign w:val="center"/>
                </w:tcPr>
                <w:p>
                  <w:pPr>
                    <w:pStyle w:val="4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101.26</w:t>
                  </w:r>
                </w:p>
              </w:tc>
            </w:tr>
            <w:tr>
              <w:tblPrEx>
                <w:tblCellMar>
                  <w:top w:w="0" w:type="dxa"/>
                  <w:left w:w="108" w:type="dxa"/>
                  <w:bottom w:w="0" w:type="dxa"/>
                  <w:right w:w="108" w:type="dxa"/>
                </w:tblCellMar>
              </w:tblPrEx>
              <w:trPr>
                <w:trHeight w:val="397" w:hRule="atLeast"/>
                <w:jc w:val="center"/>
              </w:trPr>
              <w:tc>
                <w:tcPr>
                  <w:tcW w:w="678" w:type="pct"/>
                  <w:vMerge w:val="restart"/>
                  <w:tcBorders>
                    <w:top w:val="single" w:color="000000" w:sz="4" w:space="0"/>
                    <w:left w:val="single" w:color="auto" w:sz="4" w:space="0"/>
                    <w:right w:val="single" w:color="000000" w:sz="4" w:space="0"/>
                  </w:tcBorders>
                  <w:vAlign w:val="center"/>
                </w:tcPr>
                <w:p>
                  <w:pPr>
                    <w:pStyle w:val="49"/>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2023.</w:t>
                  </w:r>
                </w:p>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Cs w:val="0"/>
                      <w:color w:val="auto"/>
                      <w:sz w:val="21"/>
                      <w:szCs w:val="21"/>
                      <w:highlight w:val="none"/>
                      <w:lang w:val="en-US" w:eastAsia="zh-CN"/>
                    </w:rPr>
                    <w:t>09.06</w:t>
                  </w:r>
                </w:p>
              </w:tc>
              <w:tc>
                <w:tcPr>
                  <w:tcW w:w="679"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9:20</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28.6</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59</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3/1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SW</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1.6</w:t>
                  </w:r>
                </w:p>
              </w:tc>
              <w:tc>
                <w:tcPr>
                  <w:tcW w:w="740" w:type="pct"/>
                  <w:tcBorders>
                    <w:top w:val="single" w:color="000000" w:sz="4" w:space="0"/>
                    <w:left w:val="single" w:color="000000" w:sz="4" w:space="0"/>
                    <w:bottom w:val="single" w:color="000000" w:sz="4" w:space="0"/>
                    <w:right w:val="single" w:color="auto" w:sz="4" w:space="0"/>
                  </w:tcBorders>
                  <w:vAlign w:val="center"/>
                </w:tcPr>
                <w:p>
                  <w:pPr>
                    <w:pStyle w:val="4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99.79</w:t>
                  </w:r>
                </w:p>
              </w:tc>
            </w:tr>
            <w:tr>
              <w:tblPrEx>
                <w:tblCellMar>
                  <w:top w:w="0" w:type="dxa"/>
                  <w:left w:w="108" w:type="dxa"/>
                  <w:bottom w:w="0" w:type="dxa"/>
                  <w:right w:w="108" w:type="dxa"/>
                </w:tblCellMar>
              </w:tblPrEx>
              <w:trPr>
                <w:trHeight w:val="397" w:hRule="atLeast"/>
                <w:jc w:val="center"/>
              </w:trPr>
              <w:tc>
                <w:tcPr>
                  <w:tcW w:w="678" w:type="pct"/>
                  <w:vMerge w:val="continue"/>
                  <w:tcBorders>
                    <w:left w:val="single" w:color="auto"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p>
              </w:tc>
              <w:tc>
                <w:tcPr>
                  <w:tcW w:w="679"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10:37</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29.4</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50</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SW</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1.5</w:t>
                  </w:r>
                </w:p>
              </w:tc>
              <w:tc>
                <w:tcPr>
                  <w:tcW w:w="740" w:type="pct"/>
                  <w:tcBorders>
                    <w:top w:val="single" w:color="000000" w:sz="4" w:space="0"/>
                    <w:left w:val="single" w:color="000000" w:sz="4" w:space="0"/>
                    <w:bottom w:val="single" w:color="000000" w:sz="4" w:space="0"/>
                    <w:right w:val="single" w:color="auto" w:sz="4" w:space="0"/>
                  </w:tcBorders>
                  <w:vAlign w:val="center"/>
                </w:tcPr>
                <w:p>
                  <w:pPr>
                    <w:pStyle w:val="4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99.77</w:t>
                  </w:r>
                </w:p>
              </w:tc>
            </w:tr>
            <w:tr>
              <w:tblPrEx>
                <w:tblCellMar>
                  <w:top w:w="0" w:type="dxa"/>
                  <w:left w:w="108" w:type="dxa"/>
                  <w:bottom w:w="0" w:type="dxa"/>
                  <w:right w:w="108" w:type="dxa"/>
                </w:tblCellMar>
              </w:tblPrEx>
              <w:trPr>
                <w:trHeight w:val="397" w:hRule="atLeast"/>
                <w:jc w:val="center"/>
              </w:trPr>
              <w:tc>
                <w:tcPr>
                  <w:tcW w:w="678" w:type="pct"/>
                  <w:vMerge w:val="continue"/>
                  <w:tcBorders>
                    <w:left w:val="single" w:color="auto" w:sz="4" w:space="0"/>
                    <w:bottom w:val="single" w:color="auto" w:sz="4" w:space="0"/>
                    <w:right w:val="single" w:color="000000" w:sz="4" w:space="0"/>
                  </w:tcBorders>
                  <w:vAlign w:val="center"/>
                </w:tcPr>
                <w:p>
                  <w:pPr>
                    <w:pStyle w:val="49"/>
                    <w:rPr>
                      <w:rFonts w:hint="default" w:ascii="Times New Roman" w:hAnsi="Times New Roman" w:eastAsia="宋体" w:cs="Times New Roman"/>
                      <w:bCs w:val="0"/>
                      <w:color w:val="auto"/>
                      <w:sz w:val="21"/>
                      <w:szCs w:val="21"/>
                      <w:highlight w:val="none"/>
                      <w:lang w:val="en-US" w:eastAsia="zh-CN"/>
                    </w:rPr>
                  </w:pPr>
                </w:p>
              </w:tc>
              <w:tc>
                <w:tcPr>
                  <w:tcW w:w="679" w:type="pct"/>
                  <w:tcBorders>
                    <w:top w:val="single" w:color="000000" w:sz="4" w:space="0"/>
                    <w:left w:val="single" w:color="000000" w:sz="4" w:space="0"/>
                    <w:bottom w:val="single" w:color="auto"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13:20</w:t>
                  </w:r>
                </w:p>
              </w:tc>
              <w:tc>
                <w:tcPr>
                  <w:tcW w:w="617" w:type="pct"/>
                  <w:tcBorders>
                    <w:top w:val="single" w:color="000000" w:sz="4" w:space="0"/>
                    <w:left w:val="single" w:color="000000" w:sz="4" w:space="0"/>
                    <w:bottom w:val="single" w:color="auto"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31.5</w:t>
                  </w:r>
                </w:p>
              </w:tc>
              <w:tc>
                <w:tcPr>
                  <w:tcW w:w="555" w:type="pct"/>
                  <w:tcBorders>
                    <w:top w:val="single" w:color="000000" w:sz="4" w:space="0"/>
                    <w:left w:val="single" w:color="000000" w:sz="4" w:space="0"/>
                    <w:bottom w:val="single" w:color="auto"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48</w:t>
                  </w:r>
                </w:p>
              </w:tc>
              <w:tc>
                <w:tcPr>
                  <w:tcW w:w="554" w:type="pct"/>
                  <w:tcBorders>
                    <w:top w:val="single" w:color="000000" w:sz="4" w:space="0"/>
                    <w:left w:val="single" w:color="000000" w:sz="4" w:space="0"/>
                    <w:bottom w:val="single" w:color="auto" w:sz="4" w:space="0"/>
                    <w:right w:val="single" w:color="000000" w:sz="4" w:space="0"/>
                  </w:tcBorders>
                  <w:vAlign w:val="center"/>
                </w:tcPr>
                <w:p>
                  <w:pPr>
                    <w:pStyle w:val="4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2/1</w:t>
                  </w:r>
                </w:p>
              </w:tc>
              <w:tc>
                <w:tcPr>
                  <w:tcW w:w="492" w:type="pct"/>
                  <w:tcBorders>
                    <w:top w:val="single" w:color="000000" w:sz="4" w:space="0"/>
                    <w:left w:val="single" w:color="000000" w:sz="4" w:space="0"/>
                    <w:bottom w:val="single" w:color="auto" w:sz="4" w:space="0"/>
                    <w:right w:val="single" w:color="000000" w:sz="4" w:space="0"/>
                  </w:tcBorders>
                  <w:vAlign w:val="center"/>
                </w:tcPr>
                <w:p>
                  <w:pPr>
                    <w:pStyle w:val="4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SW</w:t>
                  </w:r>
                </w:p>
              </w:tc>
              <w:tc>
                <w:tcPr>
                  <w:tcW w:w="681" w:type="pct"/>
                  <w:tcBorders>
                    <w:top w:val="single" w:color="000000" w:sz="4" w:space="0"/>
                    <w:left w:val="single" w:color="000000" w:sz="4" w:space="0"/>
                    <w:bottom w:val="single" w:color="auto" w:sz="4" w:space="0"/>
                    <w:right w:val="single" w:color="000000" w:sz="4" w:space="0"/>
                  </w:tcBorders>
                  <w:vAlign w:val="center"/>
                </w:tcPr>
                <w:p>
                  <w:pPr>
                    <w:pStyle w:val="4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1.3</w:t>
                  </w:r>
                </w:p>
              </w:tc>
              <w:tc>
                <w:tcPr>
                  <w:tcW w:w="740" w:type="pct"/>
                  <w:tcBorders>
                    <w:top w:val="single" w:color="000000" w:sz="4" w:space="0"/>
                    <w:left w:val="single" w:color="000000" w:sz="4" w:space="0"/>
                    <w:bottom w:val="single" w:color="auto" w:sz="4" w:space="0"/>
                    <w:right w:val="single" w:color="auto" w:sz="4" w:space="0"/>
                  </w:tcBorders>
                  <w:vAlign w:val="center"/>
                </w:tcPr>
                <w:p>
                  <w:pPr>
                    <w:pStyle w:val="4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99.63</w:t>
                  </w:r>
                </w:p>
              </w:tc>
            </w:tr>
          </w:tbl>
          <w:p>
            <w:pPr>
              <w:pStyle w:val="2"/>
              <w:numPr>
                <w:ilvl w:val="0"/>
                <w:numId w:val="5"/>
              </w:numPr>
              <w:ind w:firstLine="482"/>
              <w:rPr>
                <w:rFonts w:cs="Times New Roman"/>
                <w:b/>
                <w:bCs/>
                <w:color w:val="auto"/>
                <w:szCs w:val="24"/>
                <w:highlight w:val="none"/>
              </w:rPr>
            </w:pPr>
            <w:r>
              <w:rPr>
                <w:rFonts w:cs="Times New Roman"/>
                <w:b/>
                <w:bCs/>
                <w:color w:val="auto"/>
                <w:szCs w:val="24"/>
                <w:highlight w:val="none"/>
              </w:rPr>
              <w:t>验收监测结果</w:t>
            </w:r>
          </w:p>
          <w:p>
            <w:pPr>
              <w:numPr>
                <w:ilvl w:val="0"/>
                <w:numId w:val="6"/>
              </w:numPr>
              <w:snapToGrid w:val="0"/>
              <w:ind w:firstLine="482"/>
              <w:rPr>
                <w:b/>
                <w:bCs/>
                <w:color w:val="auto"/>
                <w:highlight w:val="none"/>
              </w:rPr>
            </w:pPr>
            <w:r>
              <w:rPr>
                <w:b/>
                <w:bCs/>
                <w:color w:val="auto"/>
                <w:highlight w:val="none"/>
              </w:rPr>
              <w:t>废气</w:t>
            </w:r>
          </w:p>
          <w:p>
            <w:pPr>
              <w:pStyle w:val="2"/>
              <w:rPr>
                <w:rFonts w:hint="eastAsia" w:cs="Times New Roman"/>
                <w:color w:val="auto"/>
                <w:szCs w:val="24"/>
                <w:highlight w:val="none"/>
              </w:rPr>
            </w:pPr>
            <w:r>
              <w:rPr>
                <w:rFonts w:hint="eastAsia" w:cs="Times New Roman"/>
                <w:color w:val="auto"/>
                <w:szCs w:val="24"/>
                <w:highlight w:val="none"/>
              </w:rPr>
              <w:t>项目产生的废气主要是打砂过程中产生的打砂粉尘。</w:t>
            </w:r>
          </w:p>
          <w:p>
            <w:pPr>
              <w:pStyle w:val="2"/>
              <w:rPr>
                <w:rFonts w:hint="eastAsia" w:cs="Times New Roman"/>
                <w:color w:val="auto"/>
                <w:szCs w:val="24"/>
                <w:highlight w:val="none"/>
              </w:rPr>
            </w:pPr>
            <w:r>
              <w:rPr>
                <w:rFonts w:hint="eastAsia" w:cs="Times New Roman"/>
                <w:color w:val="auto"/>
                <w:szCs w:val="24"/>
                <w:highlight w:val="none"/>
              </w:rPr>
              <w:t>①有组织废气：</w:t>
            </w:r>
          </w:p>
          <w:p>
            <w:pPr>
              <w:pStyle w:val="2"/>
              <w:rPr>
                <w:rFonts w:hint="eastAsia" w:cs="Times New Roman"/>
                <w:color w:val="auto"/>
                <w:szCs w:val="24"/>
                <w:highlight w:val="none"/>
              </w:rPr>
            </w:pPr>
            <w:r>
              <w:rPr>
                <w:rFonts w:hint="eastAsia" w:cs="Times New Roman"/>
                <w:color w:val="auto"/>
                <w:szCs w:val="24"/>
                <w:highlight w:val="none"/>
              </w:rPr>
              <w:t>打砂粉尘收集后经旋风分离器和GK-48滤筒除尘器装置处理后通过22米高排气筒（DA035）排放。</w:t>
            </w:r>
          </w:p>
          <w:p>
            <w:pPr>
              <w:pStyle w:val="2"/>
              <w:rPr>
                <w:rFonts w:hint="eastAsia" w:cs="Times New Roman"/>
                <w:color w:val="auto"/>
                <w:szCs w:val="24"/>
                <w:highlight w:val="none"/>
              </w:rPr>
            </w:pPr>
            <w:r>
              <w:rPr>
                <w:rFonts w:hint="eastAsia" w:cs="Times New Roman"/>
                <w:color w:val="auto"/>
                <w:szCs w:val="24"/>
                <w:highlight w:val="none"/>
              </w:rPr>
              <w:t>②无组织废气：</w:t>
            </w:r>
          </w:p>
          <w:p>
            <w:pPr>
              <w:pStyle w:val="2"/>
              <w:rPr>
                <w:rFonts w:hint="eastAsia" w:cs="Times New Roman"/>
                <w:color w:val="auto"/>
                <w:szCs w:val="24"/>
                <w:highlight w:val="none"/>
              </w:rPr>
            </w:pPr>
            <w:r>
              <w:rPr>
                <w:rFonts w:hint="eastAsia" w:cs="Times New Roman"/>
                <w:color w:val="auto"/>
                <w:szCs w:val="24"/>
                <w:highlight w:val="none"/>
              </w:rPr>
              <w:t>未被收集的打砂粉尘，车间通风后无组织排放。</w:t>
            </w:r>
          </w:p>
          <w:p>
            <w:pPr>
              <w:pStyle w:val="2"/>
              <w:snapToGrid w:val="0"/>
              <w:rPr>
                <w:rFonts w:cs="Times New Roman"/>
                <w:color w:val="auto"/>
                <w:szCs w:val="24"/>
                <w:highlight w:val="none"/>
              </w:rPr>
            </w:pPr>
            <w:r>
              <w:rPr>
                <w:rFonts w:cs="Times New Roman"/>
                <w:color w:val="auto"/>
                <w:szCs w:val="24"/>
                <w:highlight w:val="none"/>
              </w:rPr>
              <w:t>监测结果见下表：</w:t>
            </w:r>
          </w:p>
          <w:p>
            <w:pPr>
              <w:adjustRightInd w:val="0"/>
              <w:snapToGrid w:val="0"/>
              <w:ind w:firstLine="482"/>
              <w:jc w:val="center"/>
              <w:rPr>
                <w:b/>
                <w:bCs/>
                <w:color w:val="auto"/>
                <w:highlight w:val="none"/>
              </w:rPr>
            </w:pPr>
          </w:p>
          <w:p>
            <w:pPr>
              <w:adjustRightInd w:val="0"/>
              <w:snapToGrid w:val="0"/>
              <w:ind w:firstLine="482"/>
              <w:jc w:val="center"/>
              <w:rPr>
                <w:b/>
                <w:bCs/>
                <w:color w:val="auto"/>
                <w:highlight w:val="none"/>
              </w:rPr>
            </w:pPr>
          </w:p>
          <w:p>
            <w:pPr>
              <w:adjustRightInd w:val="0"/>
              <w:snapToGrid w:val="0"/>
              <w:ind w:firstLine="482"/>
              <w:jc w:val="center"/>
              <w:rPr>
                <w:b/>
                <w:bCs/>
                <w:color w:val="auto"/>
                <w:highlight w:val="none"/>
              </w:rPr>
            </w:pPr>
          </w:p>
          <w:p>
            <w:pPr>
              <w:adjustRightInd w:val="0"/>
              <w:snapToGrid w:val="0"/>
              <w:ind w:firstLine="482"/>
              <w:jc w:val="center"/>
              <w:rPr>
                <w:b/>
                <w:bCs/>
                <w:color w:val="auto"/>
                <w:highlight w:val="none"/>
              </w:rPr>
            </w:pPr>
          </w:p>
          <w:p>
            <w:pPr>
              <w:adjustRightInd w:val="0"/>
              <w:snapToGrid w:val="0"/>
              <w:ind w:firstLine="482"/>
              <w:jc w:val="center"/>
              <w:rPr>
                <w:b/>
                <w:bCs/>
                <w:color w:val="auto"/>
                <w:highlight w:val="none"/>
              </w:rPr>
            </w:pPr>
          </w:p>
          <w:p>
            <w:pPr>
              <w:adjustRightInd w:val="0"/>
              <w:snapToGrid w:val="0"/>
              <w:ind w:firstLine="482"/>
              <w:jc w:val="center"/>
              <w:rPr>
                <w:b/>
                <w:bCs/>
                <w:color w:val="auto"/>
                <w:highlight w:val="none"/>
              </w:rPr>
            </w:pPr>
            <w:r>
              <w:rPr>
                <w:b/>
                <w:bCs/>
                <w:color w:val="auto"/>
                <w:highlight w:val="none"/>
              </w:rPr>
              <w:t>表7-</w:t>
            </w:r>
            <w:r>
              <w:rPr>
                <w:rFonts w:hint="eastAsia"/>
                <w:b/>
                <w:bCs/>
                <w:color w:val="auto"/>
                <w:highlight w:val="none"/>
              </w:rPr>
              <w:t>3</w:t>
            </w:r>
            <w:r>
              <w:rPr>
                <w:b/>
                <w:bCs/>
                <w:color w:val="auto"/>
                <w:highlight w:val="none"/>
              </w:rPr>
              <w:t xml:space="preserve">  有组织废气监测结果表</w:t>
            </w:r>
          </w:p>
          <w:tbl>
            <w:tblPr>
              <w:tblStyle w:val="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5"/>
              <w:gridCol w:w="1010"/>
              <w:gridCol w:w="976"/>
              <w:gridCol w:w="1088"/>
              <w:gridCol w:w="1576"/>
              <w:gridCol w:w="1576"/>
              <w:gridCol w:w="15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663" w:type="pct"/>
                  <w:vAlign w:val="center"/>
                </w:tcPr>
                <w:p>
                  <w:pPr>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采样</w:t>
                  </w:r>
                </w:p>
                <w:p>
                  <w:pPr>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时间</w:t>
                  </w:r>
                </w:p>
              </w:tc>
              <w:tc>
                <w:tcPr>
                  <w:tcW w:w="565" w:type="pct"/>
                  <w:vAlign w:val="center"/>
                </w:tcPr>
                <w:p>
                  <w:pPr>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采样</w:t>
                  </w:r>
                </w:p>
                <w:p>
                  <w:pPr>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点位</w:t>
                  </w:r>
                </w:p>
              </w:tc>
              <w:tc>
                <w:tcPr>
                  <w:tcW w:w="546" w:type="pct"/>
                  <w:vAlign w:val="center"/>
                </w:tcPr>
                <w:p>
                  <w:pPr>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采样</w:t>
                  </w:r>
                </w:p>
                <w:p>
                  <w:pPr>
                    <w:spacing w:line="240" w:lineRule="auto"/>
                    <w:ind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
                      <w:color w:val="auto"/>
                      <w:sz w:val="21"/>
                      <w:szCs w:val="21"/>
                      <w:lang w:eastAsia="zh-CN"/>
                    </w:rPr>
                    <w:t>频次</w:t>
                  </w:r>
                </w:p>
              </w:tc>
              <w:tc>
                <w:tcPr>
                  <w:tcW w:w="609" w:type="pct"/>
                  <w:vAlign w:val="center"/>
                </w:tcPr>
                <w:p>
                  <w:pPr>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检测</w:t>
                  </w:r>
                </w:p>
                <w:p>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
                      <w:color w:val="auto"/>
                      <w:sz w:val="21"/>
                      <w:szCs w:val="21"/>
                    </w:rPr>
                    <w:t>项目</w:t>
                  </w:r>
                </w:p>
              </w:tc>
              <w:tc>
                <w:tcPr>
                  <w:tcW w:w="882" w:type="pct"/>
                  <w:vAlign w:val="center"/>
                </w:tcPr>
                <w:p>
                  <w:pPr>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检测结果</w:t>
                  </w:r>
                </w:p>
                <w:p>
                  <w:pPr>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bCs/>
                      <w:color w:val="auto"/>
                      <w:sz w:val="21"/>
                      <w:szCs w:val="21"/>
                    </w:rPr>
                    <w:t>（mg/m</w:t>
                  </w:r>
                  <w:r>
                    <w:rPr>
                      <w:rFonts w:hint="default" w:ascii="Times New Roman" w:hAnsi="Times New Roman" w:eastAsia="宋体" w:cs="Times New Roman"/>
                      <w:b/>
                      <w:bCs/>
                      <w:color w:val="auto"/>
                      <w:sz w:val="21"/>
                      <w:szCs w:val="21"/>
                      <w:vertAlign w:val="superscript"/>
                    </w:rPr>
                    <w:t>3</w:t>
                  </w:r>
                  <w:r>
                    <w:rPr>
                      <w:rFonts w:hint="default" w:ascii="Times New Roman" w:hAnsi="Times New Roman" w:eastAsia="宋体" w:cs="Times New Roman"/>
                      <w:b/>
                      <w:bCs/>
                      <w:color w:val="auto"/>
                      <w:sz w:val="21"/>
                      <w:szCs w:val="21"/>
                    </w:rPr>
                    <w:t>）</w:t>
                  </w:r>
                </w:p>
              </w:tc>
              <w:tc>
                <w:tcPr>
                  <w:tcW w:w="882" w:type="pct"/>
                  <w:vAlign w:val="center"/>
                </w:tcPr>
                <w:p>
                  <w:pPr>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标干流量</w:t>
                  </w:r>
                </w:p>
                <w:p>
                  <w:pPr>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（Nm</w:t>
                  </w:r>
                  <w:r>
                    <w:rPr>
                      <w:rFonts w:hint="default" w:ascii="Times New Roman" w:hAnsi="Times New Roman" w:eastAsia="宋体" w:cs="Times New Roman"/>
                      <w:b/>
                      <w:color w:val="auto"/>
                      <w:sz w:val="21"/>
                      <w:szCs w:val="21"/>
                      <w:vertAlign w:val="superscript"/>
                    </w:rPr>
                    <w:t>3</w:t>
                  </w:r>
                  <w:r>
                    <w:rPr>
                      <w:rFonts w:hint="default" w:ascii="Times New Roman" w:hAnsi="Times New Roman" w:eastAsia="宋体" w:cs="Times New Roman"/>
                      <w:b/>
                      <w:color w:val="auto"/>
                      <w:sz w:val="21"/>
                      <w:szCs w:val="21"/>
                    </w:rPr>
                    <w:t>/h）</w:t>
                  </w:r>
                </w:p>
              </w:tc>
              <w:tc>
                <w:tcPr>
                  <w:tcW w:w="850" w:type="pct"/>
                  <w:vAlign w:val="center"/>
                </w:tcPr>
                <w:p>
                  <w:pPr>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排放速率</w:t>
                  </w:r>
                </w:p>
                <w:p>
                  <w:pPr>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bCs/>
                      <w:color w:val="auto"/>
                      <w:sz w:val="21"/>
                      <w:szCs w:val="21"/>
                    </w:rPr>
                    <w:t>（Kg/h</w:t>
                  </w:r>
                  <w:r>
                    <w:rPr>
                      <w:rFonts w:hint="default" w:ascii="Times New Roman" w:hAnsi="Times New Roman" w:eastAsia="宋体"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restart"/>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2023.</w:t>
                  </w:r>
                </w:p>
                <w:p>
                  <w:pPr>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09.05</w:t>
                  </w:r>
                </w:p>
              </w:tc>
              <w:tc>
                <w:tcPr>
                  <w:tcW w:w="565" w:type="pct"/>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打砂废气排气筒DA035进口</w:t>
                  </w:r>
                </w:p>
              </w:tc>
              <w:tc>
                <w:tcPr>
                  <w:tcW w:w="546" w:type="pct"/>
                  <w:vAlign w:val="center"/>
                </w:tcPr>
                <w:p>
                  <w:pPr>
                    <w:spacing w:line="240" w:lineRule="auto"/>
                    <w:ind w:firstLine="0" w:firstLineChars="0"/>
                    <w:jc w:val="center"/>
                    <w:rPr>
                      <w:rFonts w:hint="default" w:ascii="Times New Roman" w:hAnsi="Times New Roman" w:eastAsia="宋体" w:cs="Times New Roman"/>
                      <w:b/>
                      <w:color w:val="auto"/>
                      <w:sz w:val="21"/>
                      <w:szCs w:val="21"/>
                      <w:lang w:eastAsia="zh-CN"/>
                    </w:rPr>
                  </w:pPr>
                  <w:r>
                    <w:rPr>
                      <w:rFonts w:hint="default" w:ascii="Times New Roman" w:hAnsi="Times New Roman" w:eastAsia="宋体" w:cs="Times New Roman"/>
                      <w:b w:val="0"/>
                      <w:bCs/>
                      <w:color w:val="auto"/>
                      <w:sz w:val="21"/>
                      <w:szCs w:val="21"/>
                      <w:lang w:eastAsia="zh-CN"/>
                    </w:rPr>
                    <w:t>第一次</w:t>
                  </w:r>
                </w:p>
              </w:tc>
              <w:tc>
                <w:tcPr>
                  <w:tcW w:w="609" w:type="pct"/>
                  <w:vAlign w:val="center"/>
                </w:tcPr>
                <w:p>
                  <w:pPr>
                    <w:spacing w:line="240" w:lineRule="auto"/>
                    <w:ind w:firstLine="0" w:firstLineChars="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val="0"/>
                      <w:bCs/>
                      <w:color w:val="auto"/>
                      <w:sz w:val="21"/>
                      <w:szCs w:val="21"/>
                      <w:lang w:eastAsia="zh-CN"/>
                    </w:rPr>
                    <w:t>颗粒物</w:t>
                  </w:r>
                </w:p>
              </w:tc>
              <w:tc>
                <w:tcPr>
                  <w:tcW w:w="882" w:type="pct"/>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45.3</w:t>
                  </w:r>
                </w:p>
              </w:tc>
              <w:tc>
                <w:tcPr>
                  <w:tcW w:w="882" w:type="pct"/>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33537</w:t>
                  </w:r>
                </w:p>
              </w:tc>
              <w:tc>
                <w:tcPr>
                  <w:tcW w:w="850" w:type="pct"/>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1.52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565" w:type="pct"/>
                  <w:vMerge w:val="restart"/>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打砂废气排气筒DA035出口</w:t>
                  </w:r>
                </w:p>
              </w:tc>
              <w:tc>
                <w:tcPr>
                  <w:tcW w:w="546" w:type="pct"/>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lang w:eastAsia="zh-CN"/>
                    </w:rPr>
                    <w:t>第一次</w:t>
                  </w:r>
                </w:p>
              </w:tc>
              <w:tc>
                <w:tcPr>
                  <w:tcW w:w="609" w:type="pct"/>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 w:val="0"/>
                      <w:bCs/>
                      <w:color w:val="auto"/>
                      <w:sz w:val="21"/>
                      <w:szCs w:val="21"/>
                      <w:lang w:eastAsia="zh-CN"/>
                    </w:rPr>
                    <w:t>颗粒物</w:t>
                  </w:r>
                </w:p>
              </w:tc>
              <w:tc>
                <w:tcPr>
                  <w:tcW w:w="882" w:type="pct"/>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1.2</w:t>
                  </w:r>
                </w:p>
              </w:tc>
              <w:tc>
                <w:tcPr>
                  <w:tcW w:w="882" w:type="pct"/>
                  <w:vMerge w:val="restart"/>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34210</w:t>
                  </w:r>
                </w:p>
              </w:tc>
              <w:tc>
                <w:tcPr>
                  <w:tcW w:w="850" w:type="pct"/>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 xml:space="preserve">0.041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565" w:type="pct"/>
                  <w:vMerge w:val="continue"/>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546" w:type="pct"/>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lang w:eastAsia="zh-CN"/>
                    </w:rPr>
                    <w:t>第二次</w:t>
                  </w:r>
                </w:p>
              </w:tc>
              <w:tc>
                <w:tcPr>
                  <w:tcW w:w="609" w:type="pct"/>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 w:val="0"/>
                      <w:bCs/>
                      <w:color w:val="auto"/>
                      <w:sz w:val="21"/>
                      <w:szCs w:val="21"/>
                      <w:lang w:eastAsia="zh-CN"/>
                    </w:rPr>
                    <w:t>颗粒物</w:t>
                  </w:r>
                </w:p>
              </w:tc>
              <w:tc>
                <w:tcPr>
                  <w:tcW w:w="882" w:type="pct"/>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1.4</w:t>
                  </w:r>
                </w:p>
              </w:tc>
              <w:tc>
                <w:tcPr>
                  <w:tcW w:w="882" w:type="pct"/>
                  <w:vMerge w:val="continue"/>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p>
              </w:tc>
              <w:tc>
                <w:tcPr>
                  <w:tcW w:w="850" w:type="pct"/>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 xml:space="preserve">0.048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565" w:type="pct"/>
                  <w:vMerge w:val="continue"/>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546" w:type="pct"/>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lang w:eastAsia="zh-CN"/>
                    </w:rPr>
                    <w:t>第三次</w:t>
                  </w:r>
                </w:p>
              </w:tc>
              <w:tc>
                <w:tcPr>
                  <w:tcW w:w="609" w:type="pct"/>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 w:val="0"/>
                      <w:bCs/>
                      <w:color w:val="auto"/>
                      <w:sz w:val="21"/>
                      <w:szCs w:val="21"/>
                      <w:lang w:eastAsia="zh-CN"/>
                    </w:rPr>
                    <w:t>颗粒物</w:t>
                  </w:r>
                </w:p>
              </w:tc>
              <w:tc>
                <w:tcPr>
                  <w:tcW w:w="882" w:type="pct"/>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1.6</w:t>
                  </w:r>
                </w:p>
              </w:tc>
              <w:tc>
                <w:tcPr>
                  <w:tcW w:w="882" w:type="pct"/>
                  <w:vMerge w:val="continue"/>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p>
              </w:tc>
              <w:tc>
                <w:tcPr>
                  <w:tcW w:w="850" w:type="pct"/>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 xml:space="preserve">0.055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restart"/>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2023.</w:t>
                  </w:r>
                </w:p>
                <w:p>
                  <w:pPr>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09.06</w:t>
                  </w:r>
                </w:p>
              </w:tc>
              <w:tc>
                <w:tcPr>
                  <w:tcW w:w="565" w:type="pct"/>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打砂废气排气筒DA035进口</w:t>
                  </w:r>
                </w:p>
              </w:tc>
              <w:tc>
                <w:tcPr>
                  <w:tcW w:w="546" w:type="pct"/>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lang w:eastAsia="zh-CN"/>
                    </w:rPr>
                    <w:t>第一次</w:t>
                  </w:r>
                </w:p>
              </w:tc>
              <w:tc>
                <w:tcPr>
                  <w:tcW w:w="609" w:type="pct"/>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 w:val="0"/>
                      <w:bCs/>
                      <w:color w:val="auto"/>
                      <w:sz w:val="21"/>
                      <w:szCs w:val="21"/>
                      <w:lang w:eastAsia="zh-CN"/>
                    </w:rPr>
                    <w:t>颗粒物</w:t>
                  </w:r>
                </w:p>
              </w:tc>
              <w:tc>
                <w:tcPr>
                  <w:tcW w:w="882" w:type="pct"/>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45.5</w:t>
                  </w:r>
                </w:p>
              </w:tc>
              <w:tc>
                <w:tcPr>
                  <w:tcW w:w="882" w:type="pct"/>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34057</w:t>
                  </w:r>
                </w:p>
              </w:tc>
              <w:tc>
                <w:tcPr>
                  <w:tcW w:w="850" w:type="pct"/>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1.55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565" w:type="pct"/>
                  <w:vMerge w:val="restart"/>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打砂废气排气筒DA035出口</w:t>
                  </w:r>
                </w:p>
              </w:tc>
              <w:tc>
                <w:tcPr>
                  <w:tcW w:w="546" w:type="pct"/>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lang w:eastAsia="zh-CN"/>
                    </w:rPr>
                    <w:t>第一次</w:t>
                  </w:r>
                </w:p>
              </w:tc>
              <w:tc>
                <w:tcPr>
                  <w:tcW w:w="609" w:type="pct"/>
                  <w:vAlign w:val="center"/>
                </w:tcPr>
                <w:p>
                  <w:pPr>
                    <w:spacing w:line="240" w:lineRule="auto"/>
                    <w:ind w:firstLine="0" w:firstLineChars="0"/>
                    <w:jc w:val="center"/>
                    <w:rPr>
                      <w:rFonts w:hint="default" w:ascii="Times New Roman" w:hAnsi="Times New Roman" w:eastAsia="宋体" w:cs="Times New Roman"/>
                      <w:b/>
                      <w:color w:val="auto"/>
                      <w:kern w:val="2"/>
                      <w:sz w:val="21"/>
                      <w:szCs w:val="21"/>
                      <w:lang w:val="en-US" w:eastAsia="zh-CN" w:bidi="ar-SA"/>
                    </w:rPr>
                  </w:pPr>
                  <w:r>
                    <w:rPr>
                      <w:rFonts w:hint="default" w:ascii="Times New Roman" w:hAnsi="Times New Roman" w:eastAsia="宋体" w:cs="Times New Roman"/>
                      <w:b w:val="0"/>
                      <w:bCs/>
                      <w:color w:val="auto"/>
                      <w:sz w:val="21"/>
                      <w:szCs w:val="21"/>
                      <w:lang w:eastAsia="zh-CN"/>
                    </w:rPr>
                    <w:t>颗粒物</w:t>
                  </w:r>
                </w:p>
              </w:tc>
              <w:tc>
                <w:tcPr>
                  <w:tcW w:w="882" w:type="pct"/>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1.3</w:t>
                  </w:r>
                </w:p>
              </w:tc>
              <w:tc>
                <w:tcPr>
                  <w:tcW w:w="882" w:type="pct"/>
                  <w:vMerge w:val="restart"/>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34747</w:t>
                  </w:r>
                </w:p>
              </w:tc>
              <w:tc>
                <w:tcPr>
                  <w:tcW w:w="850" w:type="pct"/>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 xml:space="preserve">0.045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565" w:type="pct"/>
                  <w:vMerge w:val="continue"/>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546" w:type="pct"/>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eastAsia="zh-CN"/>
                    </w:rPr>
                  </w:pPr>
                  <w:r>
                    <w:rPr>
                      <w:rFonts w:hint="default" w:ascii="Times New Roman" w:hAnsi="Times New Roman" w:eastAsia="宋体" w:cs="Times New Roman"/>
                      <w:b w:val="0"/>
                      <w:bCs/>
                      <w:color w:val="auto"/>
                      <w:sz w:val="21"/>
                      <w:szCs w:val="21"/>
                      <w:lang w:eastAsia="zh-CN"/>
                    </w:rPr>
                    <w:t>第二次</w:t>
                  </w:r>
                </w:p>
              </w:tc>
              <w:tc>
                <w:tcPr>
                  <w:tcW w:w="609" w:type="pct"/>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 w:val="0"/>
                      <w:bCs/>
                      <w:color w:val="auto"/>
                      <w:sz w:val="21"/>
                      <w:szCs w:val="21"/>
                      <w:lang w:eastAsia="zh-CN"/>
                    </w:rPr>
                    <w:t>颗粒物</w:t>
                  </w:r>
                </w:p>
              </w:tc>
              <w:tc>
                <w:tcPr>
                  <w:tcW w:w="882" w:type="pct"/>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1.5</w:t>
                  </w:r>
                </w:p>
              </w:tc>
              <w:tc>
                <w:tcPr>
                  <w:tcW w:w="882" w:type="pct"/>
                  <w:vMerge w:val="continue"/>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p>
              </w:tc>
              <w:tc>
                <w:tcPr>
                  <w:tcW w:w="850" w:type="pct"/>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 xml:space="preserve">0.052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565" w:type="pct"/>
                  <w:vMerge w:val="continue"/>
                  <w:vAlign w:val="center"/>
                </w:tcPr>
                <w:p>
                  <w:pPr>
                    <w:spacing w:line="240" w:lineRule="auto"/>
                    <w:ind w:firstLine="0" w:firstLineChars="0"/>
                    <w:jc w:val="center"/>
                    <w:rPr>
                      <w:rFonts w:hint="default" w:ascii="Times New Roman" w:hAnsi="Times New Roman" w:eastAsia="宋体" w:cs="Times New Roman"/>
                      <w:b w:val="0"/>
                      <w:bCs/>
                      <w:color w:val="auto"/>
                      <w:sz w:val="21"/>
                      <w:szCs w:val="21"/>
                      <w:lang w:val="en-US" w:eastAsia="zh-CN"/>
                    </w:rPr>
                  </w:pPr>
                </w:p>
              </w:tc>
              <w:tc>
                <w:tcPr>
                  <w:tcW w:w="546" w:type="pct"/>
                  <w:vAlign w:val="center"/>
                </w:tcPr>
                <w:p>
                  <w:pPr>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 w:val="0"/>
                      <w:bCs/>
                      <w:color w:val="auto"/>
                      <w:sz w:val="21"/>
                      <w:szCs w:val="21"/>
                      <w:lang w:eastAsia="zh-CN"/>
                    </w:rPr>
                    <w:t>第三次</w:t>
                  </w:r>
                </w:p>
              </w:tc>
              <w:tc>
                <w:tcPr>
                  <w:tcW w:w="609" w:type="pct"/>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 w:val="0"/>
                      <w:bCs/>
                      <w:color w:val="auto"/>
                      <w:sz w:val="21"/>
                      <w:szCs w:val="21"/>
                      <w:lang w:eastAsia="zh-CN"/>
                    </w:rPr>
                    <w:t>颗粒物</w:t>
                  </w:r>
                </w:p>
              </w:tc>
              <w:tc>
                <w:tcPr>
                  <w:tcW w:w="882" w:type="pct"/>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1.7</w:t>
                  </w:r>
                </w:p>
              </w:tc>
              <w:tc>
                <w:tcPr>
                  <w:tcW w:w="882" w:type="pct"/>
                  <w:vMerge w:val="continue"/>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p>
              </w:tc>
              <w:tc>
                <w:tcPr>
                  <w:tcW w:w="850" w:type="pct"/>
                  <w:vAlign w:val="center"/>
                </w:tcPr>
                <w:p>
                  <w:pPr>
                    <w:spacing w:line="240" w:lineRule="auto"/>
                    <w:ind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 xml:space="preserve">0.059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000" w:type="pct"/>
                  <w:gridSpan w:val="7"/>
                </w:tcPr>
                <w:p>
                  <w:pPr>
                    <w:bidi w:val="0"/>
                    <w:spacing w:line="240" w:lineRule="auto"/>
                    <w:ind w:firstLine="0" w:firstLineChars="0"/>
                    <w:jc w:val="lef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备注：排气筒DA035高度22m，进口内径为1.0m，出口内径为0.90m，处理措施：旋风分离器+滤筒除尘；进口距离弯管太近，不符合检测规范，数据仅供参考；</w:t>
                  </w:r>
                </w:p>
                <w:p>
                  <w:pPr>
                    <w:bidi w:val="0"/>
                    <w:spacing w:line="240" w:lineRule="auto"/>
                    <w:ind w:firstLine="0" w:firstLineChars="0"/>
                    <w:jc w:val="lef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标干流量为三次采样标干流量的平均值；</w:t>
                  </w:r>
                </w:p>
              </w:tc>
            </w:tr>
          </w:tbl>
          <w:p>
            <w:pPr>
              <w:pStyle w:val="10"/>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表7-</w:t>
            </w:r>
            <w:r>
              <w:rPr>
                <w:rFonts w:hint="eastAsia" w:ascii="Times New Roman" w:hAnsi="Times New Roman"/>
                <w:b/>
                <w:bCs/>
                <w:color w:val="auto"/>
                <w:sz w:val="24"/>
                <w:highlight w:val="none"/>
              </w:rPr>
              <w:t>4</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有组织废气</w:t>
            </w:r>
            <w:r>
              <w:rPr>
                <w:rFonts w:ascii="Times New Roman" w:hAnsi="Times New Roman"/>
                <w:b/>
                <w:bCs/>
                <w:color w:val="auto"/>
                <w:sz w:val="24"/>
                <w:highlight w:val="none"/>
              </w:rPr>
              <w:t>判定结果表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8"/>
              <w:gridCol w:w="1544"/>
              <w:gridCol w:w="1587"/>
              <w:gridCol w:w="1546"/>
              <w:gridCol w:w="1496"/>
              <w:gridCol w:w="1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3" w:type="pct"/>
                  <w:shd w:val="clear" w:color="auto" w:fill="auto"/>
                  <w:vAlign w:val="center"/>
                </w:tcPr>
                <w:p>
                  <w:pPr>
                    <w:spacing w:line="240" w:lineRule="auto"/>
                    <w:ind w:firstLine="0" w:firstLineChars="0"/>
                    <w:jc w:val="center"/>
                    <w:rPr>
                      <w:rFonts w:hint="eastAsia" w:eastAsia="宋体"/>
                      <w:b/>
                      <w:bCs/>
                      <w:color w:val="auto"/>
                      <w:sz w:val="21"/>
                      <w:szCs w:val="21"/>
                      <w:highlight w:val="none"/>
                      <w:lang w:eastAsia="zh-CN"/>
                    </w:rPr>
                  </w:pPr>
                  <w:r>
                    <w:rPr>
                      <w:rFonts w:hint="eastAsia"/>
                      <w:b/>
                      <w:bCs/>
                      <w:color w:val="auto"/>
                      <w:sz w:val="21"/>
                      <w:szCs w:val="21"/>
                      <w:highlight w:val="none"/>
                      <w:lang w:eastAsia="zh-CN"/>
                    </w:rPr>
                    <w:t>监测因子</w:t>
                  </w:r>
                </w:p>
              </w:tc>
              <w:tc>
                <w:tcPr>
                  <w:tcW w:w="864"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最高排放浓度（mg/</w:t>
                  </w:r>
                  <w:r>
                    <w:rPr>
                      <w:rFonts w:hint="eastAsia"/>
                      <w:b/>
                      <w:bCs/>
                      <w:color w:val="auto"/>
                      <w:sz w:val="21"/>
                      <w:szCs w:val="21"/>
                      <w:highlight w:val="none"/>
                      <w:lang w:eastAsia="zh-CN"/>
                    </w:rPr>
                    <w:t>m³</w:t>
                  </w:r>
                  <w:r>
                    <w:rPr>
                      <w:rFonts w:hint="eastAsia"/>
                      <w:b/>
                      <w:bCs/>
                      <w:color w:val="auto"/>
                      <w:sz w:val="21"/>
                      <w:szCs w:val="21"/>
                      <w:highlight w:val="none"/>
                    </w:rPr>
                    <w:t>）</w:t>
                  </w:r>
                </w:p>
              </w:tc>
              <w:tc>
                <w:tcPr>
                  <w:tcW w:w="88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最高允许排放浓度（mg/</w:t>
                  </w:r>
                  <w:r>
                    <w:rPr>
                      <w:rFonts w:hint="eastAsia"/>
                      <w:b/>
                      <w:bCs/>
                      <w:color w:val="auto"/>
                      <w:sz w:val="21"/>
                      <w:szCs w:val="21"/>
                      <w:highlight w:val="none"/>
                      <w:lang w:eastAsia="zh-CN"/>
                    </w:rPr>
                    <w:t>m³</w:t>
                  </w:r>
                  <w:r>
                    <w:rPr>
                      <w:rFonts w:hint="eastAsia"/>
                      <w:b/>
                      <w:bCs/>
                      <w:color w:val="auto"/>
                      <w:sz w:val="21"/>
                      <w:szCs w:val="21"/>
                      <w:highlight w:val="none"/>
                    </w:rPr>
                    <w:t>）</w:t>
                  </w:r>
                </w:p>
              </w:tc>
              <w:tc>
                <w:tcPr>
                  <w:tcW w:w="865"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最高排放速率（kg/h）</w:t>
                  </w:r>
                </w:p>
              </w:tc>
              <w:tc>
                <w:tcPr>
                  <w:tcW w:w="837"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最高允许排放速率（kg/h）</w:t>
                  </w:r>
                </w:p>
              </w:tc>
              <w:tc>
                <w:tcPr>
                  <w:tcW w:w="611"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3"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颗粒物</w:t>
                  </w:r>
                </w:p>
              </w:tc>
              <w:tc>
                <w:tcPr>
                  <w:tcW w:w="864" w:type="pct"/>
                  <w:shd w:val="clear" w:color="auto" w:fill="auto"/>
                  <w:vAlign w:val="center"/>
                </w:tcPr>
                <w:p>
                  <w:pPr>
                    <w:spacing w:line="240" w:lineRule="auto"/>
                    <w:ind w:firstLine="0" w:firstLineChars="0"/>
                    <w:jc w:val="center"/>
                    <w:rPr>
                      <w:rFonts w:hint="default"/>
                      <w:color w:val="auto"/>
                      <w:sz w:val="21"/>
                      <w:szCs w:val="21"/>
                      <w:highlight w:val="none"/>
                      <w:lang w:val="en-US"/>
                    </w:rPr>
                  </w:pPr>
                  <w:r>
                    <w:rPr>
                      <w:rFonts w:hint="eastAsia"/>
                      <w:color w:val="auto"/>
                      <w:sz w:val="21"/>
                      <w:szCs w:val="21"/>
                      <w:highlight w:val="none"/>
                      <w:lang w:val="en-US" w:eastAsia="zh-CN"/>
                    </w:rPr>
                    <w:t>1.7</w:t>
                  </w:r>
                </w:p>
              </w:tc>
              <w:tc>
                <w:tcPr>
                  <w:tcW w:w="88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10</w:t>
                  </w:r>
                </w:p>
              </w:tc>
              <w:tc>
                <w:tcPr>
                  <w:tcW w:w="865" w:type="pct"/>
                  <w:shd w:val="clear" w:color="auto" w:fill="auto"/>
                  <w:vAlign w:val="center"/>
                </w:tcPr>
                <w:p>
                  <w:pPr>
                    <w:spacing w:line="240" w:lineRule="auto"/>
                    <w:ind w:firstLine="0" w:firstLineChars="0"/>
                    <w:jc w:val="center"/>
                    <w:rPr>
                      <w:rFonts w:hint="default"/>
                      <w:color w:val="auto"/>
                      <w:sz w:val="21"/>
                      <w:szCs w:val="21"/>
                      <w:highlight w:val="none"/>
                      <w:lang w:val="en-US"/>
                    </w:rPr>
                  </w:pPr>
                  <w:r>
                    <w:rPr>
                      <w:rFonts w:hint="eastAsia"/>
                      <w:color w:val="auto"/>
                      <w:sz w:val="21"/>
                      <w:szCs w:val="21"/>
                      <w:highlight w:val="none"/>
                      <w:lang w:val="en-US" w:eastAsia="zh-CN"/>
                    </w:rPr>
                    <w:t>0.059</w:t>
                  </w:r>
                </w:p>
              </w:tc>
              <w:tc>
                <w:tcPr>
                  <w:tcW w:w="837"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9.32</w:t>
                  </w:r>
                </w:p>
              </w:tc>
              <w:tc>
                <w:tcPr>
                  <w:tcW w:w="611"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bl>
          <w:p>
            <w:pPr>
              <w:pStyle w:val="21"/>
              <w:spacing w:line="360" w:lineRule="auto"/>
              <w:ind w:firstLine="480" w:firstLineChars="200"/>
              <w:rPr>
                <w:rFonts w:hint="eastAsia" w:ascii="Times New Roman" w:hAnsi="Times New Roman"/>
                <w:color w:val="auto"/>
                <w:highlight w:val="none"/>
                <w:lang w:eastAsia="zh-CN"/>
              </w:rPr>
            </w:pPr>
            <w:r>
              <w:rPr>
                <w:rFonts w:hint="eastAsia"/>
              </w:rPr>
              <w:t>由监测结果可知，验收监测期间</w:t>
            </w:r>
            <w:r>
              <w:rPr>
                <w:rFonts w:hint="eastAsia" w:ascii="Times New Roman"/>
                <w:color w:val="auto"/>
                <w:highlight w:val="none"/>
                <w:lang w:eastAsia="zh-CN"/>
              </w:rPr>
              <w:t>：</w:t>
            </w:r>
            <w:r>
              <w:rPr>
                <w:rFonts w:hint="eastAsia" w:ascii="Times New Roman"/>
                <w:color w:val="auto"/>
                <w:highlight w:val="none"/>
              </w:rPr>
              <w:t>打砂废气排气筒DA035中主要污染物</w:t>
            </w:r>
            <w:r>
              <w:rPr>
                <w:rFonts w:hint="eastAsia" w:ascii="Times New Roman"/>
                <w:color w:val="auto"/>
                <w:highlight w:val="none"/>
                <w:lang w:eastAsia="zh-CN"/>
              </w:rPr>
              <w:t>颗粒物</w:t>
            </w:r>
            <w:r>
              <w:rPr>
                <w:rFonts w:hint="eastAsia" w:ascii="Times New Roman"/>
                <w:color w:val="auto"/>
                <w:highlight w:val="none"/>
              </w:rPr>
              <w:t>最高排放浓度为</w:t>
            </w:r>
            <w:r>
              <w:rPr>
                <w:rFonts w:hint="eastAsia" w:ascii="Times New Roman"/>
                <w:color w:val="auto"/>
                <w:highlight w:val="none"/>
                <w:lang w:val="en-US" w:eastAsia="zh-CN"/>
              </w:rPr>
              <w:t>1.7</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，最高排放速率为0.0</w:t>
            </w:r>
            <w:r>
              <w:rPr>
                <w:rFonts w:hint="eastAsia" w:ascii="Times New Roman"/>
                <w:color w:val="auto"/>
                <w:highlight w:val="none"/>
                <w:lang w:val="en-US" w:eastAsia="zh-CN"/>
              </w:rPr>
              <w:t>59</w:t>
            </w:r>
            <w:r>
              <w:rPr>
                <w:rFonts w:ascii="Times New Roman"/>
                <w:color w:val="auto"/>
                <w:highlight w:val="none"/>
              </w:rPr>
              <w:t>kg/h</w:t>
            </w:r>
            <w:r>
              <w:rPr>
                <w:rFonts w:hint="eastAsia" w:ascii="Times New Roman" w:hAnsi="Times New Roman"/>
                <w:color w:val="auto"/>
                <w:highlight w:val="none"/>
                <w:lang w:eastAsia="zh-CN"/>
              </w:rPr>
              <w:t>，有组织颗粒物排放浓度满足《山东省区域性大气污染物综合排放标准》（DB37/2376-2019）标准中表1重点控制区的要求，排放速率满足《大气污染物综合排放标准》（GB16297-1996）表2二级标准的要求。</w:t>
            </w:r>
          </w:p>
          <w:p>
            <w:pPr>
              <w:adjustRightInd w:val="0"/>
              <w:snapToGrid w:val="0"/>
              <w:ind w:firstLine="482"/>
              <w:jc w:val="center"/>
              <w:rPr>
                <w:b/>
                <w:bCs/>
                <w:color w:val="auto"/>
                <w:highlight w:val="none"/>
              </w:rPr>
            </w:pPr>
            <w:r>
              <w:rPr>
                <w:b/>
                <w:bCs/>
                <w:color w:val="auto"/>
                <w:highlight w:val="none"/>
              </w:rPr>
              <w:t>表7-</w:t>
            </w:r>
            <w:r>
              <w:rPr>
                <w:rFonts w:hint="eastAsia"/>
                <w:b/>
                <w:bCs/>
                <w:color w:val="auto"/>
                <w:highlight w:val="none"/>
              </w:rPr>
              <w:t>5</w:t>
            </w:r>
            <w:r>
              <w:rPr>
                <w:b/>
                <w:bCs/>
                <w:color w:val="auto"/>
                <w:highlight w:val="none"/>
              </w:rPr>
              <w:t xml:space="preserve">  无组织废气监测结果表</w:t>
            </w:r>
          </w:p>
          <w:tbl>
            <w:tblPr>
              <w:tblStyle w:val="28"/>
              <w:tblpPr w:leftFromText="180" w:rightFromText="180" w:vertAnchor="text" w:tblpXSpec="center" w:tblpY="1"/>
              <w:tblW w:w="4997" w:type="pct"/>
              <w:jc w:val="center"/>
              <w:tblLayout w:type="autofit"/>
              <w:tblCellMar>
                <w:top w:w="0" w:type="dxa"/>
                <w:left w:w="108" w:type="dxa"/>
                <w:bottom w:w="0" w:type="dxa"/>
                <w:right w:w="108" w:type="dxa"/>
              </w:tblCellMar>
            </w:tblPr>
            <w:tblGrid>
              <w:gridCol w:w="1305"/>
              <w:gridCol w:w="1217"/>
              <w:gridCol w:w="1435"/>
              <w:gridCol w:w="1242"/>
              <w:gridCol w:w="1242"/>
              <w:gridCol w:w="1242"/>
              <w:gridCol w:w="1261"/>
            </w:tblGrid>
            <w:tr>
              <w:tblPrEx>
                <w:tblCellMar>
                  <w:top w:w="0" w:type="dxa"/>
                  <w:left w:w="108" w:type="dxa"/>
                  <w:bottom w:w="0" w:type="dxa"/>
                  <w:right w:w="108" w:type="dxa"/>
                </w:tblCellMar>
              </w:tblPrEx>
              <w:trPr>
                <w:trHeight w:val="397" w:hRule="atLeast"/>
                <w:jc w:val="center"/>
              </w:trPr>
              <w:tc>
                <w:tcPr>
                  <w:tcW w:w="730" w:type="pct"/>
                  <w:vMerge w:val="restar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rPr>
                    <w:t>检测</w:t>
                  </w:r>
                </w:p>
                <w:p>
                  <w:pPr>
                    <w:pStyle w:val="20"/>
                    <w:widowControl w:val="0"/>
                    <w:bidi w:val="0"/>
                    <w:spacing w:line="240" w:lineRule="auto"/>
                    <w:ind w:firstLine="0" w:firstLineChars="0"/>
                    <w:jc w:val="center"/>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rPr>
                    <w:t>项目</w:t>
                  </w:r>
                </w:p>
              </w:tc>
              <w:tc>
                <w:tcPr>
                  <w:tcW w:w="680" w:type="pct"/>
                  <w:vMerge w:val="restar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rPr>
                    <w:t>采样</w:t>
                  </w:r>
                </w:p>
                <w:p>
                  <w:pPr>
                    <w:pStyle w:val="20"/>
                    <w:widowControl w:val="0"/>
                    <w:bidi w:val="0"/>
                    <w:spacing w:line="240" w:lineRule="auto"/>
                    <w:ind w:firstLine="0" w:firstLineChars="0"/>
                    <w:jc w:val="center"/>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rPr>
                    <w:t>日期</w:t>
                  </w:r>
                </w:p>
              </w:tc>
              <w:tc>
                <w:tcPr>
                  <w:tcW w:w="802" w:type="pct"/>
                  <w:vMerge w:val="restar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
                      <w:bCs w:val="0"/>
                      <w:sz w:val="21"/>
                      <w:szCs w:val="21"/>
                      <w:lang w:eastAsia="zh-CN"/>
                    </w:rPr>
                  </w:pPr>
                  <w:r>
                    <w:rPr>
                      <w:rFonts w:hint="default" w:ascii="Times New Roman" w:hAnsi="Times New Roman" w:eastAsia="宋体" w:cs="Times New Roman"/>
                      <w:b/>
                      <w:bCs w:val="0"/>
                      <w:sz w:val="21"/>
                      <w:szCs w:val="21"/>
                      <w:lang w:eastAsia="zh-CN"/>
                    </w:rPr>
                    <w:t>采样</w:t>
                  </w:r>
                </w:p>
                <w:p>
                  <w:pPr>
                    <w:pStyle w:val="20"/>
                    <w:widowControl w:val="0"/>
                    <w:bidi w:val="0"/>
                    <w:spacing w:line="240" w:lineRule="auto"/>
                    <w:ind w:firstLine="0" w:firstLineChars="0"/>
                    <w:jc w:val="center"/>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rPr>
                    <w:t>频次</w:t>
                  </w:r>
                </w:p>
              </w:tc>
              <w:tc>
                <w:tcPr>
                  <w:tcW w:w="2787" w:type="pct"/>
                  <w:gridSpan w:val="4"/>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sz w:val="21"/>
                      <w:szCs w:val="21"/>
                    </w:rPr>
                  </w:pPr>
                  <w:r>
                    <w:rPr>
                      <w:rFonts w:hint="default" w:ascii="Times New Roman" w:hAnsi="Times New Roman" w:eastAsia="宋体" w:cs="Times New Roman"/>
                      <w:b/>
                      <w:bCs w:val="0"/>
                      <w:sz w:val="21"/>
                      <w:szCs w:val="21"/>
                    </w:rPr>
                    <w:t>检测点位及结果</w:t>
                  </w:r>
                </w:p>
              </w:tc>
            </w:tr>
            <w:tr>
              <w:tblPrEx>
                <w:tblCellMar>
                  <w:top w:w="0" w:type="dxa"/>
                  <w:left w:w="108" w:type="dxa"/>
                  <w:bottom w:w="0" w:type="dxa"/>
                  <w:right w:w="108" w:type="dxa"/>
                </w:tblCellMar>
              </w:tblPrEx>
              <w:trPr>
                <w:trHeight w:val="397" w:hRule="atLeast"/>
                <w:jc w:val="center"/>
              </w:trPr>
              <w:tc>
                <w:tcPr>
                  <w:tcW w:w="730" w:type="pct"/>
                  <w:vMerge w:val="continue"/>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sz w:val="21"/>
                      <w:szCs w:val="21"/>
                    </w:rPr>
                  </w:pPr>
                </w:p>
              </w:tc>
              <w:tc>
                <w:tcPr>
                  <w:tcW w:w="680" w:type="pct"/>
                  <w:vMerge w:val="continue"/>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sz w:val="21"/>
                      <w:szCs w:val="21"/>
                    </w:rPr>
                  </w:pPr>
                </w:p>
              </w:tc>
              <w:tc>
                <w:tcPr>
                  <w:tcW w:w="802" w:type="pct"/>
                  <w:vMerge w:val="continue"/>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sz w:val="21"/>
                      <w:szCs w:val="21"/>
                    </w:rPr>
                  </w:pPr>
                </w:p>
              </w:tc>
              <w:tc>
                <w:tcPr>
                  <w:tcW w:w="694"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rPr>
                    <w:t>上风向1#</w:t>
                  </w:r>
                </w:p>
              </w:tc>
              <w:tc>
                <w:tcPr>
                  <w:tcW w:w="694"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rPr>
                    <w:t>下风向2#</w:t>
                  </w:r>
                </w:p>
              </w:tc>
              <w:tc>
                <w:tcPr>
                  <w:tcW w:w="694"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rPr>
                    <w:t>下风向3#</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
                      <w:bCs w:val="0"/>
                      <w:sz w:val="21"/>
                      <w:szCs w:val="21"/>
                    </w:rPr>
                  </w:pPr>
                  <w:r>
                    <w:rPr>
                      <w:rFonts w:hint="default" w:ascii="Times New Roman" w:hAnsi="Times New Roman" w:eastAsia="宋体" w:cs="Times New Roman"/>
                      <w:b/>
                      <w:bCs w:val="0"/>
                      <w:sz w:val="21"/>
                      <w:szCs w:val="21"/>
                    </w:rPr>
                    <w:t>下风向4#</w:t>
                  </w:r>
                </w:p>
              </w:tc>
            </w:tr>
            <w:tr>
              <w:tblPrEx>
                <w:tblCellMar>
                  <w:top w:w="0" w:type="dxa"/>
                  <w:left w:w="108" w:type="dxa"/>
                  <w:bottom w:w="0" w:type="dxa"/>
                  <w:right w:w="108" w:type="dxa"/>
                </w:tblCellMar>
              </w:tblPrEx>
              <w:trPr>
                <w:trHeight w:val="397" w:hRule="atLeast"/>
                <w:jc w:val="center"/>
              </w:trPr>
              <w:tc>
                <w:tcPr>
                  <w:tcW w:w="730" w:type="pct"/>
                  <w:vMerge w:val="restart"/>
                  <w:tcBorders>
                    <w:top w:val="single" w:color="000000" w:sz="4" w:space="0"/>
                    <w:left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颗粒物</w:t>
                  </w:r>
                </w:p>
                <w:p>
                  <w:pPr>
                    <w:pStyle w:val="20"/>
                    <w:widowControl w:val="0"/>
                    <w:bidi w:val="0"/>
                    <w:spacing w:line="240" w:lineRule="auto"/>
                    <w:ind w:firstLine="0" w:firstLineChars="0"/>
                    <w:jc w:val="center"/>
                    <w:rPr>
                      <w:rFonts w:hint="default" w:ascii="Times New Roman" w:hAnsi="Times New Roman" w:eastAsia="宋体" w:cs="Times New Roman"/>
                      <w:bCs/>
                      <w:kern w:val="2"/>
                      <w:sz w:val="21"/>
                      <w:szCs w:val="21"/>
                      <w:lang w:val="en-US" w:eastAsia="zh-CN" w:bidi="ar-SA"/>
                    </w:rPr>
                  </w:pPr>
                  <w:r>
                    <w:rPr>
                      <w:rFonts w:hint="default" w:ascii="Times New Roman" w:hAnsi="Times New Roman" w:eastAsia="宋体" w:cs="Times New Roman"/>
                      <w:bCs/>
                      <w:sz w:val="21"/>
                      <w:szCs w:val="21"/>
                    </w:rPr>
                    <w:t>（</w:t>
                  </w:r>
                  <w:r>
                    <w:rPr>
                      <w:rFonts w:hint="default" w:ascii="Times New Roman" w:hAnsi="Times New Roman" w:eastAsia="宋体" w:cs="Times New Roman"/>
                      <w:bCs/>
                      <w:sz w:val="21"/>
                      <w:szCs w:val="21"/>
                      <w:lang w:val="en-US" w:eastAsia="zh-CN"/>
                    </w:rPr>
                    <w:t>μ</w:t>
                  </w:r>
                  <w:r>
                    <w:rPr>
                      <w:rFonts w:hint="default" w:ascii="Times New Roman" w:hAnsi="Times New Roman" w:eastAsia="宋体" w:cs="Times New Roman"/>
                      <w:sz w:val="21"/>
                      <w:szCs w:val="21"/>
                    </w:rPr>
                    <w:t>g/m</w:t>
                  </w:r>
                  <w:r>
                    <w:rPr>
                      <w:rFonts w:hint="default" w:ascii="Times New Roman" w:hAnsi="Times New Roman" w:eastAsia="宋体" w:cs="Times New Roman"/>
                      <w:sz w:val="21"/>
                      <w:szCs w:val="21"/>
                      <w:vertAlign w:val="superscript"/>
                    </w:rPr>
                    <w:t>3</w:t>
                  </w:r>
                  <w:r>
                    <w:rPr>
                      <w:rFonts w:hint="default" w:ascii="Times New Roman" w:hAnsi="Times New Roman" w:eastAsia="宋体" w:cs="Times New Roman"/>
                      <w:bCs/>
                      <w:sz w:val="21"/>
                      <w:szCs w:val="21"/>
                    </w:rPr>
                    <w:t>）</w:t>
                  </w:r>
                </w:p>
              </w:tc>
              <w:tc>
                <w:tcPr>
                  <w:tcW w:w="680" w:type="pct"/>
                  <w:vMerge w:val="restar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2023.</w:t>
                  </w:r>
                </w:p>
                <w:p>
                  <w:pPr>
                    <w:pStyle w:val="20"/>
                    <w:widowControl w:val="0"/>
                    <w:bidi w:val="0"/>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09.05</w:t>
                  </w:r>
                </w:p>
              </w:tc>
              <w:tc>
                <w:tcPr>
                  <w:tcW w:w="802"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bidi="ar-SA"/>
                    </w:rPr>
                    <w:t>第一次</w:t>
                  </w:r>
                </w:p>
              </w:tc>
              <w:tc>
                <w:tcPr>
                  <w:tcW w:w="694"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bidi="ar-SA"/>
                    </w:rPr>
                    <w:t>225</w:t>
                  </w:r>
                </w:p>
              </w:tc>
              <w:tc>
                <w:tcPr>
                  <w:tcW w:w="694"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textAlignment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bCs/>
                      <w:color w:val="000000" w:themeColor="text1"/>
                      <w:sz w:val="21"/>
                      <w:szCs w:val="21"/>
                      <w:lang w:val="en-US" w:eastAsia="zh-CN"/>
                    </w:rPr>
                    <w:t>306</w:t>
                  </w:r>
                </w:p>
              </w:tc>
              <w:tc>
                <w:tcPr>
                  <w:tcW w:w="694"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textAlignment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bCs/>
                      <w:color w:val="000000" w:themeColor="text1"/>
                      <w:sz w:val="21"/>
                      <w:szCs w:val="21"/>
                      <w:lang w:val="en-US" w:eastAsia="zh-CN"/>
                    </w:rPr>
                    <w:t>309</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textAlignment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bCs/>
                      <w:color w:val="000000" w:themeColor="text1"/>
                      <w:sz w:val="21"/>
                      <w:szCs w:val="21"/>
                      <w:lang w:val="en-US" w:eastAsia="zh-CN"/>
                    </w:rPr>
                    <w:t>305</w:t>
                  </w:r>
                </w:p>
              </w:tc>
            </w:tr>
            <w:tr>
              <w:tblPrEx>
                <w:tblCellMar>
                  <w:top w:w="0" w:type="dxa"/>
                  <w:left w:w="108" w:type="dxa"/>
                  <w:bottom w:w="0" w:type="dxa"/>
                  <w:right w:w="108" w:type="dxa"/>
                </w:tblCellMar>
              </w:tblPrEx>
              <w:trPr>
                <w:trHeight w:val="397" w:hRule="atLeast"/>
                <w:jc w:val="center"/>
              </w:trPr>
              <w:tc>
                <w:tcPr>
                  <w:tcW w:w="730" w:type="pct"/>
                  <w:vMerge w:val="continue"/>
                  <w:tcBorders>
                    <w:left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sz w:val="21"/>
                      <w:szCs w:val="21"/>
                    </w:rPr>
                  </w:pPr>
                </w:p>
              </w:tc>
              <w:tc>
                <w:tcPr>
                  <w:tcW w:w="680" w:type="pct"/>
                  <w:vMerge w:val="continue"/>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sz w:val="21"/>
                      <w:szCs w:val="21"/>
                      <w:lang w:val="en-US" w:eastAsia="zh-CN"/>
                    </w:rPr>
                  </w:pPr>
                </w:p>
              </w:tc>
              <w:tc>
                <w:tcPr>
                  <w:tcW w:w="802"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bidi="ar-SA"/>
                    </w:rPr>
                    <w:t>第二次</w:t>
                  </w:r>
                </w:p>
              </w:tc>
              <w:tc>
                <w:tcPr>
                  <w:tcW w:w="694"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bidi="ar-SA"/>
                    </w:rPr>
                    <w:t>268</w:t>
                  </w:r>
                </w:p>
              </w:tc>
              <w:tc>
                <w:tcPr>
                  <w:tcW w:w="694"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textAlignment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bCs/>
                      <w:color w:val="000000" w:themeColor="text1"/>
                      <w:sz w:val="21"/>
                      <w:szCs w:val="21"/>
                      <w:lang w:val="en-US" w:eastAsia="zh-CN"/>
                    </w:rPr>
                    <w:t>321</w:t>
                  </w:r>
                </w:p>
              </w:tc>
              <w:tc>
                <w:tcPr>
                  <w:tcW w:w="694"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textAlignment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bCs/>
                      <w:color w:val="000000" w:themeColor="text1"/>
                      <w:sz w:val="21"/>
                      <w:szCs w:val="21"/>
                      <w:lang w:val="en-US" w:eastAsia="zh-CN"/>
                    </w:rPr>
                    <w:t>327</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textAlignment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bCs/>
                      <w:color w:val="000000" w:themeColor="text1"/>
                      <w:sz w:val="21"/>
                      <w:szCs w:val="21"/>
                      <w:lang w:val="en-US" w:eastAsia="zh-CN"/>
                    </w:rPr>
                    <w:t>326</w:t>
                  </w:r>
                </w:p>
              </w:tc>
            </w:tr>
            <w:tr>
              <w:tblPrEx>
                <w:tblCellMar>
                  <w:top w:w="0" w:type="dxa"/>
                  <w:left w:w="108" w:type="dxa"/>
                  <w:bottom w:w="0" w:type="dxa"/>
                  <w:right w:w="108" w:type="dxa"/>
                </w:tblCellMar>
              </w:tblPrEx>
              <w:trPr>
                <w:trHeight w:val="397" w:hRule="atLeast"/>
                <w:jc w:val="center"/>
              </w:trPr>
              <w:tc>
                <w:tcPr>
                  <w:tcW w:w="730" w:type="pct"/>
                  <w:vMerge w:val="continue"/>
                  <w:tcBorders>
                    <w:left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sz w:val="21"/>
                      <w:szCs w:val="21"/>
                    </w:rPr>
                  </w:pPr>
                </w:p>
              </w:tc>
              <w:tc>
                <w:tcPr>
                  <w:tcW w:w="680" w:type="pct"/>
                  <w:vMerge w:val="continue"/>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sz w:val="21"/>
                      <w:szCs w:val="21"/>
                      <w:lang w:val="en-US" w:eastAsia="zh-CN"/>
                    </w:rPr>
                  </w:pPr>
                </w:p>
              </w:tc>
              <w:tc>
                <w:tcPr>
                  <w:tcW w:w="802"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bidi="ar-SA"/>
                    </w:rPr>
                    <w:t>第三次</w:t>
                  </w:r>
                </w:p>
              </w:tc>
              <w:tc>
                <w:tcPr>
                  <w:tcW w:w="694"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bidi="ar-SA"/>
                    </w:rPr>
                    <w:t>274</w:t>
                  </w:r>
                </w:p>
              </w:tc>
              <w:tc>
                <w:tcPr>
                  <w:tcW w:w="694"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textAlignment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bCs/>
                      <w:color w:val="000000" w:themeColor="text1"/>
                      <w:sz w:val="21"/>
                      <w:szCs w:val="21"/>
                      <w:lang w:val="en-US" w:eastAsia="zh-CN"/>
                    </w:rPr>
                    <w:t>334</w:t>
                  </w:r>
                </w:p>
              </w:tc>
              <w:tc>
                <w:tcPr>
                  <w:tcW w:w="694"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textAlignment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bCs/>
                      <w:color w:val="000000" w:themeColor="text1"/>
                      <w:sz w:val="21"/>
                      <w:szCs w:val="21"/>
                      <w:lang w:val="en-US" w:eastAsia="zh-CN"/>
                    </w:rPr>
                    <w:t>338</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textAlignment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bCs/>
                      <w:color w:val="000000" w:themeColor="text1"/>
                      <w:sz w:val="21"/>
                      <w:szCs w:val="21"/>
                      <w:lang w:val="en-US" w:eastAsia="zh-CN"/>
                    </w:rPr>
                    <w:t>330</w:t>
                  </w:r>
                </w:p>
              </w:tc>
            </w:tr>
            <w:tr>
              <w:tblPrEx>
                <w:tblCellMar>
                  <w:top w:w="0" w:type="dxa"/>
                  <w:left w:w="108" w:type="dxa"/>
                  <w:bottom w:w="0" w:type="dxa"/>
                  <w:right w:w="108" w:type="dxa"/>
                </w:tblCellMar>
              </w:tblPrEx>
              <w:trPr>
                <w:trHeight w:val="397" w:hRule="atLeast"/>
                <w:jc w:val="center"/>
              </w:trPr>
              <w:tc>
                <w:tcPr>
                  <w:tcW w:w="730" w:type="pct"/>
                  <w:vMerge w:val="continue"/>
                  <w:tcBorders>
                    <w:left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sz w:val="21"/>
                      <w:szCs w:val="21"/>
                    </w:rPr>
                  </w:pPr>
                </w:p>
              </w:tc>
              <w:tc>
                <w:tcPr>
                  <w:tcW w:w="680" w:type="pct"/>
                  <w:vMerge w:val="restart"/>
                  <w:tcBorders>
                    <w:top w:val="single" w:color="000000" w:sz="4" w:space="0"/>
                    <w:left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2023.</w:t>
                  </w:r>
                </w:p>
                <w:p>
                  <w:pPr>
                    <w:pStyle w:val="20"/>
                    <w:widowControl w:val="0"/>
                    <w:bidi w:val="0"/>
                    <w:spacing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09.06</w:t>
                  </w:r>
                </w:p>
              </w:tc>
              <w:tc>
                <w:tcPr>
                  <w:tcW w:w="802"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bidi="ar-SA"/>
                    </w:rPr>
                    <w:t>第一次</w:t>
                  </w:r>
                </w:p>
              </w:tc>
              <w:tc>
                <w:tcPr>
                  <w:tcW w:w="694"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bidi="ar-SA"/>
                    </w:rPr>
                    <w:t>252</w:t>
                  </w:r>
                </w:p>
              </w:tc>
              <w:tc>
                <w:tcPr>
                  <w:tcW w:w="694"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textAlignment w:val="center"/>
                    <w:rPr>
                      <w:rFonts w:hint="default" w:ascii="Times New Roman" w:hAnsi="Times New Roman" w:eastAsia="宋体" w:cs="Times New Roman"/>
                      <w:bCs/>
                      <w:color w:val="000000" w:themeColor="text1"/>
                      <w:kern w:val="2"/>
                      <w:sz w:val="21"/>
                      <w:szCs w:val="21"/>
                      <w:lang w:val="en-US" w:eastAsia="zh-CN" w:bidi="ar-SA"/>
                    </w:rPr>
                  </w:pPr>
                  <w:r>
                    <w:rPr>
                      <w:rFonts w:hint="default" w:ascii="Times New Roman" w:hAnsi="Times New Roman" w:eastAsia="宋体" w:cs="Times New Roman"/>
                      <w:bCs/>
                      <w:color w:val="000000" w:themeColor="text1"/>
                      <w:kern w:val="2"/>
                      <w:sz w:val="21"/>
                      <w:szCs w:val="21"/>
                      <w:lang w:val="en-US" w:eastAsia="zh-CN" w:bidi="ar-SA"/>
                    </w:rPr>
                    <w:t>308</w:t>
                  </w:r>
                </w:p>
              </w:tc>
              <w:tc>
                <w:tcPr>
                  <w:tcW w:w="694"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textAlignment w:val="center"/>
                    <w:rPr>
                      <w:rFonts w:hint="default" w:ascii="Times New Roman" w:hAnsi="Times New Roman" w:eastAsia="宋体" w:cs="Times New Roman"/>
                      <w:bCs/>
                      <w:color w:val="000000" w:themeColor="text1"/>
                      <w:kern w:val="2"/>
                      <w:sz w:val="21"/>
                      <w:szCs w:val="21"/>
                      <w:lang w:val="en-US" w:eastAsia="zh-CN" w:bidi="ar-SA"/>
                    </w:rPr>
                  </w:pPr>
                  <w:r>
                    <w:rPr>
                      <w:rFonts w:hint="default" w:ascii="Times New Roman" w:hAnsi="Times New Roman" w:eastAsia="宋体" w:cs="Times New Roman"/>
                      <w:bCs/>
                      <w:color w:val="000000" w:themeColor="text1"/>
                      <w:kern w:val="2"/>
                      <w:sz w:val="21"/>
                      <w:szCs w:val="21"/>
                      <w:lang w:val="en-US" w:eastAsia="zh-CN" w:bidi="ar-SA"/>
                    </w:rPr>
                    <w:t>311</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textAlignment w:val="center"/>
                    <w:rPr>
                      <w:rFonts w:hint="default" w:ascii="Times New Roman" w:hAnsi="Times New Roman" w:eastAsia="宋体" w:cs="Times New Roman"/>
                      <w:bCs/>
                      <w:color w:val="000000" w:themeColor="text1"/>
                      <w:kern w:val="2"/>
                      <w:sz w:val="21"/>
                      <w:szCs w:val="21"/>
                      <w:lang w:val="en-US" w:eastAsia="zh-CN" w:bidi="ar-SA"/>
                    </w:rPr>
                  </w:pPr>
                  <w:r>
                    <w:rPr>
                      <w:rFonts w:hint="default" w:ascii="Times New Roman" w:hAnsi="Times New Roman" w:eastAsia="宋体" w:cs="Times New Roman"/>
                      <w:bCs/>
                      <w:color w:val="000000" w:themeColor="text1"/>
                      <w:kern w:val="2"/>
                      <w:sz w:val="21"/>
                      <w:szCs w:val="21"/>
                      <w:lang w:val="en-US" w:eastAsia="zh-CN" w:bidi="ar-SA"/>
                    </w:rPr>
                    <w:t>312</w:t>
                  </w:r>
                </w:p>
              </w:tc>
            </w:tr>
            <w:tr>
              <w:tblPrEx>
                <w:tblCellMar>
                  <w:top w:w="0" w:type="dxa"/>
                  <w:left w:w="108" w:type="dxa"/>
                  <w:bottom w:w="0" w:type="dxa"/>
                  <w:right w:w="108" w:type="dxa"/>
                </w:tblCellMar>
              </w:tblPrEx>
              <w:trPr>
                <w:trHeight w:val="397" w:hRule="atLeast"/>
                <w:jc w:val="center"/>
              </w:trPr>
              <w:tc>
                <w:tcPr>
                  <w:tcW w:w="730" w:type="pct"/>
                  <w:vMerge w:val="continue"/>
                  <w:tcBorders>
                    <w:left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sz w:val="21"/>
                      <w:szCs w:val="21"/>
                    </w:rPr>
                  </w:pPr>
                </w:p>
              </w:tc>
              <w:tc>
                <w:tcPr>
                  <w:tcW w:w="680" w:type="pct"/>
                  <w:vMerge w:val="continue"/>
                  <w:tcBorders>
                    <w:left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sz w:val="21"/>
                      <w:szCs w:val="21"/>
                      <w:lang w:val="en-US" w:eastAsia="zh-CN"/>
                    </w:rPr>
                  </w:pPr>
                </w:p>
              </w:tc>
              <w:tc>
                <w:tcPr>
                  <w:tcW w:w="802"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bidi="ar-SA"/>
                    </w:rPr>
                    <w:t>第二次</w:t>
                  </w:r>
                </w:p>
              </w:tc>
              <w:tc>
                <w:tcPr>
                  <w:tcW w:w="694"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bidi="ar-SA"/>
                    </w:rPr>
                    <w:t>267</w:t>
                  </w:r>
                </w:p>
              </w:tc>
              <w:tc>
                <w:tcPr>
                  <w:tcW w:w="694"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textAlignment w:val="center"/>
                    <w:rPr>
                      <w:rFonts w:hint="default" w:ascii="Times New Roman" w:hAnsi="Times New Roman" w:eastAsia="宋体" w:cs="Times New Roman"/>
                      <w:bCs/>
                      <w:color w:val="000000" w:themeColor="text1"/>
                      <w:kern w:val="2"/>
                      <w:sz w:val="21"/>
                      <w:szCs w:val="21"/>
                      <w:lang w:val="en-US" w:eastAsia="zh-CN" w:bidi="ar-SA"/>
                    </w:rPr>
                  </w:pPr>
                  <w:r>
                    <w:rPr>
                      <w:rFonts w:hint="default" w:ascii="Times New Roman" w:hAnsi="Times New Roman" w:eastAsia="宋体" w:cs="Times New Roman"/>
                      <w:bCs/>
                      <w:color w:val="000000" w:themeColor="text1"/>
                      <w:kern w:val="2"/>
                      <w:sz w:val="21"/>
                      <w:szCs w:val="21"/>
                      <w:lang w:val="en-US" w:eastAsia="zh-CN" w:bidi="ar-SA"/>
                    </w:rPr>
                    <w:t>332</w:t>
                  </w:r>
                </w:p>
              </w:tc>
              <w:tc>
                <w:tcPr>
                  <w:tcW w:w="694"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textAlignment w:val="center"/>
                    <w:rPr>
                      <w:rFonts w:hint="default" w:ascii="Times New Roman" w:hAnsi="Times New Roman" w:eastAsia="宋体" w:cs="Times New Roman"/>
                      <w:bCs/>
                      <w:color w:val="000000" w:themeColor="text1"/>
                      <w:kern w:val="2"/>
                      <w:sz w:val="21"/>
                      <w:szCs w:val="21"/>
                      <w:lang w:val="en-US" w:eastAsia="zh-CN" w:bidi="ar-SA"/>
                    </w:rPr>
                  </w:pPr>
                  <w:r>
                    <w:rPr>
                      <w:rFonts w:hint="default" w:ascii="Times New Roman" w:hAnsi="Times New Roman" w:eastAsia="宋体" w:cs="Times New Roman"/>
                      <w:bCs/>
                      <w:color w:val="000000" w:themeColor="text1"/>
                      <w:kern w:val="2"/>
                      <w:sz w:val="21"/>
                      <w:szCs w:val="21"/>
                      <w:lang w:val="en-US" w:eastAsia="zh-CN" w:bidi="ar-SA"/>
                    </w:rPr>
                    <w:t>325</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textAlignment w:val="center"/>
                    <w:rPr>
                      <w:rFonts w:hint="default" w:ascii="Times New Roman" w:hAnsi="Times New Roman" w:eastAsia="宋体" w:cs="Times New Roman"/>
                      <w:bCs/>
                      <w:color w:val="000000" w:themeColor="text1"/>
                      <w:kern w:val="2"/>
                      <w:sz w:val="21"/>
                      <w:szCs w:val="21"/>
                      <w:lang w:val="en-US" w:eastAsia="zh-CN" w:bidi="ar-SA"/>
                    </w:rPr>
                  </w:pPr>
                  <w:r>
                    <w:rPr>
                      <w:rFonts w:hint="default" w:ascii="Times New Roman" w:hAnsi="Times New Roman" w:eastAsia="宋体" w:cs="Times New Roman"/>
                      <w:bCs/>
                      <w:color w:val="000000" w:themeColor="text1"/>
                      <w:kern w:val="2"/>
                      <w:sz w:val="21"/>
                      <w:szCs w:val="21"/>
                      <w:lang w:val="en-US" w:eastAsia="zh-CN" w:bidi="ar-SA"/>
                    </w:rPr>
                    <w:t>324</w:t>
                  </w:r>
                </w:p>
              </w:tc>
            </w:tr>
            <w:tr>
              <w:tblPrEx>
                <w:tblCellMar>
                  <w:top w:w="0" w:type="dxa"/>
                  <w:left w:w="108" w:type="dxa"/>
                  <w:bottom w:w="0" w:type="dxa"/>
                  <w:right w:w="108" w:type="dxa"/>
                </w:tblCellMar>
              </w:tblPrEx>
              <w:trPr>
                <w:trHeight w:val="397" w:hRule="atLeast"/>
                <w:jc w:val="center"/>
              </w:trPr>
              <w:tc>
                <w:tcPr>
                  <w:tcW w:w="730" w:type="pct"/>
                  <w:vMerge w:val="continue"/>
                  <w:tcBorders>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sz w:val="21"/>
                      <w:szCs w:val="21"/>
                    </w:rPr>
                  </w:pPr>
                </w:p>
              </w:tc>
              <w:tc>
                <w:tcPr>
                  <w:tcW w:w="680" w:type="pct"/>
                  <w:vMerge w:val="continue"/>
                  <w:tcBorders>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sz w:val="21"/>
                      <w:szCs w:val="21"/>
                      <w:lang w:val="en-US" w:eastAsia="zh-CN"/>
                    </w:rPr>
                  </w:pPr>
                </w:p>
              </w:tc>
              <w:tc>
                <w:tcPr>
                  <w:tcW w:w="802"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bidi="ar-SA"/>
                    </w:rPr>
                    <w:t>第三次</w:t>
                  </w:r>
                </w:p>
              </w:tc>
              <w:tc>
                <w:tcPr>
                  <w:tcW w:w="694"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bidi="ar-SA"/>
                    </w:rPr>
                    <w:t>271</w:t>
                  </w:r>
                </w:p>
              </w:tc>
              <w:tc>
                <w:tcPr>
                  <w:tcW w:w="694"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textAlignment w:val="center"/>
                    <w:rPr>
                      <w:rFonts w:hint="default" w:ascii="Times New Roman" w:hAnsi="Times New Roman" w:eastAsia="宋体" w:cs="Times New Roman"/>
                      <w:bCs/>
                      <w:color w:val="000000" w:themeColor="text1"/>
                      <w:kern w:val="2"/>
                      <w:sz w:val="21"/>
                      <w:szCs w:val="21"/>
                      <w:lang w:val="en-US" w:eastAsia="zh-CN" w:bidi="ar-SA"/>
                    </w:rPr>
                  </w:pPr>
                  <w:r>
                    <w:rPr>
                      <w:rFonts w:hint="default" w:ascii="Times New Roman" w:hAnsi="Times New Roman" w:eastAsia="宋体" w:cs="Times New Roman"/>
                      <w:bCs/>
                      <w:color w:val="000000" w:themeColor="text1"/>
                      <w:kern w:val="2"/>
                      <w:sz w:val="21"/>
                      <w:szCs w:val="21"/>
                      <w:lang w:val="en-US" w:eastAsia="zh-CN" w:bidi="ar-SA"/>
                    </w:rPr>
                    <w:t>328</w:t>
                  </w:r>
                </w:p>
              </w:tc>
              <w:tc>
                <w:tcPr>
                  <w:tcW w:w="694"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textAlignment w:val="center"/>
                    <w:rPr>
                      <w:rFonts w:hint="default" w:ascii="Times New Roman" w:hAnsi="Times New Roman" w:eastAsia="宋体" w:cs="Times New Roman"/>
                      <w:bCs/>
                      <w:color w:val="000000" w:themeColor="text1"/>
                      <w:kern w:val="2"/>
                      <w:sz w:val="21"/>
                      <w:szCs w:val="21"/>
                      <w:lang w:val="en-US" w:eastAsia="zh-CN" w:bidi="ar-SA"/>
                    </w:rPr>
                  </w:pPr>
                  <w:r>
                    <w:rPr>
                      <w:rFonts w:hint="default" w:ascii="Times New Roman" w:hAnsi="Times New Roman" w:eastAsia="宋体" w:cs="Times New Roman"/>
                      <w:bCs/>
                      <w:color w:val="000000" w:themeColor="text1"/>
                      <w:kern w:val="2"/>
                      <w:sz w:val="21"/>
                      <w:szCs w:val="21"/>
                      <w:lang w:val="en-US" w:eastAsia="zh-CN" w:bidi="ar-SA"/>
                    </w:rPr>
                    <w:t>339</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line="240" w:lineRule="auto"/>
                    <w:ind w:firstLine="0" w:firstLineChars="0"/>
                    <w:jc w:val="center"/>
                    <w:textAlignment w:val="center"/>
                    <w:rPr>
                      <w:rFonts w:hint="default" w:ascii="Times New Roman" w:hAnsi="Times New Roman" w:eastAsia="宋体" w:cs="Times New Roman"/>
                      <w:bCs/>
                      <w:color w:val="000000" w:themeColor="text1"/>
                      <w:kern w:val="2"/>
                      <w:sz w:val="21"/>
                      <w:szCs w:val="21"/>
                      <w:lang w:val="en-US" w:eastAsia="zh-CN" w:bidi="ar-SA"/>
                    </w:rPr>
                  </w:pPr>
                  <w:r>
                    <w:rPr>
                      <w:rFonts w:hint="default" w:ascii="Times New Roman" w:hAnsi="Times New Roman" w:eastAsia="宋体" w:cs="Times New Roman"/>
                      <w:bCs/>
                      <w:color w:val="000000" w:themeColor="text1"/>
                      <w:kern w:val="2"/>
                      <w:sz w:val="21"/>
                      <w:szCs w:val="21"/>
                      <w:lang w:val="en-US" w:eastAsia="zh-CN" w:bidi="ar-SA"/>
                    </w:rPr>
                    <w:t>341</w:t>
                  </w:r>
                </w:p>
              </w:tc>
            </w:tr>
          </w:tbl>
          <w:p>
            <w:pPr>
              <w:pStyle w:val="10"/>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表7-6  无组织废气判定结果表</w:t>
            </w:r>
          </w:p>
          <w:tbl>
            <w:tblPr>
              <w:tblStyle w:val="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1"/>
              <w:gridCol w:w="2512"/>
              <w:gridCol w:w="2503"/>
              <w:gridCol w:w="1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59" w:type="pct"/>
                  <w:shd w:val="clear" w:color="auto" w:fill="auto"/>
                  <w:vAlign w:val="center"/>
                </w:tcPr>
                <w:p>
                  <w:pPr>
                    <w:spacing w:line="240" w:lineRule="auto"/>
                    <w:ind w:firstLine="0" w:firstLineChars="0"/>
                    <w:jc w:val="center"/>
                    <w:rPr>
                      <w:rFonts w:hint="default" w:eastAsia="宋体"/>
                      <w:b/>
                      <w:bCs/>
                      <w:color w:val="auto"/>
                      <w:sz w:val="21"/>
                      <w:szCs w:val="21"/>
                      <w:highlight w:val="none"/>
                      <w:lang w:val="en-US" w:eastAsia="zh-CN"/>
                    </w:rPr>
                  </w:pPr>
                  <w:r>
                    <w:rPr>
                      <w:rFonts w:hint="eastAsia"/>
                      <w:b/>
                      <w:bCs/>
                      <w:color w:val="auto"/>
                      <w:sz w:val="21"/>
                      <w:szCs w:val="21"/>
                      <w:highlight w:val="none"/>
                      <w:lang w:eastAsia="zh-CN"/>
                    </w:rPr>
                    <w:t>监测因子</w:t>
                  </w:r>
                </w:p>
              </w:tc>
              <w:tc>
                <w:tcPr>
                  <w:tcW w:w="1405"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周界外浓度最高点浓度（μg/</w:t>
                  </w:r>
                  <w:r>
                    <w:rPr>
                      <w:rFonts w:hint="eastAsia"/>
                      <w:b/>
                      <w:bCs/>
                      <w:color w:val="auto"/>
                      <w:sz w:val="21"/>
                      <w:szCs w:val="21"/>
                      <w:highlight w:val="none"/>
                      <w:lang w:eastAsia="zh-CN"/>
                    </w:rPr>
                    <w:t>m³</w:t>
                  </w:r>
                  <w:r>
                    <w:rPr>
                      <w:rFonts w:hint="eastAsia"/>
                      <w:b/>
                      <w:bCs/>
                      <w:color w:val="auto"/>
                      <w:sz w:val="21"/>
                      <w:szCs w:val="21"/>
                      <w:highlight w:val="none"/>
                    </w:rPr>
                    <w:t>）</w:t>
                  </w:r>
                </w:p>
              </w:tc>
              <w:tc>
                <w:tcPr>
                  <w:tcW w:w="1400"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周界外浓度最高点限值（mg/</w:t>
                  </w:r>
                  <w:r>
                    <w:rPr>
                      <w:rFonts w:hint="eastAsia"/>
                      <w:b/>
                      <w:bCs/>
                      <w:color w:val="auto"/>
                      <w:sz w:val="21"/>
                      <w:szCs w:val="21"/>
                      <w:highlight w:val="none"/>
                      <w:lang w:eastAsia="zh-CN"/>
                    </w:rPr>
                    <w:t>m³</w:t>
                  </w:r>
                  <w:r>
                    <w:rPr>
                      <w:rFonts w:hint="eastAsia"/>
                      <w:b/>
                      <w:bCs/>
                      <w:color w:val="auto"/>
                      <w:sz w:val="21"/>
                      <w:szCs w:val="21"/>
                      <w:highlight w:val="none"/>
                    </w:rPr>
                    <w:t>）</w:t>
                  </w:r>
                </w:p>
              </w:tc>
              <w:tc>
                <w:tcPr>
                  <w:tcW w:w="1034"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59"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颗粒物</w:t>
                  </w:r>
                </w:p>
              </w:tc>
              <w:tc>
                <w:tcPr>
                  <w:tcW w:w="1405" w:type="pct"/>
                  <w:shd w:val="clear" w:color="auto" w:fill="auto"/>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341</w:t>
                  </w:r>
                </w:p>
              </w:tc>
              <w:tc>
                <w:tcPr>
                  <w:tcW w:w="1400"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1.0</w:t>
                  </w:r>
                </w:p>
              </w:tc>
              <w:tc>
                <w:tcPr>
                  <w:tcW w:w="1034"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r>
          </w:tbl>
          <w:p>
            <w:pPr>
              <w:pStyle w:val="2"/>
              <w:rPr>
                <w:color w:val="auto"/>
                <w:highlight w:val="none"/>
              </w:rPr>
            </w:pPr>
            <w:r>
              <w:rPr>
                <w:rFonts w:hint="eastAsia"/>
              </w:rPr>
              <w:t>由监测结果可知，验收监测期间：</w:t>
            </w:r>
            <w:r>
              <w:rPr>
                <w:rFonts w:hint="eastAsia" w:ascii="Times New Roman" w:hAnsi="Times New Roman"/>
                <w:color w:val="auto"/>
                <w:highlight w:val="none"/>
              </w:rPr>
              <w:t>厂界无组织排放的</w:t>
            </w:r>
            <w:r>
              <w:rPr>
                <w:rFonts w:hint="eastAsia" w:ascii="Times New Roman" w:hAnsi="Times New Roman"/>
                <w:color w:val="auto"/>
                <w:highlight w:val="none"/>
                <w:lang w:eastAsia="zh-CN"/>
              </w:rPr>
              <w:t>颗粒物</w:t>
            </w:r>
            <w:r>
              <w:rPr>
                <w:rFonts w:hint="eastAsia" w:ascii="Times New Roman" w:hAnsi="Times New Roman"/>
                <w:color w:val="auto"/>
                <w:highlight w:val="none"/>
              </w:rPr>
              <w:t>周界外浓度最高点浓度为</w:t>
            </w:r>
            <w:r>
              <w:rPr>
                <w:rFonts w:hint="eastAsia"/>
                <w:color w:val="auto"/>
                <w:highlight w:val="none"/>
                <w:lang w:val="en-US" w:eastAsia="zh-CN"/>
              </w:rPr>
              <w:t>341</w:t>
            </w:r>
            <w:r>
              <w:rPr>
                <w:rFonts w:hint="eastAsia" w:ascii="Times New Roman" w:hAnsi="Times New Roman"/>
                <w:color w:val="auto"/>
                <w:highlight w:val="none"/>
                <w:lang w:val="en-US" w:eastAsia="zh-CN"/>
              </w:rPr>
              <w:t>μg/m³</w:t>
            </w:r>
            <w:r>
              <w:rPr>
                <w:rFonts w:hint="eastAsia" w:ascii="Times New Roman" w:hAnsi="Times New Roman"/>
                <w:color w:val="auto"/>
                <w:highlight w:val="none"/>
              </w:rPr>
              <w:t>，</w:t>
            </w:r>
            <w:r>
              <w:rPr>
                <w:rFonts w:hint="eastAsia" w:ascii="Times New Roman" w:hAnsi="Times New Roman"/>
                <w:color w:val="auto"/>
                <w:highlight w:val="none"/>
                <w:lang w:eastAsia="zh-CN"/>
              </w:rPr>
              <w:t>满足《大气污染物综合排放标准》（GB16297-1996）表2无组织排放浓度限值。</w:t>
            </w:r>
          </w:p>
          <w:tbl>
            <w:tblPr>
              <w:tblStyle w:val="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1"/>
                    <w:jc w:val="center"/>
                    <w:rPr>
                      <w:rFonts w:ascii="Times New Roman" w:hAnsi="Times New Roman"/>
                      <w:b/>
                      <w:bCs/>
                      <w:color w:val="auto"/>
                      <w:highlight w:val="none"/>
                    </w:rPr>
                  </w:pPr>
                  <w:r>
                    <w:rPr>
                      <w:rFonts w:cs="宋体"/>
                      <w:color w:val="auto"/>
                      <w:highlight w:val="none"/>
                    </w:rPr>
                    <w:pict>
                      <v:shape id="_x0000_i1031" o:spt="75" alt="c375f50805f620de308ebcdbb6e3d3e" type="#_x0000_t75" style="height:244.95pt;width:435.45pt;" filled="f" o:preferrelative="t" stroked="f" coordsize="21600,21600">
                        <v:path/>
                        <v:fill on="f" focussize="0,0"/>
                        <v:stroke on="f"/>
                        <v:imagedata r:id="rId16" o:title=""/>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1"/>
                    <w:jc w:val="center"/>
                    <w:rPr>
                      <w:rFonts w:cs="宋体"/>
                      <w:color w:val="auto"/>
                      <w:highlight w:val="none"/>
                    </w:rPr>
                  </w:pPr>
                  <w:r>
                    <w:rPr>
                      <w:rFonts w:ascii="Times New Roman" w:hAnsi="Times New Roman"/>
                      <w:b/>
                      <w:bCs/>
                      <w:color w:val="auto"/>
                      <w:sz w:val="21"/>
                      <w:szCs w:val="21"/>
                      <w:highlight w:val="none"/>
                    </w:rPr>
                    <w:t>图7-</w:t>
                  </w:r>
                  <w:r>
                    <w:rPr>
                      <w:rFonts w:hint="eastAsia" w:ascii="Times New Roman" w:hAnsi="Times New Roman"/>
                      <w:b/>
                      <w:bCs/>
                      <w:color w:val="auto"/>
                      <w:sz w:val="21"/>
                      <w:szCs w:val="21"/>
                      <w:highlight w:val="none"/>
                    </w:rPr>
                    <w:t>1</w:t>
                  </w:r>
                  <w:r>
                    <w:rPr>
                      <w:rFonts w:ascii="Times New Roman" w:hAnsi="Times New Roman"/>
                      <w:b/>
                      <w:bCs/>
                      <w:color w:val="auto"/>
                      <w:sz w:val="21"/>
                      <w:szCs w:val="21"/>
                      <w:highlight w:val="none"/>
                    </w:rPr>
                    <w:t xml:space="preserve">  废气</w:t>
                  </w:r>
                  <w:r>
                    <w:rPr>
                      <w:rFonts w:hint="eastAsia" w:ascii="Times New Roman" w:hAnsi="Times New Roman"/>
                      <w:b/>
                      <w:bCs/>
                      <w:color w:val="auto"/>
                      <w:sz w:val="21"/>
                      <w:szCs w:val="21"/>
                      <w:highlight w:val="none"/>
                    </w:rPr>
                    <w:t>处理设备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ind w:firstLine="0" w:firstLineChars="0"/>
                    <w:jc w:val="center"/>
                    <w:rPr>
                      <w:color w:val="auto"/>
                      <w:highlight w:val="none"/>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"http://117.73.252.128:9025/company/20230906/ba251b35-6b7b-4f14-907e-5243a7936a2e/1693964375375_1693964380234.jpg"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6" o:spt="75" alt="IMG_256" type="#_x0000_t75" style="height:313.4pt;width:218pt;" filled="f" o:preferrelative="t" stroked="f" coordsize="21600,21600">
                        <v:path/>
                        <v:fill on="f" focussize="0,0"/>
                        <v:stroke on="f"/>
                        <v:imagedata r:id="rId17"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1"/>
                    <w:jc w:val="center"/>
                    <w:rPr>
                      <w:rFonts w:cs="宋体"/>
                      <w:color w:val="auto"/>
                      <w:highlight w:val="none"/>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"http://117.73.252.128:9025/company/20230905/bf87e385-19d3-4793-97c1-79c71ed8dc1f/1693878457615_1693878460798.jpg"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7" o:spt="75" alt="IMG_256" type="#_x0000_t75" style="height:325.85pt;width:224.55pt;" filled="f" o:preferrelative="t" stroked="f" coordsize="21600,21600">
                        <v:path/>
                        <v:fill on="f" focussize="0,0"/>
                        <v:stroke on="f"/>
                        <v:imagedata r:id="rId18"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1"/>
                    <w:jc w:val="center"/>
                    <w:rPr>
                      <w:rFonts w:ascii="Times New Roman" w:hAnsi="Times New Roman"/>
                      <w:b/>
                      <w:bCs/>
                      <w:color w:val="auto"/>
                      <w:highlight w:val="none"/>
                    </w:rPr>
                  </w:pPr>
                  <w:r>
                    <w:rPr>
                      <w:rFonts w:ascii="Times New Roman" w:hAnsi="Times New Roman"/>
                      <w:b/>
                      <w:bCs/>
                      <w:color w:val="auto"/>
                      <w:sz w:val="21"/>
                      <w:szCs w:val="21"/>
                      <w:highlight w:val="none"/>
                    </w:rPr>
                    <w:t>图7-</w:t>
                  </w:r>
                  <w:r>
                    <w:rPr>
                      <w:rFonts w:hint="eastAsia" w:ascii="Times New Roman" w:hAnsi="Times New Roman"/>
                      <w:b/>
                      <w:bCs/>
                      <w:color w:val="auto"/>
                      <w:sz w:val="21"/>
                      <w:szCs w:val="21"/>
                      <w:highlight w:val="none"/>
                    </w:rPr>
                    <w:t>2</w:t>
                  </w:r>
                  <w:r>
                    <w:rPr>
                      <w:rFonts w:ascii="Times New Roman" w:hAnsi="Times New Roman"/>
                      <w:b/>
                      <w:bCs/>
                      <w:color w:val="auto"/>
                      <w:sz w:val="21"/>
                      <w:szCs w:val="21"/>
                      <w:highlight w:val="none"/>
                    </w:rPr>
                    <w:t xml:space="preserve">  废气监测</w:t>
                  </w:r>
                </w:p>
              </w:tc>
            </w:tr>
          </w:tbl>
          <w:p>
            <w:pPr>
              <w:ind w:firstLine="482"/>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2、废水</w:t>
            </w:r>
          </w:p>
          <w:p>
            <w:pPr>
              <w:pStyle w:val="2"/>
              <w:adjustRightInd/>
              <w:jc w:val="both"/>
              <w:rPr>
                <w:rFonts w:hint="eastAsia" w:cs="Times New Roman"/>
                <w:color w:val="auto"/>
                <w:kern w:val="0"/>
                <w:szCs w:val="24"/>
                <w:highlight w:val="none"/>
                <w:lang w:bidi="ar"/>
              </w:rPr>
            </w:pPr>
            <w:r>
              <w:rPr>
                <w:rFonts w:hint="eastAsia" w:cs="Times New Roman"/>
                <w:color w:val="auto"/>
                <w:kern w:val="0"/>
                <w:szCs w:val="24"/>
                <w:highlight w:val="none"/>
                <w:lang w:bidi="ar"/>
              </w:rPr>
              <w:t>项目不新增员工，生产过程中无生产废水产生，项目不新增废水排放。</w:t>
            </w:r>
          </w:p>
          <w:p>
            <w:pPr>
              <w:ind w:firstLine="482"/>
              <w:rPr>
                <w:b/>
                <w:bCs/>
                <w:color w:val="auto"/>
                <w:highlight w:val="none"/>
              </w:rPr>
            </w:pPr>
            <w:r>
              <w:rPr>
                <w:rFonts w:hint="eastAsia"/>
                <w:b/>
                <w:bCs/>
                <w:color w:val="auto"/>
                <w:highlight w:val="none"/>
              </w:rPr>
              <w:t>3、噪声</w:t>
            </w:r>
          </w:p>
          <w:p>
            <w:pPr>
              <w:ind w:firstLine="480"/>
              <w:rPr>
                <w:rFonts w:hint="eastAsia"/>
                <w:color w:val="auto"/>
                <w:highlight w:val="none"/>
              </w:rPr>
            </w:pPr>
            <w:r>
              <w:rPr>
                <w:rFonts w:hint="eastAsia"/>
                <w:color w:val="auto"/>
                <w:highlight w:val="none"/>
              </w:rPr>
              <w:t>项目产生的噪声主要是除尘器、风机、提升机、抽尘系统、打砂机等的运行噪声，项目采取设备均布置于室内，采取门窗、墙体隔声，全部设备均选用低噪声设备并采取减振措施。加强管理，经常保养和维护机械设备避免设备在不良状态下运行等措施。</w:t>
            </w:r>
          </w:p>
          <w:p>
            <w:pPr>
              <w:ind w:firstLine="480"/>
              <w:rPr>
                <w:color w:val="auto"/>
                <w:highlight w:val="none"/>
              </w:rPr>
            </w:pPr>
            <w:r>
              <w:rPr>
                <w:color w:val="auto"/>
                <w:highlight w:val="none"/>
              </w:rPr>
              <w:t>监测结果见下表：</w:t>
            </w:r>
          </w:p>
          <w:p>
            <w:pPr>
              <w:spacing w:line="240" w:lineRule="atLeast"/>
              <w:ind w:firstLine="482"/>
              <w:jc w:val="center"/>
              <w:rPr>
                <w:b/>
                <w:bCs/>
                <w:color w:val="auto"/>
                <w:highlight w:val="none"/>
              </w:rPr>
            </w:pPr>
            <w:r>
              <w:rPr>
                <w:b/>
                <w:bCs/>
                <w:color w:val="auto"/>
                <w:highlight w:val="none"/>
              </w:rPr>
              <w:t>表7-</w:t>
            </w:r>
            <w:r>
              <w:rPr>
                <w:rFonts w:hint="eastAsia"/>
                <w:b/>
                <w:bCs/>
                <w:color w:val="auto"/>
                <w:highlight w:val="none"/>
                <w:lang w:val="en-US" w:eastAsia="zh-CN"/>
              </w:rPr>
              <w:t>7</w:t>
            </w:r>
            <w:r>
              <w:rPr>
                <w:rFonts w:hint="eastAsia"/>
                <w:b/>
                <w:bCs/>
                <w:color w:val="auto"/>
                <w:highlight w:val="none"/>
              </w:rPr>
              <w:t xml:space="preserve"> </w:t>
            </w:r>
            <w:r>
              <w:rPr>
                <w:b/>
                <w:bCs/>
                <w:color w:val="auto"/>
                <w:highlight w:val="none"/>
              </w:rPr>
              <w:t xml:space="preserve"> 项目噪声监测结果表   单位：dB（A）</w:t>
            </w:r>
          </w:p>
          <w:tbl>
            <w:tblPr>
              <w:tblStyle w:val="28"/>
              <w:tblW w:w="8949"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top w:w="0" w:type="dxa"/>
                <w:left w:w="108" w:type="dxa"/>
                <w:bottom w:w="0" w:type="dxa"/>
                <w:right w:w="108" w:type="dxa"/>
              </w:tblCellMar>
            </w:tblPr>
            <w:tblGrid>
              <w:gridCol w:w="1010"/>
              <w:gridCol w:w="745"/>
              <w:gridCol w:w="745"/>
              <w:gridCol w:w="921"/>
              <w:gridCol w:w="921"/>
              <w:gridCol w:w="921"/>
              <w:gridCol w:w="921"/>
              <w:gridCol w:w="921"/>
              <w:gridCol w:w="922"/>
              <w:gridCol w:w="922"/>
            </w:tblGrid>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97" w:hRule="atLeast"/>
                <w:jc w:val="center"/>
              </w:trPr>
              <w:tc>
                <w:tcPr>
                  <w:tcW w:w="1010" w:type="dxa"/>
                  <w:vMerge w:val="restart"/>
                  <w:tcBorders>
                    <w:bottom w:val="single" w:color="000000" w:sz="4" w:space="0"/>
                    <w:right w:val="single" w:color="000000" w:sz="4" w:space="0"/>
                  </w:tcBorders>
                  <w:vAlign w:val="center"/>
                </w:tcPr>
                <w:p>
                  <w:pPr>
                    <w:pStyle w:val="20"/>
                    <w:widowControl w:val="0"/>
                    <w:bidi w:val="0"/>
                    <w:snapToGrid w:val="0"/>
                    <w:spacing w:before="0" w:beforeLines="0" w:after="0" w:afterLines="0" w:line="240" w:lineRule="auto"/>
                    <w:ind w:firstLine="0" w:firstLineChars="0"/>
                    <w:jc w:val="center"/>
                    <w:rPr>
                      <w:rFonts w:hint="default" w:ascii="Times New Roman" w:hAnsi="Times New Roman" w:eastAsia="宋体" w:cs="Times New Roman"/>
                      <w:b/>
                      <w:kern w:val="0"/>
                      <w:sz w:val="21"/>
                      <w:szCs w:val="21"/>
                    </w:rPr>
                  </w:pPr>
                  <w:r>
                    <w:rPr>
                      <w:rFonts w:hint="default" w:ascii="Times New Roman" w:hAnsi="Times New Roman" w:eastAsia="宋体" w:cs="Times New Roman"/>
                      <w:b/>
                      <w:kern w:val="0"/>
                      <w:sz w:val="21"/>
                      <w:szCs w:val="21"/>
                    </w:rPr>
                    <w:t>采样</w:t>
                  </w:r>
                </w:p>
                <w:p>
                  <w:pPr>
                    <w:pStyle w:val="20"/>
                    <w:widowControl w:val="0"/>
                    <w:bidi w:val="0"/>
                    <w:snapToGrid w:val="0"/>
                    <w:spacing w:before="0" w:beforeLines="0" w:after="0" w:afterLines="0" w:line="240" w:lineRule="auto"/>
                    <w:ind w:firstLine="0" w:firstLineChars="0"/>
                    <w:jc w:val="center"/>
                    <w:rPr>
                      <w:rFonts w:hint="default" w:ascii="Times New Roman" w:hAnsi="Times New Roman" w:eastAsia="宋体" w:cs="Times New Roman"/>
                      <w:b/>
                      <w:color w:val="FF0000"/>
                      <w:kern w:val="0"/>
                      <w:sz w:val="21"/>
                      <w:szCs w:val="21"/>
                    </w:rPr>
                  </w:pPr>
                  <w:r>
                    <w:rPr>
                      <w:rFonts w:hint="default" w:ascii="Times New Roman" w:hAnsi="Times New Roman" w:eastAsia="宋体" w:cs="Times New Roman"/>
                      <w:b/>
                      <w:kern w:val="0"/>
                      <w:sz w:val="21"/>
                      <w:szCs w:val="21"/>
                    </w:rPr>
                    <w:t>时间</w:t>
                  </w:r>
                </w:p>
              </w:tc>
              <w:tc>
                <w:tcPr>
                  <w:tcW w:w="745" w:type="dxa"/>
                  <w:vMerge w:val="restart"/>
                  <w:tcBorders>
                    <w:left w:val="single" w:color="000000" w:sz="4" w:space="0"/>
                    <w:bottom w:val="single" w:color="000000" w:sz="4" w:space="0"/>
                    <w:right w:val="single" w:color="000000" w:sz="4" w:space="0"/>
                  </w:tcBorders>
                  <w:vAlign w:val="center"/>
                </w:tcPr>
                <w:p>
                  <w:pPr>
                    <w:pStyle w:val="20"/>
                    <w:widowControl w:val="0"/>
                    <w:bidi w:val="0"/>
                    <w:snapToGrid w:val="0"/>
                    <w:spacing w:before="0" w:beforeLines="0" w:after="0" w:afterLines="0"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测量</w:t>
                  </w:r>
                </w:p>
                <w:p>
                  <w:pPr>
                    <w:pStyle w:val="20"/>
                    <w:widowControl w:val="0"/>
                    <w:bidi w:val="0"/>
                    <w:snapToGrid w:val="0"/>
                    <w:spacing w:before="0" w:beforeLines="0" w:after="0" w:afterLines="0" w:line="240" w:lineRule="auto"/>
                    <w:ind w:firstLine="0" w:firstLineChars="0"/>
                    <w:jc w:val="center"/>
                    <w:rPr>
                      <w:rFonts w:hint="default" w:ascii="Times New Roman" w:hAnsi="Times New Roman" w:eastAsia="宋体" w:cs="Times New Roman"/>
                      <w:b/>
                      <w:kern w:val="0"/>
                      <w:sz w:val="21"/>
                      <w:szCs w:val="21"/>
                    </w:rPr>
                  </w:pPr>
                  <w:r>
                    <w:rPr>
                      <w:rFonts w:hint="default" w:ascii="Times New Roman" w:hAnsi="Times New Roman" w:eastAsia="宋体" w:cs="Times New Roman"/>
                      <w:b/>
                      <w:sz w:val="21"/>
                      <w:szCs w:val="21"/>
                    </w:rPr>
                    <w:t>时段</w:t>
                  </w:r>
                </w:p>
              </w:tc>
              <w:tc>
                <w:tcPr>
                  <w:tcW w:w="745" w:type="dxa"/>
                  <w:vMerge w:val="restart"/>
                  <w:tcBorders>
                    <w:left w:val="single" w:color="000000" w:sz="4" w:space="0"/>
                    <w:bottom w:val="single" w:color="000000" w:sz="4" w:space="0"/>
                    <w:right w:val="single" w:color="000000" w:sz="4" w:space="0"/>
                  </w:tcBorders>
                  <w:vAlign w:val="center"/>
                </w:tcPr>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检测</w:t>
                  </w:r>
                </w:p>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rPr>
                    <w:t>项目</w:t>
                  </w:r>
                </w:p>
              </w:tc>
              <w:tc>
                <w:tcPr>
                  <w:tcW w:w="6449" w:type="dxa"/>
                  <w:gridSpan w:val="7"/>
                  <w:tcBorders>
                    <w:left w:val="single" w:color="000000" w:sz="4" w:space="0"/>
                    <w:bottom w:val="single" w:color="000000" w:sz="4" w:space="0"/>
                  </w:tcBorders>
                  <w:vAlign w:val="center"/>
                </w:tcPr>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检测结果</w:t>
                  </w:r>
                  <w:r>
                    <w:rPr>
                      <w:rFonts w:hint="default" w:ascii="Times New Roman" w:hAnsi="Times New Roman" w:eastAsia="宋体" w:cs="Times New Roman"/>
                      <w:sz w:val="21"/>
                      <w:szCs w:val="21"/>
                    </w:rPr>
                    <w:t>dB(A)</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97" w:hRule="atLeast"/>
                <w:jc w:val="center"/>
              </w:trPr>
              <w:tc>
                <w:tcPr>
                  <w:tcW w:w="1010" w:type="dxa"/>
                  <w:vMerge w:val="continue"/>
                  <w:tcBorders>
                    <w:top w:val="single" w:color="000000" w:sz="4" w:space="0"/>
                    <w:bottom w:val="single" w:color="000000" w:sz="4" w:space="0"/>
                    <w:right w:val="single" w:color="000000" w:sz="4" w:space="0"/>
                  </w:tcBorders>
                  <w:vAlign w:val="center"/>
                </w:tcPr>
                <w:p>
                  <w:pPr>
                    <w:pStyle w:val="20"/>
                    <w:widowControl w:val="0"/>
                    <w:bidi w:val="0"/>
                    <w:snapToGrid w:val="0"/>
                    <w:spacing w:before="0" w:beforeLines="0" w:after="0" w:afterLines="0" w:line="240" w:lineRule="auto"/>
                    <w:ind w:firstLine="0" w:firstLineChars="0"/>
                    <w:rPr>
                      <w:rFonts w:hint="default" w:ascii="Times New Roman" w:hAnsi="Times New Roman" w:eastAsia="宋体" w:cs="Times New Roman"/>
                      <w:b/>
                      <w:color w:val="FF0000"/>
                      <w:kern w:val="0"/>
                      <w:sz w:val="21"/>
                      <w:szCs w:val="21"/>
                    </w:rPr>
                  </w:pPr>
                </w:p>
              </w:tc>
              <w:tc>
                <w:tcPr>
                  <w:tcW w:w="745" w:type="dxa"/>
                  <w:vMerge w:val="continue"/>
                  <w:tcBorders>
                    <w:top w:val="single" w:color="000000" w:sz="4" w:space="0"/>
                    <w:left w:val="single" w:color="000000" w:sz="4" w:space="0"/>
                    <w:bottom w:val="single" w:color="000000" w:sz="4" w:space="0"/>
                    <w:right w:val="single" w:color="000000" w:sz="4" w:space="0"/>
                  </w:tcBorders>
                  <w:vAlign w:val="center"/>
                </w:tcPr>
                <w:p>
                  <w:pPr>
                    <w:pStyle w:val="20"/>
                    <w:widowControl w:val="0"/>
                    <w:bidi w:val="0"/>
                    <w:snapToGrid w:val="0"/>
                    <w:spacing w:before="0" w:beforeLines="0" w:after="0" w:afterLines="0" w:line="240" w:lineRule="auto"/>
                    <w:ind w:firstLine="0" w:firstLineChars="0"/>
                    <w:rPr>
                      <w:rFonts w:hint="default" w:ascii="Times New Roman" w:hAnsi="Times New Roman" w:eastAsia="宋体" w:cs="Times New Roman"/>
                      <w:b/>
                      <w:sz w:val="21"/>
                      <w:szCs w:val="21"/>
                    </w:rPr>
                  </w:pPr>
                </w:p>
              </w:tc>
              <w:tc>
                <w:tcPr>
                  <w:tcW w:w="745" w:type="dxa"/>
                  <w:vMerge w:val="continue"/>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before="0" w:beforeLines="0" w:after="0" w:afterLines="0" w:line="240" w:lineRule="auto"/>
                    <w:ind w:firstLine="0" w:firstLineChars="0"/>
                    <w:rPr>
                      <w:rFonts w:hint="default" w:ascii="Times New Roman" w:hAnsi="Times New Roman" w:eastAsia="宋体" w:cs="Times New Roman"/>
                      <w:b/>
                      <w:sz w:val="21"/>
                      <w:szCs w:val="21"/>
                    </w:rPr>
                  </w:pPr>
                </w:p>
              </w:tc>
              <w:tc>
                <w:tcPr>
                  <w:tcW w:w="921" w:type="dxa"/>
                  <w:tcBorders>
                    <w:top w:val="single" w:color="000000" w:sz="4" w:space="0"/>
                    <w:left w:val="single" w:color="000000"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b w:val="0"/>
                      <w:bCs w:val="0"/>
                      <w:sz w:val="21"/>
                      <w:szCs w:val="21"/>
                      <w:lang w:val="en-US" w:eastAsia="zh-CN"/>
                    </w:rPr>
                  </w:pPr>
                  <w:r>
                    <w:rPr>
                      <w:rFonts w:hint="eastAsia"/>
                      <w:b/>
                      <w:bCs/>
                      <w:color w:val="auto"/>
                      <w:sz w:val="21"/>
                      <w:szCs w:val="21"/>
                      <w:highlight w:val="none"/>
                    </w:rPr>
                    <w:t>1#东厂界</w:t>
                  </w:r>
                </w:p>
              </w:tc>
              <w:tc>
                <w:tcPr>
                  <w:tcW w:w="921" w:type="dxa"/>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b w:val="0"/>
                      <w:bCs w:val="0"/>
                      <w:sz w:val="21"/>
                      <w:szCs w:val="21"/>
                      <w:lang w:val="en-US" w:eastAsia="zh-CN"/>
                    </w:rPr>
                  </w:pPr>
                  <w:r>
                    <w:rPr>
                      <w:rFonts w:hint="eastAsia"/>
                      <w:b/>
                      <w:bCs/>
                      <w:color w:val="auto"/>
                      <w:sz w:val="21"/>
                      <w:szCs w:val="21"/>
                      <w:highlight w:val="none"/>
                    </w:rPr>
                    <w:t>2#南</w:t>
                  </w:r>
                  <w:r>
                    <w:rPr>
                      <w:b/>
                      <w:bCs/>
                      <w:color w:val="auto"/>
                      <w:sz w:val="21"/>
                      <w:szCs w:val="21"/>
                      <w:highlight w:val="none"/>
                    </w:rPr>
                    <w:t>厂界</w:t>
                  </w:r>
                </w:p>
              </w:tc>
              <w:tc>
                <w:tcPr>
                  <w:tcW w:w="921" w:type="dxa"/>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b w:val="0"/>
                      <w:bCs w:val="0"/>
                      <w:sz w:val="21"/>
                      <w:szCs w:val="21"/>
                      <w:lang w:val="en-US" w:eastAsia="zh-CN"/>
                    </w:rPr>
                  </w:pPr>
                  <w:r>
                    <w:rPr>
                      <w:rFonts w:hint="eastAsia"/>
                      <w:b/>
                      <w:bCs/>
                      <w:color w:val="auto"/>
                      <w:sz w:val="21"/>
                      <w:szCs w:val="21"/>
                      <w:highlight w:val="none"/>
                    </w:rPr>
                    <w:t>3#西</w:t>
                  </w:r>
                  <w:r>
                    <w:rPr>
                      <w:b/>
                      <w:bCs/>
                      <w:color w:val="auto"/>
                      <w:sz w:val="21"/>
                      <w:szCs w:val="21"/>
                      <w:highlight w:val="none"/>
                    </w:rPr>
                    <w:t>厂界</w:t>
                  </w:r>
                </w:p>
              </w:tc>
              <w:tc>
                <w:tcPr>
                  <w:tcW w:w="921" w:type="dxa"/>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b w:val="0"/>
                      <w:bCs w:val="0"/>
                      <w:sz w:val="21"/>
                      <w:szCs w:val="21"/>
                      <w:lang w:val="en-US" w:eastAsia="zh-CN"/>
                    </w:rPr>
                  </w:pPr>
                  <w:r>
                    <w:rPr>
                      <w:rFonts w:hint="eastAsia"/>
                      <w:b/>
                      <w:bCs/>
                      <w:color w:val="auto"/>
                      <w:sz w:val="21"/>
                      <w:szCs w:val="21"/>
                      <w:highlight w:val="none"/>
                    </w:rPr>
                    <w:t>4#</w:t>
                  </w:r>
                  <w:r>
                    <w:rPr>
                      <w:rFonts w:hint="eastAsia"/>
                      <w:b/>
                      <w:bCs/>
                      <w:color w:val="auto"/>
                      <w:sz w:val="21"/>
                      <w:szCs w:val="21"/>
                      <w:highlight w:val="none"/>
                      <w:lang w:eastAsia="zh-CN"/>
                    </w:rPr>
                    <w:t>北厂界</w:t>
                  </w:r>
                </w:p>
              </w:tc>
              <w:tc>
                <w:tcPr>
                  <w:tcW w:w="921" w:type="dxa"/>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b w:val="0"/>
                      <w:bCs w:val="0"/>
                      <w:sz w:val="21"/>
                      <w:szCs w:val="21"/>
                      <w:lang w:val="en-US" w:eastAsia="zh-CN"/>
                    </w:rPr>
                  </w:pPr>
                  <w:r>
                    <w:rPr>
                      <w:rFonts w:hint="eastAsia"/>
                      <w:b/>
                      <w:bCs/>
                      <w:color w:val="auto"/>
                      <w:sz w:val="21"/>
                      <w:szCs w:val="21"/>
                      <w:highlight w:val="none"/>
                    </w:rPr>
                    <w:t>5#济车东门住宅区</w:t>
                  </w:r>
                </w:p>
              </w:tc>
              <w:tc>
                <w:tcPr>
                  <w:tcW w:w="922" w:type="dxa"/>
                  <w:tcBorders>
                    <w:top w:val="single" w:color="000000" w:sz="4" w:space="0"/>
                    <w:left w:val="single" w:color="auto" w:sz="4" w:space="0"/>
                    <w:bottom w:val="single" w:color="000000" w:sz="4" w:space="0"/>
                    <w:right w:val="single" w:color="auto" w:sz="4" w:space="0"/>
                  </w:tcBorders>
                  <w:vAlign w:val="center"/>
                </w:tcPr>
                <w:p>
                  <w:pPr>
                    <w:spacing w:line="240" w:lineRule="auto"/>
                    <w:ind w:firstLine="0" w:firstLineChars="0"/>
                    <w:jc w:val="center"/>
                    <w:rPr>
                      <w:rFonts w:hint="default" w:ascii="Times New Roman" w:hAnsi="Times New Roman" w:eastAsia="宋体" w:cs="Times New Roman"/>
                      <w:b w:val="0"/>
                      <w:bCs w:val="0"/>
                      <w:sz w:val="21"/>
                      <w:szCs w:val="21"/>
                      <w:lang w:val="en-US" w:eastAsia="zh-CN"/>
                    </w:rPr>
                  </w:pPr>
                  <w:r>
                    <w:rPr>
                      <w:rFonts w:hint="eastAsia"/>
                      <w:b/>
                      <w:bCs/>
                      <w:color w:val="auto"/>
                      <w:sz w:val="21"/>
                      <w:szCs w:val="21"/>
                      <w:highlight w:val="none"/>
                    </w:rPr>
                    <w:t>6#济南市昆仑小学</w:t>
                  </w:r>
                </w:p>
              </w:tc>
              <w:tc>
                <w:tcPr>
                  <w:tcW w:w="922" w:type="dxa"/>
                  <w:tcBorders>
                    <w:top w:val="single" w:color="000000" w:sz="4" w:space="0"/>
                    <w:left w:val="single" w:color="auto" w:sz="4" w:space="0"/>
                    <w:bottom w:val="single" w:color="000000" w:sz="4" w:space="0"/>
                  </w:tcBorders>
                  <w:vAlign w:val="center"/>
                </w:tcPr>
                <w:p>
                  <w:pPr>
                    <w:spacing w:line="240" w:lineRule="auto"/>
                    <w:ind w:firstLine="0" w:firstLineChars="0"/>
                    <w:jc w:val="center"/>
                    <w:rPr>
                      <w:rFonts w:hint="default" w:ascii="Times New Roman" w:hAnsi="Times New Roman" w:eastAsia="宋体" w:cs="Times New Roman"/>
                      <w:b w:val="0"/>
                      <w:bCs w:val="0"/>
                      <w:sz w:val="21"/>
                      <w:szCs w:val="21"/>
                      <w:lang w:val="en-US" w:eastAsia="zh-CN"/>
                    </w:rPr>
                  </w:pPr>
                  <w:r>
                    <w:rPr>
                      <w:rFonts w:hint="eastAsia"/>
                      <w:b/>
                      <w:bCs/>
                      <w:color w:val="auto"/>
                      <w:sz w:val="21"/>
                      <w:szCs w:val="21"/>
                      <w:highlight w:val="none"/>
                      <w:lang w:val="en-US" w:eastAsia="zh-CN"/>
                    </w:rPr>
                    <w:t>7#昆仑街小区</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97" w:hRule="atLeast"/>
                <w:jc w:val="center"/>
              </w:trPr>
              <w:tc>
                <w:tcPr>
                  <w:tcW w:w="1010" w:type="dxa"/>
                  <w:tcBorders>
                    <w:top w:val="single" w:color="000000" w:sz="4" w:space="0"/>
                    <w:right w:val="single" w:color="000000" w:sz="4" w:space="0"/>
                  </w:tcBorders>
                  <w:vAlign w:val="center"/>
                </w:tcPr>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2023.</w:t>
                  </w:r>
                </w:p>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bCs/>
                      <w:sz w:val="21"/>
                      <w:szCs w:val="21"/>
                      <w:lang w:val="en-US" w:eastAsia="zh-CN"/>
                    </w:rPr>
                    <w:t>09.05</w:t>
                  </w:r>
                </w:p>
              </w:tc>
              <w:tc>
                <w:tcPr>
                  <w:tcW w:w="745" w:type="dxa"/>
                  <w:tcBorders>
                    <w:top w:val="single" w:color="000000" w:sz="4" w:space="0"/>
                    <w:left w:val="single" w:color="000000" w:sz="4" w:space="0"/>
                    <w:bottom w:val="single" w:color="000000" w:sz="4" w:space="0"/>
                    <w:right w:val="single" w:color="000000" w:sz="4" w:space="0"/>
                  </w:tcBorders>
                  <w:vAlign w:val="center"/>
                </w:tcPr>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昼间</w:t>
                  </w:r>
                </w:p>
              </w:tc>
              <w:tc>
                <w:tcPr>
                  <w:tcW w:w="745" w:type="dxa"/>
                  <w:vMerge w:val="restart"/>
                  <w:tcBorders>
                    <w:top w:val="single" w:color="000000" w:sz="4" w:space="0"/>
                    <w:left w:val="single" w:color="000000" w:sz="4" w:space="0"/>
                    <w:right w:val="single" w:color="000000" w:sz="4" w:space="0"/>
                  </w:tcBorders>
                  <w:vAlign w:val="center"/>
                </w:tcPr>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噪声</w:t>
                  </w:r>
                </w:p>
              </w:tc>
              <w:tc>
                <w:tcPr>
                  <w:tcW w:w="921" w:type="dxa"/>
                  <w:tcBorders>
                    <w:top w:val="single" w:color="000000" w:sz="4" w:space="0"/>
                    <w:left w:val="single" w:color="000000" w:sz="4" w:space="0"/>
                    <w:bottom w:val="single" w:color="000000" w:sz="4" w:space="0"/>
                    <w:right w:val="single" w:color="auto" w:sz="4" w:space="0"/>
                  </w:tcBorders>
                  <w:vAlign w:val="center"/>
                </w:tcPr>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52.3</w:t>
                  </w:r>
                </w:p>
              </w:tc>
              <w:tc>
                <w:tcPr>
                  <w:tcW w:w="921" w:type="dxa"/>
                  <w:tcBorders>
                    <w:top w:val="single" w:color="000000" w:sz="4" w:space="0"/>
                    <w:left w:val="single" w:color="auto" w:sz="4" w:space="0"/>
                    <w:bottom w:val="single" w:color="000000" w:sz="4" w:space="0"/>
                    <w:right w:val="single" w:color="auto" w:sz="4" w:space="0"/>
                  </w:tcBorders>
                  <w:vAlign w:val="center"/>
                </w:tcPr>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53.0</w:t>
                  </w:r>
                </w:p>
              </w:tc>
              <w:tc>
                <w:tcPr>
                  <w:tcW w:w="921" w:type="dxa"/>
                  <w:tcBorders>
                    <w:top w:val="single" w:color="000000" w:sz="4" w:space="0"/>
                    <w:left w:val="single" w:color="auto" w:sz="4" w:space="0"/>
                    <w:bottom w:val="single" w:color="000000" w:sz="4" w:space="0"/>
                    <w:right w:val="single" w:color="auto" w:sz="4" w:space="0"/>
                  </w:tcBorders>
                  <w:vAlign w:val="center"/>
                </w:tcPr>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53.9</w:t>
                  </w:r>
                </w:p>
              </w:tc>
              <w:tc>
                <w:tcPr>
                  <w:tcW w:w="921" w:type="dxa"/>
                  <w:tcBorders>
                    <w:top w:val="single" w:color="000000" w:sz="4" w:space="0"/>
                    <w:left w:val="single" w:color="auto" w:sz="4" w:space="0"/>
                    <w:bottom w:val="single" w:color="000000" w:sz="4" w:space="0"/>
                    <w:right w:val="single" w:color="auto" w:sz="4" w:space="0"/>
                  </w:tcBorders>
                  <w:vAlign w:val="center"/>
                </w:tcPr>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51.9</w:t>
                  </w:r>
                </w:p>
              </w:tc>
              <w:tc>
                <w:tcPr>
                  <w:tcW w:w="921" w:type="dxa"/>
                  <w:tcBorders>
                    <w:top w:val="single" w:color="000000" w:sz="4" w:space="0"/>
                    <w:left w:val="single" w:color="auto" w:sz="4" w:space="0"/>
                    <w:bottom w:val="single" w:color="000000" w:sz="4" w:space="0"/>
                    <w:right w:val="single" w:color="auto" w:sz="4" w:space="0"/>
                  </w:tcBorders>
                  <w:vAlign w:val="center"/>
                </w:tcPr>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49.4</w:t>
                  </w:r>
                </w:p>
              </w:tc>
              <w:tc>
                <w:tcPr>
                  <w:tcW w:w="922" w:type="dxa"/>
                  <w:tcBorders>
                    <w:top w:val="single" w:color="000000" w:sz="4" w:space="0"/>
                    <w:left w:val="single" w:color="auto" w:sz="4" w:space="0"/>
                    <w:bottom w:val="single" w:color="000000" w:sz="4" w:space="0"/>
                    <w:right w:val="single" w:color="auto" w:sz="4" w:space="0"/>
                  </w:tcBorders>
                  <w:vAlign w:val="center"/>
                </w:tcPr>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52.6</w:t>
                  </w:r>
                </w:p>
              </w:tc>
              <w:tc>
                <w:tcPr>
                  <w:tcW w:w="922" w:type="dxa"/>
                  <w:tcBorders>
                    <w:top w:val="single" w:color="000000" w:sz="4" w:space="0"/>
                    <w:left w:val="single" w:color="auto" w:sz="4" w:space="0"/>
                    <w:bottom w:val="single" w:color="000000" w:sz="4" w:space="0"/>
                  </w:tcBorders>
                  <w:vAlign w:val="center"/>
                </w:tcPr>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48.4</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97" w:hRule="atLeast"/>
                <w:jc w:val="center"/>
              </w:trPr>
              <w:tc>
                <w:tcPr>
                  <w:tcW w:w="1010" w:type="dxa"/>
                  <w:tcBorders>
                    <w:top w:val="single" w:color="000000" w:sz="4" w:space="0"/>
                    <w:right w:val="single" w:color="000000" w:sz="4" w:space="0"/>
                  </w:tcBorders>
                  <w:vAlign w:val="center"/>
                </w:tcPr>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bCs/>
                      <w:sz w:val="21"/>
                      <w:szCs w:val="21"/>
                      <w:lang w:val="en-US" w:eastAsia="zh-CN"/>
                    </w:rPr>
                  </w:pPr>
                  <w:r>
                    <w:rPr>
                      <w:rFonts w:hint="default" w:ascii="Times New Roman" w:hAnsi="Times New Roman" w:eastAsia="宋体" w:cs="Times New Roman"/>
                      <w:bCs/>
                      <w:sz w:val="21"/>
                      <w:szCs w:val="21"/>
                      <w:lang w:val="en-US" w:eastAsia="zh-CN"/>
                    </w:rPr>
                    <w:t>2023.</w:t>
                  </w:r>
                </w:p>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bCs/>
                      <w:sz w:val="21"/>
                      <w:szCs w:val="21"/>
                      <w:lang w:val="en-US" w:eastAsia="zh-CN"/>
                    </w:rPr>
                    <w:t>09.06</w:t>
                  </w:r>
                </w:p>
              </w:tc>
              <w:tc>
                <w:tcPr>
                  <w:tcW w:w="745" w:type="dxa"/>
                  <w:tcBorders>
                    <w:top w:val="single" w:color="000000" w:sz="4" w:space="0"/>
                    <w:left w:val="single" w:color="000000" w:sz="4" w:space="0"/>
                    <w:right w:val="single" w:color="000000" w:sz="4" w:space="0"/>
                  </w:tcBorders>
                  <w:vAlign w:val="center"/>
                </w:tcPr>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昼间</w:t>
                  </w:r>
                </w:p>
              </w:tc>
              <w:tc>
                <w:tcPr>
                  <w:tcW w:w="745" w:type="dxa"/>
                  <w:vMerge w:val="continue"/>
                  <w:tcBorders>
                    <w:left w:val="single" w:color="000000" w:sz="4" w:space="0"/>
                    <w:right w:val="single" w:color="000000" w:sz="4" w:space="0"/>
                  </w:tcBorders>
                  <w:vAlign w:val="center"/>
                </w:tcPr>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sz w:val="21"/>
                      <w:szCs w:val="21"/>
                      <w:lang w:eastAsia="zh-CN"/>
                    </w:rPr>
                  </w:pPr>
                </w:p>
              </w:tc>
              <w:tc>
                <w:tcPr>
                  <w:tcW w:w="921" w:type="dxa"/>
                  <w:tcBorders>
                    <w:top w:val="single" w:color="000000" w:sz="4" w:space="0"/>
                    <w:left w:val="single" w:color="000000" w:sz="4" w:space="0"/>
                    <w:right w:val="single" w:color="auto" w:sz="4" w:space="0"/>
                  </w:tcBorders>
                  <w:vAlign w:val="center"/>
                </w:tcPr>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52.0</w:t>
                  </w:r>
                </w:p>
              </w:tc>
              <w:tc>
                <w:tcPr>
                  <w:tcW w:w="921" w:type="dxa"/>
                  <w:tcBorders>
                    <w:top w:val="single" w:color="000000" w:sz="4" w:space="0"/>
                    <w:left w:val="single" w:color="auto" w:sz="4" w:space="0"/>
                    <w:right w:val="single" w:color="auto" w:sz="4" w:space="0"/>
                  </w:tcBorders>
                  <w:vAlign w:val="center"/>
                </w:tcPr>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53.1</w:t>
                  </w:r>
                </w:p>
              </w:tc>
              <w:tc>
                <w:tcPr>
                  <w:tcW w:w="921" w:type="dxa"/>
                  <w:tcBorders>
                    <w:top w:val="single" w:color="000000" w:sz="4" w:space="0"/>
                    <w:left w:val="single" w:color="auto" w:sz="4" w:space="0"/>
                    <w:right w:val="single" w:color="auto" w:sz="4" w:space="0"/>
                  </w:tcBorders>
                  <w:vAlign w:val="center"/>
                </w:tcPr>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52.9</w:t>
                  </w:r>
                </w:p>
              </w:tc>
              <w:tc>
                <w:tcPr>
                  <w:tcW w:w="921" w:type="dxa"/>
                  <w:tcBorders>
                    <w:top w:val="single" w:color="000000" w:sz="4" w:space="0"/>
                    <w:left w:val="single" w:color="auto" w:sz="4" w:space="0"/>
                    <w:right w:val="single" w:color="auto" w:sz="4" w:space="0"/>
                  </w:tcBorders>
                  <w:vAlign w:val="center"/>
                </w:tcPr>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50.0</w:t>
                  </w:r>
                </w:p>
              </w:tc>
              <w:tc>
                <w:tcPr>
                  <w:tcW w:w="921" w:type="dxa"/>
                  <w:tcBorders>
                    <w:top w:val="single" w:color="000000" w:sz="4" w:space="0"/>
                    <w:left w:val="single" w:color="auto" w:sz="4" w:space="0"/>
                    <w:right w:val="single" w:color="auto" w:sz="4" w:space="0"/>
                  </w:tcBorders>
                  <w:vAlign w:val="center"/>
                </w:tcPr>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51.4</w:t>
                  </w:r>
                </w:p>
              </w:tc>
              <w:tc>
                <w:tcPr>
                  <w:tcW w:w="922" w:type="dxa"/>
                  <w:tcBorders>
                    <w:top w:val="single" w:color="000000" w:sz="4" w:space="0"/>
                    <w:left w:val="single" w:color="auto" w:sz="4" w:space="0"/>
                    <w:right w:val="single" w:color="auto" w:sz="4" w:space="0"/>
                  </w:tcBorders>
                  <w:vAlign w:val="center"/>
                </w:tcPr>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50.4</w:t>
                  </w:r>
                </w:p>
              </w:tc>
              <w:tc>
                <w:tcPr>
                  <w:tcW w:w="922" w:type="dxa"/>
                  <w:tcBorders>
                    <w:top w:val="single" w:color="000000" w:sz="4" w:space="0"/>
                    <w:left w:val="single" w:color="auto" w:sz="4" w:space="0"/>
                  </w:tcBorders>
                  <w:vAlign w:val="center"/>
                </w:tcPr>
                <w:p>
                  <w:pPr>
                    <w:pStyle w:val="20"/>
                    <w:widowControl w:val="0"/>
                    <w:bidi w:val="0"/>
                    <w:spacing w:before="0" w:beforeLines="0" w:after="0" w:afterLines="0"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50.4</w:t>
                  </w:r>
                </w:p>
              </w:tc>
            </w:tr>
          </w:tbl>
          <w:p>
            <w:pPr>
              <w:pStyle w:val="27"/>
              <w:ind w:firstLine="0" w:firstLineChars="0"/>
              <w:jc w:val="center"/>
              <w:rPr>
                <w:rFonts w:hint="eastAsia" w:ascii="Times New Roman" w:hAnsi="Times New Roman"/>
                <w:b/>
                <w:bCs/>
                <w:color w:val="auto"/>
                <w:sz w:val="24"/>
                <w:highlight w:val="none"/>
              </w:rPr>
            </w:pPr>
            <w:r>
              <w:rPr>
                <w:rFonts w:hint="eastAsia" w:ascii="Times New Roman" w:hAnsi="Times New Roman"/>
                <w:b/>
                <w:bCs/>
                <w:color w:val="auto"/>
                <w:sz w:val="24"/>
                <w:highlight w:val="none"/>
              </w:rPr>
              <w:t>表7-</w:t>
            </w:r>
            <w:r>
              <w:rPr>
                <w:rFonts w:hint="eastAsia" w:ascii="Times New Roman" w:hAnsi="Times New Roman"/>
                <w:b/>
                <w:bCs/>
                <w:color w:val="auto"/>
                <w:sz w:val="24"/>
                <w:highlight w:val="none"/>
                <w:lang w:val="en-US" w:eastAsia="zh-CN"/>
              </w:rPr>
              <w:t>8</w:t>
            </w:r>
            <w:r>
              <w:rPr>
                <w:rFonts w:hint="eastAsia" w:ascii="Times New Roman" w:hAnsi="Times New Roman"/>
                <w:b/>
                <w:bCs/>
                <w:color w:val="auto"/>
                <w:sz w:val="24"/>
                <w:highlight w:val="none"/>
              </w:rPr>
              <w:t xml:space="preserve">  噪声判定结果表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727"/>
              <w:gridCol w:w="706"/>
              <w:gridCol w:w="647"/>
              <w:gridCol w:w="738"/>
              <w:gridCol w:w="797"/>
              <w:gridCol w:w="901"/>
              <w:gridCol w:w="992"/>
              <w:gridCol w:w="872"/>
              <w:gridCol w:w="1035"/>
              <w:gridCol w:w="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78" w:type="pct"/>
                  <w:vMerge w:val="restart"/>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测量</w:t>
                  </w:r>
                </w:p>
                <w:p>
                  <w:pPr>
                    <w:spacing w:line="240" w:lineRule="auto"/>
                    <w:ind w:firstLine="0" w:firstLineChars="0"/>
                    <w:jc w:val="center"/>
                    <w:rPr>
                      <w:b/>
                      <w:bCs/>
                      <w:color w:val="auto"/>
                      <w:sz w:val="21"/>
                      <w:szCs w:val="21"/>
                      <w:highlight w:val="none"/>
                    </w:rPr>
                  </w:pPr>
                  <w:r>
                    <w:rPr>
                      <w:b/>
                      <w:bCs/>
                      <w:color w:val="auto"/>
                      <w:sz w:val="21"/>
                      <w:szCs w:val="21"/>
                      <w:highlight w:val="none"/>
                    </w:rPr>
                    <w:t>时段</w:t>
                  </w:r>
                </w:p>
              </w:tc>
              <w:tc>
                <w:tcPr>
                  <w:tcW w:w="406" w:type="pct"/>
                  <w:vMerge w:val="restart"/>
                  <w:vAlign w:val="center"/>
                </w:tcPr>
                <w:p>
                  <w:pPr>
                    <w:spacing w:line="240" w:lineRule="auto"/>
                    <w:ind w:firstLine="0" w:firstLineChars="0"/>
                    <w:jc w:val="center"/>
                    <w:rPr>
                      <w:rFonts w:hint="eastAsia" w:eastAsia="宋体"/>
                      <w:b/>
                      <w:bCs/>
                      <w:color w:val="auto"/>
                      <w:sz w:val="21"/>
                      <w:szCs w:val="21"/>
                      <w:highlight w:val="none"/>
                      <w:lang w:eastAsia="zh-CN"/>
                    </w:rPr>
                  </w:pPr>
                  <w:r>
                    <w:rPr>
                      <w:rFonts w:hint="eastAsia"/>
                      <w:b/>
                      <w:bCs/>
                      <w:color w:val="auto"/>
                      <w:sz w:val="21"/>
                      <w:szCs w:val="21"/>
                      <w:highlight w:val="none"/>
                      <w:lang w:eastAsia="zh-CN"/>
                    </w:rPr>
                    <w:t>监测因子</w:t>
                  </w:r>
                </w:p>
              </w:tc>
              <w:tc>
                <w:tcPr>
                  <w:tcW w:w="3163" w:type="pct"/>
                  <w:gridSpan w:val="7"/>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最大噪声值 dB（A）</w:t>
                  </w:r>
                </w:p>
              </w:tc>
              <w:tc>
                <w:tcPr>
                  <w:tcW w:w="579" w:type="pct"/>
                  <w:vMerge w:val="restart"/>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2类标准值 dB（A）</w:t>
                  </w:r>
                </w:p>
              </w:tc>
              <w:tc>
                <w:tcPr>
                  <w:tcW w:w="472" w:type="pct"/>
                  <w:vMerge w:val="restart"/>
                  <w:vAlign w:val="center"/>
                </w:tcPr>
                <w:p>
                  <w:pPr>
                    <w:spacing w:line="240" w:lineRule="auto"/>
                    <w:ind w:firstLine="0" w:firstLineChars="0"/>
                    <w:jc w:val="center"/>
                    <w:rPr>
                      <w:rFonts w:hint="eastAsia"/>
                      <w:b/>
                      <w:bCs/>
                      <w:color w:val="auto"/>
                      <w:sz w:val="21"/>
                      <w:szCs w:val="21"/>
                      <w:highlight w:val="none"/>
                    </w:rPr>
                  </w:pPr>
                  <w:r>
                    <w:rPr>
                      <w:rFonts w:hint="eastAsia"/>
                      <w:b/>
                      <w:bCs/>
                      <w:color w:val="auto"/>
                      <w:sz w:val="21"/>
                      <w:szCs w:val="21"/>
                      <w:highlight w:val="none"/>
                      <w:lang w:val="en-US" w:eastAsia="zh-CN"/>
                    </w:rPr>
                    <w:t>4</w:t>
                  </w:r>
                  <w:r>
                    <w:rPr>
                      <w:rFonts w:hint="eastAsia"/>
                      <w:b/>
                      <w:bCs/>
                      <w:color w:val="auto"/>
                      <w:sz w:val="21"/>
                      <w:szCs w:val="21"/>
                      <w:highlight w:val="none"/>
                    </w:rPr>
                    <w:t>类标准值 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78" w:type="pct"/>
                  <w:vMerge w:val="continue"/>
                  <w:vAlign w:val="center"/>
                </w:tcPr>
                <w:p>
                  <w:pPr>
                    <w:spacing w:line="240" w:lineRule="auto"/>
                    <w:ind w:firstLine="0" w:firstLineChars="0"/>
                    <w:jc w:val="center"/>
                    <w:rPr>
                      <w:b/>
                      <w:bCs/>
                      <w:color w:val="auto"/>
                      <w:sz w:val="21"/>
                      <w:szCs w:val="21"/>
                      <w:highlight w:val="none"/>
                    </w:rPr>
                  </w:pPr>
                </w:p>
              </w:tc>
              <w:tc>
                <w:tcPr>
                  <w:tcW w:w="406" w:type="pct"/>
                  <w:vMerge w:val="continue"/>
                  <w:vAlign w:val="center"/>
                </w:tcPr>
                <w:p>
                  <w:pPr>
                    <w:spacing w:line="240" w:lineRule="auto"/>
                    <w:ind w:firstLine="0" w:firstLineChars="0"/>
                    <w:jc w:val="center"/>
                    <w:rPr>
                      <w:b/>
                      <w:bCs/>
                      <w:color w:val="auto"/>
                      <w:sz w:val="21"/>
                      <w:szCs w:val="21"/>
                      <w:highlight w:val="none"/>
                    </w:rPr>
                  </w:pPr>
                </w:p>
              </w:tc>
              <w:tc>
                <w:tcPr>
                  <w:tcW w:w="395" w:type="pct"/>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1#东厂界</w:t>
                  </w:r>
                </w:p>
              </w:tc>
              <w:tc>
                <w:tcPr>
                  <w:tcW w:w="362" w:type="pct"/>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2#南</w:t>
                  </w:r>
                  <w:r>
                    <w:rPr>
                      <w:b/>
                      <w:bCs/>
                      <w:color w:val="auto"/>
                      <w:sz w:val="21"/>
                      <w:szCs w:val="21"/>
                      <w:highlight w:val="none"/>
                    </w:rPr>
                    <w:t>厂界</w:t>
                  </w:r>
                </w:p>
              </w:tc>
              <w:tc>
                <w:tcPr>
                  <w:tcW w:w="413" w:type="pct"/>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3#西</w:t>
                  </w:r>
                  <w:r>
                    <w:rPr>
                      <w:b/>
                      <w:bCs/>
                      <w:color w:val="auto"/>
                      <w:sz w:val="21"/>
                      <w:szCs w:val="21"/>
                      <w:highlight w:val="none"/>
                    </w:rPr>
                    <w:t>厂界</w:t>
                  </w:r>
                </w:p>
              </w:tc>
              <w:tc>
                <w:tcPr>
                  <w:tcW w:w="446" w:type="pct"/>
                  <w:vAlign w:val="center"/>
                </w:tcPr>
                <w:p>
                  <w:pPr>
                    <w:spacing w:line="240" w:lineRule="auto"/>
                    <w:ind w:firstLine="0" w:firstLineChars="0"/>
                    <w:jc w:val="center"/>
                    <w:rPr>
                      <w:rFonts w:hint="eastAsia" w:eastAsia="宋体"/>
                      <w:b/>
                      <w:bCs/>
                      <w:color w:val="auto"/>
                      <w:sz w:val="21"/>
                      <w:szCs w:val="21"/>
                      <w:highlight w:val="none"/>
                      <w:lang w:eastAsia="zh-CN"/>
                    </w:rPr>
                  </w:pPr>
                  <w:r>
                    <w:rPr>
                      <w:rFonts w:hint="eastAsia"/>
                      <w:b/>
                      <w:bCs/>
                      <w:color w:val="auto"/>
                      <w:sz w:val="21"/>
                      <w:szCs w:val="21"/>
                      <w:highlight w:val="none"/>
                    </w:rPr>
                    <w:t>4#</w:t>
                  </w:r>
                  <w:r>
                    <w:rPr>
                      <w:rFonts w:hint="eastAsia"/>
                      <w:b/>
                      <w:bCs/>
                      <w:color w:val="auto"/>
                      <w:sz w:val="21"/>
                      <w:szCs w:val="21"/>
                      <w:highlight w:val="none"/>
                      <w:lang w:eastAsia="zh-CN"/>
                    </w:rPr>
                    <w:t>北厂界</w:t>
                  </w:r>
                </w:p>
              </w:tc>
              <w:tc>
                <w:tcPr>
                  <w:tcW w:w="504" w:type="pct"/>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5#济车东门住宅区</w:t>
                  </w:r>
                </w:p>
              </w:tc>
              <w:tc>
                <w:tcPr>
                  <w:tcW w:w="555" w:type="pct"/>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6#济南市昆仑小学</w:t>
                  </w:r>
                </w:p>
              </w:tc>
              <w:tc>
                <w:tcPr>
                  <w:tcW w:w="487" w:type="pct"/>
                  <w:vAlign w:val="center"/>
                </w:tcPr>
                <w:p>
                  <w:pPr>
                    <w:spacing w:line="240" w:lineRule="auto"/>
                    <w:ind w:firstLine="0" w:firstLineChars="0"/>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7#昆仑街小区</w:t>
                  </w:r>
                </w:p>
              </w:tc>
              <w:tc>
                <w:tcPr>
                  <w:tcW w:w="579" w:type="pct"/>
                  <w:vMerge w:val="continue"/>
                  <w:vAlign w:val="center"/>
                </w:tcPr>
                <w:p>
                  <w:pPr>
                    <w:spacing w:line="240" w:lineRule="auto"/>
                    <w:ind w:firstLine="0" w:firstLineChars="0"/>
                    <w:jc w:val="center"/>
                    <w:rPr>
                      <w:b/>
                      <w:bCs/>
                      <w:color w:val="auto"/>
                      <w:sz w:val="21"/>
                      <w:szCs w:val="21"/>
                      <w:highlight w:val="none"/>
                    </w:rPr>
                  </w:pPr>
                </w:p>
              </w:tc>
              <w:tc>
                <w:tcPr>
                  <w:tcW w:w="472" w:type="pct"/>
                  <w:vMerge w:val="continue"/>
                  <w:vAlign w:val="center"/>
                </w:tcPr>
                <w:p>
                  <w:pPr>
                    <w:spacing w:line="240" w:lineRule="auto"/>
                    <w:ind w:firstLine="0" w:firstLineChars="0"/>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78" w:type="pct"/>
                  <w:vAlign w:val="center"/>
                </w:tcPr>
                <w:p>
                  <w:pPr>
                    <w:spacing w:line="240" w:lineRule="auto"/>
                    <w:ind w:firstLine="0" w:firstLineChars="0"/>
                    <w:jc w:val="center"/>
                    <w:rPr>
                      <w:color w:val="auto"/>
                      <w:sz w:val="21"/>
                      <w:szCs w:val="21"/>
                      <w:highlight w:val="none"/>
                    </w:rPr>
                  </w:pPr>
                  <w:r>
                    <w:rPr>
                      <w:color w:val="auto"/>
                      <w:sz w:val="21"/>
                      <w:szCs w:val="21"/>
                      <w:highlight w:val="none"/>
                    </w:rPr>
                    <w:t>昼间</w:t>
                  </w:r>
                </w:p>
              </w:tc>
              <w:tc>
                <w:tcPr>
                  <w:tcW w:w="406" w:type="pct"/>
                  <w:vAlign w:val="center"/>
                </w:tcPr>
                <w:p>
                  <w:pPr>
                    <w:spacing w:line="240" w:lineRule="auto"/>
                    <w:ind w:firstLine="0" w:firstLineChars="0"/>
                    <w:jc w:val="center"/>
                    <w:rPr>
                      <w:color w:val="auto"/>
                      <w:sz w:val="21"/>
                      <w:szCs w:val="21"/>
                      <w:highlight w:val="none"/>
                    </w:rPr>
                  </w:pPr>
                  <w:r>
                    <w:rPr>
                      <w:color w:val="auto"/>
                      <w:sz w:val="21"/>
                      <w:szCs w:val="21"/>
                      <w:highlight w:val="none"/>
                    </w:rPr>
                    <w:t>噪声</w:t>
                  </w:r>
                </w:p>
              </w:tc>
              <w:tc>
                <w:tcPr>
                  <w:tcW w:w="706" w:type="dxa"/>
                  <w:vAlign w:val="center"/>
                </w:tcPr>
                <w:p>
                  <w:pPr>
                    <w:pStyle w:val="20"/>
                    <w:widowControl w:val="0"/>
                    <w:spacing w:beforeLines="0" w:afterLines="0"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2"/>
                      <w:sz w:val="21"/>
                      <w:szCs w:val="21"/>
                      <w:u w:val="none"/>
                      <w:lang w:val="en-US" w:eastAsia="zh-CN" w:bidi="ar"/>
                    </w:rPr>
                    <w:t>52.3</w:t>
                  </w:r>
                </w:p>
              </w:tc>
              <w:tc>
                <w:tcPr>
                  <w:tcW w:w="647" w:type="dxa"/>
                  <w:vAlign w:val="center"/>
                </w:tcPr>
                <w:p>
                  <w:pPr>
                    <w:pStyle w:val="20"/>
                    <w:widowControl w:val="0"/>
                    <w:spacing w:beforeLines="0" w:afterLines="0"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2"/>
                      <w:sz w:val="21"/>
                      <w:szCs w:val="21"/>
                      <w:u w:val="none"/>
                      <w:lang w:val="en-US" w:eastAsia="zh-CN" w:bidi="ar"/>
                    </w:rPr>
                    <w:t>53.1</w:t>
                  </w:r>
                </w:p>
              </w:tc>
              <w:tc>
                <w:tcPr>
                  <w:tcW w:w="738" w:type="dxa"/>
                  <w:vAlign w:val="center"/>
                </w:tcPr>
                <w:p>
                  <w:pPr>
                    <w:pStyle w:val="20"/>
                    <w:widowControl w:val="0"/>
                    <w:spacing w:beforeLines="0" w:afterLines="0"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2"/>
                      <w:sz w:val="21"/>
                      <w:szCs w:val="21"/>
                      <w:u w:val="none"/>
                      <w:lang w:val="en-US" w:eastAsia="zh-CN" w:bidi="ar"/>
                    </w:rPr>
                    <w:t>53.9</w:t>
                  </w:r>
                </w:p>
              </w:tc>
              <w:tc>
                <w:tcPr>
                  <w:tcW w:w="797" w:type="dxa"/>
                  <w:vAlign w:val="center"/>
                </w:tcPr>
                <w:p>
                  <w:pPr>
                    <w:pStyle w:val="20"/>
                    <w:widowControl w:val="0"/>
                    <w:spacing w:beforeLines="0" w:afterLines="0"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2"/>
                      <w:sz w:val="21"/>
                      <w:szCs w:val="21"/>
                      <w:u w:val="none"/>
                      <w:lang w:val="en-US" w:eastAsia="zh-CN" w:bidi="ar"/>
                    </w:rPr>
                    <w:t>51.9</w:t>
                  </w:r>
                </w:p>
              </w:tc>
              <w:tc>
                <w:tcPr>
                  <w:tcW w:w="901" w:type="dxa"/>
                  <w:vAlign w:val="center"/>
                </w:tcPr>
                <w:p>
                  <w:pPr>
                    <w:pStyle w:val="20"/>
                    <w:widowControl w:val="0"/>
                    <w:spacing w:beforeLines="0" w:afterLines="0"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2"/>
                      <w:sz w:val="21"/>
                      <w:szCs w:val="21"/>
                      <w:u w:val="none"/>
                      <w:lang w:val="en-US" w:eastAsia="zh-CN" w:bidi="ar"/>
                    </w:rPr>
                    <w:t>51.4</w:t>
                  </w:r>
                </w:p>
              </w:tc>
              <w:tc>
                <w:tcPr>
                  <w:tcW w:w="992" w:type="dxa"/>
                  <w:vAlign w:val="center"/>
                </w:tcPr>
                <w:p>
                  <w:pPr>
                    <w:pStyle w:val="20"/>
                    <w:widowControl w:val="0"/>
                    <w:spacing w:beforeLines="0" w:afterLines="0"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2"/>
                      <w:sz w:val="21"/>
                      <w:szCs w:val="21"/>
                      <w:u w:val="none"/>
                      <w:lang w:val="en-US" w:eastAsia="zh-CN" w:bidi="ar"/>
                    </w:rPr>
                    <w:t>52.6</w:t>
                  </w:r>
                </w:p>
              </w:tc>
              <w:tc>
                <w:tcPr>
                  <w:tcW w:w="872" w:type="dxa"/>
                  <w:vAlign w:val="center"/>
                </w:tcPr>
                <w:p>
                  <w:pPr>
                    <w:pStyle w:val="20"/>
                    <w:widowControl w:val="0"/>
                    <w:spacing w:beforeLines="0" w:afterLines="0" w:line="240" w:lineRule="auto"/>
                    <w:ind w:firstLine="0" w:firstLineChars="0"/>
                    <w:jc w:val="center"/>
                    <w:rPr>
                      <w:rFonts w:hint="default" w:ascii="Times New Roman" w:hAnsi="Times New Roman" w:eastAsia="宋体" w:cs="Times New Roman"/>
                      <w:color w:val="auto"/>
                      <w:sz w:val="21"/>
                      <w:szCs w:val="21"/>
                      <w:lang w:bidi="ar"/>
                    </w:rPr>
                  </w:pPr>
                  <w:r>
                    <w:rPr>
                      <w:rFonts w:hint="default" w:ascii="Times New Roman" w:hAnsi="Times New Roman" w:eastAsia="宋体" w:cs="Times New Roman"/>
                      <w:i w:val="0"/>
                      <w:iCs w:val="0"/>
                      <w:color w:val="auto"/>
                      <w:kern w:val="2"/>
                      <w:sz w:val="21"/>
                      <w:szCs w:val="21"/>
                      <w:u w:val="none"/>
                      <w:lang w:val="en-US" w:eastAsia="zh-CN" w:bidi="ar"/>
                    </w:rPr>
                    <w:t>50.4</w:t>
                  </w:r>
                </w:p>
              </w:tc>
              <w:tc>
                <w:tcPr>
                  <w:tcW w:w="579" w:type="pct"/>
                  <w:vAlign w:val="center"/>
                </w:tcPr>
                <w:p>
                  <w:pPr>
                    <w:pStyle w:val="20"/>
                    <w:spacing w:beforeLines="0" w:afterLines="0"/>
                    <w:ind w:firstLine="0" w:firstLineChars="0"/>
                    <w:jc w:val="center"/>
                    <w:rPr>
                      <w:rFonts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60</w:t>
                  </w:r>
                </w:p>
              </w:tc>
              <w:tc>
                <w:tcPr>
                  <w:tcW w:w="472" w:type="pct"/>
                  <w:vAlign w:val="center"/>
                </w:tcPr>
                <w:p>
                  <w:pPr>
                    <w:spacing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pct"/>
                  <w:gridSpan w:val="2"/>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备注</w:t>
                  </w:r>
                </w:p>
              </w:tc>
              <w:tc>
                <w:tcPr>
                  <w:tcW w:w="395" w:type="pct"/>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c>
                <w:tcPr>
                  <w:tcW w:w="362" w:type="pct"/>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c>
                <w:tcPr>
                  <w:tcW w:w="413" w:type="pct"/>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c>
                <w:tcPr>
                  <w:tcW w:w="446" w:type="pct"/>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c>
                <w:tcPr>
                  <w:tcW w:w="504" w:type="pct"/>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c>
                <w:tcPr>
                  <w:tcW w:w="555" w:type="pct"/>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达标</w:t>
                  </w:r>
                </w:p>
              </w:tc>
              <w:tc>
                <w:tcPr>
                  <w:tcW w:w="487" w:type="pct"/>
                  <w:vAlign w:val="center"/>
                </w:tcPr>
                <w:p>
                  <w:pPr>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c>
                <w:tcPr>
                  <w:tcW w:w="579" w:type="pct"/>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472" w:type="pct"/>
                  <w:vAlign w:val="center"/>
                </w:tcPr>
                <w:p>
                  <w:pPr>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r>
          </w:tbl>
          <w:p>
            <w:pPr>
              <w:rPr>
                <w:rFonts w:hint="eastAsia"/>
              </w:rPr>
            </w:pPr>
            <w:r>
              <w:rPr>
                <w:rFonts w:hint="eastAsia"/>
              </w:rPr>
              <w:t>由监测结果可知，验收监测期间：项目1#东厂界、2#南厂界、3#西厂界</w:t>
            </w:r>
            <w:r>
              <w:rPr>
                <w:rFonts w:hint="eastAsia"/>
                <w:lang w:eastAsia="zh-CN"/>
              </w:rPr>
              <w:t>，</w:t>
            </w:r>
            <w:r>
              <w:rPr>
                <w:rFonts w:hint="eastAsia"/>
              </w:rPr>
              <w:t>昼间厂界噪声最大值分别为</w:t>
            </w:r>
            <w:r>
              <w:rPr>
                <w:rFonts w:hint="eastAsia"/>
                <w:lang w:val="en-US" w:eastAsia="zh-CN"/>
              </w:rPr>
              <w:t>52.3</w:t>
            </w:r>
            <w:r>
              <w:rPr>
                <w:rFonts w:hint="eastAsia"/>
              </w:rPr>
              <w:t>dB（A）、</w:t>
            </w:r>
            <w:r>
              <w:rPr>
                <w:rFonts w:hint="eastAsia"/>
                <w:lang w:val="en-US" w:eastAsia="zh-CN"/>
              </w:rPr>
              <w:t>53.1</w:t>
            </w:r>
            <w:r>
              <w:rPr>
                <w:rFonts w:hint="eastAsia"/>
              </w:rPr>
              <w:t>dB（A）、</w:t>
            </w:r>
            <w:r>
              <w:rPr>
                <w:rFonts w:hint="eastAsia"/>
                <w:lang w:val="en-US" w:eastAsia="zh-CN"/>
              </w:rPr>
              <w:t>53.9</w:t>
            </w:r>
            <w:r>
              <w:rPr>
                <w:rFonts w:hint="eastAsia"/>
              </w:rPr>
              <w:t>dB（A）</w:t>
            </w:r>
            <w:r>
              <w:rPr>
                <w:rFonts w:hint="eastAsia"/>
                <w:lang w:eastAsia="zh-CN"/>
              </w:rPr>
              <w:t>，</w:t>
            </w:r>
            <w:r>
              <w:rPr>
                <w:rFonts w:hint="eastAsia"/>
              </w:rPr>
              <w:t>均满足《工业企业厂界环境噪声排放标准》(GB12348-2008)2类昼间标准。4#</w:t>
            </w:r>
            <w:r>
              <w:rPr>
                <w:rFonts w:hint="eastAsia"/>
                <w:lang w:eastAsia="zh-CN"/>
              </w:rPr>
              <w:t>北厂界（靠近铁路干线）</w:t>
            </w:r>
            <w:r>
              <w:rPr>
                <w:rFonts w:hint="eastAsia"/>
              </w:rPr>
              <w:t>昼间厂界噪声最大值为</w:t>
            </w:r>
            <w:r>
              <w:rPr>
                <w:rFonts w:hint="eastAsia"/>
                <w:lang w:val="en-US" w:eastAsia="zh-CN"/>
              </w:rPr>
              <w:t>51.9</w:t>
            </w:r>
            <w:r>
              <w:rPr>
                <w:rFonts w:hint="eastAsia"/>
              </w:rPr>
              <w:t>dB（A）</w:t>
            </w:r>
            <w:r>
              <w:rPr>
                <w:rFonts w:hint="eastAsia"/>
                <w:lang w:eastAsia="zh-CN"/>
              </w:rPr>
              <w:t>，</w:t>
            </w:r>
            <w:r>
              <w:rPr>
                <w:rFonts w:hint="eastAsia"/>
              </w:rPr>
              <w:t>满足《工业企业厂界环境噪声排放标准》(GB12348-2008)</w:t>
            </w:r>
            <w:r>
              <w:rPr>
                <w:rFonts w:hint="eastAsia"/>
                <w:lang w:val="en-US" w:eastAsia="zh-CN"/>
              </w:rPr>
              <w:t>4</w:t>
            </w:r>
            <w:r>
              <w:rPr>
                <w:rFonts w:hint="eastAsia"/>
              </w:rPr>
              <w:t>类昼间标准。</w:t>
            </w:r>
            <w:r>
              <w:rPr>
                <w:rFonts w:hint="eastAsia"/>
                <w:color w:val="auto"/>
                <w:highlight w:val="none"/>
              </w:rPr>
              <w:t>项目南侧的</w:t>
            </w:r>
            <w:r>
              <w:rPr>
                <w:rFonts w:hint="eastAsia"/>
                <w:color w:val="auto"/>
                <w:highlight w:val="none"/>
                <w:lang w:val="en-US" w:eastAsia="zh-CN"/>
              </w:rPr>
              <w:t>5#</w:t>
            </w:r>
            <w:r>
              <w:rPr>
                <w:rFonts w:hint="eastAsia"/>
                <w:color w:val="auto"/>
                <w:highlight w:val="none"/>
              </w:rPr>
              <w:t>济车东门住宅区</w:t>
            </w:r>
            <w:r>
              <w:rPr>
                <w:rFonts w:hint="eastAsia"/>
                <w:color w:val="auto"/>
                <w:highlight w:val="none"/>
                <w:lang w:eastAsia="zh-CN"/>
              </w:rPr>
              <w:t>（距厂区70m），东</w:t>
            </w:r>
            <w:r>
              <w:rPr>
                <w:rFonts w:hint="eastAsia"/>
                <w:color w:val="auto"/>
                <w:highlight w:val="none"/>
              </w:rPr>
              <w:t>侧的</w:t>
            </w:r>
            <w:r>
              <w:rPr>
                <w:rFonts w:hint="eastAsia"/>
                <w:color w:val="auto"/>
                <w:highlight w:val="none"/>
                <w:lang w:val="en-US" w:eastAsia="zh-CN"/>
              </w:rPr>
              <w:t>6#</w:t>
            </w:r>
            <w:r>
              <w:rPr>
                <w:rFonts w:hint="eastAsia"/>
                <w:color w:val="auto"/>
                <w:highlight w:val="none"/>
              </w:rPr>
              <w:t>济南市昆仑小学</w:t>
            </w:r>
            <w:r>
              <w:rPr>
                <w:rFonts w:hint="eastAsia"/>
                <w:color w:val="auto"/>
                <w:highlight w:val="none"/>
                <w:lang w:eastAsia="zh-CN"/>
              </w:rPr>
              <w:t>（距厂区25m）</w:t>
            </w:r>
            <w:r>
              <w:rPr>
                <w:rFonts w:hint="eastAsia"/>
                <w:color w:val="auto"/>
                <w:highlight w:val="none"/>
              </w:rPr>
              <w:t>，</w:t>
            </w:r>
            <w:r>
              <w:rPr>
                <w:rFonts w:hint="eastAsia"/>
                <w:color w:val="auto"/>
                <w:highlight w:val="none"/>
                <w:lang w:eastAsia="zh-CN"/>
              </w:rPr>
              <w:t>东</w:t>
            </w:r>
            <w:r>
              <w:rPr>
                <w:rFonts w:hint="eastAsia"/>
                <w:color w:val="auto"/>
                <w:highlight w:val="none"/>
              </w:rPr>
              <w:t>侧的</w:t>
            </w:r>
            <w:r>
              <w:rPr>
                <w:rFonts w:hint="eastAsia"/>
                <w:color w:val="auto"/>
                <w:highlight w:val="none"/>
                <w:lang w:val="en-US" w:eastAsia="zh-CN"/>
              </w:rPr>
              <w:t>7#</w:t>
            </w:r>
            <w:r>
              <w:rPr>
                <w:rFonts w:hint="eastAsia"/>
                <w:color w:val="auto"/>
                <w:highlight w:val="none"/>
              </w:rPr>
              <w:t>昆仑街小区</w:t>
            </w:r>
            <w:r>
              <w:rPr>
                <w:rFonts w:hint="eastAsia"/>
                <w:color w:val="auto"/>
                <w:highlight w:val="none"/>
                <w:lang w:eastAsia="zh-CN"/>
              </w:rPr>
              <w:t>（距厂区187m）</w:t>
            </w:r>
            <w:r>
              <w:rPr>
                <w:rFonts w:hint="eastAsia"/>
              </w:rPr>
              <w:t>，昼间敏感点噪声最大值</w:t>
            </w:r>
            <w:r>
              <w:rPr>
                <w:rFonts w:hint="eastAsia"/>
                <w:lang w:eastAsia="zh-CN"/>
              </w:rPr>
              <w:t>分别</w:t>
            </w:r>
            <w:r>
              <w:rPr>
                <w:rFonts w:hint="eastAsia"/>
              </w:rPr>
              <w:t>为</w:t>
            </w:r>
            <w:r>
              <w:rPr>
                <w:rFonts w:hint="eastAsia"/>
                <w:lang w:val="en-US" w:eastAsia="zh-CN"/>
              </w:rPr>
              <w:t>51.4</w:t>
            </w:r>
            <w:r>
              <w:rPr>
                <w:rFonts w:hint="eastAsia"/>
              </w:rPr>
              <w:t>dB（A）</w:t>
            </w:r>
            <w:r>
              <w:rPr>
                <w:rFonts w:hint="eastAsia"/>
                <w:lang w:eastAsia="zh-CN"/>
              </w:rPr>
              <w:t>、</w:t>
            </w:r>
            <w:r>
              <w:rPr>
                <w:rFonts w:hint="eastAsia"/>
                <w:lang w:val="en-US" w:eastAsia="zh-CN"/>
              </w:rPr>
              <w:t>52.6</w:t>
            </w:r>
            <w:r>
              <w:rPr>
                <w:rFonts w:hint="eastAsia"/>
              </w:rPr>
              <w:t>dB（A）</w:t>
            </w:r>
            <w:r>
              <w:rPr>
                <w:rFonts w:hint="eastAsia"/>
                <w:lang w:eastAsia="zh-CN"/>
              </w:rPr>
              <w:t>、</w:t>
            </w:r>
            <w:r>
              <w:rPr>
                <w:rFonts w:hint="eastAsia"/>
                <w:lang w:val="en-US" w:eastAsia="zh-CN"/>
              </w:rPr>
              <w:t>50.4</w:t>
            </w:r>
            <w:r>
              <w:rPr>
                <w:rFonts w:hint="eastAsia"/>
              </w:rPr>
              <w:t>dB（A），</w:t>
            </w:r>
            <w:r>
              <w:rPr>
                <w:rFonts w:hint="eastAsia"/>
                <w:lang w:eastAsia="zh-CN"/>
              </w:rPr>
              <w:t>均</w:t>
            </w:r>
            <w:r>
              <w:rPr>
                <w:rFonts w:hint="eastAsia"/>
              </w:rPr>
              <w:t>满足《声环境质量标准》(GB3096-2008)2类昼间标准。项目夜间不运行。</w:t>
            </w:r>
          </w:p>
          <w:tbl>
            <w:tblPr>
              <w:tblStyle w:val="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vAlign w:val="top"/>
                </w:tcPr>
                <w:p>
                  <w:pPr>
                    <w:spacing w:line="240" w:lineRule="auto"/>
                    <w:ind w:firstLine="0" w:firstLineChars="0"/>
                    <w:jc w:val="center"/>
                    <w:rPr>
                      <w:rFonts w:hint="eastAsia" w:ascii="Times New Roman" w:hAnsi="Times New Roman" w:eastAsia="宋体" w:cs="Times New Roman"/>
                      <w:color w:val="auto"/>
                      <w:sz w:val="21"/>
                      <w:szCs w:val="21"/>
                      <w:highlight w:val="none"/>
                      <w:vertAlign w:val="baseline"/>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"http://117.73.252.128:9025/company/20230906/56fedd10-121b-482b-8d3d-830789adf67e/1693979109585_1693979115158.jpg"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8" o:spt="75" alt="IMG_256" type="#_x0000_t75" style="height:317.95pt;width:219.1pt;" filled="f" o:preferrelative="t" stroked="f" coordsize="21600,21600">
                        <v:path/>
                        <v:fill on="f" focussize="0,0"/>
                        <v:stroke on="f"/>
                        <v:imagedata r:id="rId19"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vAlign w:val="top"/>
                </w:tcPr>
                <w:p>
                  <w:pPr>
                    <w:spacing w:line="240" w:lineRule="auto"/>
                    <w:ind w:firstLine="0" w:firstLineChars="0"/>
                    <w:jc w:val="center"/>
                    <w:rPr>
                      <w:rFonts w:hint="eastAsia" w:ascii="Times New Roman" w:hAnsi="Times New Roman" w:eastAsia="宋体" w:cs="Times New Roman"/>
                      <w:color w:val="auto"/>
                      <w:sz w:val="21"/>
                      <w:szCs w:val="21"/>
                      <w:highlight w:val="none"/>
                      <w:vertAlign w:val="baseline"/>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"http://117.73.252.128:9025/company/20230906/8d4b0dff-515c-40f4-9b6d-515d6f426936/1693984790226_1693984804387.jpg"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9" o:spt="75" alt="IMG_256" type="#_x0000_t75" style="height:325.65pt;width:224.4pt;" filled="f" o:preferrelative="t" stroked="f" coordsize="21600,21600">
                        <v:path/>
                        <v:fill on="f" focussize="0,0"/>
                        <v:stroke on="f"/>
                        <v:imagedata r:id="rId20" o:title="IMG_256"/>
                        <o:lock v:ext="edit" aspectratio="t"/>
                        <w10:wrap type="none"/>
                        <w10:anchorlock/>
                      </v:shape>
                    </w:pict>
                  </w:r>
                  <w:r>
                    <w:rPr>
                      <w:rFonts w:ascii="宋体" w:hAnsi="宋体" w:eastAsia="宋体" w:cs="宋体"/>
                      <w:sz w:val="24"/>
                      <w:szCs w:val="24"/>
                    </w:rPr>
                    <w:fldChar w:fldCharType="end"/>
                  </w:r>
                  <w:bookmarkStart w:id="364" w:name="_GoBack"/>
                  <w:bookmarkEnd w:id="36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vAlign w:val="top"/>
                </w:tcPr>
                <w:p>
                  <w:pPr>
                    <w:spacing w:line="240" w:lineRule="auto"/>
                    <w:ind w:firstLine="0" w:firstLineChars="0"/>
                    <w:jc w:val="center"/>
                    <w:rPr>
                      <w:rFonts w:hint="eastAsia" w:ascii="Times New Roman" w:hAnsi="Times New Roman" w:eastAsia="宋体" w:cs="Times New Roman"/>
                      <w:color w:val="auto"/>
                      <w:sz w:val="21"/>
                      <w:szCs w:val="21"/>
                      <w:highlight w:val="none"/>
                      <w:vertAlign w:val="baseline"/>
                    </w:rPr>
                  </w:pPr>
                  <w:r>
                    <w:rPr>
                      <w:rFonts w:cs="Times New Roman"/>
                      <w:b/>
                      <w:bCs/>
                      <w:color w:val="auto"/>
                      <w:sz w:val="21"/>
                      <w:szCs w:val="21"/>
                      <w:highlight w:val="none"/>
                    </w:rPr>
                    <w:t>图7-</w:t>
                  </w:r>
                  <w:r>
                    <w:rPr>
                      <w:rFonts w:hint="eastAsia" w:cs="Times New Roman"/>
                      <w:b/>
                      <w:bCs/>
                      <w:color w:val="auto"/>
                      <w:sz w:val="21"/>
                      <w:szCs w:val="21"/>
                      <w:highlight w:val="none"/>
                      <w:lang w:val="en-US" w:eastAsia="zh-CN"/>
                    </w:rPr>
                    <w:t>3</w:t>
                  </w:r>
                  <w:r>
                    <w:rPr>
                      <w:rFonts w:cs="Times New Roman"/>
                      <w:b/>
                      <w:bCs/>
                      <w:color w:val="auto"/>
                      <w:sz w:val="21"/>
                      <w:szCs w:val="21"/>
                      <w:highlight w:val="none"/>
                    </w:rPr>
                    <w:t xml:space="preserve">  噪声监测</w:t>
                  </w:r>
                </w:p>
              </w:tc>
            </w:tr>
          </w:tbl>
          <w:p>
            <w:pPr>
              <w:pStyle w:val="27"/>
              <w:ind w:firstLine="482"/>
              <w:jc w:val="left"/>
              <w:rPr>
                <w:rFonts w:ascii="Times New Roman" w:hAnsi="Times New Roman"/>
                <w:b/>
                <w:bCs/>
                <w:color w:val="auto"/>
                <w:sz w:val="24"/>
                <w:highlight w:val="none"/>
              </w:rPr>
            </w:pPr>
            <w:r>
              <w:rPr>
                <w:rFonts w:ascii="Times New Roman" w:hAnsi="Times New Roman"/>
                <w:b/>
                <w:bCs/>
                <w:color w:val="auto"/>
                <w:sz w:val="24"/>
                <w:highlight w:val="none"/>
              </w:rPr>
              <w:t>4、固废检查情况</w:t>
            </w:r>
          </w:p>
          <w:p>
            <w:pPr>
              <w:pStyle w:val="2"/>
              <w:widowControl/>
              <w:adjustRightInd/>
              <w:rPr>
                <w:rFonts w:hint="eastAsia" w:cs="Times New Roman"/>
                <w:color w:val="auto"/>
                <w:szCs w:val="24"/>
                <w:highlight w:val="none"/>
              </w:rPr>
            </w:pPr>
            <w:r>
              <w:rPr>
                <w:rFonts w:hint="eastAsia" w:cs="Times New Roman"/>
                <w:color w:val="auto"/>
                <w:szCs w:val="24"/>
                <w:highlight w:val="none"/>
              </w:rPr>
              <w:t>项目产生的固体废物主要是打砂过程中砂尘分离器分离出的金属氧化皮碎片和破碎的钢砂（以破碎的钢砂为主），旋风分离器和滤筒除尘器收集的粉尘及废滤筒。</w:t>
            </w:r>
          </w:p>
          <w:p>
            <w:pPr>
              <w:pStyle w:val="2"/>
              <w:widowControl/>
              <w:adjustRightInd/>
              <w:rPr>
                <w:rFonts w:hint="eastAsia" w:cs="Times New Roman"/>
                <w:color w:val="auto"/>
                <w:szCs w:val="24"/>
                <w:highlight w:val="none"/>
              </w:rPr>
            </w:pPr>
            <w:r>
              <w:rPr>
                <w:rFonts w:hint="eastAsia" w:cs="Times New Roman"/>
                <w:color w:val="auto"/>
                <w:szCs w:val="24"/>
                <w:highlight w:val="none"/>
              </w:rPr>
              <w:t>①废金属氧化皮碎片和破碎的钢砂：改造打砂房配套建设的打砂设施，使用钢砂作为砂丸，在打砂过程中，钢砂容易破碎，破碎的钢砂与工件表面产生的少量金属氧化皮碎片一起进入砂尘分离器，经分离后得到废金属氧化皮碎和破碎的钢砂，</w:t>
            </w:r>
            <w:r>
              <w:rPr>
                <w:rFonts w:hint="eastAsia" w:cs="Times New Roman"/>
                <w:color w:val="auto"/>
                <w:highlight w:val="none"/>
                <w:lang w:eastAsia="zh-CN"/>
              </w:rPr>
              <w:t>调试期间实际产生量</w:t>
            </w:r>
            <w:r>
              <w:rPr>
                <w:rFonts w:hint="eastAsia" w:cs="Times New Roman"/>
                <w:color w:val="auto"/>
                <w:highlight w:val="none"/>
              </w:rPr>
              <w:t>为</w:t>
            </w:r>
            <w:r>
              <w:rPr>
                <w:rFonts w:hint="eastAsia" w:cs="Times New Roman"/>
                <w:color w:val="auto"/>
                <w:highlight w:val="none"/>
                <w:lang w:val="en-US" w:eastAsia="zh-CN"/>
              </w:rPr>
              <w:t>0.66</w:t>
            </w:r>
            <w:r>
              <w:rPr>
                <w:rFonts w:hint="eastAsia" w:cs="Times New Roman"/>
                <w:color w:val="auto"/>
                <w:highlight w:val="none"/>
              </w:rPr>
              <w:t>t/月，折合年产生量为</w:t>
            </w:r>
            <w:r>
              <w:rPr>
                <w:rFonts w:hint="eastAsia" w:cs="Times New Roman"/>
                <w:color w:val="auto"/>
                <w:highlight w:val="none"/>
                <w:lang w:val="en-US" w:eastAsia="zh-CN"/>
              </w:rPr>
              <w:t>7.92</w:t>
            </w:r>
            <w:r>
              <w:rPr>
                <w:rFonts w:hint="eastAsia" w:cs="Times New Roman"/>
                <w:color w:val="auto"/>
                <w:highlight w:val="none"/>
              </w:rPr>
              <w:t>t</w:t>
            </w:r>
            <w:r>
              <w:rPr>
                <w:rFonts w:hint="eastAsia" w:cs="Times New Roman"/>
                <w:color w:val="auto"/>
                <w:szCs w:val="24"/>
                <w:highlight w:val="none"/>
              </w:rPr>
              <w:t>。属于一般固体废物，由厂区集中处理。</w:t>
            </w:r>
          </w:p>
          <w:p>
            <w:pPr>
              <w:pStyle w:val="2"/>
              <w:widowControl/>
              <w:adjustRightInd/>
              <w:rPr>
                <w:rFonts w:hint="eastAsia" w:cs="Times New Roman"/>
                <w:color w:val="auto"/>
                <w:szCs w:val="24"/>
                <w:highlight w:val="none"/>
              </w:rPr>
            </w:pPr>
            <w:r>
              <w:rPr>
                <w:rFonts w:hint="eastAsia" w:cs="Times New Roman"/>
                <w:color w:val="auto"/>
                <w:szCs w:val="24"/>
                <w:highlight w:val="none"/>
              </w:rPr>
              <w:t>②旋风分离器和滤筒除尘器收集的粉尘</w:t>
            </w:r>
            <w:r>
              <w:rPr>
                <w:rFonts w:hint="eastAsia" w:cs="Times New Roman"/>
                <w:color w:val="auto"/>
                <w:szCs w:val="24"/>
                <w:highlight w:val="none"/>
                <w:lang w:eastAsia="zh-CN"/>
              </w:rPr>
              <w:t>：</w:t>
            </w:r>
            <w:r>
              <w:rPr>
                <w:rFonts w:hint="eastAsia" w:cs="Times New Roman"/>
                <w:color w:val="auto"/>
                <w:szCs w:val="24"/>
                <w:highlight w:val="none"/>
              </w:rPr>
              <w:t>项目打砂房北侧配套建设1套旋风分离器和滤筒除尘器处理打砂粉尘，</w:t>
            </w:r>
            <w:r>
              <w:rPr>
                <w:rFonts w:hint="eastAsia" w:cs="Times New Roman"/>
                <w:color w:val="auto"/>
                <w:highlight w:val="none"/>
                <w:lang w:eastAsia="zh-CN"/>
              </w:rPr>
              <w:t>调试期间实际产生量</w:t>
            </w:r>
            <w:r>
              <w:rPr>
                <w:rFonts w:hint="eastAsia" w:cs="Times New Roman"/>
                <w:color w:val="auto"/>
                <w:highlight w:val="none"/>
              </w:rPr>
              <w:t>为</w:t>
            </w:r>
            <w:r>
              <w:rPr>
                <w:rFonts w:hint="eastAsia" w:cs="Times New Roman"/>
                <w:color w:val="auto"/>
                <w:highlight w:val="none"/>
                <w:lang w:val="en-US" w:eastAsia="zh-CN"/>
              </w:rPr>
              <w:t>0.11</w:t>
            </w:r>
            <w:r>
              <w:rPr>
                <w:rFonts w:hint="eastAsia" w:cs="Times New Roman"/>
                <w:color w:val="auto"/>
                <w:highlight w:val="none"/>
              </w:rPr>
              <w:t>t/月，折合年产生量为</w:t>
            </w:r>
            <w:r>
              <w:rPr>
                <w:rFonts w:hint="eastAsia" w:cs="Times New Roman"/>
                <w:color w:val="auto"/>
                <w:highlight w:val="none"/>
                <w:lang w:val="en-US" w:eastAsia="zh-CN"/>
              </w:rPr>
              <w:t>1.32</w:t>
            </w:r>
            <w:r>
              <w:rPr>
                <w:rFonts w:hint="eastAsia" w:cs="Times New Roman"/>
                <w:color w:val="auto"/>
                <w:highlight w:val="none"/>
              </w:rPr>
              <w:t>t。</w:t>
            </w:r>
            <w:r>
              <w:rPr>
                <w:rFonts w:hint="eastAsia" w:cs="Times New Roman"/>
                <w:color w:val="auto"/>
                <w:szCs w:val="24"/>
                <w:highlight w:val="none"/>
                <w:lang w:eastAsia="zh-CN"/>
              </w:rPr>
              <w:t>属于</w:t>
            </w:r>
            <w:r>
              <w:rPr>
                <w:rFonts w:hint="eastAsia" w:cs="Times New Roman"/>
                <w:color w:val="auto"/>
                <w:szCs w:val="24"/>
                <w:highlight w:val="none"/>
              </w:rPr>
              <w:t>一般固体废物，主要为金属粉末，经收集后，和现有项目打砂房产生粉尘一起由厂区集中处理。</w:t>
            </w:r>
          </w:p>
          <w:p>
            <w:pPr>
              <w:pStyle w:val="2"/>
              <w:widowControl/>
              <w:adjustRightInd/>
              <w:rPr>
                <w:rFonts w:hint="eastAsia" w:cs="Times New Roman"/>
                <w:color w:val="auto"/>
                <w:szCs w:val="24"/>
                <w:highlight w:val="none"/>
              </w:rPr>
            </w:pPr>
            <w:r>
              <w:rPr>
                <w:rFonts w:hint="eastAsia" w:cs="Times New Roman"/>
                <w:color w:val="auto"/>
                <w:szCs w:val="24"/>
                <w:highlight w:val="none"/>
              </w:rPr>
              <w:t>③废滤筒</w:t>
            </w:r>
            <w:r>
              <w:rPr>
                <w:rFonts w:hint="eastAsia" w:cs="Times New Roman"/>
                <w:color w:val="auto"/>
                <w:szCs w:val="24"/>
                <w:highlight w:val="none"/>
                <w:lang w:eastAsia="zh-CN"/>
              </w:rPr>
              <w:t>：</w:t>
            </w:r>
            <w:r>
              <w:rPr>
                <w:rFonts w:hint="eastAsia" w:cs="Times New Roman"/>
                <w:color w:val="auto"/>
                <w:szCs w:val="24"/>
                <w:highlight w:val="none"/>
              </w:rPr>
              <w:t>由处理打砂粉尘的滤筒除尘器产生，滤筒</w:t>
            </w:r>
            <w:r>
              <w:rPr>
                <w:rFonts w:hint="eastAsia" w:cs="Times New Roman"/>
                <w:color w:val="auto"/>
                <w:szCs w:val="24"/>
                <w:highlight w:val="none"/>
                <w:lang w:eastAsia="zh-CN"/>
              </w:rPr>
              <w:t>约使用</w:t>
            </w:r>
            <w:r>
              <w:rPr>
                <w:rFonts w:hint="eastAsia" w:cs="Times New Roman"/>
                <w:color w:val="auto"/>
                <w:szCs w:val="24"/>
                <w:highlight w:val="none"/>
              </w:rPr>
              <w:t>8000h更换一次</w:t>
            </w:r>
            <w:r>
              <w:rPr>
                <w:rFonts w:hint="eastAsia" w:cs="Times New Roman"/>
                <w:color w:val="auto"/>
                <w:szCs w:val="24"/>
                <w:highlight w:val="none"/>
                <w:lang w:eastAsia="zh-CN"/>
              </w:rPr>
              <w:t>，由于项目运行时间较短，暂未产生</w:t>
            </w:r>
            <w:r>
              <w:rPr>
                <w:rFonts w:hint="eastAsia" w:cs="Times New Roman"/>
                <w:color w:val="auto"/>
                <w:szCs w:val="24"/>
                <w:highlight w:val="none"/>
              </w:rPr>
              <w:t>废滤筒</w:t>
            </w:r>
            <w:r>
              <w:rPr>
                <w:rFonts w:hint="eastAsia" w:cs="Times New Roman"/>
                <w:color w:val="auto"/>
                <w:szCs w:val="24"/>
                <w:highlight w:val="none"/>
                <w:lang w:eastAsia="zh-CN"/>
              </w:rPr>
              <w:t>。</w:t>
            </w:r>
            <w:r>
              <w:rPr>
                <w:rFonts w:hint="eastAsia" w:cs="Times New Roman"/>
                <w:color w:val="auto"/>
                <w:szCs w:val="24"/>
                <w:highlight w:val="none"/>
              </w:rPr>
              <w:t xml:space="preserve">属于一般固体废物，由厂区集中处理。  </w:t>
            </w:r>
          </w:p>
          <w:p>
            <w:pPr>
              <w:ind w:firstLine="0" w:firstLineChars="0"/>
              <w:jc w:val="center"/>
              <w:rPr>
                <w:b/>
                <w:color w:val="auto"/>
                <w:highlight w:val="none"/>
              </w:rPr>
            </w:pPr>
            <w:r>
              <w:rPr>
                <w:b/>
                <w:color w:val="auto"/>
                <w:highlight w:val="none"/>
              </w:rPr>
              <w:t>表7-</w:t>
            </w:r>
            <w:r>
              <w:rPr>
                <w:rFonts w:hint="eastAsia"/>
                <w:b/>
                <w:color w:val="auto"/>
                <w:highlight w:val="none"/>
                <w:lang w:val="en-US" w:eastAsia="zh-CN"/>
              </w:rPr>
              <w:t>9</w:t>
            </w:r>
            <w:r>
              <w:rPr>
                <w:b/>
                <w:color w:val="auto"/>
                <w:highlight w:val="none"/>
              </w:rPr>
              <w:t xml:space="preserve">  本项目固体废物处置情况表</w:t>
            </w:r>
          </w:p>
          <w:tbl>
            <w:tblPr>
              <w:tblStyle w:val="2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6"/>
              <w:gridCol w:w="1620"/>
              <w:gridCol w:w="1372"/>
              <w:gridCol w:w="942"/>
              <w:gridCol w:w="1327"/>
              <w:gridCol w:w="1166"/>
              <w:gridCol w:w="842"/>
              <w:gridCol w:w="10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39" w:type="pct"/>
                  <w:vAlign w:val="center"/>
                </w:tcPr>
                <w:p>
                  <w:pPr>
                    <w:widowControl/>
                    <w:autoSpaceDE w:val="0"/>
                    <w:autoSpaceDN w:val="0"/>
                    <w:adjustRightInd w:val="0"/>
                    <w:snapToGrid w:val="0"/>
                    <w:spacing w:line="240" w:lineRule="auto"/>
                    <w:ind w:left="-4" w:leftChars="-16" w:right="-74" w:rightChars="-31" w:hanging="34" w:hangingChars="16"/>
                    <w:jc w:val="center"/>
                    <w:rPr>
                      <w:b/>
                      <w:bCs/>
                      <w:color w:val="auto"/>
                      <w:sz w:val="21"/>
                      <w:szCs w:val="21"/>
                      <w:highlight w:val="none"/>
                      <w:lang w:val="zh-CN"/>
                    </w:rPr>
                  </w:pPr>
                  <w:r>
                    <w:rPr>
                      <w:b/>
                      <w:bCs/>
                      <w:color w:val="auto"/>
                      <w:sz w:val="21"/>
                      <w:szCs w:val="21"/>
                      <w:highlight w:val="none"/>
                      <w:lang w:val="zh-CN"/>
                    </w:rPr>
                    <w:t>序号</w:t>
                  </w:r>
                </w:p>
              </w:tc>
              <w:tc>
                <w:tcPr>
                  <w:tcW w:w="906" w:type="pct"/>
                  <w:vAlign w:val="center"/>
                </w:tcPr>
                <w:p>
                  <w:pPr>
                    <w:widowControl/>
                    <w:autoSpaceDE w:val="0"/>
                    <w:autoSpaceDN w:val="0"/>
                    <w:adjustRightInd w:val="0"/>
                    <w:snapToGrid w:val="0"/>
                    <w:spacing w:line="240" w:lineRule="auto"/>
                    <w:ind w:left="-4" w:leftChars="-16" w:right="-74" w:rightChars="-31" w:hanging="34" w:hangingChars="16"/>
                    <w:jc w:val="center"/>
                    <w:rPr>
                      <w:b/>
                      <w:bCs/>
                      <w:color w:val="auto"/>
                      <w:sz w:val="21"/>
                      <w:szCs w:val="21"/>
                      <w:highlight w:val="none"/>
                      <w:lang w:val="zh-CN"/>
                    </w:rPr>
                  </w:pPr>
                  <w:r>
                    <w:rPr>
                      <w:b/>
                      <w:bCs/>
                      <w:color w:val="auto"/>
                      <w:sz w:val="21"/>
                      <w:szCs w:val="21"/>
                      <w:highlight w:val="none"/>
                      <w:lang w:val="zh-CN"/>
                    </w:rPr>
                    <w:t>固废名称</w:t>
                  </w:r>
                </w:p>
              </w:tc>
              <w:tc>
                <w:tcPr>
                  <w:tcW w:w="767" w:type="pct"/>
                  <w:vAlign w:val="center"/>
                </w:tcPr>
                <w:p>
                  <w:pPr>
                    <w:widowControl/>
                    <w:autoSpaceDE w:val="0"/>
                    <w:autoSpaceDN w:val="0"/>
                    <w:adjustRightInd w:val="0"/>
                    <w:snapToGrid w:val="0"/>
                    <w:spacing w:line="240" w:lineRule="auto"/>
                    <w:ind w:left="-4" w:leftChars="-16" w:right="-74" w:rightChars="-31" w:hanging="34" w:hangingChars="16"/>
                    <w:jc w:val="center"/>
                    <w:rPr>
                      <w:b/>
                      <w:bCs/>
                      <w:color w:val="auto"/>
                      <w:sz w:val="21"/>
                      <w:szCs w:val="21"/>
                      <w:highlight w:val="none"/>
                      <w:lang w:val="zh-CN"/>
                    </w:rPr>
                  </w:pPr>
                  <w:r>
                    <w:rPr>
                      <w:rFonts w:hint="eastAsia"/>
                      <w:b/>
                      <w:bCs/>
                      <w:color w:val="auto"/>
                      <w:sz w:val="21"/>
                      <w:szCs w:val="21"/>
                      <w:highlight w:val="none"/>
                      <w:lang w:val="zh-CN"/>
                    </w:rPr>
                    <w:t>废物代码</w:t>
                  </w:r>
                </w:p>
              </w:tc>
              <w:tc>
                <w:tcPr>
                  <w:tcW w:w="527" w:type="pct"/>
                  <w:vAlign w:val="center"/>
                </w:tcPr>
                <w:p>
                  <w:pPr>
                    <w:widowControl/>
                    <w:autoSpaceDE w:val="0"/>
                    <w:autoSpaceDN w:val="0"/>
                    <w:adjustRightInd w:val="0"/>
                    <w:snapToGrid w:val="0"/>
                    <w:spacing w:line="240" w:lineRule="auto"/>
                    <w:ind w:left="-4" w:leftChars="-16" w:right="-74" w:rightChars="-31" w:hanging="34" w:hangingChars="16"/>
                    <w:jc w:val="center"/>
                    <w:rPr>
                      <w:b/>
                      <w:bCs/>
                      <w:color w:val="auto"/>
                      <w:sz w:val="21"/>
                      <w:szCs w:val="21"/>
                      <w:highlight w:val="none"/>
                      <w:lang w:val="zh-CN"/>
                    </w:rPr>
                  </w:pPr>
                  <w:r>
                    <w:rPr>
                      <w:b/>
                      <w:bCs/>
                      <w:color w:val="auto"/>
                      <w:sz w:val="21"/>
                      <w:szCs w:val="21"/>
                      <w:highlight w:val="none"/>
                      <w:lang w:val="zh-CN"/>
                    </w:rPr>
                    <w:t>环评估算量（t/a）</w:t>
                  </w:r>
                </w:p>
              </w:tc>
              <w:tc>
                <w:tcPr>
                  <w:tcW w:w="742" w:type="pct"/>
                  <w:vAlign w:val="center"/>
                </w:tcPr>
                <w:p>
                  <w:pPr>
                    <w:widowControl/>
                    <w:autoSpaceDE w:val="0"/>
                    <w:autoSpaceDN w:val="0"/>
                    <w:adjustRightInd w:val="0"/>
                    <w:snapToGrid w:val="0"/>
                    <w:spacing w:line="240" w:lineRule="auto"/>
                    <w:ind w:left="-4" w:leftChars="-16" w:right="-74" w:rightChars="-31" w:hanging="34" w:hangingChars="16"/>
                    <w:jc w:val="center"/>
                    <w:rPr>
                      <w:b/>
                      <w:bCs/>
                      <w:color w:val="auto"/>
                      <w:sz w:val="21"/>
                      <w:szCs w:val="21"/>
                      <w:highlight w:val="none"/>
                      <w:lang w:val="zh-CN"/>
                    </w:rPr>
                  </w:pPr>
                  <w:r>
                    <w:rPr>
                      <w:rFonts w:hint="eastAsia"/>
                      <w:b/>
                      <w:bCs/>
                      <w:color w:val="auto"/>
                      <w:sz w:val="21"/>
                      <w:szCs w:val="21"/>
                      <w:highlight w:val="none"/>
                      <w:lang w:val="zh-CN"/>
                    </w:rPr>
                    <w:t>调试期间实际产生量（</w:t>
                  </w:r>
                  <w:r>
                    <w:rPr>
                      <w:rFonts w:hint="eastAsia"/>
                      <w:b/>
                      <w:bCs/>
                      <w:color w:val="auto"/>
                      <w:sz w:val="21"/>
                      <w:szCs w:val="21"/>
                      <w:highlight w:val="none"/>
                    </w:rPr>
                    <w:t>t/</w:t>
                  </w:r>
                  <w:r>
                    <w:rPr>
                      <w:rFonts w:hint="eastAsia"/>
                      <w:b/>
                      <w:bCs/>
                      <w:color w:val="auto"/>
                      <w:sz w:val="21"/>
                      <w:szCs w:val="21"/>
                      <w:highlight w:val="none"/>
                      <w:lang w:val="zh-CN"/>
                    </w:rPr>
                    <w:t>月）</w:t>
                  </w:r>
                </w:p>
              </w:tc>
              <w:tc>
                <w:tcPr>
                  <w:tcW w:w="652" w:type="pct"/>
                  <w:vAlign w:val="center"/>
                </w:tcPr>
                <w:p>
                  <w:pPr>
                    <w:widowControl/>
                    <w:autoSpaceDE w:val="0"/>
                    <w:autoSpaceDN w:val="0"/>
                    <w:adjustRightInd w:val="0"/>
                    <w:snapToGrid w:val="0"/>
                    <w:spacing w:line="240" w:lineRule="auto"/>
                    <w:ind w:left="-4" w:leftChars="-16" w:right="-74" w:rightChars="-31" w:hanging="34" w:hangingChars="16"/>
                    <w:jc w:val="center"/>
                    <w:rPr>
                      <w:b/>
                      <w:bCs/>
                      <w:color w:val="auto"/>
                      <w:sz w:val="21"/>
                      <w:szCs w:val="21"/>
                      <w:highlight w:val="none"/>
                      <w:lang w:val="zh-CN"/>
                    </w:rPr>
                  </w:pPr>
                  <w:r>
                    <w:rPr>
                      <w:rFonts w:hint="eastAsia"/>
                      <w:b/>
                      <w:bCs/>
                      <w:color w:val="auto"/>
                      <w:sz w:val="21"/>
                      <w:szCs w:val="21"/>
                      <w:highlight w:val="none"/>
                      <w:lang w:val="zh-CN"/>
                    </w:rPr>
                    <w:t>折合年产生量（</w:t>
                  </w:r>
                  <w:r>
                    <w:rPr>
                      <w:rFonts w:hint="eastAsia"/>
                      <w:b/>
                      <w:bCs/>
                      <w:color w:val="auto"/>
                      <w:sz w:val="21"/>
                      <w:szCs w:val="21"/>
                      <w:highlight w:val="none"/>
                    </w:rPr>
                    <w:t>t</w:t>
                  </w:r>
                  <w:r>
                    <w:rPr>
                      <w:rFonts w:hint="eastAsia"/>
                      <w:b/>
                      <w:bCs/>
                      <w:color w:val="auto"/>
                      <w:sz w:val="21"/>
                      <w:szCs w:val="21"/>
                      <w:highlight w:val="none"/>
                      <w:lang w:val="zh-CN"/>
                    </w:rPr>
                    <w:t>）</w:t>
                  </w:r>
                </w:p>
              </w:tc>
              <w:tc>
                <w:tcPr>
                  <w:tcW w:w="471" w:type="pct"/>
                  <w:vAlign w:val="center"/>
                </w:tcPr>
                <w:p>
                  <w:pPr>
                    <w:autoSpaceDE w:val="0"/>
                    <w:autoSpaceDN w:val="0"/>
                    <w:adjustRightInd w:val="0"/>
                    <w:snapToGrid w:val="0"/>
                    <w:spacing w:line="240" w:lineRule="auto"/>
                    <w:ind w:firstLine="0" w:firstLineChars="0"/>
                    <w:jc w:val="center"/>
                    <w:rPr>
                      <w:b/>
                      <w:bCs/>
                      <w:color w:val="auto"/>
                      <w:sz w:val="21"/>
                      <w:szCs w:val="21"/>
                      <w:highlight w:val="none"/>
                      <w:lang w:val="zh-CN"/>
                    </w:rPr>
                  </w:pPr>
                  <w:r>
                    <w:rPr>
                      <w:b/>
                      <w:bCs/>
                      <w:color w:val="auto"/>
                      <w:sz w:val="21"/>
                      <w:szCs w:val="21"/>
                      <w:highlight w:val="none"/>
                      <w:lang w:val="zh-CN"/>
                    </w:rPr>
                    <w:t>性质</w:t>
                  </w:r>
                </w:p>
              </w:tc>
              <w:tc>
                <w:tcPr>
                  <w:tcW w:w="592" w:type="pct"/>
                  <w:vAlign w:val="center"/>
                </w:tcPr>
                <w:p>
                  <w:pPr>
                    <w:autoSpaceDE w:val="0"/>
                    <w:autoSpaceDN w:val="0"/>
                    <w:adjustRightInd w:val="0"/>
                    <w:snapToGrid w:val="0"/>
                    <w:spacing w:line="240" w:lineRule="auto"/>
                    <w:ind w:firstLine="0" w:firstLineChars="0"/>
                    <w:jc w:val="center"/>
                    <w:rPr>
                      <w:b/>
                      <w:bCs/>
                      <w:color w:val="auto"/>
                      <w:sz w:val="21"/>
                      <w:szCs w:val="21"/>
                      <w:highlight w:val="none"/>
                      <w:lang w:val="zh-CN"/>
                    </w:rPr>
                  </w:pPr>
                  <w:r>
                    <w:rPr>
                      <w:b/>
                      <w:bCs/>
                      <w:color w:val="auto"/>
                      <w:sz w:val="21"/>
                      <w:szCs w:val="21"/>
                      <w:highlight w:val="none"/>
                      <w:lang w:val="zh-CN"/>
                    </w:rPr>
                    <w:t>贮存及处置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39" w:type="pct"/>
                  <w:vAlign w:val="center"/>
                </w:tcPr>
                <w:p>
                  <w:pPr>
                    <w:adjustRightInd w:val="0"/>
                    <w:snapToGrid w:val="0"/>
                    <w:spacing w:line="240" w:lineRule="auto"/>
                    <w:ind w:firstLine="0" w:firstLineChars="0"/>
                    <w:jc w:val="center"/>
                    <w:rPr>
                      <w:color w:val="auto"/>
                      <w:sz w:val="21"/>
                      <w:szCs w:val="21"/>
                      <w:highlight w:val="none"/>
                      <w:lang w:val="zh-CN"/>
                    </w:rPr>
                  </w:pPr>
                  <w:r>
                    <w:rPr>
                      <w:color w:val="auto"/>
                      <w:sz w:val="21"/>
                      <w:szCs w:val="21"/>
                      <w:highlight w:val="none"/>
                    </w:rPr>
                    <w:t>1</w:t>
                  </w:r>
                </w:p>
              </w:tc>
              <w:tc>
                <w:tcPr>
                  <w:tcW w:w="906" w:type="pct"/>
                  <w:vAlign w:val="center"/>
                </w:tcPr>
                <w:p>
                  <w:pPr>
                    <w:pStyle w:val="2"/>
                    <w:spacing w:line="240" w:lineRule="auto"/>
                    <w:ind w:firstLine="0" w:firstLineChars="0"/>
                    <w:jc w:val="center"/>
                    <w:rPr>
                      <w:rFonts w:cs="Times New Roman"/>
                      <w:color w:val="auto"/>
                      <w:sz w:val="21"/>
                      <w:szCs w:val="21"/>
                      <w:highlight w:val="none"/>
                      <w:lang w:val="zh-CN"/>
                    </w:rPr>
                  </w:pPr>
                  <w:r>
                    <w:rPr>
                      <w:rFonts w:hint="eastAsia" w:cs="Times New Roman"/>
                      <w:color w:val="auto"/>
                      <w:sz w:val="21"/>
                      <w:szCs w:val="21"/>
                      <w:highlight w:val="none"/>
                      <w:lang w:val="zh-CN" w:eastAsia="zh-CN"/>
                    </w:rPr>
                    <w:t>废</w:t>
                  </w:r>
                  <w:r>
                    <w:rPr>
                      <w:rFonts w:hint="default" w:cs="Times New Roman"/>
                      <w:color w:val="auto"/>
                      <w:sz w:val="21"/>
                      <w:szCs w:val="21"/>
                      <w:highlight w:val="none"/>
                      <w:lang w:val="zh-CN"/>
                    </w:rPr>
                    <w:t>金属氧化皮碎片和破碎的钢砂</w:t>
                  </w:r>
                </w:p>
              </w:tc>
              <w:tc>
                <w:tcPr>
                  <w:tcW w:w="767" w:type="pct"/>
                  <w:vAlign w:val="center"/>
                </w:tcPr>
                <w:p>
                  <w:pPr>
                    <w:autoSpaceDE w:val="0"/>
                    <w:autoSpaceDN w:val="0"/>
                    <w:spacing w:line="240" w:lineRule="auto"/>
                    <w:ind w:left="-5" w:leftChars="-16" w:right="-74" w:rightChars="-31" w:hanging="33" w:hangingChars="16"/>
                    <w:jc w:val="center"/>
                    <w:rPr>
                      <w:color w:val="auto"/>
                      <w:sz w:val="21"/>
                      <w:szCs w:val="21"/>
                      <w:highlight w:val="none"/>
                    </w:rPr>
                  </w:pPr>
                  <w:r>
                    <w:rPr>
                      <w:rFonts w:hint="eastAsia"/>
                      <w:color w:val="auto"/>
                      <w:sz w:val="21"/>
                      <w:szCs w:val="21"/>
                      <w:highlight w:val="none"/>
                    </w:rPr>
                    <w:t>/</w:t>
                  </w:r>
                </w:p>
              </w:tc>
              <w:tc>
                <w:tcPr>
                  <w:tcW w:w="527" w:type="pct"/>
                  <w:vAlign w:val="center"/>
                </w:tcPr>
                <w:p>
                  <w:pPr>
                    <w:autoSpaceDE w:val="0"/>
                    <w:autoSpaceDN w:val="0"/>
                    <w:spacing w:line="240" w:lineRule="auto"/>
                    <w:ind w:left="-5" w:leftChars="-16" w:right="-74" w:rightChars="-31" w:hanging="33" w:hangingChars="16"/>
                    <w:jc w:val="center"/>
                    <w:rPr>
                      <w:color w:val="auto"/>
                      <w:sz w:val="21"/>
                      <w:szCs w:val="21"/>
                      <w:highlight w:val="none"/>
                    </w:rPr>
                  </w:pPr>
                  <w:r>
                    <w:rPr>
                      <w:rFonts w:hint="eastAsia"/>
                      <w:color w:val="auto"/>
                      <w:sz w:val="21"/>
                      <w:szCs w:val="21"/>
                      <w:highlight w:val="none"/>
                      <w:lang w:val="en-US" w:eastAsia="zh-CN"/>
                    </w:rPr>
                    <w:t>8</w:t>
                  </w:r>
                </w:p>
              </w:tc>
              <w:tc>
                <w:tcPr>
                  <w:tcW w:w="1327" w:type="dxa"/>
                  <w:vAlign w:val="center"/>
                </w:tcPr>
                <w:p>
                  <w:pPr>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0.66</w:t>
                  </w:r>
                </w:p>
              </w:tc>
              <w:tc>
                <w:tcPr>
                  <w:tcW w:w="1166" w:type="dxa"/>
                  <w:vAlign w:val="center"/>
                </w:tcPr>
                <w:p>
                  <w:pPr>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7.92</w:t>
                  </w:r>
                </w:p>
              </w:tc>
              <w:tc>
                <w:tcPr>
                  <w:tcW w:w="471" w:type="pct"/>
                  <w:vMerge w:val="restart"/>
                  <w:vAlign w:val="center"/>
                </w:tcPr>
                <w:p>
                  <w:pPr>
                    <w:autoSpaceDE w:val="0"/>
                    <w:autoSpaceDN w:val="0"/>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一般固废</w:t>
                  </w:r>
                </w:p>
              </w:tc>
              <w:tc>
                <w:tcPr>
                  <w:tcW w:w="592" w:type="pct"/>
                  <w:vMerge w:val="restart"/>
                  <w:vAlign w:val="center"/>
                </w:tcPr>
                <w:p>
                  <w:pPr>
                    <w:pStyle w:val="2"/>
                    <w:spacing w:line="240" w:lineRule="auto"/>
                    <w:ind w:firstLine="0" w:firstLineChars="0"/>
                    <w:rPr>
                      <w:rFonts w:cs="Times New Roman"/>
                      <w:color w:val="auto"/>
                      <w:sz w:val="21"/>
                      <w:szCs w:val="21"/>
                      <w:highlight w:val="none"/>
                      <w:lang w:val="zh-CN"/>
                    </w:rPr>
                  </w:pPr>
                  <w:r>
                    <w:rPr>
                      <w:rFonts w:hint="eastAsia" w:cs="Times New Roman"/>
                      <w:color w:val="auto"/>
                      <w:sz w:val="21"/>
                      <w:szCs w:val="21"/>
                      <w:highlight w:val="none"/>
                    </w:rPr>
                    <w:t>和现有项目打砂房产生粉尘一起由厂区集中处理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39" w:type="pct"/>
                  <w:vAlign w:val="center"/>
                </w:tcPr>
                <w:p>
                  <w:pPr>
                    <w:adjustRightInd w:val="0"/>
                    <w:snapToGrid w:val="0"/>
                    <w:spacing w:line="240" w:lineRule="auto"/>
                    <w:ind w:firstLine="0" w:firstLineChars="0"/>
                    <w:jc w:val="center"/>
                    <w:rPr>
                      <w:color w:val="auto"/>
                      <w:sz w:val="21"/>
                      <w:szCs w:val="21"/>
                      <w:highlight w:val="none"/>
                      <w:lang w:val="zh-CN"/>
                    </w:rPr>
                  </w:pPr>
                  <w:r>
                    <w:rPr>
                      <w:rFonts w:hint="eastAsia"/>
                      <w:color w:val="auto"/>
                      <w:sz w:val="21"/>
                      <w:szCs w:val="21"/>
                      <w:highlight w:val="none"/>
                    </w:rPr>
                    <w:t>2</w:t>
                  </w:r>
                </w:p>
              </w:tc>
              <w:tc>
                <w:tcPr>
                  <w:tcW w:w="906" w:type="pct"/>
                  <w:vAlign w:val="center"/>
                </w:tcPr>
                <w:p>
                  <w:pPr>
                    <w:pStyle w:val="2"/>
                    <w:spacing w:line="240" w:lineRule="auto"/>
                    <w:ind w:firstLine="0" w:firstLineChars="0"/>
                    <w:jc w:val="center"/>
                    <w:rPr>
                      <w:rFonts w:cs="Times New Roman"/>
                      <w:color w:val="auto"/>
                      <w:sz w:val="21"/>
                      <w:szCs w:val="21"/>
                      <w:highlight w:val="none"/>
                      <w:lang w:val="zh-CN"/>
                    </w:rPr>
                  </w:pPr>
                  <w:r>
                    <w:rPr>
                      <w:rFonts w:hint="eastAsia" w:cs="Times New Roman"/>
                      <w:color w:val="auto"/>
                      <w:sz w:val="21"/>
                      <w:szCs w:val="21"/>
                      <w:highlight w:val="none"/>
                      <w:lang w:val="zh-CN"/>
                    </w:rPr>
                    <w:t>旋风分离器和滤筒除尘器收集的粉尘</w:t>
                  </w:r>
                </w:p>
              </w:tc>
              <w:tc>
                <w:tcPr>
                  <w:tcW w:w="767" w:type="pct"/>
                  <w:vAlign w:val="center"/>
                </w:tcPr>
                <w:p>
                  <w:pPr>
                    <w:autoSpaceDE w:val="0"/>
                    <w:autoSpaceDN w:val="0"/>
                    <w:spacing w:line="240" w:lineRule="auto"/>
                    <w:ind w:left="-5" w:leftChars="-16" w:right="-74" w:rightChars="-31" w:hanging="33" w:hangingChars="16"/>
                    <w:jc w:val="center"/>
                    <w:rPr>
                      <w:rFonts w:hint="eastAsia" w:eastAsia="宋体"/>
                      <w:color w:val="auto"/>
                      <w:sz w:val="21"/>
                      <w:szCs w:val="21"/>
                      <w:highlight w:val="none"/>
                      <w:lang w:eastAsia="zh-CN"/>
                    </w:rPr>
                  </w:pPr>
                  <w:r>
                    <w:rPr>
                      <w:rFonts w:hint="eastAsia"/>
                      <w:color w:val="auto"/>
                      <w:sz w:val="21"/>
                      <w:szCs w:val="21"/>
                      <w:highlight w:val="none"/>
                    </w:rPr>
                    <w:t>/</w:t>
                  </w:r>
                </w:p>
              </w:tc>
              <w:tc>
                <w:tcPr>
                  <w:tcW w:w="527" w:type="pct"/>
                  <w:vAlign w:val="center"/>
                </w:tcPr>
                <w:p>
                  <w:pPr>
                    <w:autoSpaceDE w:val="0"/>
                    <w:autoSpaceDN w:val="0"/>
                    <w:spacing w:line="240" w:lineRule="auto"/>
                    <w:ind w:left="-5" w:leftChars="-16" w:right="-74" w:rightChars="-31" w:hanging="33" w:hangingChars="16"/>
                    <w:jc w:val="center"/>
                    <w:rPr>
                      <w:color w:val="auto"/>
                      <w:sz w:val="21"/>
                      <w:szCs w:val="21"/>
                      <w:highlight w:val="none"/>
                    </w:rPr>
                  </w:pPr>
                  <w:r>
                    <w:rPr>
                      <w:rFonts w:hint="eastAsia"/>
                      <w:color w:val="auto"/>
                      <w:sz w:val="21"/>
                      <w:szCs w:val="21"/>
                      <w:highlight w:val="none"/>
                      <w:lang w:val="en-US" w:eastAsia="zh-CN"/>
                    </w:rPr>
                    <w:t>1.28</w:t>
                  </w:r>
                </w:p>
              </w:tc>
              <w:tc>
                <w:tcPr>
                  <w:tcW w:w="742" w:type="pct"/>
                  <w:vAlign w:val="center"/>
                </w:tcPr>
                <w:p>
                  <w:pPr>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0.11</w:t>
                  </w:r>
                </w:p>
              </w:tc>
              <w:tc>
                <w:tcPr>
                  <w:tcW w:w="652" w:type="pct"/>
                  <w:vAlign w:val="center"/>
                </w:tcPr>
                <w:p>
                  <w:pPr>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1.32</w:t>
                  </w:r>
                </w:p>
              </w:tc>
              <w:tc>
                <w:tcPr>
                  <w:tcW w:w="471" w:type="pct"/>
                  <w:vMerge w:val="continue"/>
                  <w:vAlign w:val="center"/>
                </w:tcPr>
                <w:p>
                  <w:pPr>
                    <w:autoSpaceDE w:val="0"/>
                    <w:autoSpaceDN w:val="0"/>
                    <w:adjustRightInd w:val="0"/>
                    <w:snapToGrid w:val="0"/>
                    <w:spacing w:line="240" w:lineRule="auto"/>
                    <w:ind w:firstLine="0" w:firstLineChars="0"/>
                    <w:jc w:val="center"/>
                    <w:rPr>
                      <w:color w:val="auto"/>
                      <w:sz w:val="21"/>
                      <w:szCs w:val="21"/>
                      <w:highlight w:val="none"/>
                      <w:lang w:val="zh-CN"/>
                    </w:rPr>
                  </w:pPr>
                </w:p>
              </w:tc>
              <w:tc>
                <w:tcPr>
                  <w:tcW w:w="592" w:type="pct"/>
                  <w:vMerge w:val="continue"/>
                  <w:vAlign w:val="center"/>
                </w:tcPr>
                <w:p>
                  <w:pPr>
                    <w:pStyle w:val="2"/>
                    <w:spacing w:line="240" w:lineRule="auto"/>
                    <w:ind w:firstLine="0" w:firstLineChars="0"/>
                    <w:rPr>
                      <w:rFonts w:cs="Times New Roman"/>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39" w:type="pct"/>
                  <w:vAlign w:val="center"/>
                </w:tcPr>
                <w:p>
                  <w:pPr>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3</w:t>
                  </w:r>
                </w:p>
              </w:tc>
              <w:tc>
                <w:tcPr>
                  <w:tcW w:w="906" w:type="pct"/>
                  <w:vAlign w:val="center"/>
                </w:tcPr>
                <w:p>
                  <w:pPr>
                    <w:pStyle w:val="2"/>
                    <w:spacing w:line="240" w:lineRule="auto"/>
                    <w:ind w:firstLine="0" w:firstLineChars="0"/>
                    <w:jc w:val="center"/>
                    <w:rPr>
                      <w:rFonts w:cs="Times New Roman"/>
                      <w:color w:val="auto"/>
                      <w:sz w:val="21"/>
                      <w:szCs w:val="21"/>
                      <w:highlight w:val="none"/>
                    </w:rPr>
                  </w:pPr>
                  <w:r>
                    <w:rPr>
                      <w:rFonts w:hint="eastAsia" w:cs="Times New Roman"/>
                      <w:color w:val="auto"/>
                      <w:sz w:val="21"/>
                      <w:szCs w:val="21"/>
                      <w:highlight w:val="none"/>
                    </w:rPr>
                    <w:t>废滤筒</w:t>
                  </w:r>
                </w:p>
              </w:tc>
              <w:tc>
                <w:tcPr>
                  <w:tcW w:w="767" w:type="pct"/>
                  <w:vAlign w:val="center"/>
                </w:tcPr>
                <w:p>
                  <w:pPr>
                    <w:autoSpaceDE w:val="0"/>
                    <w:autoSpaceDN w:val="0"/>
                    <w:spacing w:line="240" w:lineRule="auto"/>
                    <w:ind w:left="-5" w:leftChars="-16" w:right="-74" w:rightChars="-31" w:hanging="33" w:hangingChars="16"/>
                    <w:jc w:val="center"/>
                    <w:rPr>
                      <w:rFonts w:hint="eastAsia"/>
                      <w:color w:val="auto"/>
                      <w:sz w:val="21"/>
                      <w:szCs w:val="21"/>
                      <w:highlight w:val="none"/>
                    </w:rPr>
                  </w:pPr>
                </w:p>
              </w:tc>
              <w:tc>
                <w:tcPr>
                  <w:tcW w:w="527" w:type="pct"/>
                  <w:vAlign w:val="center"/>
                </w:tcPr>
                <w:p>
                  <w:pPr>
                    <w:autoSpaceDE w:val="0"/>
                    <w:autoSpaceDN w:val="0"/>
                    <w:spacing w:line="240" w:lineRule="auto"/>
                    <w:ind w:left="-5" w:leftChars="-16" w:right="-74" w:rightChars="-31" w:hanging="33" w:hangingChars="16"/>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0.037</w:t>
                  </w:r>
                </w:p>
              </w:tc>
              <w:tc>
                <w:tcPr>
                  <w:tcW w:w="742" w:type="pct"/>
                  <w:vAlign w:val="center"/>
                </w:tcPr>
                <w:p>
                  <w:pPr>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暂未产生</w:t>
                  </w:r>
                </w:p>
              </w:tc>
              <w:tc>
                <w:tcPr>
                  <w:tcW w:w="652" w:type="pct"/>
                  <w:vAlign w:val="center"/>
                </w:tcPr>
                <w:p>
                  <w:pPr>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471" w:type="pct"/>
                  <w:vMerge w:val="continue"/>
                  <w:vAlign w:val="center"/>
                </w:tcPr>
                <w:p>
                  <w:pPr>
                    <w:autoSpaceDE w:val="0"/>
                    <w:autoSpaceDN w:val="0"/>
                    <w:adjustRightInd w:val="0"/>
                    <w:snapToGrid w:val="0"/>
                    <w:spacing w:line="240" w:lineRule="auto"/>
                    <w:ind w:firstLine="0" w:firstLineChars="0"/>
                    <w:jc w:val="center"/>
                    <w:rPr>
                      <w:color w:val="auto"/>
                      <w:sz w:val="21"/>
                      <w:szCs w:val="21"/>
                      <w:highlight w:val="none"/>
                      <w:lang w:val="zh-CN"/>
                    </w:rPr>
                  </w:pPr>
                </w:p>
              </w:tc>
              <w:tc>
                <w:tcPr>
                  <w:tcW w:w="592" w:type="pct"/>
                  <w:vMerge w:val="continue"/>
                  <w:vAlign w:val="center"/>
                </w:tcPr>
                <w:p>
                  <w:pPr>
                    <w:pStyle w:val="2"/>
                    <w:spacing w:line="240" w:lineRule="auto"/>
                    <w:ind w:firstLine="0" w:firstLineChars="0"/>
                    <w:rPr>
                      <w:rFonts w:cs="Times New Roman"/>
                      <w:color w:val="auto"/>
                      <w:sz w:val="21"/>
                      <w:szCs w:val="21"/>
                      <w:highlight w:val="none"/>
                    </w:rPr>
                  </w:pPr>
                </w:p>
              </w:tc>
            </w:tr>
          </w:tbl>
          <w:p>
            <w:pPr>
              <w:pStyle w:val="2"/>
              <w:widowControl/>
              <w:adjustRightInd/>
              <w:rPr>
                <w:rFonts w:hint="eastAsia" w:cs="Times New Roman"/>
                <w:color w:val="auto"/>
                <w:highlight w:val="none"/>
              </w:rPr>
            </w:pPr>
            <w:r>
              <w:rPr>
                <w:rFonts w:hint="eastAsia" w:cs="Times New Roman"/>
                <w:color w:val="auto"/>
                <w:highlight w:val="none"/>
              </w:rPr>
              <w:t>砂尘分离器分离出的金属氧化皮碎片和破碎的钢砂（以破碎的钢砂为主），旋风分离器和滤筒除尘器收集的粉尘及废滤筒，收集后和现有项目打砂房产生同类固废一起由厂区集中处理。</w:t>
            </w:r>
          </w:p>
          <w:p>
            <w:pPr>
              <w:pStyle w:val="2"/>
              <w:snapToGrid w:val="0"/>
              <w:jc w:val="both"/>
              <w:rPr>
                <w:rFonts w:cs="Times New Roman"/>
                <w:color w:val="auto"/>
                <w:szCs w:val="24"/>
                <w:highlight w:val="none"/>
              </w:rPr>
            </w:pPr>
            <w:r>
              <w:rPr>
                <w:rFonts w:cs="Times New Roman"/>
                <w:color w:val="auto"/>
                <w:szCs w:val="24"/>
                <w:highlight w:val="none"/>
              </w:rPr>
              <w:t>一般固废的处置符合《一般工业固体废物贮存和填埋污染控制标准》(GB18599-2020)的要求。</w:t>
            </w:r>
          </w:p>
          <w:p>
            <w:pPr>
              <w:pStyle w:val="27"/>
              <w:numPr>
                <w:ilvl w:val="255"/>
                <w:numId w:val="0"/>
              </w:numPr>
              <w:ind w:firstLine="482" w:firstLineChars="200"/>
              <w:rPr>
                <w:rFonts w:hint="eastAsia" w:ascii="Times New Roman" w:hAnsi="Times New Roman" w:eastAsia="宋体"/>
                <w:b/>
                <w:bCs/>
                <w:color w:val="auto"/>
                <w:sz w:val="24"/>
                <w:highlight w:val="none"/>
                <w:lang w:eastAsia="zh-CN"/>
              </w:rPr>
            </w:pPr>
            <w:r>
              <w:rPr>
                <w:rFonts w:ascii="Times New Roman" w:hAnsi="Times New Roman"/>
                <w:b/>
                <w:bCs/>
                <w:color w:val="auto"/>
                <w:sz w:val="24"/>
                <w:highlight w:val="none"/>
              </w:rPr>
              <w:t>5、污染物排放总量</w:t>
            </w:r>
            <w:r>
              <w:rPr>
                <w:rFonts w:hint="eastAsia" w:ascii="Times New Roman" w:hAnsi="Times New Roman"/>
                <w:b/>
                <w:bCs/>
                <w:color w:val="auto"/>
                <w:sz w:val="24"/>
                <w:highlight w:val="none"/>
                <w:lang w:eastAsia="zh-CN"/>
              </w:rPr>
              <w:t>核算</w:t>
            </w:r>
          </w:p>
          <w:p>
            <w:pPr>
              <w:pStyle w:val="6"/>
              <w:ind w:firstLine="480"/>
              <w:rPr>
                <w:color w:val="auto"/>
                <w:highlight w:val="none"/>
              </w:rPr>
            </w:pPr>
            <w:r>
              <w:rPr>
                <w:rFonts w:hint="eastAsia"/>
                <w:color w:val="auto"/>
                <w:highlight w:val="none"/>
              </w:rPr>
              <w:t>废气：项目《济南市建设项目污染物总量审核确认书》，编号：JNZL（202</w:t>
            </w:r>
            <w:r>
              <w:rPr>
                <w:rFonts w:hint="eastAsia"/>
                <w:color w:val="auto"/>
                <w:highlight w:val="none"/>
                <w:lang w:val="en-US" w:eastAsia="zh-CN"/>
              </w:rPr>
              <w:t>0</w:t>
            </w:r>
            <w:r>
              <w:rPr>
                <w:rFonts w:hint="eastAsia"/>
                <w:color w:val="auto"/>
                <w:highlight w:val="none"/>
              </w:rPr>
              <w:t>）</w:t>
            </w:r>
            <w:r>
              <w:rPr>
                <w:rFonts w:hint="eastAsia"/>
                <w:color w:val="auto"/>
                <w:highlight w:val="none"/>
                <w:lang w:val="en-US" w:eastAsia="zh-CN"/>
              </w:rPr>
              <w:t>31</w:t>
            </w:r>
            <w:r>
              <w:rPr>
                <w:rFonts w:hint="eastAsia"/>
                <w:color w:val="auto"/>
                <w:highlight w:val="none"/>
              </w:rPr>
              <w:t>号中确定的总量控制指标为</w:t>
            </w:r>
            <w:r>
              <w:rPr>
                <w:rFonts w:hint="eastAsia"/>
                <w:color w:val="auto"/>
                <w:highlight w:val="none"/>
                <w:lang w:eastAsia="zh-CN"/>
              </w:rPr>
              <w:t>颗粒物</w:t>
            </w:r>
            <w:r>
              <w:rPr>
                <w:rFonts w:hint="eastAsia"/>
                <w:color w:val="auto"/>
                <w:highlight w:val="none"/>
              </w:rPr>
              <w:t>：</w:t>
            </w:r>
            <w:r>
              <w:rPr>
                <w:rFonts w:hint="eastAsia"/>
                <w:color w:val="auto"/>
                <w:highlight w:val="none"/>
                <w:lang w:val="en-US" w:eastAsia="zh-CN"/>
              </w:rPr>
              <w:t>0.2175</w:t>
            </w:r>
            <w:r>
              <w:rPr>
                <w:rFonts w:hint="eastAsia"/>
                <w:color w:val="auto"/>
                <w:highlight w:val="none"/>
              </w:rPr>
              <w:t>t/a。</w:t>
            </w:r>
          </w:p>
          <w:p>
            <w:pPr>
              <w:ind w:firstLine="48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项目在</w:t>
            </w:r>
            <w:r>
              <w:rPr>
                <w:rFonts w:hint="eastAsia" w:ascii="Times New Roman" w:hAnsi="Times New Roman" w:eastAsia="宋体" w:cs="Times New Roman"/>
                <w:color w:val="auto"/>
                <w:highlight w:val="none"/>
                <w:lang w:eastAsia="zh-CN"/>
              </w:rPr>
              <w:t>打砂工序</w:t>
            </w:r>
            <w:r>
              <w:rPr>
                <w:rFonts w:hint="eastAsia" w:ascii="Times New Roman" w:hAnsi="Times New Roman" w:eastAsia="宋体" w:cs="Times New Roman"/>
                <w:color w:val="auto"/>
                <w:highlight w:val="none"/>
              </w:rPr>
              <w:t>产生</w:t>
            </w:r>
            <w:r>
              <w:rPr>
                <w:rFonts w:hint="eastAsia" w:ascii="Times New Roman" w:hAnsi="Times New Roman" w:eastAsia="宋体" w:cs="Times New Roman"/>
                <w:color w:val="auto"/>
                <w:highlight w:val="none"/>
                <w:lang w:eastAsia="zh-CN"/>
              </w:rPr>
              <w:t>粉尘</w:t>
            </w:r>
            <w:r>
              <w:rPr>
                <w:rFonts w:hint="eastAsia"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eastAsia="zh-CN"/>
              </w:rPr>
              <w:t>打砂</w:t>
            </w:r>
            <w:r>
              <w:rPr>
                <w:rFonts w:hint="eastAsia" w:ascii="Times New Roman" w:hAnsi="Times New Roman" w:eastAsia="宋体" w:cs="Times New Roman"/>
                <w:color w:val="auto"/>
                <w:highlight w:val="none"/>
              </w:rPr>
              <w:t>工序排气筒年排气时间为</w:t>
            </w:r>
            <w:r>
              <w:rPr>
                <w:rFonts w:hint="eastAsia" w:ascii="Times New Roman" w:hAnsi="Times New Roman" w:eastAsia="宋体" w:cs="Times New Roman"/>
                <w:color w:val="auto"/>
                <w:highlight w:val="none"/>
                <w:lang w:val="en-US" w:eastAsia="zh-CN"/>
              </w:rPr>
              <w:t>2080</w:t>
            </w:r>
            <w:r>
              <w:rPr>
                <w:rFonts w:hint="eastAsia" w:ascii="Times New Roman" w:hAnsi="Times New Roman" w:eastAsia="宋体" w:cs="Times New Roman"/>
                <w:color w:val="auto"/>
                <w:highlight w:val="none"/>
              </w:rPr>
              <w:t>小时，根据验收监测结果核算，项目排放量</w:t>
            </w:r>
            <w:r>
              <w:rPr>
                <w:rFonts w:hint="eastAsia" w:ascii="Times New Roman" w:hAnsi="Times New Roman" w:eastAsia="宋体" w:cs="Times New Roman"/>
                <w:color w:val="auto"/>
                <w:highlight w:val="none"/>
                <w:lang w:eastAsia="zh-CN"/>
              </w:rPr>
              <w:t>颗粒物</w:t>
            </w:r>
            <w:r>
              <w:rPr>
                <w:rFonts w:hint="eastAsia" w:ascii="Times New Roman" w:hAnsi="Times New Roman" w:eastAsia="宋体" w:cs="Times New Roman"/>
                <w:color w:val="auto"/>
                <w:highlight w:val="none"/>
              </w:rPr>
              <w:t>：</w:t>
            </w:r>
            <w:r>
              <w:rPr>
                <w:rFonts w:hint="eastAsia" w:cs="Times New Roman"/>
                <w:color w:val="auto"/>
                <w:highlight w:val="none"/>
                <w:lang w:val="en-US" w:eastAsia="zh-CN"/>
              </w:rPr>
              <w:t>0.12272</w:t>
            </w:r>
            <w:r>
              <w:rPr>
                <w:rFonts w:hint="eastAsia" w:ascii="Times New Roman" w:hAnsi="Times New Roman" w:eastAsia="宋体" w:cs="Times New Roman"/>
                <w:color w:val="auto"/>
                <w:highlight w:val="none"/>
              </w:rPr>
              <w:t>t/a，满足总量控制要求。</w:t>
            </w:r>
          </w:p>
          <w:p>
            <w:pPr>
              <w:pStyle w:val="27"/>
              <w:numPr>
                <w:ilvl w:val="255"/>
                <w:numId w:val="0"/>
              </w:numPr>
              <w:ind w:firstLine="482"/>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6、环保设施去除效率</w:t>
            </w:r>
          </w:p>
          <w:p>
            <w:pPr>
              <w:rPr>
                <w:rFonts w:hint="eastAsia"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color w:val="auto"/>
                <w:szCs w:val="24"/>
                <w:highlight w:val="none"/>
              </w:rPr>
              <w:t>废气：</w:t>
            </w:r>
            <w:r>
              <w:rPr>
                <w:rFonts w:hint="eastAsia" w:ascii="Times New Roman" w:hAnsi="Times New Roman" w:eastAsia="宋体" w:cs="Times New Roman"/>
                <w:b w:val="0"/>
                <w:bCs w:val="0"/>
                <w:color w:val="auto"/>
                <w:sz w:val="24"/>
                <w:szCs w:val="24"/>
                <w:highlight w:val="none"/>
                <w:lang w:val="en-US" w:eastAsia="zh-CN"/>
              </w:rPr>
              <w:t>根据验收监测结果核算：打砂废气排气筒DA035“旋风分离器和GK-48滤筒除尘器”装置对废气中主要污染物颗粒物的去除效率为</w:t>
            </w:r>
            <w:r>
              <w:rPr>
                <w:rFonts w:hint="eastAsia" w:cs="Times New Roman"/>
                <w:b w:val="0"/>
                <w:bCs w:val="0"/>
                <w:color w:val="auto"/>
                <w:sz w:val="24"/>
                <w:szCs w:val="24"/>
                <w:highlight w:val="none"/>
                <w:lang w:val="en-US" w:eastAsia="zh-CN"/>
              </w:rPr>
              <w:t>96.2</w:t>
            </w:r>
            <w:r>
              <w:rPr>
                <w:rFonts w:hint="eastAsia" w:ascii="Times New Roman" w:hAnsi="Times New Roman" w:eastAsia="宋体" w:cs="Times New Roman"/>
                <w:b w:val="0"/>
                <w:bCs w:val="0"/>
                <w:color w:val="auto"/>
                <w:sz w:val="24"/>
                <w:szCs w:val="24"/>
                <w:highlight w:val="none"/>
                <w:lang w:val="en-US" w:eastAsia="zh-CN"/>
              </w:rPr>
              <w:t>%。</w:t>
            </w:r>
          </w:p>
          <w:p>
            <w:pPr>
              <w:pStyle w:val="27"/>
              <w:ind w:firstLine="480"/>
              <w:rPr>
                <w:color w:val="auto"/>
                <w:sz w:val="24"/>
                <w:highlight w:val="none"/>
              </w:rPr>
            </w:pPr>
          </w:p>
          <w:p>
            <w:pPr>
              <w:ind w:firstLine="480"/>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
              <w:rPr>
                <w:color w:val="auto"/>
                <w:highlight w:val="none"/>
              </w:rPr>
            </w:pPr>
          </w:p>
          <w:p>
            <w:pPr>
              <w:pStyle w:val="27"/>
              <w:ind w:firstLine="480"/>
              <w:rPr>
                <w:color w:val="auto"/>
                <w:sz w:val="24"/>
                <w:highlight w:val="none"/>
              </w:rPr>
            </w:pPr>
          </w:p>
          <w:p>
            <w:pPr>
              <w:ind w:firstLine="480"/>
              <w:rPr>
                <w:color w:val="auto"/>
                <w:highlight w:val="none"/>
              </w:rPr>
            </w:pPr>
          </w:p>
          <w:p>
            <w:pPr>
              <w:pStyle w:val="27"/>
            </w:pPr>
          </w:p>
          <w:p>
            <w:pPr>
              <w:pStyle w:val="2"/>
              <w:snapToGrid w:val="0"/>
              <w:ind w:firstLine="0" w:firstLineChars="0"/>
              <w:rPr>
                <w:color w:val="auto"/>
                <w:highlight w:val="none"/>
              </w:rPr>
            </w:pPr>
          </w:p>
        </w:tc>
      </w:tr>
    </w:tbl>
    <w:p>
      <w:pPr>
        <w:adjustRightInd w:val="0"/>
        <w:snapToGrid w:val="0"/>
        <w:ind w:firstLine="0" w:firstLineChars="0"/>
        <w:outlineLvl w:val="0"/>
        <w:rPr>
          <w:b/>
          <w:bCs/>
          <w:color w:val="auto"/>
          <w:sz w:val="32"/>
          <w:szCs w:val="32"/>
          <w:highlight w:val="none"/>
        </w:rPr>
      </w:pPr>
      <w:r>
        <w:rPr>
          <w:b/>
          <w:bCs/>
          <w:color w:val="auto"/>
          <w:sz w:val="30"/>
          <w:szCs w:val="30"/>
          <w:highlight w:val="none"/>
        </w:rPr>
        <w:br w:type="page"/>
      </w:r>
      <w:bookmarkStart w:id="278" w:name="_Toc18080"/>
      <w:bookmarkStart w:id="279" w:name="_Toc7000"/>
      <w:bookmarkStart w:id="280" w:name="_Toc6074"/>
      <w:bookmarkStart w:id="281" w:name="_Toc7673"/>
      <w:bookmarkStart w:id="282" w:name="_Toc14741"/>
      <w:bookmarkStart w:id="283" w:name="_Toc18385"/>
      <w:bookmarkStart w:id="284" w:name="_Toc25412"/>
      <w:bookmarkStart w:id="285" w:name="_Toc23790"/>
      <w:bookmarkStart w:id="286" w:name="_Toc27375"/>
      <w:bookmarkStart w:id="287" w:name="_Toc26011"/>
      <w:bookmarkStart w:id="288" w:name="_Toc29567"/>
      <w:bookmarkStart w:id="289" w:name="_Toc29622"/>
      <w:bookmarkStart w:id="290" w:name="_Toc22670"/>
      <w:bookmarkStart w:id="291" w:name="_Toc15743"/>
      <w:bookmarkStart w:id="292" w:name="_Toc19197"/>
      <w:bookmarkStart w:id="293" w:name="_Toc24931"/>
      <w:bookmarkStart w:id="294" w:name="_Toc18298"/>
      <w:bookmarkStart w:id="295" w:name="_Toc21084"/>
      <w:bookmarkStart w:id="296" w:name="_Toc27901"/>
      <w:bookmarkStart w:id="297" w:name="_Toc15499"/>
      <w:bookmarkStart w:id="298" w:name="_Toc10695"/>
      <w:bookmarkStart w:id="299" w:name="_Toc28823"/>
      <w:bookmarkStart w:id="300" w:name="_Toc21561"/>
      <w:bookmarkStart w:id="301" w:name="_Toc5531"/>
      <w:bookmarkStart w:id="302" w:name="_Toc16889"/>
      <w:bookmarkStart w:id="303" w:name="_Toc32113"/>
      <w:bookmarkStart w:id="304" w:name="_Toc25228"/>
      <w:bookmarkStart w:id="305" w:name="_Toc26926"/>
      <w:bookmarkStart w:id="306" w:name="_Toc26707"/>
      <w:bookmarkStart w:id="307" w:name="_Toc3973"/>
      <w:bookmarkStart w:id="308" w:name="_Toc18933"/>
      <w:bookmarkStart w:id="309" w:name="_Toc19061"/>
      <w:bookmarkStart w:id="310" w:name="_Toc7942"/>
      <w:bookmarkStart w:id="311" w:name="_Toc31838"/>
      <w:bookmarkStart w:id="312" w:name="_Toc4064"/>
      <w:bookmarkStart w:id="313" w:name="_Toc323"/>
      <w:bookmarkStart w:id="314" w:name="_Toc8275"/>
      <w:bookmarkStart w:id="315" w:name="_Toc19091"/>
      <w:bookmarkStart w:id="316" w:name="_Toc12738"/>
      <w:bookmarkStart w:id="317" w:name="_Toc6830"/>
      <w:bookmarkStart w:id="318" w:name="_Toc12907"/>
      <w:bookmarkStart w:id="319" w:name="_Toc16815"/>
      <w:bookmarkStart w:id="320" w:name="_Toc31574"/>
      <w:r>
        <w:rPr>
          <w:b/>
          <w:bCs/>
          <w:color w:val="auto"/>
          <w:sz w:val="30"/>
          <w:szCs w:val="30"/>
          <w:highlight w:val="none"/>
        </w:rPr>
        <w:t xml:space="preserve">表8  </w:t>
      </w:r>
      <w:r>
        <w:rPr>
          <w:b/>
          <w:bCs/>
          <w:color w:val="auto"/>
          <w:sz w:val="32"/>
          <w:szCs w:val="32"/>
          <w:highlight w:val="none"/>
        </w:rPr>
        <w:t>环境管理检查情况</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tbl>
      <w:tblPr>
        <w:tblStyle w:val="28"/>
        <w:tblW w:w="4882" w:type="pct"/>
        <w:tblInd w:w="12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24"/>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tcPr>
          <w:p>
            <w:pPr>
              <w:pStyle w:val="2"/>
              <w:ind w:firstLine="482"/>
              <w:rPr>
                <w:rFonts w:cs="Times New Roman"/>
                <w:b/>
                <w:bCs/>
                <w:color w:val="auto"/>
                <w:highlight w:val="none"/>
              </w:rPr>
            </w:pPr>
            <w:r>
              <w:rPr>
                <w:rFonts w:cs="Times New Roman"/>
                <w:b/>
                <w:bCs/>
                <w:color w:val="auto"/>
                <w:highlight w:val="none"/>
              </w:rPr>
              <w:t>一、环保机构设置、环境管理规章制度及监测计划落实情况</w:t>
            </w:r>
          </w:p>
          <w:p>
            <w:pPr>
              <w:pStyle w:val="2"/>
              <w:ind w:firstLine="482"/>
              <w:rPr>
                <w:rFonts w:cs="Times New Roman"/>
                <w:b/>
                <w:bCs/>
                <w:color w:val="auto"/>
                <w:highlight w:val="none"/>
              </w:rPr>
            </w:pPr>
            <w:r>
              <w:rPr>
                <w:rFonts w:cs="Times New Roman"/>
                <w:b/>
                <w:bCs/>
                <w:color w:val="auto"/>
                <w:highlight w:val="none"/>
              </w:rPr>
              <w:t>1、环保审批手续及“三同时”执行情况</w:t>
            </w:r>
          </w:p>
          <w:p>
            <w:pPr>
              <w:pStyle w:val="2"/>
              <w:rPr>
                <w:rFonts w:cs="Times New Roman"/>
                <w:color w:val="auto"/>
                <w:szCs w:val="24"/>
                <w:highlight w:val="none"/>
              </w:rPr>
            </w:pPr>
            <w:r>
              <w:rPr>
                <w:rFonts w:cs="Times New Roman"/>
                <w:color w:val="auto"/>
                <w:highlight w:val="none"/>
              </w:rPr>
              <w:t>根据国家《建设项目环境保护管理条例》和《中华人民共和国环境保护法》中有关规定，</w:t>
            </w:r>
            <w:r>
              <w:rPr>
                <w:rFonts w:hint="eastAsia" w:cs="Times New Roman"/>
                <w:color w:val="auto"/>
                <w:szCs w:val="24"/>
                <w:highlight w:val="none"/>
                <w:lang w:eastAsia="zh-CN"/>
              </w:rPr>
              <w:t>中车山东机车车辆有限公司2020年11月</w:t>
            </w:r>
            <w:r>
              <w:rPr>
                <w:rFonts w:cs="Times New Roman"/>
                <w:color w:val="auto"/>
                <w:szCs w:val="24"/>
                <w:highlight w:val="none"/>
              </w:rPr>
              <w:t>委托</w:t>
            </w:r>
            <w:r>
              <w:rPr>
                <w:rFonts w:hint="eastAsia" w:cs="Times New Roman"/>
                <w:color w:val="auto"/>
                <w:szCs w:val="24"/>
                <w:highlight w:val="none"/>
                <w:lang w:eastAsia="zh-CN"/>
              </w:rPr>
              <w:t>山东国环环保科技有限公司</w:t>
            </w:r>
            <w:r>
              <w:rPr>
                <w:rFonts w:cs="Times New Roman"/>
                <w:color w:val="auto"/>
                <w:kern w:val="21"/>
                <w:highlight w:val="none"/>
              </w:rPr>
              <w:t>编制完成了</w:t>
            </w:r>
            <w:r>
              <w:rPr>
                <w:rFonts w:cs="Times New Roman"/>
                <w:color w:val="auto"/>
                <w:szCs w:val="24"/>
                <w:highlight w:val="none"/>
              </w:rPr>
              <w:t>《</w:t>
            </w:r>
            <w:r>
              <w:rPr>
                <w:rFonts w:hint="eastAsia" w:cs="Times New Roman"/>
                <w:color w:val="auto"/>
                <w:szCs w:val="24"/>
                <w:highlight w:val="none"/>
                <w:lang w:eastAsia="zh-CN"/>
              </w:rPr>
              <w:t>中车山东机车车辆有限公司原钢构喷漆房改造为打砂房项目</w:t>
            </w:r>
            <w:r>
              <w:rPr>
                <w:rFonts w:cs="Times New Roman"/>
                <w:color w:val="auto"/>
                <w:szCs w:val="24"/>
                <w:highlight w:val="none"/>
              </w:rPr>
              <w:t>环境影响报告表》，并于</w:t>
            </w:r>
            <w:r>
              <w:rPr>
                <w:rFonts w:hint="eastAsia" w:cs="Times New Roman"/>
                <w:color w:val="auto"/>
                <w:szCs w:val="24"/>
                <w:highlight w:val="none"/>
                <w:lang w:eastAsia="zh-CN"/>
              </w:rPr>
              <w:t>2020年11月</w:t>
            </w:r>
            <w:r>
              <w:rPr>
                <w:rFonts w:hint="eastAsia" w:cs="Times New Roman"/>
                <w:color w:val="auto"/>
                <w:szCs w:val="24"/>
                <w:highlight w:val="none"/>
              </w:rPr>
              <w:t>26日</w:t>
            </w:r>
            <w:r>
              <w:rPr>
                <w:rFonts w:cs="Times New Roman"/>
                <w:color w:val="auto"/>
                <w:szCs w:val="24"/>
                <w:highlight w:val="none"/>
              </w:rPr>
              <w:t>经</w:t>
            </w:r>
            <w:r>
              <w:rPr>
                <w:rFonts w:hint="eastAsia" w:cs="Times New Roman"/>
                <w:color w:val="auto"/>
                <w:szCs w:val="24"/>
                <w:highlight w:val="none"/>
                <w:lang w:eastAsia="zh-CN"/>
              </w:rPr>
              <w:t>济南市生态环境局槐荫分局</w:t>
            </w:r>
            <w:r>
              <w:rPr>
                <w:rFonts w:cs="Times New Roman"/>
                <w:color w:val="auto"/>
                <w:szCs w:val="24"/>
                <w:highlight w:val="none"/>
              </w:rPr>
              <w:t>审批（</w:t>
            </w:r>
            <w:r>
              <w:rPr>
                <w:rFonts w:hint="eastAsia" w:cs="Times New Roman"/>
                <w:color w:val="auto"/>
                <w:szCs w:val="24"/>
                <w:highlight w:val="none"/>
                <w:lang w:eastAsia="zh-CN"/>
              </w:rPr>
              <w:t>济槐环建审[2020]45号</w:t>
            </w:r>
            <w:r>
              <w:rPr>
                <w:rFonts w:cs="Times New Roman"/>
                <w:color w:val="auto"/>
                <w:szCs w:val="24"/>
                <w:highlight w:val="none"/>
              </w:rPr>
              <w:t>）；</w:t>
            </w:r>
            <w:r>
              <w:rPr>
                <w:rFonts w:hint="eastAsia" w:cs="Times New Roman"/>
                <w:color w:val="auto"/>
                <w:kern w:val="0"/>
                <w:highlight w:val="none"/>
                <w:lang w:eastAsia="zh-CN"/>
              </w:rPr>
              <w:t>2021年4月开工建设，2021年7月建成，2022年10月进行调试</w:t>
            </w:r>
            <w:r>
              <w:rPr>
                <w:rFonts w:cs="Times New Roman"/>
                <w:color w:val="auto"/>
                <w:kern w:val="0"/>
                <w:highlight w:val="none"/>
              </w:rPr>
              <w:t>，</w:t>
            </w:r>
            <w:r>
              <w:rPr>
                <w:rFonts w:hint="eastAsia" w:cs="Times New Roman"/>
                <w:color w:val="auto"/>
                <w:kern w:val="0"/>
                <w:highlight w:val="none"/>
                <w:lang w:eastAsia="zh-CN"/>
              </w:rPr>
              <w:t>环保设施同时设计、同时施工并同时进行调试，调试期间运行状况良好</w:t>
            </w:r>
            <w:r>
              <w:rPr>
                <w:rFonts w:hint="eastAsia" w:cs="Times New Roman"/>
                <w:color w:val="auto"/>
                <w:kern w:val="0"/>
                <w:highlight w:val="none"/>
              </w:rPr>
              <w:t>，具备竣工验收条件。因不具备检测能力，</w:t>
            </w:r>
            <w:r>
              <w:rPr>
                <w:rFonts w:hint="eastAsia" w:cs="Times New Roman"/>
                <w:color w:val="auto"/>
                <w:szCs w:val="24"/>
                <w:highlight w:val="none"/>
                <w:lang w:eastAsia="zh-CN"/>
              </w:rPr>
              <w:t>中车山东机车车辆有限公司</w:t>
            </w:r>
            <w:r>
              <w:rPr>
                <w:rFonts w:hint="eastAsia" w:cs="Times New Roman"/>
                <w:color w:val="auto"/>
                <w:kern w:val="0"/>
                <w:highlight w:val="none"/>
              </w:rPr>
              <w:t>委托</w:t>
            </w:r>
            <w:r>
              <w:rPr>
                <w:rFonts w:cs="Times New Roman"/>
                <w:color w:val="auto"/>
                <w:kern w:val="0"/>
                <w:highlight w:val="none"/>
              </w:rPr>
              <w:t>山东华晟环境检测有限公司</w:t>
            </w:r>
            <w:r>
              <w:rPr>
                <w:rFonts w:hint="eastAsia" w:cs="Times New Roman"/>
                <w:color w:val="auto"/>
                <w:kern w:val="0"/>
                <w:highlight w:val="none"/>
              </w:rPr>
              <w:t>于</w:t>
            </w:r>
            <w:r>
              <w:rPr>
                <w:rFonts w:hint="eastAsia" w:cs="Times New Roman"/>
                <w:color w:val="auto"/>
                <w:kern w:val="0"/>
                <w:highlight w:val="none"/>
                <w:lang w:eastAsia="zh-CN"/>
              </w:rPr>
              <w:t>2023年9月5日~2023年9月6日</w:t>
            </w:r>
            <w:r>
              <w:rPr>
                <w:rFonts w:hint="eastAsia" w:cs="Times New Roman"/>
                <w:color w:val="auto"/>
                <w:kern w:val="0"/>
                <w:highlight w:val="none"/>
              </w:rPr>
              <w:t>，</w:t>
            </w:r>
            <w:r>
              <w:rPr>
                <w:rFonts w:hint="eastAsia" w:cs="Times New Roman"/>
                <w:color w:val="auto"/>
                <w:kern w:val="0"/>
                <w:highlight w:val="none"/>
                <w:lang w:eastAsia="zh-CN"/>
              </w:rPr>
              <w:t>对</w:t>
            </w:r>
            <w:r>
              <w:rPr>
                <w:rFonts w:cs="Times New Roman"/>
                <w:color w:val="auto"/>
                <w:kern w:val="0"/>
                <w:highlight w:val="none"/>
              </w:rPr>
              <w:t>本项目</w:t>
            </w:r>
            <w:r>
              <w:rPr>
                <w:rFonts w:hint="eastAsia" w:cs="Times New Roman"/>
                <w:color w:val="auto"/>
                <w:kern w:val="0"/>
                <w:highlight w:val="none"/>
              </w:rPr>
              <w:t>废气、噪声</w:t>
            </w:r>
            <w:r>
              <w:rPr>
                <w:rFonts w:cs="Times New Roman"/>
                <w:color w:val="auto"/>
                <w:kern w:val="0"/>
                <w:highlight w:val="none"/>
              </w:rPr>
              <w:t>进行了</w:t>
            </w:r>
            <w:r>
              <w:rPr>
                <w:rFonts w:hint="eastAsia" w:cs="Times New Roman"/>
                <w:color w:val="auto"/>
                <w:kern w:val="0"/>
                <w:highlight w:val="none"/>
              </w:rPr>
              <w:t>竣工</w:t>
            </w:r>
            <w:r>
              <w:rPr>
                <w:rFonts w:cs="Times New Roman"/>
                <w:color w:val="auto"/>
                <w:kern w:val="0"/>
                <w:highlight w:val="none"/>
              </w:rPr>
              <w:t>验收监测</w:t>
            </w:r>
            <w:r>
              <w:rPr>
                <w:rFonts w:hint="eastAsia" w:cs="Times New Roman"/>
                <w:color w:val="auto"/>
                <w:kern w:val="0"/>
                <w:highlight w:val="none"/>
              </w:rPr>
              <w:t>并出具检测报告</w:t>
            </w:r>
            <w:r>
              <w:rPr>
                <w:rFonts w:cs="Times New Roman"/>
                <w:bCs/>
                <w:caps/>
                <w:color w:val="auto"/>
                <w:kern w:val="0"/>
                <w:szCs w:val="24"/>
                <w:highlight w:val="none"/>
              </w:rPr>
              <w:t>。</w:t>
            </w:r>
            <w:r>
              <w:rPr>
                <w:rFonts w:cs="Times New Roman"/>
                <w:color w:val="auto"/>
                <w:highlight w:val="none"/>
              </w:rPr>
              <w:t>该项目建设履行了竣工环境保护验收监测审批手续，执行了</w:t>
            </w:r>
            <w:r>
              <w:rPr>
                <w:rFonts w:cs="Times New Roman"/>
                <w:bCs/>
                <w:color w:val="auto"/>
                <w:highlight w:val="none"/>
              </w:rPr>
              <w:t>“三同时”制度，有关环保档案齐全。</w:t>
            </w:r>
          </w:p>
          <w:p>
            <w:pPr>
              <w:ind w:firstLine="482"/>
              <w:jc w:val="left"/>
              <w:rPr>
                <w:b/>
                <w:color w:val="auto"/>
                <w:highlight w:val="none"/>
              </w:rPr>
            </w:pPr>
            <w:r>
              <w:rPr>
                <w:b/>
                <w:color w:val="auto"/>
                <w:highlight w:val="none"/>
              </w:rPr>
              <w:t>2、环境管理规章制度的建立及执行情况</w:t>
            </w:r>
          </w:p>
          <w:p>
            <w:pPr>
              <w:ind w:firstLine="480"/>
              <w:jc w:val="left"/>
              <w:rPr>
                <w:color w:val="auto"/>
                <w:highlight w:val="none"/>
              </w:rPr>
            </w:pPr>
            <w:r>
              <w:rPr>
                <w:color w:val="auto"/>
                <w:highlight w:val="none"/>
              </w:rPr>
              <w:t>该企业重视环保工作，制定了相对完整的环保规章制度，厂区的各个环保设施责任到人，保证环保设施的正常运行。</w:t>
            </w:r>
          </w:p>
          <w:p>
            <w:pPr>
              <w:ind w:firstLine="482"/>
              <w:jc w:val="left"/>
              <w:rPr>
                <w:b/>
                <w:bCs/>
                <w:color w:val="auto"/>
                <w:highlight w:val="none"/>
              </w:rPr>
            </w:pPr>
            <w:r>
              <w:rPr>
                <w:b/>
                <w:bCs/>
                <w:color w:val="auto"/>
                <w:highlight w:val="none"/>
              </w:rPr>
              <w:t>二、环保设施建设、运行、检查、维护情况</w:t>
            </w:r>
          </w:p>
          <w:p>
            <w:pPr>
              <w:pStyle w:val="2"/>
              <w:rPr>
                <w:rFonts w:cs="Times New Roman"/>
                <w:color w:val="auto"/>
                <w:szCs w:val="24"/>
                <w:highlight w:val="none"/>
              </w:rPr>
            </w:pPr>
            <w:r>
              <w:rPr>
                <w:rFonts w:hint="eastAsia" w:cs="Times New Roman"/>
                <w:color w:val="auto"/>
                <w:szCs w:val="24"/>
                <w:highlight w:val="none"/>
              </w:rPr>
              <w:t>（1）废气：</w:t>
            </w:r>
          </w:p>
          <w:p>
            <w:pPr>
              <w:pStyle w:val="2"/>
              <w:rPr>
                <w:rFonts w:hint="eastAsia" w:cs="Times New Roman"/>
                <w:color w:val="auto"/>
                <w:szCs w:val="24"/>
                <w:highlight w:val="none"/>
              </w:rPr>
            </w:pPr>
            <w:r>
              <w:rPr>
                <w:rFonts w:hint="eastAsia" w:cs="Times New Roman"/>
                <w:color w:val="auto"/>
                <w:szCs w:val="24"/>
                <w:highlight w:val="none"/>
              </w:rPr>
              <w:t>项目产生的废气主要是打砂过程中产生的打砂粉尘。</w:t>
            </w:r>
          </w:p>
          <w:p>
            <w:pPr>
              <w:pStyle w:val="2"/>
              <w:rPr>
                <w:rFonts w:hint="eastAsia" w:cs="Times New Roman"/>
                <w:color w:val="auto"/>
                <w:szCs w:val="24"/>
                <w:highlight w:val="none"/>
              </w:rPr>
            </w:pPr>
            <w:r>
              <w:rPr>
                <w:rFonts w:hint="eastAsia" w:cs="Times New Roman"/>
                <w:color w:val="auto"/>
                <w:szCs w:val="24"/>
                <w:highlight w:val="none"/>
              </w:rPr>
              <w:t>①有组织废气：</w:t>
            </w:r>
          </w:p>
          <w:p>
            <w:pPr>
              <w:pStyle w:val="2"/>
              <w:rPr>
                <w:rFonts w:hint="eastAsia" w:cs="Times New Roman"/>
                <w:color w:val="auto"/>
                <w:szCs w:val="24"/>
                <w:highlight w:val="none"/>
              </w:rPr>
            </w:pPr>
            <w:r>
              <w:rPr>
                <w:rFonts w:hint="eastAsia" w:cs="Times New Roman"/>
                <w:color w:val="auto"/>
                <w:szCs w:val="24"/>
                <w:highlight w:val="none"/>
              </w:rPr>
              <w:t>打砂粉尘收集后经旋风分离器和GK-48滤筒除尘器装置处理后通过22米高排气筒（DA035）排放。</w:t>
            </w:r>
          </w:p>
          <w:p>
            <w:pPr>
              <w:pStyle w:val="2"/>
              <w:rPr>
                <w:rFonts w:hint="eastAsia" w:cs="Times New Roman"/>
                <w:color w:val="auto"/>
                <w:szCs w:val="24"/>
                <w:highlight w:val="none"/>
              </w:rPr>
            </w:pPr>
            <w:r>
              <w:rPr>
                <w:rFonts w:hint="eastAsia" w:cs="Times New Roman"/>
                <w:color w:val="auto"/>
                <w:szCs w:val="24"/>
                <w:highlight w:val="none"/>
              </w:rPr>
              <w:t>②无组织废气：</w:t>
            </w:r>
          </w:p>
          <w:p>
            <w:pPr>
              <w:pStyle w:val="2"/>
              <w:rPr>
                <w:rFonts w:hint="eastAsia" w:cs="Times New Roman"/>
                <w:color w:val="auto"/>
                <w:szCs w:val="24"/>
                <w:highlight w:val="none"/>
              </w:rPr>
            </w:pPr>
            <w:r>
              <w:rPr>
                <w:rFonts w:hint="eastAsia" w:cs="Times New Roman"/>
                <w:color w:val="auto"/>
                <w:szCs w:val="24"/>
                <w:highlight w:val="none"/>
              </w:rPr>
              <w:t>未被收集的打砂粉尘，车间通风后无组织排放。</w:t>
            </w:r>
          </w:p>
          <w:p>
            <w:pPr>
              <w:pStyle w:val="21"/>
              <w:spacing w:line="360" w:lineRule="auto"/>
              <w:ind w:firstLine="480" w:firstLineChars="200"/>
              <w:rPr>
                <w:rFonts w:hint="eastAsia" w:ascii="Times New Roman" w:hAnsi="Times New Roman"/>
                <w:color w:val="auto"/>
                <w:highlight w:val="none"/>
                <w:lang w:eastAsia="zh-CN"/>
              </w:rPr>
            </w:pPr>
            <w:r>
              <w:rPr>
                <w:rFonts w:hint="eastAsia"/>
              </w:rPr>
              <w:t>由监测结果可知，验收监测期间</w:t>
            </w:r>
            <w:r>
              <w:rPr>
                <w:rFonts w:hint="eastAsia" w:ascii="Times New Roman"/>
                <w:color w:val="auto"/>
                <w:highlight w:val="none"/>
                <w:lang w:eastAsia="zh-CN"/>
              </w:rPr>
              <w:t>：</w:t>
            </w:r>
            <w:r>
              <w:rPr>
                <w:rFonts w:hint="eastAsia" w:ascii="Times New Roman"/>
                <w:color w:val="auto"/>
                <w:highlight w:val="none"/>
              </w:rPr>
              <w:t>打砂废气排气筒DA035中主要污染物</w:t>
            </w:r>
            <w:r>
              <w:rPr>
                <w:rFonts w:hint="eastAsia" w:ascii="Times New Roman"/>
                <w:color w:val="auto"/>
                <w:highlight w:val="none"/>
                <w:lang w:eastAsia="zh-CN"/>
              </w:rPr>
              <w:t>颗粒物</w:t>
            </w:r>
            <w:r>
              <w:rPr>
                <w:rFonts w:hint="eastAsia" w:ascii="Times New Roman"/>
                <w:color w:val="auto"/>
                <w:highlight w:val="none"/>
              </w:rPr>
              <w:t>最高排放浓度为</w:t>
            </w:r>
            <w:r>
              <w:rPr>
                <w:rFonts w:hint="eastAsia" w:ascii="Times New Roman"/>
                <w:color w:val="auto"/>
                <w:highlight w:val="none"/>
                <w:lang w:val="en-US" w:eastAsia="zh-CN"/>
              </w:rPr>
              <w:t>1.7</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，最高排放速率为0.0</w:t>
            </w:r>
            <w:r>
              <w:rPr>
                <w:rFonts w:hint="eastAsia" w:ascii="Times New Roman"/>
                <w:color w:val="auto"/>
                <w:highlight w:val="none"/>
                <w:lang w:val="en-US" w:eastAsia="zh-CN"/>
              </w:rPr>
              <w:t>59</w:t>
            </w:r>
            <w:r>
              <w:rPr>
                <w:rFonts w:ascii="Times New Roman"/>
                <w:color w:val="auto"/>
                <w:highlight w:val="none"/>
              </w:rPr>
              <w:t>kg/h</w:t>
            </w:r>
            <w:r>
              <w:rPr>
                <w:rFonts w:hint="eastAsia" w:ascii="Times New Roman" w:hAnsi="Times New Roman"/>
                <w:color w:val="auto"/>
                <w:highlight w:val="none"/>
                <w:lang w:eastAsia="zh-CN"/>
              </w:rPr>
              <w:t>，有组织颗粒物排放浓度满足《山东省区域性大气污染物综合排放标准》（DB37/2376-2019）标准中表1重点控制区的要求，排放速率满足《大气污染物综合排放标准》（GB16297-1996）表2二级标准的要求。</w:t>
            </w:r>
          </w:p>
          <w:p>
            <w:pPr>
              <w:pStyle w:val="2"/>
              <w:rPr>
                <w:rFonts w:hint="eastAsia" w:cs="Times New Roman"/>
                <w:color w:val="auto"/>
                <w:szCs w:val="24"/>
                <w:highlight w:val="none"/>
              </w:rPr>
            </w:pPr>
            <w:r>
              <w:rPr>
                <w:rFonts w:hint="eastAsia"/>
              </w:rPr>
              <w:t>由监测结果可知，验收监测期间：</w:t>
            </w:r>
            <w:r>
              <w:rPr>
                <w:rFonts w:hint="eastAsia" w:ascii="Times New Roman" w:hAnsi="Times New Roman"/>
                <w:color w:val="auto"/>
                <w:highlight w:val="none"/>
              </w:rPr>
              <w:t>厂界无组织排放的</w:t>
            </w:r>
            <w:r>
              <w:rPr>
                <w:rFonts w:hint="eastAsia" w:ascii="Times New Roman" w:hAnsi="Times New Roman"/>
                <w:color w:val="auto"/>
                <w:highlight w:val="none"/>
                <w:lang w:eastAsia="zh-CN"/>
              </w:rPr>
              <w:t>颗粒物</w:t>
            </w:r>
            <w:r>
              <w:rPr>
                <w:rFonts w:hint="eastAsia" w:ascii="Times New Roman" w:hAnsi="Times New Roman"/>
                <w:color w:val="auto"/>
                <w:highlight w:val="none"/>
              </w:rPr>
              <w:t>周界外浓度最高点浓度为</w:t>
            </w:r>
            <w:r>
              <w:rPr>
                <w:rFonts w:hint="eastAsia"/>
                <w:color w:val="auto"/>
                <w:highlight w:val="none"/>
                <w:lang w:val="en-US" w:eastAsia="zh-CN"/>
              </w:rPr>
              <w:t>341</w:t>
            </w:r>
            <w:r>
              <w:rPr>
                <w:rFonts w:hint="eastAsia" w:ascii="Times New Roman" w:hAnsi="Times New Roman"/>
                <w:color w:val="auto"/>
                <w:highlight w:val="none"/>
                <w:lang w:val="en-US" w:eastAsia="zh-CN"/>
              </w:rPr>
              <w:t>μg/m³</w:t>
            </w:r>
            <w:r>
              <w:rPr>
                <w:rFonts w:hint="eastAsia" w:ascii="Times New Roman" w:hAnsi="Times New Roman"/>
                <w:color w:val="auto"/>
                <w:highlight w:val="none"/>
              </w:rPr>
              <w:t>，</w:t>
            </w:r>
            <w:r>
              <w:rPr>
                <w:rFonts w:hint="eastAsia" w:ascii="Times New Roman" w:hAnsi="Times New Roman"/>
                <w:color w:val="auto"/>
                <w:highlight w:val="none"/>
                <w:lang w:eastAsia="zh-CN"/>
              </w:rPr>
              <w:t>满足《大气污染物综合排放标准》（GB16297-1996）表2无组织排放浓度限值。</w:t>
            </w:r>
          </w:p>
          <w:p>
            <w:pPr>
              <w:pStyle w:val="2"/>
              <w:adjustRightInd/>
              <w:jc w:val="both"/>
              <w:rPr>
                <w:rFonts w:cs="Times New Roman"/>
                <w:color w:val="auto"/>
                <w:kern w:val="0"/>
                <w:szCs w:val="24"/>
                <w:highlight w:val="none"/>
                <w:lang w:bidi="ar"/>
              </w:rPr>
            </w:pPr>
            <w:r>
              <w:rPr>
                <w:rFonts w:hint="eastAsia" w:cs="Times New Roman"/>
                <w:color w:val="auto"/>
                <w:kern w:val="0"/>
                <w:szCs w:val="24"/>
                <w:highlight w:val="none"/>
                <w:lang w:bidi="ar"/>
              </w:rPr>
              <w:t>（2）废水：</w:t>
            </w:r>
          </w:p>
          <w:p>
            <w:pPr>
              <w:pStyle w:val="2"/>
              <w:adjustRightInd/>
              <w:jc w:val="both"/>
              <w:rPr>
                <w:rFonts w:hint="eastAsia" w:cs="Times New Roman"/>
                <w:color w:val="auto"/>
                <w:kern w:val="0"/>
                <w:szCs w:val="24"/>
                <w:highlight w:val="none"/>
                <w:lang w:bidi="ar"/>
              </w:rPr>
            </w:pPr>
            <w:r>
              <w:rPr>
                <w:rFonts w:hint="eastAsia" w:cs="Times New Roman"/>
                <w:color w:val="auto"/>
                <w:kern w:val="0"/>
                <w:szCs w:val="24"/>
                <w:highlight w:val="none"/>
                <w:lang w:bidi="ar"/>
              </w:rPr>
              <w:t>项目不新增员工，生产过程中无生产废水产生，项目不新增废水排放。</w:t>
            </w:r>
          </w:p>
          <w:p>
            <w:pPr>
              <w:pStyle w:val="2"/>
              <w:rPr>
                <w:rFonts w:cs="Times New Roman"/>
                <w:color w:val="auto"/>
                <w:szCs w:val="24"/>
                <w:highlight w:val="none"/>
              </w:rPr>
            </w:pPr>
            <w:r>
              <w:rPr>
                <w:rFonts w:hint="eastAsia" w:cs="Times New Roman"/>
                <w:color w:val="auto"/>
                <w:szCs w:val="24"/>
                <w:highlight w:val="none"/>
              </w:rPr>
              <w:t>（3）噪声：</w:t>
            </w:r>
          </w:p>
          <w:p>
            <w:pPr>
              <w:ind w:firstLine="480"/>
              <w:rPr>
                <w:rFonts w:hint="eastAsia"/>
                <w:color w:val="auto"/>
                <w:highlight w:val="none"/>
              </w:rPr>
            </w:pPr>
            <w:r>
              <w:rPr>
                <w:rFonts w:hint="eastAsia"/>
                <w:color w:val="auto"/>
                <w:highlight w:val="none"/>
              </w:rPr>
              <w:t>项目产生的噪声主要是除尘器、风机、提升机、抽尘系统、打砂机等的运行噪声，项目采取设备均布置于室内，采取门窗、墙体隔声，全部设备均选用低噪声设备并采取减振措施。加强管理，经常保养和维护机械设备避免设备在不良状态下运行等措施。</w:t>
            </w:r>
          </w:p>
          <w:p>
            <w:pPr>
              <w:ind w:firstLine="480"/>
              <w:rPr>
                <w:rFonts w:hint="eastAsia"/>
                <w:color w:val="auto"/>
                <w:highlight w:val="none"/>
              </w:rPr>
            </w:pPr>
            <w:r>
              <w:rPr>
                <w:rFonts w:hint="eastAsia"/>
              </w:rPr>
              <w:t>由监测结果可知，验收监测期间：项目1#东厂界、2#南厂界、3#西厂界</w:t>
            </w:r>
            <w:r>
              <w:rPr>
                <w:rFonts w:hint="eastAsia"/>
                <w:lang w:eastAsia="zh-CN"/>
              </w:rPr>
              <w:t>，</w:t>
            </w:r>
            <w:r>
              <w:rPr>
                <w:rFonts w:hint="eastAsia"/>
              </w:rPr>
              <w:t>昼间厂界噪声最大值分别为</w:t>
            </w:r>
            <w:r>
              <w:rPr>
                <w:rFonts w:hint="eastAsia"/>
                <w:lang w:val="en-US" w:eastAsia="zh-CN"/>
              </w:rPr>
              <w:t>52.3</w:t>
            </w:r>
            <w:r>
              <w:rPr>
                <w:rFonts w:hint="eastAsia"/>
              </w:rPr>
              <w:t>dB（A）、</w:t>
            </w:r>
            <w:r>
              <w:rPr>
                <w:rFonts w:hint="eastAsia"/>
                <w:lang w:val="en-US" w:eastAsia="zh-CN"/>
              </w:rPr>
              <w:t>53.1</w:t>
            </w:r>
            <w:r>
              <w:rPr>
                <w:rFonts w:hint="eastAsia"/>
              </w:rPr>
              <w:t>dB（A）、</w:t>
            </w:r>
            <w:r>
              <w:rPr>
                <w:rFonts w:hint="eastAsia"/>
                <w:lang w:val="en-US" w:eastAsia="zh-CN"/>
              </w:rPr>
              <w:t>53.9</w:t>
            </w:r>
            <w:r>
              <w:rPr>
                <w:rFonts w:hint="eastAsia"/>
              </w:rPr>
              <w:t>dB（A）</w:t>
            </w:r>
            <w:r>
              <w:rPr>
                <w:rFonts w:hint="eastAsia"/>
                <w:lang w:eastAsia="zh-CN"/>
              </w:rPr>
              <w:t>，</w:t>
            </w:r>
            <w:r>
              <w:rPr>
                <w:rFonts w:hint="eastAsia"/>
              </w:rPr>
              <w:t>均满足《工业企业厂界环境噪声排放标准》(GB12348-2008)2类昼间标准。4#</w:t>
            </w:r>
            <w:r>
              <w:rPr>
                <w:rFonts w:hint="eastAsia"/>
                <w:lang w:eastAsia="zh-CN"/>
              </w:rPr>
              <w:t>北厂界（靠近铁路干线）</w:t>
            </w:r>
            <w:r>
              <w:rPr>
                <w:rFonts w:hint="eastAsia"/>
              </w:rPr>
              <w:t>昼间厂界噪声最大值为</w:t>
            </w:r>
            <w:r>
              <w:rPr>
                <w:rFonts w:hint="eastAsia"/>
                <w:lang w:val="en-US" w:eastAsia="zh-CN"/>
              </w:rPr>
              <w:t>51.9</w:t>
            </w:r>
            <w:r>
              <w:rPr>
                <w:rFonts w:hint="eastAsia"/>
              </w:rPr>
              <w:t>dB（A）</w:t>
            </w:r>
            <w:r>
              <w:rPr>
                <w:rFonts w:hint="eastAsia"/>
                <w:lang w:eastAsia="zh-CN"/>
              </w:rPr>
              <w:t>，</w:t>
            </w:r>
            <w:r>
              <w:rPr>
                <w:rFonts w:hint="eastAsia"/>
              </w:rPr>
              <w:t>满足《工业企业厂界环境噪声排放标准》(GB12348-2008)</w:t>
            </w:r>
            <w:r>
              <w:rPr>
                <w:rFonts w:hint="eastAsia"/>
                <w:lang w:val="en-US" w:eastAsia="zh-CN"/>
              </w:rPr>
              <w:t>4</w:t>
            </w:r>
            <w:r>
              <w:rPr>
                <w:rFonts w:hint="eastAsia"/>
              </w:rPr>
              <w:t>类昼间标准。</w:t>
            </w:r>
            <w:r>
              <w:rPr>
                <w:rFonts w:hint="eastAsia"/>
                <w:color w:val="auto"/>
                <w:highlight w:val="none"/>
              </w:rPr>
              <w:t>项目南侧的</w:t>
            </w:r>
            <w:r>
              <w:rPr>
                <w:rFonts w:hint="eastAsia"/>
                <w:color w:val="auto"/>
                <w:highlight w:val="none"/>
                <w:lang w:val="en-US" w:eastAsia="zh-CN"/>
              </w:rPr>
              <w:t>5#</w:t>
            </w:r>
            <w:r>
              <w:rPr>
                <w:rFonts w:hint="eastAsia"/>
                <w:color w:val="auto"/>
                <w:highlight w:val="none"/>
              </w:rPr>
              <w:t>济车东门住宅区</w:t>
            </w:r>
            <w:r>
              <w:rPr>
                <w:rFonts w:hint="eastAsia"/>
                <w:color w:val="auto"/>
                <w:highlight w:val="none"/>
                <w:lang w:eastAsia="zh-CN"/>
              </w:rPr>
              <w:t>（距厂区70m），东</w:t>
            </w:r>
            <w:r>
              <w:rPr>
                <w:rFonts w:hint="eastAsia"/>
                <w:color w:val="auto"/>
                <w:highlight w:val="none"/>
              </w:rPr>
              <w:t>侧的</w:t>
            </w:r>
            <w:r>
              <w:rPr>
                <w:rFonts w:hint="eastAsia"/>
                <w:color w:val="auto"/>
                <w:highlight w:val="none"/>
                <w:lang w:val="en-US" w:eastAsia="zh-CN"/>
              </w:rPr>
              <w:t>6#</w:t>
            </w:r>
            <w:r>
              <w:rPr>
                <w:rFonts w:hint="eastAsia"/>
                <w:color w:val="auto"/>
                <w:highlight w:val="none"/>
              </w:rPr>
              <w:t>济南市昆仑小学</w:t>
            </w:r>
            <w:r>
              <w:rPr>
                <w:rFonts w:hint="eastAsia"/>
                <w:color w:val="auto"/>
                <w:highlight w:val="none"/>
                <w:lang w:eastAsia="zh-CN"/>
              </w:rPr>
              <w:t>（距厂区25m）</w:t>
            </w:r>
            <w:r>
              <w:rPr>
                <w:rFonts w:hint="eastAsia"/>
                <w:color w:val="auto"/>
                <w:highlight w:val="none"/>
              </w:rPr>
              <w:t>，</w:t>
            </w:r>
            <w:r>
              <w:rPr>
                <w:rFonts w:hint="eastAsia"/>
                <w:color w:val="auto"/>
                <w:highlight w:val="none"/>
                <w:lang w:eastAsia="zh-CN"/>
              </w:rPr>
              <w:t>东</w:t>
            </w:r>
            <w:r>
              <w:rPr>
                <w:rFonts w:hint="eastAsia"/>
                <w:color w:val="auto"/>
                <w:highlight w:val="none"/>
              </w:rPr>
              <w:t>侧的</w:t>
            </w:r>
            <w:r>
              <w:rPr>
                <w:rFonts w:hint="eastAsia"/>
                <w:color w:val="auto"/>
                <w:highlight w:val="none"/>
                <w:lang w:val="en-US" w:eastAsia="zh-CN"/>
              </w:rPr>
              <w:t>7#</w:t>
            </w:r>
            <w:r>
              <w:rPr>
                <w:rFonts w:hint="eastAsia"/>
                <w:color w:val="auto"/>
                <w:highlight w:val="none"/>
              </w:rPr>
              <w:t>昆仑街小区</w:t>
            </w:r>
            <w:r>
              <w:rPr>
                <w:rFonts w:hint="eastAsia"/>
                <w:color w:val="auto"/>
                <w:highlight w:val="none"/>
                <w:lang w:eastAsia="zh-CN"/>
              </w:rPr>
              <w:t>（距厂区187m）</w:t>
            </w:r>
            <w:r>
              <w:rPr>
                <w:rFonts w:hint="eastAsia"/>
              </w:rPr>
              <w:t>，昼间敏感点噪声最大值</w:t>
            </w:r>
            <w:r>
              <w:rPr>
                <w:rFonts w:hint="eastAsia"/>
                <w:lang w:eastAsia="zh-CN"/>
              </w:rPr>
              <w:t>分别</w:t>
            </w:r>
            <w:r>
              <w:rPr>
                <w:rFonts w:hint="eastAsia"/>
              </w:rPr>
              <w:t>为</w:t>
            </w:r>
            <w:r>
              <w:rPr>
                <w:rFonts w:hint="eastAsia"/>
                <w:lang w:val="en-US" w:eastAsia="zh-CN"/>
              </w:rPr>
              <w:t>51.4</w:t>
            </w:r>
            <w:r>
              <w:rPr>
                <w:rFonts w:hint="eastAsia"/>
              </w:rPr>
              <w:t>dB（A）</w:t>
            </w:r>
            <w:r>
              <w:rPr>
                <w:rFonts w:hint="eastAsia"/>
                <w:lang w:eastAsia="zh-CN"/>
              </w:rPr>
              <w:t>、</w:t>
            </w:r>
            <w:r>
              <w:rPr>
                <w:rFonts w:hint="eastAsia"/>
                <w:lang w:val="en-US" w:eastAsia="zh-CN"/>
              </w:rPr>
              <w:t>52.6</w:t>
            </w:r>
            <w:r>
              <w:rPr>
                <w:rFonts w:hint="eastAsia"/>
              </w:rPr>
              <w:t>dB（A）</w:t>
            </w:r>
            <w:r>
              <w:rPr>
                <w:rFonts w:hint="eastAsia"/>
                <w:lang w:eastAsia="zh-CN"/>
              </w:rPr>
              <w:t>、</w:t>
            </w:r>
            <w:r>
              <w:rPr>
                <w:rFonts w:hint="eastAsia"/>
                <w:lang w:val="en-US" w:eastAsia="zh-CN"/>
              </w:rPr>
              <w:t>50.4</w:t>
            </w:r>
            <w:r>
              <w:rPr>
                <w:rFonts w:hint="eastAsia"/>
              </w:rPr>
              <w:t>dB（A），</w:t>
            </w:r>
            <w:r>
              <w:rPr>
                <w:rFonts w:hint="eastAsia"/>
                <w:lang w:eastAsia="zh-CN"/>
              </w:rPr>
              <w:t>均</w:t>
            </w:r>
            <w:r>
              <w:rPr>
                <w:rFonts w:hint="eastAsia"/>
              </w:rPr>
              <w:t>满足《声环境质量标准》(GB3096-2008)2类昼间标准。项目夜间不运行。</w:t>
            </w:r>
          </w:p>
          <w:p>
            <w:pPr>
              <w:pStyle w:val="2"/>
              <w:widowControl/>
              <w:adjustRightInd/>
              <w:rPr>
                <w:rFonts w:cs="Times New Roman"/>
                <w:color w:val="auto"/>
                <w:szCs w:val="24"/>
                <w:highlight w:val="none"/>
              </w:rPr>
            </w:pPr>
            <w:r>
              <w:rPr>
                <w:rFonts w:cs="Times New Roman"/>
                <w:color w:val="auto"/>
                <w:szCs w:val="24"/>
                <w:highlight w:val="none"/>
              </w:rPr>
              <w:t>（4）</w:t>
            </w:r>
            <w:r>
              <w:rPr>
                <w:rFonts w:hint="eastAsia" w:cs="Times New Roman"/>
                <w:color w:val="auto"/>
                <w:szCs w:val="24"/>
                <w:highlight w:val="none"/>
              </w:rPr>
              <w:t>固废：</w:t>
            </w:r>
          </w:p>
          <w:p>
            <w:pPr>
              <w:pStyle w:val="2"/>
              <w:widowControl/>
              <w:adjustRightInd/>
              <w:rPr>
                <w:rFonts w:hint="eastAsia" w:cs="Times New Roman"/>
                <w:color w:val="auto"/>
                <w:szCs w:val="24"/>
                <w:highlight w:val="none"/>
              </w:rPr>
            </w:pPr>
            <w:r>
              <w:rPr>
                <w:rFonts w:hint="eastAsia" w:cs="Times New Roman"/>
                <w:color w:val="auto"/>
                <w:szCs w:val="24"/>
                <w:highlight w:val="none"/>
              </w:rPr>
              <w:t>项目产生的固体废物主要是打砂过程中砂尘分离器分离出的金属氧化皮碎片和破碎的钢砂（以破碎的钢砂为主），旋风分离器和滤筒除尘器收集的粉尘及废滤筒。</w:t>
            </w:r>
          </w:p>
          <w:p>
            <w:pPr>
              <w:pStyle w:val="2"/>
              <w:widowControl/>
              <w:adjustRightInd/>
              <w:rPr>
                <w:rFonts w:hint="eastAsia" w:cs="Times New Roman"/>
                <w:color w:val="auto"/>
                <w:szCs w:val="24"/>
                <w:highlight w:val="none"/>
              </w:rPr>
            </w:pPr>
            <w:r>
              <w:rPr>
                <w:rFonts w:hint="eastAsia" w:cs="Times New Roman"/>
                <w:color w:val="auto"/>
                <w:szCs w:val="24"/>
                <w:highlight w:val="none"/>
              </w:rPr>
              <w:t>砂尘分离器分离出的金属氧化皮碎片和破碎的钢砂（以破碎的钢砂为主），旋风分离器和滤筒除尘器收集的粉尘及废滤筒，收集后和现有项目打砂房产生同类固废一起由厂区集中处理。</w:t>
            </w:r>
          </w:p>
          <w:p>
            <w:pPr>
              <w:pStyle w:val="2"/>
              <w:widowControl/>
              <w:adjustRightInd/>
              <w:rPr>
                <w:rFonts w:hint="eastAsia" w:cs="Times New Roman"/>
                <w:color w:val="auto"/>
                <w:szCs w:val="24"/>
                <w:highlight w:val="none"/>
              </w:rPr>
            </w:pPr>
            <w:r>
              <w:rPr>
                <w:rFonts w:hint="eastAsia" w:cs="Times New Roman"/>
                <w:color w:val="auto"/>
                <w:szCs w:val="24"/>
                <w:highlight w:val="none"/>
              </w:rPr>
              <w:t>一般固废的处置符合《一般工业固体废物贮存和填埋污染控制标准》(GB18599-2020)的要求。</w:t>
            </w:r>
          </w:p>
          <w:p>
            <w:pPr>
              <w:pStyle w:val="2"/>
              <w:snapToGrid w:val="0"/>
              <w:jc w:val="both"/>
              <w:rPr>
                <w:rFonts w:cs="Times New Roman"/>
                <w:color w:val="auto"/>
                <w:szCs w:val="24"/>
                <w:highlight w:val="none"/>
              </w:rPr>
            </w:pPr>
          </w:p>
          <w:p>
            <w:pPr>
              <w:pStyle w:val="2"/>
              <w:snapToGrid w:val="0"/>
              <w:jc w:val="both"/>
              <w:rPr>
                <w:rFonts w:cs="Times New Roman"/>
                <w:color w:val="auto"/>
                <w:szCs w:val="24"/>
                <w:highlight w:val="none"/>
              </w:rPr>
            </w:pPr>
          </w:p>
          <w:p>
            <w:pPr>
              <w:pStyle w:val="2"/>
              <w:spacing w:line="240" w:lineRule="auto"/>
              <w:ind w:firstLine="0" w:firstLineChars="0"/>
              <w:rPr>
                <w:rFonts w:cs="Times New Roman"/>
                <w:color w:val="auto"/>
                <w:szCs w:val="24"/>
                <w:highlight w:val="none"/>
              </w:rPr>
            </w:pPr>
          </w:p>
        </w:tc>
      </w:tr>
    </w:tbl>
    <w:p>
      <w:pPr>
        <w:adjustRightInd w:val="0"/>
        <w:snapToGrid w:val="0"/>
        <w:ind w:firstLine="0" w:firstLineChars="0"/>
        <w:outlineLvl w:val="0"/>
        <w:rPr>
          <w:b/>
          <w:bCs/>
          <w:color w:val="auto"/>
          <w:sz w:val="30"/>
          <w:szCs w:val="30"/>
          <w:highlight w:val="none"/>
        </w:rPr>
      </w:pPr>
      <w:r>
        <w:rPr>
          <w:b/>
          <w:bCs/>
          <w:color w:val="auto"/>
          <w:sz w:val="30"/>
          <w:szCs w:val="30"/>
          <w:highlight w:val="none"/>
        </w:rPr>
        <w:br w:type="page"/>
      </w:r>
      <w:bookmarkStart w:id="321" w:name="_Toc17725"/>
      <w:bookmarkStart w:id="322" w:name="_Toc7125"/>
      <w:bookmarkStart w:id="323" w:name="_Toc7922"/>
      <w:bookmarkStart w:id="324" w:name="_Toc3965"/>
      <w:bookmarkStart w:id="325" w:name="_Toc15923"/>
      <w:bookmarkStart w:id="326" w:name="_Toc31087"/>
      <w:bookmarkStart w:id="327" w:name="_Toc3231"/>
      <w:bookmarkStart w:id="328" w:name="_Toc158"/>
      <w:bookmarkStart w:id="329" w:name="_Toc3417"/>
      <w:bookmarkStart w:id="330" w:name="_Toc3003"/>
      <w:bookmarkStart w:id="331" w:name="_Toc4249"/>
      <w:bookmarkStart w:id="332" w:name="_Toc20579"/>
      <w:bookmarkStart w:id="333" w:name="_Toc29431"/>
      <w:bookmarkStart w:id="334" w:name="_Toc7178"/>
      <w:bookmarkStart w:id="335" w:name="_Toc14702"/>
      <w:bookmarkStart w:id="336" w:name="_Toc19387"/>
      <w:bookmarkStart w:id="337" w:name="_Toc2432"/>
      <w:bookmarkStart w:id="338" w:name="_Toc14651"/>
      <w:bookmarkStart w:id="339" w:name="_Toc27430"/>
      <w:bookmarkStart w:id="340" w:name="_Toc23621"/>
      <w:bookmarkStart w:id="341" w:name="_Toc2036"/>
      <w:bookmarkStart w:id="342" w:name="_Toc25468"/>
      <w:bookmarkStart w:id="343" w:name="_Toc24156"/>
      <w:bookmarkStart w:id="344" w:name="_Toc1259"/>
      <w:bookmarkStart w:id="345" w:name="_Toc32664"/>
      <w:bookmarkStart w:id="346" w:name="_Toc18413"/>
      <w:bookmarkStart w:id="347" w:name="_Toc26709"/>
      <w:bookmarkStart w:id="348" w:name="_Toc3145"/>
      <w:bookmarkStart w:id="349" w:name="_Toc23936"/>
      <w:bookmarkStart w:id="350" w:name="_Toc17099"/>
      <w:bookmarkStart w:id="351" w:name="_Toc20604"/>
      <w:bookmarkStart w:id="352" w:name="_Toc29560"/>
      <w:bookmarkStart w:id="353" w:name="_Toc13304"/>
      <w:bookmarkStart w:id="354" w:name="_Toc29236"/>
      <w:bookmarkStart w:id="355" w:name="_Toc6657"/>
      <w:bookmarkStart w:id="356" w:name="_Toc3652"/>
      <w:bookmarkStart w:id="357" w:name="_Toc21762"/>
      <w:bookmarkStart w:id="358" w:name="_Toc2949"/>
      <w:bookmarkStart w:id="359" w:name="_Toc14130"/>
      <w:bookmarkStart w:id="360" w:name="_Toc31"/>
      <w:bookmarkStart w:id="361" w:name="_Toc4233"/>
      <w:bookmarkStart w:id="362" w:name="_Toc21090"/>
      <w:bookmarkStart w:id="363" w:name="_Toc14593"/>
      <w:r>
        <w:rPr>
          <w:b/>
          <w:bCs/>
          <w:color w:val="auto"/>
          <w:sz w:val="30"/>
          <w:szCs w:val="30"/>
          <w:highlight w:val="none"/>
        </w:rPr>
        <w:t>表9  验收监测结论及建议</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tbl>
      <w:tblPr>
        <w:tblStyle w:val="28"/>
        <w:tblW w:w="4848" w:type="pct"/>
        <w:tblInd w:w="123"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862"/>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tcPr>
          <w:p>
            <w:pPr>
              <w:pStyle w:val="2"/>
              <w:ind w:firstLine="482"/>
              <w:rPr>
                <w:rFonts w:cs="Times New Roman"/>
                <w:b/>
                <w:bCs/>
                <w:color w:val="auto"/>
                <w:szCs w:val="24"/>
                <w:highlight w:val="none"/>
              </w:rPr>
            </w:pPr>
            <w:r>
              <w:rPr>
                <w:rFonts w:cs="Times New Roman"/>
                <w:b/>
                <w:bCs/>
                <w:color w:val="auto"/>
                <w:szCs w:val="24"/>
                <w:highlight w:val="none"/>
              </w:rPr>
              <w:t>一、验收监测结论：</w:t>
            </w:r>
          </w:p>
          <w:p>
            <w:pPr>
              <w:pStyle w:val="2"/>
              <w:rPr>
                <w:rFonts w:hint="eastAsia" w:cs="Times New Roman"/>
                <w:color w:val="auto"/>
                <w:szCs w:val="24"/>
                <w:highlight w:val="none"/>
              </w:rPr>
            </w:pPr>
            <w:r>
              <w:rPr>
                <w:rFonts w:hint="eastAsia" w:cs="Times New Roman"/>
                <w:color w:val="auto"/>
                <w:szCs w:val="24"/>
                <w:highlight w:val="none"/>
              </w:rPr>
              <w:t>中车山东机车车辆有限公司始建于1910年，前身为济南轨道交通装备有限责任公司，是中国中车股份有限公司的全资子公司。厂址位于济南市槐荫区槐村街73号，总占地面积489499.1㎡，主营业务为轨道交通领域中的铁路货车。</w:t>
            </w:r>
          </w:p>
          <w:p>
            <w:pPr>
              <w:jc w:val="left"/>
              <w:rPr>
                <w:rFonts w:hint="eastAsia" w:ascii="Times New Roman" w:hAnsi="Times New Roman" w:eastAsia="宋体" w:cs="宋体"/>
                <w:color w:val="auto"/>
                <w:szCs w:val="20"/>
                <w:highlight w:val="none"/>
                <w:lang w:eastAsia="zh-CN"/>
              </w:rPr>
            </w:pPr>
            <w:r>
              <w:rPr>
                <w:rFonts w:hint="eastAsia" w:cs="Times New Roman"/>
                <w:color w:val="auto"/>
                <w:szCs w:val="24"/>
                <w:highlight w:val="none"/>
                <w:lang w:eastAsia="zh-CN"/>
              </w:rPr>
              <w:t>中车山东机车车辆有限公司原有</w:t>
            </w:r>
            <w:r>
              <w:rPr>
                <w:rFonts w:cs="Times New Roman"/>
                <w:color w:val="auto"/>
                <w:szCs w:val="24"/>
                <w:highlight w:val="none"/>
              </w:rPr>
              <w:t>项目</w:t>
            </w:r>
            <w:r>
              <w:rPr>
                <w:rFonts w:hint="eastAsia" w:cs="Times New Roman"/>
                <w:color w:val="auto"/>
                <w:szCs w:val="24"/>
                <w:highlight w:val="none"/>
                <w:lang w:eastAsia="zh-CN"/>
              </w:rPr>
              <w:t>为</w:t>
            </w:r>
            <w:r>
              <w:rPr>
                <w:rFonts w:cs="Times New Roman"/>
                <w:color w:val="auto"/>
                <w:szCs w:val="24"/>
                <w:highlight w:val="none"/>
              </w:rPr>
              <w:t>：</w:t>
            </w:r>
            <w:r>
              <w:rPr>
                <w:rFonts w:hint="eastAsia" w:cs="Times New Roman"/>
                <w:color w:val="auto"/>
                <w:szCs w:val="24"/>
                <w:highlight w:val="none"/>
                <w:lang w:eastAsia="zh-CN"/>
              </w:rPr>
              <w:t>《济南机车工厂转造货车工程项目》于1993年6月取得济南市环境保护局（</w:t>
            </w:r>
            <w:r>
              <w:rPr>
                <w:rFonts w:hint="eastAsia"/>
                <w:color w:val="auto"/>
                <w:highlight w:val="none"/>
                <w:lang w:eastAsia="zh-CN"/>
              </w:rPr>
              <w:t>现</w:t>
            </w:r>
            <w:r>
              <w:rPr>
                <w:color w:val="auto"/>
                <w:highlight w:val="none"/>
              </w:rPr>
              <w:t>济南市生态环境局</w:t>
            </w:r>
            <w:r>
              <w:rPr>
                <w:rFonts w:hint="eastAsia" w:cs="Times New Roman"/>
                <w:color w:val="auto"/>
                <w:szCs w:val="24"/>
                <w:highlight w:val="none"/>
                <w:lang w:eastAsia="zh-CN"/>
              </w:rPr>
              <w:t>）的审批（济环便[1993]11号）（仅大纲获得批复），该项目于2000年实现一控双达标（无有效证明文件）；《内总装分厂变压器油箱喷丸打砂、喷漆生产线建设项目》于2002年9月取得济南市环境保护局（</w:t>
            </w:r>
            <w:r>
              <w:rPr>
                <w:rFonts w:hint="eastAsia"/>
                <w:color w:val="auto"/>
                <w:highlight w:val="none"/>
                <w:lang w:eastAsia="zh-CN"/>
              </w:rPr>
              <w:t>现</w:t>
            </w:r>
            <w:r>
              <w:rPr>
                <w:color w:val="auto"/>
                <w:highlight w:val="none"/>
              </w:rPr>
              <w:t>济南市生态环境局</w:t>
            </w:r>
            <w:r>
              <w:rPr>
                <w:rFonts w:hint="eastAsia" w:cs="Times New Roman"/>
                <w:color w:val="auto"/>
                <w:szCs w:val="24"/>
                <w:highlight w:val="none"/>
                <w:lang w:eastAsia="zh-CN"/>
              </w:rPr>
              <w:t>）的审批（济环建审[2002]115号），</w:t>
            </w:r>
            <w:r>
              <w:rPr>
                <w:rFonts w:hint="default" w:ascii="Times New Roman" w:hAnsi="Times New Roman" w:eastAsia="宋体" w:cs="Times New Roman"/>
                <w:color w:val="auto"/>
                <w:szCs w:val="24"/>
                <w:highlight w:val="none"/>
                <w:lang w:eastAsia="zh-CN"/>
              </w:rPr>
              <w:t>该项目于</w:t>
            </w:r>
            <w:r>
              <w:rPr>
                <w:rFonts w:hint="default" w:ascii="Times New Roman" w:hAnsi="Times New Roman" w:eastAsia="宋体" w:cs="Times New Roman"/>
                <w:color w:val="auto"/>
                <w:szCs w:val="24"/>
                <w:highlight w:val="none"/>
                <w:lang w:val="en-US" w:eastAsia="zh-CN"/>
              </w:rPr>
              <w:t>2003年6月通过验收（济环监验字[2003]20号），现已停产</w:t>
            </w:r>
            <w:r>
              <w:rPr>
                <w:rFonts w:hint="eastAsia"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《开发旅客列车集便器生产项目》于2003年6月</w:t>
            </w:r>
            <w:r>
              <w:rPr>
                <w:rFonts w:hint="default" w:ascii="Times New Roman" w:hAnsi="Times New Roman" w:eastAsia="宋体" w:cs="Times New Roman"/>
                <w:color w:val="auto"/>
                <w:szCs w:val="24"/>
                <w:highlight w:val="none"/>
                <w:lang w:eastAsia="zh-CN"/>
              </w:rPr>
              <w:t>取得济南市环境保护局（现</w:t>
            </w:r>
            <w:r>
              <w:rPr>
                <w:rFonts w:ascii="Times New Roman" w:hAnsi="Times New Roman" w:eastAsia="宋体" w:cs="Times New Roman"/>
                <w:color w:val="auto"/>
                <w:szCs w:val="24"/>
                <w:highlight w:val="none"/>
              </w:rPr>
              <w:t>济南市生态环境局</w:t>
            </w:r>
            <w:r>
              <w:rPr>
                <w:rFonts w:hint="default" w:ascii="Times New Roman" w:hAnsi="Times New Roman" w:eastAsia="宋体" w:cs="Times New Roman"/>
                <w:color w:val="auto"/>
                <w:szCs w:val="24"/>
                <w:highlight w:val="none"/>
                <w:lang w:eastAsia="zh-CN"/>
              </w:rPr>
              <w:t>）的审批（济环建审[2003]36号），该项目于2007年11月</w:t>
            </w:r>
            <w:r>
              <w:rPr>
                <w:rFonts w:hint="default" w:ascii="Times New Roman" w:hAnsi="Times New Roman" w:eastAsia="宋体" w:cs="Times New Roman"/>
                <w:color w:val="auto"/>
                <w:szCs w:val="24"/>
                <w:highlight w:val="none"/>
                <w:lang w:val="en-US" w:eastAsia="zh-CN"/>
              </w:rPr>
              <w:t>通过验收（济环监验字[2007]50号），现已搬迁</w:t>
            </w:r>
            <w:r>
              <w:rPr>
                <w:rFonts w:hint="eastAsia"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《罐车生产工艺布局调整项目》于2003年6月</w:t>
            </w:r>
            <w:r>
              <w:rPr>
                <w:rFonts w:hint="default" w:ascii="Times New Roman" w:hAnsi="Times New Roman" w:eastAsia="宋体" w:cs="Times New Roman"/>
                <w:color w:val="auto"/>
                <w:szCs w:val="24"/>
                <w:highlight w:val="none"/>
                <w:lang w:eastAsia="zh-CN"/>
              </w:rPr>
              <w:t>取得济南市环境保护局（现</w:t>
            </w:r>
            <w:r>
              <w:rPr>
                <w:rFonts w:ascii="Times New Roman" w:hAnsi="Times New Roman" w:eastAsia="宋体" w:cs="Times New Roman"/>
                <w:color w:val="auto"/>
                <w:szCs w:val="24"/>
                <w:highlight w:val="none"/>
              </w:rPr>
              <w:t>济南市生态环境局</w:t>
            </w:r>
            <w:r>
              <w:rPr>
                <w:rFonts w:hint="default" w:ascii="Times New Roman" w:hAnsi="Times New Roman" w:eastAsia="宋体" w:cs="Times New Roman"/>
                <w:color w:val="auto"/>
                <w:szCs w:val="24"/>
                <w:highlight w:val="none"/>
                <w:lang w:eastAsia="zh-CN"/>
              </w:rPr>
              <w:t>）的审批（济环建审[2003]37号），该项目于2007年11月</w:t>
            </w:r>
            <w:r>
              <w:rPr>
                <w:rFonts w:hint="default" w:ascii="Times New Roman" w:hAnsi="Times New Roman" w:eastAsia="宋体" w:cs="Times New Roman"/>
                <w:color w:val="auto"/>
                <w:szCs w:val="24"/>
                <w:highlight w:val="none"/>
                <w:lang w:val="en-US" w:eastAsia="zh-CN"/>
              </w:rPr>
              <w:t>通过验收（济环监验字[2007]49号），现已停产</w:t>
            </w:r>
            <w:r>
              <w:rPr>
                <w:rFonts w:hint="eastAsia" w:cs="Times New Roman"/>
                <w:color w:val="auto"/>
                <w:szCs w:val="24"/>
                <w:highlight w:val="none"/>
                <w:lang w:val="en-US" w:eastAsia="zh-CN"/>
              </w:rPr>
              <w:t>；</w:t>
            </w:r>
            <w:r>
              <w:rPr>
                <w:rFonts w:hint="default" w:ascii="Times New Roman" w:hAnsi="Times New Roman" w:eastAsia="宋体" w:cs="Times New Roman"/>
                <w:color w:val="auto"/>
                <w:szCs w:val="24"/>
                <w:highlight w:val="none"/>
                <w:lang w:val="en-US" w:eastAsia="zh-CN"/>
              </w:rPr>
              <w:t>《内燃分厂变压器油箱喷漆烘干房技术改造项目》于</w:t>
            </w:r>
            <w:r>
              <w:rPr>
                <w:rFonts w:hint="default" w:ascii="Times New Roman" w:hAnsi="Times New Roman" w:eastAsia="宋体" w:cs="Times New Roman"/>
                <w:color w:val="auto"/>
                <w:kern w:val="2"/>
                <w:sz w:val="24"/>
                <w:szCs w:val="24"/>
                <w:highlight w:val="none"/>
                <w:lang w:val="en-US"/>
              </w:rPr>
              <w:t>2005年</w:t>
            </w:r>
            <w:r>
              <w:rPr>
                <w:rFonts w:hint="default" w:ascii="Times New Roman" w:hAnsi="Times New Roman" w:eastAsia="宋体" w:cs="Times New Roman"/>
                <w:color w:val="auto"/>
                <w:szCs w:val="24"/>
                <w:highlight w:val="none"/>
                <w:lang w:eastAsia="zh-CN"/>
              </w:rPr>
              <w:t>取得济南市环境保护局（现</w:t>
            </w:r>
            <w:r>
              <w:rPr>
                <w:rFonts w:ascii="Times New Roman" w:hAnsi="Times New Roman" w:eastAsia="宋体" w:cs="Times New Roman"/>
                <w:color w:val="auto"/>
                <w:szCs w:val="24"/>
                <w:highlight w:val="none"/>
              </w:rPr>
              <w:t>济南市生态环境局</w:t>
            </w:r>
            <w:r>
              <w:rPr>
                <w:rFonts w:hint="default" w:ascii="Times New Roman" w:hAnsi="Times New Roman" w:eastAsia="宋体" w:cs="Times New Roman"/>
                <w:color w:val="auto"/>
                <w:szCs w:val="24"/>
                <w:highlight w:val="none"/>
                <w:lang w:eastAsia="zh-CN"/>
              </w:rPr>
              <w:t>）的审批（</w:t>
            </w:r>
            <w:r>
              <w:rPr>
                <w:rFonts w:hint="default" w:ascii="Times New Roman" w:hAnsi="Times New Roman" w:eastAsia="宋体" w:cs="Times New Roman"/>
                <w:color w:val="auto"/>
                <w:kern w:val="2"/>
                <w:sz w:val="24"/>
                <w:szCs w:val="24"/>
                <w:highlight w:val="none"/>
              </w:rPr>
              <w:t>济环建审[2005]136号</w:t>
            </w:r>
            <w:r>
              <w:rPr>
                <w:rFonts w:hint="default" w:ascii="Times New Roman" w:hAnsi="Times New Roman" w:eastAsia="宋体" w:cs="Times New Roman"/>
                <w:color w:val="auto"/>
                <w:szCs w:val="24"/>
                <w:highlight w:val="none"/>
                <w:lang w:eastAsia="zh-CN"/>
              </w:rPr>
              <w:t>），该项目于</w:t>
            </w:r>
            <w:r>
              <w:rPr>
                <w:rFonts w:hint="default" w:ascii="Times New Roman" w:hAnsi="Times New Roman" w:eastAsia="宋体" w:cs="Times New Roman"/>
                <w:color w:val="auto"/>
                <w:kern w:val="2"/>
                <w:sz w:val="24"/>
                <w:szCs w:val="24"/>
                <w:highlight w:val="none"/>
              </w:rPr>
              <w:t>2007年11月</w:t>
            </w:r>
            <w:r>
              <w:rPr>
                <w:rFonts w:hint="default" w:ascii="Times New Roman" w:hAnsi="Times New Roman" w:eastAsia="宋体" w:cs="Times New Roman"/>
                <w:color w:val="auto"/>
                <w:kern w:val="2"/>
                <w:sz w:val="24"/>
                <w:szCs w:val="24"/>
                <w:highlight w:val="none"/>
                <w:lang w:eastAsia="zh-CN"/>
              </w:rPr>
              <w:t>通过验收（</w:t>
            </w:r>
            <w:r>
              <w:rPr>
                <w:rFonts w:hint="default" w:ascii="Times New Roman" w:hAnsi="Times New Roman" w:eastAsia="宋体" w:cs="Times New Roman"/>
                <w:color w:val="auto"/>
                <w:kern w:val="2"/>
                <w:sz w:val="24"/>
                <w:szCs w:val="24"/>
                <w:highlight w:val="none"/>
              </w:rPr>
              <w:t>济环监验字[2007]51号</w:t>
            </w:r>
            <w:r>
              <w:rPr>
                <w:rFonts w:hint="default" w:ascii="Times New Roman" w:hAnsi="Times New Roman" w:eastAsia="宋体" w:cs="Times New Roman"/>
                <w:color w:val="auto"/>
                <w:kern w:val="2"/>
                <w:sz w:val="24"/>
                <w:szCs w:val="24"/>
                <w:highlight w:val="none"/>
                <w:lang w:eastAsia="zh-CN"/>
              </w:rPr>
              <w:t>），现已停产</w:t>
            </w:r>
            <w:r>
              <w:rPr>
                <w:rFonts w:hint="eastAsia"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生产工艺布局调整技术改造项目</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szCs w:val="24"/>
                <w:highlight w:val="none"/>
                <w:lang w:val="en-US" w:eastAsia="zh-CN"/>
              </w:rPr>
              <w:t>于</w:t>
            </w:r>
            <w:r>
              <w:rPr>
                <w:rFonts w:hint="default" w:ascii="Times New Roman" w:hAnsi="Times New Roman" w:eastAsia="宋体" w:cs="Times New Roman"/>
                <w:color w:val="auto"/>
                <w:kern w:val="2"/>
                <w:sz w:val="24"/>
                <w:szCs w:val="24"/>
                <w:highlight w:val="none"/>
                <w:lang w:val="en-US"/>
              </w:rPr>
              <w:t>2005年</w:t>
            </w:r>
            <w:r>
              <w:rPr>
                <w:rFonts w:hint="default" w:ascii="Times New Roman" w:hAnsi="Times New Roman" w:eastAsia="宋体" w:cs="Times New Roman"/>
                <w:color w:val="auto"/>
                <w:szCs w:val="24"/>
                <w:highlight w:val="none"/>
                <w:lang w:eastAsia="zh-CN"/>
              </w:rPr>
              <w:t>取得济南市环境保护局（现</w:t>
            </w:r>
            <w:r>
              <w:rPr>
                <w:rFonts w:ascii="Times New Roman" w:hAnsi="Times New Roman" w:eastAsia="宋体" w:cs="Times New Roman"/>
                <w:color w:val="auto"/>
                <w:szCs w:val="24"/>
                <w:highlight w:val="none"/>
              </w:rPr>
              <w:t>济南市生态环境局</w:t>
            </w:r>
            <w:r>
              <w:rPr>
                <w:rFonts w:hint="default" w:ascii="Times New Roman" w:hAnsi="Times New Roman" w:eastAsia="宋体" w:cs="Times New Roman"/>
                <w:color w:val="auto"/>
                <w:szCs w:val="24"/>
                <w:highlight w:val="none"/>
                <w:lang w:eastAsia="zh-CN"/>
              </w:rPr>
              <w:t>）的审批（</w:t>
            </w:r>
            <w:r>
              <w:rPr>
                <w:rFonts w:hint="default" w:ascii="Times New Roman" w:hAnsi="Times New Roman" w:eastAsia="宋体" w:cs="Times New Roman"/>
                <w:color w:val="auto"/>
                <w:kern w:val="2"/>
                <w:sz w:val="24"/>
                <w:szCs w:val="24"/>
                <w:highlight w:val="none"/>
              </w:rPr>
              <w:t>济环建审[2005]71号</w:t>
            </w:r>
            <w:r>
              <w:rPr>
                <w:rFonts w:hint="default" w:ascii="Times New Roman" w:hAnsi="Times New Roman" w:eastAsia="宋体" w:cs="Times New Roman"/>
                <w:color w:val="auto"/>
                <w:szCs w:val="24"/>
                <w:highlight w:val="none"/>
                <w:lang w:eastAsia="zh-CN"/>
              </w:rPr>
              <w:t>），该项目未建设</w:t>
            </w:r>
            <w:r>
              <w:rPr>
                <w:rFonts w:hint="eastAsia" w:cs="Times New Roman"/>
                <w:color w:val="auto"/>
                <w:szCs w:val="24"/>
                <w:highlight w:val="none"/>
                <w:lang w:eastAsia="zh-CN"/>
              </w:rPr>
              <w:t>；</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kern w:val="2"/>
                <w:sz w:val="24"/>
                <w:szCs w:val="24"/>
                <w:highlight w:val="none"/>
              </w:rPr>
              <w:t>铁路旅客列车集便器生产线扩能项目</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lang w:val="en-US" w:eastAsia="zh-CN"/>
              </w:rPr>
              <w:t>于</w:t>
            </w:r>
            <w:r>
              <w:rPr>
                <w:rFonts w:hint="default" w:ascii="Times New Roman" w:hAnsi="Times New Roman" w:eastAsia="宋体" w:cs="Times New Roman"/>
                <w:color w:val="auto"/>
                <w:kern w:val="2"/>
                <w:sz w:val="24"/>
                <w:szCs w:val="24"/>
                <w:highlight w:val="none"/>
                <w:lang w:val="en-US"/>
              </w:rPr>
              <w:t>200</w:t>
            </w:r>
            <w:r>
              <w:rPr>
                <w:rFonts w:hint="default" w:ascii="Times New Roman" w:hAnsi="Times New Roman" w:eastAsia="宋体" w:cs="Times New Roman"/>
                <w:color w:val="auto"/>
                <w:kern w:val="2"/>
                <w:sz w:val="24"/>
                <w:szCs w:val="24"/>
                <w:highlight w:val="none"/>
                <w:lang w:val="en-US" w:eastAsia="zh-CN"/>
              </w:rPr>
              <w:t>7</w:t>
            </w:r>
            <w:r>
              <w:rPr>
                <w:rFonts w:hint="default" w:ascii="Times New Roman" w:hAnsi="Times New Roman" w:eastAsia="宋体" w:cs="Times New Roman"/>
                <w:color w:val="auto"/>
                <w:kern w:val="2"/>
                <w:sz w:val="24"/>
                <w:szCs w:val="24"/>
                <w:highlight w:val="none"/>
                <w:lang w:val="en-US"/>
              </w:rPr>
              <w:t>年</w:t>
            </w:r>
            <w:r>
              <w:rPr>
                <w:rFonts w:hint="default" w:ascii="Times New Roman" w:hAnsi="Times New Roman" w:eastAsia="宋体" w:cs="Times New Roman"/>
                <w:color w:val="auto"/>
                <w:szCs w:val="24"/>
                <w:highlight w:val="none"/>
                <w:lang w:eastAsia="zh-CN"/>
              </w:rPr>
              <w:t>取得济南市环境保护局（现</w:t>
            </w:r>
            <w:r>
              <w:rPr>
                <w:rFonts w:ascii="Times New Roman" w:hAnsi="Times New Roman" w:eastAsia="宋体" w:cs="Times New Roman"/>
                <w:color w:val="auto"/>
                <w:szCs w:val="24"/>
                <w:highlight w:val="none"/>
              </w:rPr>
              <w:t>济南市生态环境局</w:t>
            </w:r>
            <w:r>
              <w:rPr>
                <w:rFonts w:hint="default" w:ascii="Times New Roman" w:hAnsi="Times New Roman" w:eastAsia="宋体" w:cs="Times New Roman"/>
                <w:color w:val="auto"/>
                <w:szCs w:val="24"/>
                <w:highlight w:val="none"/>
                <w:lang w:eastAsia="zh-CN"/>
              </w:rPr>
              <w:t>）的审批（</w:t>
            </w:r>
            <w:r>
              <w:rPr>
                <w:rFonts w:hint="default" w:ascii="Times New Roman" w:hAnsi="Times New Roman" w:eastAsia="宋体" w:cs="Times New Roman"/>
                <w:color w:val="auto"/>
                <w:kern w:val="2"/>
                <w:sz w:val="24"/>
                <w:szCs w:val="24"/>
                <w:highlight w:val="none"/>
              </w:rPr>
              <w:t>济环建审[2007]272号</w:t>
            </w:r>
            <w:r>
              <w:rPr>
                <w:rFonts w:hint="default" w:ascii="Times New Roman" w:hAnsi="Times New Roman" w:eastAsia="宋体" w:cs="Times New Roman"/>
                <w:color w:val="auto"/>
                <w:szCs w:val="24"/>
                <w:highlight w:val="none"/>
                <w:lang w:eastAsia="zh-CN"/>
              </w:rPr>
              <w:t>），该项目未建设</w:t>
            </w:r>
            <w:r>
              <w:rPr>
                <w:rFonts w:hint="eastAsia" w:cs="Times New Roman"/>
                <w:color w:val="auto"/>
                <w:szCs w:val="24"/>
                <w:highlight w:val="none"/>
                <w:lang w:eastAsia="zh-CN"/>
              </w:rPr>
              <w:t>；</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kern w:val="2"/>
                <w:sz w:val="24"/>
                <w:szCs w:val="24"/>
                <w:highlight w:val="none"/>
              </w:rPr>
              <w:t>符合欧洲TSI规范的新型快速轨道交通车辆产业项目</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lang w:val="en-US" w:eastAsia="zh-CN"/>
              </w:rPr>
              <w:t>于</w:t>
            </w:r>
            <w:r>
              <w:rPr>
                <w:rFonts w:hint="default" w:ascii="Times New Roman" w:hAnsi="Times New Roman" w:eastAsia="宋体" w:cs="Times New Roman"/>
                <w:color w:val="auto"/>
                <w:kern w:val="2"/>
                <w:sz w:val="24"/>
                <w:szCs w:val="24"/>
                <w:highlight w:val="none"/>
                <w:lang w:val="en-US"/>
              </w:rPr>
              <w:t>20</w:t>
            </w:r>
            <w:r>
              <w:rPr>
                <w:rFonts w:hint="default" w:ascii="Times New Roman" w:hAnsi="Times New Roman" w:eastAsia="宋体" w:cs="Times New Roman"/>
                <w:color w:val="auto"/>
                <w:kern w:val="2"/>
                <w:sz w:val="24"/>
                <w:szCs w:val="24"/>
                <w:highlight w:val="none"/>
                <w:lang w:val="en-US" w:eastAsia="zh-CN"/>
              </w:rPr>
              <w:t>11</w:t>
            </w:r>
            <w:r>
              <w:rPr>
                <w:rFonts w:hint="default" w:ascii="Times New Roman" w:hAnsi="Times New Roman" w:eastAsia="宋体" w:cs="Times New Roman"/>
                <w:color w:val="auto"/>
                <w:kern w:val="2"/>
                <w:sz w:val="24"/>
                <w:szCs w:val="24"/>
                <w:highlight w:val="none"/>
                <w:lang w:val="en-US"/>
              </w:rPr>
              <w:t>年</w:t>
            </w:r>
            <w:r>
              <w:rPr>
                <w:rFonts w:hint="default" w:ascii="Times New Roman" w:hAnsi="Times New Roman" w:eastAsia="宋体" w:cs="Times New Roman"/>
                <w:color w:val="auto"/>
                <w:szCs w:val="24"/>
                <w:highlight w:val="none"/>
                <w:lang w:eastAsia="zh-CN"/>
              </w:rPr>
              <w:t>取得济南市环境保护局（现</w:t>
            </w:r>
            <w:r>
              <w:rPr>
                <w:rFonts w:ascii="Times New Roman" w:hAnsi="Times New Roman" w:eastAsia="宋体" w:cs="Times New Roman"/>
                <w:color w:val="auto"/>
                <w:szCs w:val="24"/>
                <w:highlight w:val="none"/>
              </w:rPr>
              <w:t>济南市生态环境局</w:t>
            </w:r>
            <w:r>
              <w:rPr>
                <w:rFonts w:hint="default" w:ascii="Times New Roman" w:hAnsi="Times New Roman" w:eastAsia="宋体" w:cs="Times New Roman"/>
                <w:color w:val="auto"/>
                <w:szCs w:val="24"/>
                <w:highlight w:val="none"/>
                <w:lang w:eastAsia="zh-CN"/>
              </w:rPr>
              <w:t>）的审批（</w:t>
            </w:r>
            <w:r>
              <w:rPr>
                <w:rFonts w:hint="default" w:ascii="Times New Roman" w:hAnsi="Times New Roman" w:eastAsia="宋体" w:cs="Times New Roman"/>
                <w:color w:val="auto"/>
                <w:kern w:val="2"/>
                <w:sz w:val="24"/>
                <w:szCs w:val="24"/>
                <w:highlight w:val="none"/>
              </w:rPr>
              <w:t>济环建审[2011]65号</w:t>
            </w:r>
            <w:r>
              <w:rPr>
                <w:rFonts w:hint="default" w:ascii="Times New Roman" w:hAnsi="Times New Roman" w:eastAsia="宋体" w:cs="Times New Roman"/>
                <w:color w:val="auto"/>
                <w:szCs w:val="24"/>
                <w:highlight w:val="none"/>
                <w:lang w:eastAsia="zh-CN"/>
              </w:rPr>
              <w:t>），该项目未建设</w:t>
            </w:r>
            <w:r>
              <w:rPr>
                <w:rFonts w:hint="eastAsia" w:cs="Times New Roman"/>
                <w:color w:val="auto"/>
                <w:szCs w:val="24"/>
                <w:highlight w:val="none"/>
                <w:lang w:eastAsia="zh-CN"/>
              </w:rPr>
              <w:t>；</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bCs w:val="0"/>
                <w:color w:val="auto"/>
                <w:kern w:val="2"/>
                <w:sz w:val="24"/>
                <w:szCs w:val="24"/>
                <w:highlight w:val="none"/>
              </w:rPr>
              <w:t>台车式热处理炉建设项目</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lang w:val="en-US" w:eastAsia="zh-CN"/>
              </w:rPr>
              <w:t>于</w:t>
            </w:r>
            <w:r>
              <w:rPr>
                <w:rFonts w:hint="default" w:ascii="Times New Roman" w:hAnsi="Times New Roman" w:eastAsia="宋体" w:cs="Times New Roman"/>
                <w:color w:val="auto"/>
                <w:kern w:val="2"/>
                <w:sz w:val="24"/>
                <w:szCs w:val="24"/>
                <w:highlight w:val="none"/>
              </w:rPr>
              <w:t>2015年2月</w:t>
            </w:r>
            <w:r>
              <w:rPr>
                <w:rFonts w:hint="default" w:ascii="Times New Roman" w:hAnsi="Times New Roman" w:eastAsia="宋体" w:cs="Times New Roman"/>
                <w:color w:val="auto"/>
                <w:kern w:val="2"/>
                <w:sz w:val="24"/>
                <w:szCs w:val="24"/>
                <w:highlight w:val="none"/>
                <w:lang w:val="en-US"/>
              </w:rPr>
              <w:t>年</w:t>
            </w:r>
            <w:r>
              <w:rPr>
                <w:rFonts w:hint="default" w:ascii="Times New Roman" w:hAnsi="Times New Roman" w:eastAsia="宋体" w:cs="Times New Roman"/>
                <w:color w:val="auto"/>
                <w:szCs w:val="24"/>
                <w:highlight w:val="none"/>
                <w:lang w:eastAsia="zh-CN"/>
              </w:rPr>
              <w:t>取得</w:t>
            </w:r>
            <w:r>
              <w:rPr>
                <w:rFonts w:hint="default" w:ascii="Times New Roman" w:hAnsi="Times New Roman" w:eastAsia="宋体" w:cs="Times New Roman"/>
                <w:color w:val="auto"/>
                <w:kern w:val="2"/>
                <w:sz w:val="24"/>
                <w:szCs w:val="24"/>
                <w:highlight w:val="none"/>
              </w:rPr>
              <w:t>济南市槐荫区环境保护局</w:t>
            </w:r>
            <w:r>
              <w:rPr>
                <w:rFonts w:hint="default" w:ascii="Times New Roman" w:hAnsi="Times New Roman" w:eastAsia="宋体" w:cs="Times New Roman"/>
                <w:color w:val="auto"/>
                <w:szCs w:val="24"/>
                <w:highlight w:val="none"/>
                <w:lang w:eastAsia="zh-CN"/>
              </w:rPr>
              <w:t>（现</w:t>
            </w:r>
            <w:r>
              <w:rPr>
                <w:rFonts w:hint="default" w:ascii="Times New Roman" w:hAnsi="Times New Roman" w:eastAsia="宋体" w:cs="Times New Roman"/>
                <w:color w:val="auto"/>
                <w:sz w:val="24"/>
                <w:szCs w:val="24"/>
                <w:highlight w:val="none"/>
                <w:lang w:val="en-US" w:eastAsia="zh-CN"/>
              </w:rPr>
              <w:t>济南市生态环境局</w:t>
            </w:r>
            <w:r>
              <w:rPr>
                <w:rFonts w:hint="default" w:ascii="Times New Roman" w:hAnsi="Times New Roman" w:eastAsia="宋体" w:cs="Times New Roman"/>
                <w:color w:val="auto"/>
                <w:kern w:val="2"/>
                <w:sz w:val="24"/>
                <w:szCs w:val="24"/>
                <w:highlight w:val="none"/>
              </w:rPr>
              <w:t>槐荫</w:t>
            </w:r>
            <w:r>
              <w:rPr>
                <w:rFonts w:hint="default" w:ascii="Times New Roman" w:hAnsi="Times New Roman" w:eastAsia="宋体" w:cs="Times New Roman"/>
                <w:color w:val="auto"/>
                <w:sz w:val="24"/>
                <w:szCs w:val="24"/>
                <w:highlight w:val="none"/>
                <w:lang w:val="en-US" w:eastAsia="zh-CN"/>
              </w:rPr>
              <w:t>分局</w:t>
            </w:r>
            <w:r>
              <w:rPr>
                <w:rFonts w:hint="default" w:ascii="Times New Roman" w:hAnsi="Times New Roman" w:eastAsia="宋体" w:cs="Times New Roman"/>
                <w:color w:val="auto"/>
                <w:szCs w:val="24"/>
                <w:highlight w:val="none"/>
                <w:lang w:eastAsia="zh-CN"/>
              </w:rPr>
              <w:t>）的审批（</w:t>
            </w:r>
            <w:r>
              <w:rPr>
                <w:rFonts w:hint="default" w:ascii="Times New Roman" w:hAnsi="Times New Roman" w:eastAsia="宋体" w:cs="Times New Roman"/>
                <w:color w:val="auto"/>
                <w:kern w:val="2"/>
                <w:sz w:val="24"/>
                <w:szCs w:val="24"/>
                <w:highlight w:val="none"/>
              </w:rPr>
              <w:t>济槐环建审[2015]037号</w:t>
            </w:r>
            <w:r>
              <w:rPr>
                <w:rFonts w:hint="default" w:ascii="Times New Roman" w:hAnsi="Times New Roman" w:eastAsia="宋体" w:cs="Times New Roman"/>
                <w:color w:val="auto"/>
                <w:szCs w:val="24"/>
                <w:highlight w:val="none"/>
                <w:lang w:eastAsia="zh-CN"/>
              </w:rPr>
              <w:t>），该项目于</w:t>
            </w:r>
            <w:r>
              <w:rPr>
                <w:rFonts w:hint="default" w:ascii="Times New Roman" w:hAnsi="Times New Roman" w:eastAsia="宋体" w:cs="Times New Roman"/>
                <w:color w:val="auto"/>
                <w:kern w:val="2"/>
                <w:sz w:val="24"/>
                <w:szCs w:val="24"/>
                <w:highlight w:val="none"/>
              </w:rPr>
              <w:t>2015年11月</w:t>
            </w:r>
            <w:r>
              <w:rPr>
                <w:rFonts w:hint="default" w:ascii="Times New Roman" w:hAnsi="Times New Roman" w:eastAsia="宋体" w:cs="Times New Roman"/>
                <w:color w:val="auto"/>
                <w:kern w:val="2"/>
                <w:sz w:val="24"/>
                <w:szCs w:val="24"/>
                <w:highlight w:val="none"/>
                <w:lang w:eastAsia="zh-CN"/>
              </w:rPr>
              <w:t>通过验收（</w:t>
            </w:r>
            <w:r>
              <w:rPr>
                <w:rFonts w:hint="default" w:ascii="Times New Roman" w:hAnsi="Times New Roman" w:eastAsia="宋体" w:cs="Times New Roman"/>
                <w:color w:val="auto"/>
                <w:kern w:val="2"/>
                <w:sz w:val="24"/>
                <w:szCs w:val="24"/>
                <w:highlight w:val="none"/>
              </w:rPr>
              <w:t>济槐环建验[2015]032号</w:t>
            </w:r>
            <w:r>
              <w:rPr>
                <w:rFonts w:hint="default" w:ascii="Times New Roman" w:hAnsi="Times New Roman" w:eastAsia="宋体" w:cs="Times New Roman"/>
                <w:color w:val="auto"/>
                <w:kern w:val="2"/>
                <w:sz w:val="24"/>
                <w:szCs w:val="24"/>
                <w:highlight w:val="none"/>
                <w:lang w:eastAsia="zh-CN"/>
              </w:rPr>
              <w:t>）</w:t>
            </w:r>
            <w:r>
              <w:rPr>
                <w:rFonts w:hint="eastAsia"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bCs w:val="0"/>
                <w:color w:val="auto"/>
                <w:kern w:val="2"/>
                <w:sz w:val="24"/>
                <w:szCs w:val="24"/>
                <w:highlight w:val="none"/>
              </w:rPr>
              <w:t>厂区供暖改造项目</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szCs w:val="24"/>
                <w:highlight w:val="none"/>
                <w:lang w:val="en-US" w:eastAsia="zh-CN"/>
              </w:rPr>
              <w:t>于</w:t>
            </w:r>
            <w:r>
              <w:rPr>
                <w:rFonts w:hint="default" w:ascii="Times New Roman" w:hAnsi="Times New Roman" w:eastAsia="宋体" w:cs="Times New Roman"/>
                <w:color w:val="auto"/>
                <w:kern w:val="2"/>
                <w:sz w:val="24"/>
                <w:szCs w:val="24"/>
                <w:highlight w:val="none"/>
              </w:rPr>
              <w:t>2016年10月</w:t>
            </w:r>
            <w:r>
              <w:rPr>
                <w:rFonts w:hint="default" w:ascii="Times New Roman" w:hAnsi="Times New Roman" w:eastAsia="宋体" w:cs="Times New Roman"/>
                <w:color w:val="auto"/>
                <w:kern w:val="2"/>
                <w:sz w:val="24"/>
                <w:szCs w:val="24"/>
                <w:highlight w:val="none"/>
                <w:lang w:val="en-US"/>
              </w:rPr>
              <w:t>年</w:t>
            </w:r>
            <w:r>
              <w:rPr>
                <w:rFonts w:hint="default" w:ascii="Times New Roman" w:hAnsi="Times New Roman" w:eastAsia="宋体" w:cs="Times New Roman"/>
                <w:color w:val="auto"/>
                <w:szCs w:val="24"/>
                <w:highlight w:val="none"/>
                <w:lang w:eastAsia="zh-CN"/>
              </w:rPr>
              <w:t>取得</w:t>
            </w:r>
            <w:r>
              <w:rPr>
                <w:rFonts w:hint="default" w:ascii="Times New Roman" w:hAnsi="Times New Roman" w:eastAsia="宋体" w:cs="Times New Roman"/>
                <w:color w:val="auto"/>
                <w:kern w:val="2"/>
                <w:sz w:val="24"/>
                <w:szCs w:val="24"/>
                <w:highlight w:val="none"/>
              </w:rPr>
              <w:t>济南市槐荫区环境保护局</w:t>
            </w:r>
            <w:r>
              <w:rPr>
                <w:rFonts w:hint="default" w:ascii="Times New Roman" w:hAnsi="Times New Roman" w:eastAsia="宋体" w:cs="Times New Roman"/>
                <w:color w:val="auto"/>
                <w:szCs w:val="24"/>
                <w:highlight w:val="none"/>
                <w:lang w:eastAsia="zh-CN"/>
              </w:rPr>
              <w:t>（现</w:t>
            </w:r>
            <w:r>
              <w:rPr>
                <w:rFonts w:hint="default" w:ascii="Times New Roman" w:hAnsi="Times New Roman" w:eastAsia="宋体" w:cs="Times New Roman"/>
                <w:color w:val="auto"/>
                <w:sz w:val="24"/>
                <w:szCs w:val="24"/>
                <w:highlight w:val="none"/>
                <w:lang w:val="en-US" w:eastAsia="zh-CN"/>
              </w:rPr>
              <w:t>济南市生态环境局</w:t>
            </w:r>
            <w:r>
              <w:rPr>
                <w:rFonts w:hint="default" w:ascii="Times New Roman" w:hAnsi="Times New Roman" w:eastAsia="宋体" w:cs="Times New Roman"/>
                <w:color w:val="auto"/>
                <w:kern w:val="2"/>
                <w:sz w:val="24"/>
                <w:szCs w:val="24"/>
                <w:highlight w:val="none"/>
              </w:rPr>
              <w:t>槐荫</w:t>
            </w:r>
            <w:r>
              <w:rPr>
                <w:rFonts w:hint="default" w:ascii="Times New Roman" w:hAnsi="Times New Roman" w:eastAsia="宋体" w:cs="Times New Roman"/>
                <w:color w:val="auto"/>
                <w:sz w:val="24"/>
                <w:szCs w:val="24"/>
                <w:highlight w:val="none"/>
                <w:lang w:val="en-US" w:eastAsia="zh-CN"/>
              </w:rPr>
              <w:t>分局</w:t>
            </w:r>
            <w:r>
              <w:rPr>
                <w:rFonts w:hint="default" w:ascii="Times New Roman" w:hAnsi="Times New Roman" w:eastAsia="宋体" w:cs="Times New Roman"/>
                <w:color w:val="auto"/>
                <w:szCs w:val="24"/>
                <w:highlight w:val="none"/>
                <w:lang w:eastAsia="zh-CN"/>
              </w:rPr>
              <w:t>）的审批（</w:t>
            </w:r>
            <w:r>
              <w:rPr>
                <w:rFonts w:hint="default" w:ascii="Times New Roman" w:hAnsi="Times New Roman" w:eastAsia="宋体" w:cs="Times New Roman"/>
                <w:color w:val="auto"/>
                <w:kern w:val="2"/>
                <w:sz w:val="24"/>
                <w:szCs w:val="24"/>
                <w:highlight w:val="none"/>
              </w:rPr>
              <w:t>济槐环建审[2016]95号</w:t>
            </w:r>
            <w:r>
              <w:rPr>
                <w:rFonts w:hint="default" w:ascii="Times New Roman" w:hAnsi="Times New Roman" w:eastAsia="宋体" w:cs="Times New Roman"/>
                <w:color w:val="auto"/>
                <w:szCs w:val="24"/>
                <w:highlight w:val="none"/>
                <w:lang w:eastAsia="zh-CN"/>
              </w:rPr>
              <w:t>），该项目于</w:t>
            </w:r>
            <w:r>
              <w:rPr>
                <w:rFonts w:hint="default" w:ascii="Times New Roman" w:hAnsi="Times New Roman" w:eastAsia="宋体" w:cs="Times New Roman"/>
                <w:color w:val="auto"/>
                <w:kern w:val="2"/>
                <w:sz w:val="24"/>
                <w:szCs w:val="24"/>
                <w:highlight w:val="none"/>
              </w:rPr>
              <w:t>2017年2月</w:t>
            </w:r>
            <w:r>
              <w:rPr>
                <w:rFonts w:hint="default" w:ascii="Times New Roman" w:hAnsi="Times New Roman" w:eastAsia="宋体" w:cs="Times New Roman"/>
                <w:color w:val="auto"/>
                <w:kern w:val="2"/>
                <w:sz w:val="24"/>
                <w:szCs w:val="24"/>
                <w:highlight w:val="none"/>
                <w:lang w:eastAsia="zh-CN"/>
              </w:rPr>
              <w:t>通过验收（</w:t>
            </w:r>
            <w:r>
              <w:rPr>
                <w:rFonts w:hint="default" w:ascii="Times New Roman" w:hAnsi="Times New Roman" w:eastAsia="宋体" w:cs="Times New Roman"/>
                <w:color w:val="auto"/>
                <w:kern w:val="2"/>
                <w:sz w:val="24"/>
                <w:szCs w:val="24"/>
                <w:highlight w:val="none"/>
              </w:rPr>
              <w:t>济槐环建验[2017]4号</w:t>
            </w:r>
            <w:r>
              <w:rPr>
                <w:rFonts w:hint="default" w:ascii="Times New Roman" w:hAnsi="Times New Roman" w:eastAsia="宋体" w:cs="Times New Roman"/>
                <w:color w:val="auto"/>
                <w:kern w:val="2"/>
                <w:sz w:val="24"/>
                <w:szCs w:val="24"/>
                <w:highlight w:val="none"/>
                <w:lang w:eastAsia="zh-CN"/>
              </w:rPr>
              <w:t>）</w:t>
            </w:r>
            <w:r>
              <w:rPr>
                <w:rFonts w:hint="eastAsia"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lang w:eastAsia="zh-CN"/>
              </w:rPr>
              <w:t>《</w:t>
            </w:r>
            <w:r>
              <w:rPr>
                <w:rFonts w:hint="default" w:ascii="Times New Roman" w:hAnsi="Times New Roman" w:eastAsia="宋体" w:cs="Times New Roman"/>
                <w:color w:val="auto"/>
                <w:kern w:val="2"/>
                <w:sz w:val="24"/>
                <w:szCs w:val="24"/>
                <w:highlight w:val="none"/>
              </w:rPr>
              <w:t>中车山东机车车辆有限公司</w:t>
            </w:r>
            <w:r>
              <w:rPr>
                <w:rFonts w:hint="default" w:ascii="Times New Roman" w:hAnsi="Times New Roman" w:eastAsia="宋体" w:cs="Times New Roman"/>
                <w:color w:val="auto"/>
                <w:kern w:val="2"/>
                <w:sz w:val="24"/>
                <w:szCs w:val="24"/>
                <w:highlight w:val="none"/>
                <w:lang w:eastAsia="zh-CN"/>
              </w:rPr>
              <w:t>酸洗工艺改造项目》</w:t>
            </w:r>
            <w:r>
              <w:rPr>
                <w:rFonts w:hint="default" w:ascii="Times New Roman" w:hAnsi="Times New Roman" w:eastAsia="宋体" w:cs="Times New Roman"/>
                <w:color w:val="auto"/>
                <w:szCs w:val="24"/>
                <w:highlight w:val="none"/>
                <w:lang w:val="en-US" w:eastAsia="zh-CN"/>
              </w:rPr>
              <w:t>于</w:t>
            </w:r>
            <w:r>
              <w:rPr>
                <w:rFonts w:hint="default" w:ascii="Times New Roman" w:hAnsi="Times New Roman" w:eastAsia="宋体" w:cs="Times New Roman"/>
                <w:color w:val="auto"/>
                <w:kern w:val="2"/>
                <w:sz w:val="24"/>
                <w:szCs w:val="24"/>
                <w:highlight w:val="none"/>
                <w:lang w:val="en-US" w:eastAsia="zh-CN"/>
              </w:rPr>
              <w:t>2018年11月</w:t>
            </w:r>
            <w:r>
              <w:rPr>
                <w:rFonts w:hint="default" w:ascii="Times New Roman" w:hAnsi="Times New Roman" w:eastAsia="宋体" w:cs="Times New Roman"/>
                <w:color w:val="auto"/>
                <w:kern w:val="2"/>
                <w:sz w:val="24"/>
                <w:szCs w:val="24"/>
                <w:highlight w:val="none"/>
                <w:lang w:val="en-US"/>
              </w:rPr>
              <w:t>年</w:t>
            </w:r>
            <w:r>
              <w:rPr>
                <w:rFonts w:hint="default" w:ascii="Times New Roman" w:hAnsi="Times New Roman" w:eastAsia="宋体" w:cs="Times New Roman"/>
                <w:color w:val="auto"/>
                <w:szCs w:val="24"/>
                <w:highlight w:val="none"/>
                <w:lang w:eastAsia="zh-CN"/>
              </w:rPr>
              <w:t>取得</w:t>
            </w:r>
            <w:r>
              <w:rPr>
                <w:rFonts w:hint="default" w:ascii="Times New Roman" w:hAnsi="Times New Roman" w:eastAsia="宋体" w:cs="Times New Roman"/>
                <w:color w:val="auto"/>
                <w:kern w:val="2"/>
                <w:sz w:val="24"/>
                <w:szCs w:val="24"/>
                <w:highlight w:val="none"/>
              </w:rPr>
              <w:t>济南市槐荫区环境保护局</w:t>
            </w:r>
            <w:r>
              <w:rPr>
                <w:rFonts w:hint="default" w:ascii="Times New Roman" w:hAnsi="Times New Roman" w:eastAsia="宋体" w:cs="Times New Roman"/>
                <w:color w:val="auto"/>
                <w:szCs w:val="24"/>
                <w:highlight w:val="none"/>
                <w:lang w:eastAsia="zh-CN"/>
              </w:rPr>
              <w:t>（现</w:t>
            </w:r>
            <w:r>
              <w:rPr>
                <w:rFonts w:hint="default" w:ascii="Times New Roman" w:hAnsi="Times New Roman" w:eastAsia="宋体" w:cs="Times New Roman"/>
                <w:color w:val="auto"/>
                <w:sz w:val="24"/>
                <w:szCs w:val="24"/>
                <w:highlight w:val="none"/>
                <w:lang w:val="en-US" w:eastAsia="zh-CN"/>
              </w:rPr>
              <w:t>济南市生态环境局</w:t>
            </w:r>
            <w:r>
              <w:rPr>
                <w:rFonts w:hint="default" w:ascii="Times New Roman" w:hAnsi="Times New Roman" w:eastAsia="宋体" w:cs="Times New Roman"/>
                <w:color w:val="auto"/>
                <w:kern w:val="2"/>
                <w:sz w:val="24"/>
                <w:szCs w:val="24"/>
                <w:highlight w:val="none"/>
              </w:rPr>
              <w:t>槐荫</w:t>
            </w:r>
            <w:r>
              <w:rPr>
                <w:rFonts w:hint="default" w:ascii="Times New Roman" w:hAnsi="Times New Roman" w:eastAsia="宋体" w:cs="Times New Roman"/>
                <w:color w:val="auto"/>
                <w:sz w:val="24"/>
                <w:szCs w:val="24"/>
                <w:highlight w:val="none"/>
                <w:lang w:val="en-US" w:eastAsia="zh-CN"/>
              </w:rPr>
              <w:t>分局</w:t>
            </w:r>
            <w:r>
              <w:rPr>
                <w:rFonts w:hint="default" w:ascii="Times New Roman" w:hAnsi="Times New Roman" w:eastAsia="宋体" w:cs="Times New Roman"/>
                <w:color w:val="auto"/>
                <w:szCs w:val="24"/>
                <w:highlight w:val="none"/>
                <w:lang w:eastAsia="zh-CN"/>
              </w:rPr>
              <w:t>）的审批（</w:t>
            </w:r>
            <w:r>
              <w:rPr>
                <w:rFonts w:hint="default" w:ascii="Times New Roman" w:hAnsi="Times New Roman" w:eastAsia="宋体" w:cs="Times New Roman"/>
                <w:color w:val="auto"/>
                <w:kern w:val="2"/>
                <w:sz w:val="24"/>
                <w:szCs w:val="24"/>
                <w:highlight w:val="none"/>
              </w:rPr>
              <w:t>济槐环建审[201</w:t>
            </w:r>
            <w:r>
              <w:rPr>
                <w:rFonts w:hint="default" w:ascii="Times New Roman" w:hAnsi="Times New Roman" w:eastAsia="宋体" w:cs="Times New Roman"/>
                <w:color w:val="auto"/>
                <w:kern w:val="2"/>
                <w:sz w:val="24"/>
                <w:szCs w:val="24"/>
                <w:highlight w:val="none"/>
                <w:lang w:val="en-US" w:eastAsia="zh-CN"/>
              </w:rPr>
              <w:t>8</w:t>
            </w:r>
            <w:r>
              <w:rPr>
                <w:rFonts w:hint="default" w:ascii="Times New Roman" w:hAnsi="Times New Roman" w:eastAsia="宋体" w:cs="Times New Roman"/>
                <w:color w:val="auto"/>
                <w:kern w:val="2"/>
                <w:sz w:val="24"/>
                <w:szCs w:val="24"/>
                <w:highlight w:val="none"/>
              </w:rPr>
              <w:t>]</w:t>
            </w:r>
            <w:r>
              <w:rPr>
                <w:rFonts w:hint="default" w:ascii="Times New Roman" w:hAnsi="Times New Roman" w:eastAsia="宋体" w:cs="Times New Roman"/>
                <w:color w:val="auto"/>
                <w:kern w:val="2"/>
                <w:sz w:val="24"/>
                <w:szCs w:val="24"/>
                <w:highlight w:val="none"/>
                <w:lang w:val="en-US" w:eastAsia="zh-CN"/>
              </w:rPr>
              <w:t>44</w:t>
            </w:r>
            <w:r>
              <w:rPr>
                <w:rFonts w:hint="default" w:ascii="Times New Roman" w:hAnsi="Times New Roman" w:eastAsia="宋体" w:cs="Times New Roman"/>
                <w:color w:val="auto"/>
                <w:kern w:val="2"/>
                <w:sz w:val="24"/>
                <w:szCs w:val="24"/>
                <w:highlight w:val="none"/>
              </w:rPr>
              <w:t>号</w:t>
            </w:r>
            <w:r>
              <w:rPr>
                <w:rFonts w:hint="default" w:ascii="Times New Roman" w:hAnsi="Times New Roman" w:eastAsia="宋体" w:cs="Times New Roman"/>
                <w:color w:val="auto"/>
                <w:szCs w:val="24"/>
                <w:highlight w:val="none"/>
                <w:lang w:eastAsia="zh-CN"/>
              </w:rPr>
              <w:t>），该项目于</w:t>
            </w:r>
            <w:r>
              <w:rPr>
                <w:rFonts w:hint="default" w:ascii="Times New Roman" w:hAnsi="Times New Roman" w:eastAsia="宋体" w:cs="Times New Roman"/>
                <w:color w:val="auto"/>
                <w:kern w:val="2"/>
                <w:sz w:val="24"/>
                <w:szCs w:val="24"/>
                <w:highlight w:val="none"/>
                <w:lang w:val="en-US" w:eastAsia="zh-CN"/>
              </w:rPr>
              <w:t>2019年6月通过验收（</w:t>
            </w:r>
            <w:r>
              <w:rPr>
                <w:rFonts w:hint="default" w:ascii="Times New Roman" w:hAnsi="Times New Roman" w:eastAsia="宋体" w:cs="Times New Roman"/>
                <w:color w:val="auto"/>
                <w:kern w:val="2"/>
                <w:sz w:val="24"/>
                <w:szCs w:val="24"/>
                <w:highlight w:val="none"/>
              </w:rPr>
              <w:t>济槐环建验[2019]</w:t>
            </w:r>
            <w:r>
              <w:rPr>
                <w:rFonts w:hint="default" w:ascii="Times New Roman" w:hAnsi="Times New Roman" w:eastAsia="宋体" w:cs="Times New Roman"/>
                <w:color w:val="auto"/>
                <w:kern w:val="2"/>
                <w:sz w:val="24"/>
                <w:szCs w:val="24"/>
                <w:highlight w:val="none"/>
                <w:lang w:val="en-US" w:eastAsia="zh-CN"/>
              </w:rPr>
              <w:t>20</w:t>
            </w:r>
            <w:r>
              <w:rPr>
                <w:rFonts w:hint="default" w:ascii="Times New Roman" w:hAnsi="Times New Roman" w:eastAsia="宋体" w:cs="Times New Roman"/>
                <w:color w:val="auto"/>
                <w:kern w:val="2"/>
                <w:sz w:val="24"/>
                <w:szCs w:val="24"/>
                <w:highlight w:val="none"/>
              </w:rPr>
              <w:t>号</w:t>
            </w:r>
            <w:r>
              <w:rPr>
                <w:rFonts w:hint="default" w:ascii="Times New Roman" w:hAnsi="Times New Roman" w:eastAsia="宋体" w:cs="Times New Roman"/>
                <w:color w:val="auto"/>
                <w:kern w:val="2"/>
                <w:sz w:val="24"/>
                <w:szCs w:val="24"/>
                <w:highlight w:val="none"/>
                <w:lang w:val="en-US" w:eastAsia="zh-CN"/>
              </w:rPr>
              <w:t>）</w:t>
            </w:r>
            <w:r>
              <w:rPr>
                <w:rFonts w:hint="eastAsia"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rPr>
              <w:t>中车山东机车车辆有限公司货车涂装生产线改造项目</w:t>
            </w:r>
            <w:r>
              <w:rPr>
                <w:rFonts w:hint="default"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szCs w:val="24"/>
                <w:highlight w:val="none"/>
                <w:lang w:val="en-US" w:eastAsia="zh-CN"/>
              </w:rPr>
              <w:t>于</w:t>
            </w:r>
            <w:r>
              <w:rPr>
                <w:rFonts w:hint="default" w:ascii="Times New Roman" w:hAnsi="Times New Roman" w:eastAsia="宋体" w:cs="Times New Roman"/>
                <w:color w:val="auto"/>
                <w:kern w:val="2"/>
                <w:sz w:val="24"/>
                <w:szCs w:val="24"/>
                <w:highlight w:val="none"/>
                <w:lang w:val="en-US" w:eastAsia="zh-CN"/>
              </w:rPr>
              <w:t>2018年12月</w:t>
            </w:r>
            <w:r>
              <w:rPr>
                <w:rFonts w:hint="default" w:ascii="Times New Roman" w:hAnsi="Times New Roman" w:eastAsia="宋体" w:cs="Times New Roman"/>
                <w:color w:val="auto"/>
                <w:kern w:val="2"/>
                <w:sz w:val="24"/>
                <w:szCs w:val="24"/>
                <w:highlight w:val="none"/>
                <w:lang w:val="en-US"/>
              </w:rPr>
              <w:t>年</w:t>
            </w:r>
            <w:r>
              <w:rPr>
                <w:rFonts w:hint="default" w:ascii="Times New Roman" w:hAnsi="Times New Roman" w:eastAsia="宋体" w:cs="Times New Roman"/>
                <w:color w:val="auto"/>
                <w:szCs w:val="24"/>
                <w:highlight w:val="none"/>
                <w:lang w:eastAsia="zh-CN"/>
              </w:rPr>
              <w:t>取得</w:t>
            </w:r>
            <w:r>
              <w:rPr>
                <w:rFonts w:hint="default" w:ascii="Times New Roman" w:hAnsi="Times New Roman" w:eastAsia="宋体" w:cs="Times New Roman"/>
                <w:color w:val="auto"/>
                <w:kern w:val="2"/>
                <w:sz w:val="24"/>
                <w:szCs w:val="24"/>
                <w:highlight w:val="none"/>
              </w:rPr>
              <w:t>济南市槐荫区环境保护局</w:t>
            </w:r>
            <w:r>
              <w:rPr>
                <w:rFonts w:hint="default" w:ascii="Times New Roman" w:hAnsi="Times New Roman" w:eastAsia="宋体" w:cs="Times New Roman"/>
                <w:color w:val="auto"/>
                <w:szCs w:val="24"/>
                <w:highlight w:val="none"/>
                <w:lang w:eastAsia="zh-CN"/>
              </w:rPr>
              <w:t>（现</w:t>
            </w:r>
            <w:r>
              <w:rPr>
                <w:rFonts w:hint="default" w:ascii="Times New Roman" w:hAnsi="Times New Roman" w:eastAsia="宋体" w:cs="Times New Roman"/>
                <w:color w:val="auto"/>
                <w:sz w:val="24"/>
                <w:szCs w:val="24"/>
                <w:highlight w:val="none"/>
                <w:lang w:val="en-US" w:eastAsia="zh-CN"/>
              </w:rPr>
              <w:t>济南市生态环境局</w:t>
            </w:r>
            <w:r>
              <w:rPr>
                <w:rFonts w:hint="default" w:ascii="Times New Roman" w:hAnsi="Times New Roman" w:eastAsia="宋体" w:cs="Times New Roman"/>
                <w:color w:val="auto"/>
                <w:kern w:val="2"/>
                <w:sz w:val="24"/>
                <w:szCs w:val="24"/>
                <w:highlight w:val="none"/>
              </w:rPr>
              <w:t>槐荫</w:t>
            </w:r>
            <w:r>
              <w:rPr>
                <w:rFonts w:hint="default" w:ascii="Times New Roman" w:hAnsi="Times New Roman" w:eastAsia="宋体" w:cs="Times New Roman"/>
                <w:color w:val="auto"/>
                <w:sz w:val="24"/>
                <w:szCs w:val="24"/>
                <w:highlight w:val="none"/>
                <w:lang w:val="en-US" w:eastAsia="zh-CN"/>
              </w:rPr>
              <w:t>分局</w:t>
            </w:r>
            <w:r>
              <w:rPr>
                <w:rFonts w:hint="default" w:ascii="Times New Roman" w:hAnsi="Times New Roman" w:eastAsia="宋体" w:cs="Times New Roman"/>
                <w:color w:val="auto"/>
                <w:szCs w:val="24"/>
                <w:highlight w:val="none"/>
                <w:lang w:eastAsia="zh-CN"/>
              </w:rPr>
              <w:t>）的审批（</w:t>
            </w:r>
            <w:r>
              <w:rPr>
                <w:rFonts w:hint="default" w:ascii="Times New Roman" w:hAnsi="Times New Roman" w:eastAsia="宋体" w:cs="Times New Roman"/>
                <w:color w:val="auto"/>
                <w:kern w:val="2"/>
                <w:sz w:val="24"/>
                <w:szCs w:val="24"/>
                <w:highlight w:val="none"/>
                <w:lang w:eastAsia="zh-CN"/>
              </w:rPr>
              <w:t>济槐环字[2018]39号</w:t>
            </w:r>
            <w:r>
              <w:rPr>
                <w:rFonts w:hint="default" w:ascii="Times New Roman" w:hAnsi="Times New Roman" w:eastAsia="宋体" w:cs="Times New Roman"/>
                <w:color w:val="auto"/>
                <w:szCs w:val="24"/>
                <w:highlight w:val="none"/>
                <w:lang w:eastAsia="zh-CN"/>
              </w:rPr>
              <w:t>），该项目于</w:t>
            </w:r>
            <w:r>
              <w:rPr>
                <w:rFonts w:hint="default" w:ascii="Times New Roman" w:hAnsi="Times New Roman" w:eastAsia="宋体" w:cs="Times New Roman"/>
                <w:color w:val="auto"/>
                <w:kern w:val="2"/>
                <w:sz w:val="24"/>
                <w:szCs w:val="24"/>
                <w:highlight w:val="none"/>
                <w:lang w:val="en-US" w:eastAsia="zh-CN"/>
              </w:rPr>
              <w:t>2019年6月通过验收（</w:t>
            </w:r>
            <w:r>
              <w:rPr>
                <w:rFonts w:hint="default" w:ascii="Times New Roman" w:hAnsi="Times New Roman" w:eastAsia="宋体" w:cs="Times New Roman"/>
                <w:color w:val="auto"/>
                <w:kern w:val="2"/>
                <w:sz w:val="24"/>
                <w:szCs w:val="24"/>
                <w:highlight w:val="none"/>
              </w:rPr>
              <w:t>济槐环建验[2019]19号</w:t>
            </w:r>
            <w:r>
              <w:rPr>
                <w:rFonts w:hint="default" w:ascii="Times New Roman" w:hAnsi="Times New Roman" w:eastAsia="宋体" w:cs="Times New Roman"/>
                <w:color w:val="auto"/>
                <w:kern w:val="2"/>
                <w:sz w:val="24"/>
                <w:szCs w:val="24"/>
                <w:highlight w:val="none"/>
                <w:lang w:val="en-US" w:eastAsia="zh-CN"/>
              </w:rPr>
              <w:t>）</w:t>
            </w:r>
            <w:r>
              <w:rPr>
                <w:rFonts w:hint="eastAsia" w:cs="Times New Roman"/>
                <w:color w:val="auto"/>
                <w:kern w:val="2"/>
                <w:sz w:val="24"/>
                <w:szCs w:val="24"/>
                <w:highlight w:val="none"/>
                <w:lang w:val="en-US" w:eastAsia="zh-CN"/>
              </w:rPr>
              <w:t>；</w:t>
            </w:r>
            <w:r>
              <w:rPr>
                <w:rFonts w:hint="eastAsia" w:ascii="Times New Roman" w:hAnsi="Times New Roman" w:eastAsia="宋体" w:cs="Times New Roman"/>
                <w:color w:val="auto"/>
                <w:kern w:val="2"/>
                <w:sz w:val="24"/>
                <w:szCs w:val="24"/>
                <w:highlight w:val="none"/>
                <w:lang w:val="en-US" w:eastAsia="zh-CN"/>
              </w:rPr>
              <w:t>《中车山东机车车辆有限公司焊接保护气体集中化供气项目》于2022年3月21日</w:t>
            </w:r>
            <w:r>
              <w:rPr>
                <w:rFonts w:hint="default" w:ascii="Times New Roman" w:hAnsi="Times New Roman" w:eastAsia="宋体" w:cs="Times New Roman"/>
                <w:color w:val="auto"/>
                <w:szCs w:val="24"/>
                <w:highlight w:val="none"/>
                <w:lang w:eastAsia="zh-CN"/>
              </w:rPr>
              <w:t>取得</w:t>
            </w:r>
            <w:r>
              <w:rPr>
                <w:rFonts w:hint="default" w:ascii="Times New Roman" w:hAnsi="Times New Roman" w:eastAsia="宋体" w:cs="Times New Roman"/>
                <w:color w:val="auto"/>
                <w:sz w:val="24"/>
                <w:szCs w:val="24"/>
                <w:highlight w:val="none"/>
                <w:lang w:val="en-US" w:eastAsia="zh-CN"/>
              </w:rPr>
              <w:t>济南市生态环境局</w:t>
            </w:r>
            <w:r>
              <w:rPr>
                <w:rFonts w:hint="default" w:ascii="Times New Roman" w:hAnsi="Times New Roman" w:eastAsia="宋体" w:cs="Times New Roman"/>
                <w:color w:val="auto"/>
                <w:kern w:val="2"/>
                <w:sz w:val="24"/>
                <w:szCs w:val="24"/>
                <w:highlight w:val="none"/>
              </w:rPr>
              <w:t>槐荫</w:t>
            </w:r>
            <w:r>
              <w:rPr>
                <w:rFonts w:hint="default" w:ascii="Times New Roman" w:hAnsi="Times New Roman" w:eastAsia="宋体" w:cs="Times New Roman"/>
                <w:color w:val="auto"/>
                <w:sz w:val="24"/>
                <w:szCs w:val="24"/>
                <w:highlight w:val="none"/>
                <w:lang w:val="en-US" w:eastAsia="zh-CN"/>
              </w:rPr>
              <w:t>分局</w:t>
            </w:r>
            <w:r>
              <w:rPr>
                <w:rFonts w:hint="eastAsia" w:ascii="Times New Roman" w:hAnsi="Times New Roman" w:eastAsia="宋体" w:cs="Times New Roman"/>
                <w:color w:val="auto"/>
                <w:sz w:val="24"/>
                <w:szCs w:val="24"/>
                <w:highlight w:val="none"/>
                <w:lang w:val="en-US" w:eastAsia="zh-CN"/>
              </w:rPr>
              <w:t>的审批（济槐环建审</w:t>
            </w:r>
            <w:r>
              <w:rPr>
                <w:rFonts w:hint="default" w:ascii="Times New Roman" w:hAnsi="Times New Roman" w:eastAsia="宋体" w:cs="Times New Roman"/>
                <w:color w:val="auto"/>
                <w:kern w:val="2"/>
                <w:sz w:val="24"/>
                <w:szCs w:val="24"/>
                <w:highlight w:val="none"/>
              </w:rPr>
              <w:t>[20</w:t>
            </w:r>
            <w:r>
              <w:rPr>
                <w:rFonts w:hint="eastAsia" w:ascii="Times New Roman" w:hAnsi="Times New Roman" w:eastAsia="宋体" w:cs="Times New Roman"/>
                <w:color w:val="auto"/>
                <w:kern w:val="2"/>
                <w:sz w:val="24"/>
                <w:szCs w:val="24"/>
                <w:highlight w:val="none"/>
                <w:lang w:val="en-US" w:eastAsia="zh-CN"/>
              </w:rPr>
              <w:t>22</w:t>
            </w:r>
            <w:r>
              <w:rPr>
                <w:rFonts w:hint="default" w:ascii="Times New Roman" w:hAnsi="Times New Roman" w:eastAsia="宋体" w:cs="Times New Roman"/>
                <w:color w:val="auto"/>
                <w:kern w:val="2"/>
                <w:sz w:val="24"/>
                <w:szCs w:val="24"/>
                <w:highlight w:val="none"/>
              </w:rPr>
              <w:t>]</w:t>
            </w:r>
            <w:r>
              <w:rPr>
                <w:rFonts w:hint="eastAsia" w:ascii="Times New Roman" w:hAnsi="Times New Roman" w:eastAsia="宋体" w:cs="Times New Roman"/>
                <w:color w:val="auto"/>
                <w:sz w:val="24"/>
                <w:szCs w:val="24"/>
                <w:highlight w:val="none"/>
                <w:lang w:val="en-US" w:eastAsia="zh-CN"/>
              </w:rPr>
              <w:t>4号）。</w:t>
            </w:r>
          </w:p>
          <w:p>
            <w:pPr>
              <w:pStyle w:val="2"/>
              <w:rPr>
                <w:rFonts w:hint="eastAsia" w:cs="Times New Roman"/>
                <w:color w:val="auto"/>
                <w:szCs w:val="24"/>
                <w:highlight w:val="none"/>
              </w:rPr>
            </w:pPr>
            <w:r>
              <w:rPr>
                <w:rFonts w:hint="eastAsia" w:cs="Times New Roman"/>
                <w:color w:val="auto"/>
                <w:szCs w:val="24"/>
                <w:highlight w:val="none"/>
              </w:rPr>
              <w:t>中车山东机车车辆有限公司2020年11月委托山东国环环保科技有限公司编制完成了《中车山东机车车辆有限公司原钢构喷漆房改造为打砂房项目环境影响报告表》，并于2020年11月26日经济南市生态环境局槐荫分局审批（济槐环建审[2020]45号）。</w:t>
            </w:r>
          </w:p>
          <w:p>
            <w:pPr>
              <w:pStyle w:val="2"/>
              <w:rPr>
                <w:rFonts w:hint="eastAsia" w:cs="Times New Roman"/>
                <w:color w:val="auto"/>
                <w:szCs w:val="24"/>
                <w:highlight w:val="none"/>
              </w:rPr>
            </w:pPr>
            <w:r>
              <w:rPr>
                <w:rFonts w:hint="eastAsia" w:cs="Times New Roman"/>
                <w:color w:val="auto"/>
                <w:szCs w:val="24"/>
                <w:highlight w:val="none"/>
              </w:rPr>
              <w:t>中车山东机车车辆有限公司原钢构喷漆房改造为打砂房项目行业类别及代码为C3712铁路机车车辆制造。公司为了满足车体交检后局部返修打砂的需要，将厂区内东北侧闲置的喷漆室进行简单隔断改造成打砂房，并配套建设打砂房的除尘系统和部分打砂设施、回砂系统。项目总投资84万元，其中环保投资45万元，不新增占地（原喷漆房占地面积217.5㎡）。项目不新增产能，仅对返修货车底架进行局部打砂处理，年返修打砂底架780个。项目员工进行内部调剂，从现有打砂房调配2名作业人员，不新增员工，实行单班白班制，每天工作8小时，年工作260天，夜间不运行。</w:t>
            </w:r>
          </w:p>
          <w:p>
            <w:pPr>
              <w:pStyle w:val="2"/>
              <w:rPr>
                <w:rFonts w:hint="eastAsia" w:cs="Times New Roman"/>
                <w:color w:val="auto"/>
                <w:szCs w:val="24"/>
                <w:highlight w:val="none"/>
              </w:rPr>
            </w:pPr>
            <w:r>
              <w:rPr>
                <w:rFonts w:hint="eastAsia" w:cs="Times New Roman"/>
                <w:color w:val="auto"/>
                <w:szCs w:val="24"/>
                <w:highlight w:val="none"/>
              </w:rPr>
              <w:t>本项目于2021年4月开工建设，2021年7月建成，</w:t>
            </w:r>
            <w:r>
              <w:rPr>
                <w:rFonts w:hint="eastAsia" w:cs="Times New Roman"/>
                <w:color w:val="auto"/>
                <w:szCs w:val="24"/>
                <w:highlight w:val="none"/>
                <w:lang w:eastAsia="zh-CN"/>
              </w:rPr>
              <w:t>2022年10月进行调试</w:t>
            </w:r>
            <w:r>
              <w:rPr>
                <w:rFonts w:hint="eastAsia" w:cs="Times New Roman"/>
                <w:color w:val="auto"/>
                <w:szCs w:val="24"/>
                <w:highlight w:val="none"/>
              </w:rPr>
              <w:t>，环保设施同时设计、同时施工并同时进行调试，调试期间运行状况良好，具备竣工验收条件。</w:t>
            </w:r>
          </w:p>
          <w:p>
            <w:pPr>
              <w:pStyle w:val="2"/>
              <w:rPr>
                <w:rFonts w:hint="eastAsia" w:cs="Times New Roman"/>
                <w:color w:val="auto"/>
                <w:szCs w:val="24"/>
                <w:highlight w:val="none"/>
              </w:rPr>
            </w:pPr>
            <w:r>
              <w:rPr>
                <w:rFonts w:hint="eastAsia" w:cs="Times New Roman"/>
                <w:color w:val="auto"/>
                <w:szCs w:val="24"/>
                <w:highlight w:val="none"/>
              </w:rPr>
              <w:t>本次验收内容为中车山东机车车辆有限公司原钢构喷漆房改造为打砂房项目建成后的全部内容。</w:t>
            </w:r>
          </w:p>
          <w:p>
            <w:pPr>
              <w:ind w:firstLine="480"/>
              <w:rPr>
                <w:color w:val="auto"/>
                <w:highlight w:val="none"/>
              </w:rPr>
            </w:pPr>
            <w:r>
              <w:rPr>
                <w:rFonts w:hint="eastAsia" w:cs="Times New Roman"/>
                <w:color w:val="auto"/>
                <w:szCs w:val="24"/>
                <w:highlight w:val="none"/>
              </w:rPr>
              <w:t>根据生态环境部＜关于发布《建设项目竣工环境保护验收技术指南 污染影响类》的公告＞（公告2018年 第9号）及《建设项目竣工环境保护验收暂行办法》（国环规环评[2017] 4号）要求，需对中车山东机车车辆有限公司原钢构喷漆房改造为打砂房项目进行竣工环境保护验收。因不具备检测能力，中车山东机车车辆有限公司委托山东华晟环境检测有限公司于</w:t>
            </w:r>
            <w:r>
              <w:rPr>
                <w:rFonts w:hint="eastAsia" w:cs="Times New Roman"/>
                <w:color w:val="auto"/>
                <w:szCs w:val="24"/>
                <w:highlight w:val="none"/>
                <w:lang w:eastAsia="zh-CN"/>
              </w:rPr>
              <w:t>2023年9月5日~2023年9月6日</w:t>
            </w:r>
            <w:r>
              <w:rPr>
                <w:rFonts w:hint="eastAsia" w:cs="Times New Roman"/>
                <w:color w:val="auto"/>
                <w:szCs w:val="24"/>
                <w:highlight w:val="none"/>
              </w:rPr>
              <w:t>，对本项目废气、噪声进行了竣工验收监测并出具检测报告。根据项目情况及检测报告，中车山东机车车辆有限公司于</w:t>
            </w:r>
            <w:r>
              <w:rPr>
                <w:rFonts w:hint="eastAsia" w:cs="Times New Roman"/>
                <w:color w:val="auto"/>
                <w:szCs w:val="24"/>
                <w:highlight w:val="none"/>
                <w:lang w:eastAsia="zh-CN"/>
              </w:rPr>
              <w:t>2023年9月主导编制完成</w:t>
            </w:r>
            <w:r>
              <w:rPr>
                <w:rFonts w:hint="eastAsia" w:cs="Times New Roman"/>
                <w:color w:val="auto"/>
                <w:szCs w:val="24"/>
                <w:highlight w:val="none"/>
              </w:rPr>
              <w:t>了《中车山东机车车辆有限公司原钢构喷漆房改造为打砂房项目竣工环境保护验收监测报告表》</w:t>
            </w:r>
            <w:r>
              <w:rPr>
                <w:rFonts w:hint="eastAsia"/>
                <w:color w:val="auto"/>
                <w:kern w:val="0"/>
                <w:highlight w:val="none"/>
              </w:rPr>
              <w:t>，</w:t>
            </w:r>
            <w:r>
              <w:rPr>
                <w:rFonts w:hint="eastAsia"/>
                <w:color w:val="auto"/>
                <w:highlight w:val="none"/>
              </w:rPr>
              <w:t>结论如下：</w:t>
            </w:r>
          </w:p>
          <w:p>
            <w:pPr>
              <w:pStyle w:val="2"/>
              <w:ind w:firstLine="482"/>
              <w:rPr>
                <w:rFonts w:cs="Times New Roman"/>
                <w:b/>
                <w:bCs/>
                <w:color w:val="auto"/>
                <w:szCs w:val="24"/>
                <w:highlight w:val="none"/>
              </w:rPr>
            </w:pPr>
            <w:r>
              <w:rPr>
                <w:rFonts w:hint="eastAsia" w:cs="Times New Roman"/>
                <w:b/>
                <w:bCs/>
                <w:color w:val="auto"/>
                <w:szCs w:val="24"/>
                <w:highlight w:val="none"/>
              </w:rPr>
              <w:t>1、变更情况：</w:t>
            </w:r>
          </w:p>
          <w:p>
            <w:pPr>
              <w:pStyle w:val="2"/>
              <w:rPr>
                <w:rFonts w:hint="eastAsia" w:cs="Times New Roman"/>
                <w:color w:val="auto"/>
                <w:szCs w:val="24"/>
                <w:highlight w:val="none"/>
              </w:rPr>
            </w:pPr>
            <w:r>
              <w:rPr>
                <w:rFonts w:hint="eastAsia" w:cs="Times New Roman"/>
                <w:color w:val="auto"/>
                <w:szCs w:val="24"/>
                <w:highlight w:val="none"/>
              </w:rPr>
              <w:t>与环评相较，该项目实际建设过程中项目的性质、规模、地点、运营工艺等内容与环评基本一致。</w:t>
            </w:r>
          </w:p>
          <w:p>
            <w:pPr>
              <w:pStyle w:val="2"/>
              <w:rPr>
                <w:rFonts w:hint="eastAsia" w:eastAsia="宋体" w:cs="Times New Roman"/>
                <w:color w:val="auto"/>
                <w:szCs w:val="24"/>
                <w:highlight w:val="none"/>
                <w:lang w:eastAsia="zh-CN"/>
              </w:rPr>
            </w:pPr>
            <w:r>
              <w:rPr>
                <w:rFonts w:hint="eastAsia" w:cs="Times New Roman"/>
                <w:color w:val="auto"/>
                <w:szCs w:val="24"/>
                <w:highlight w:val="none"/>
                <w:lang w:eastAsia="zh-CN"/>
              </w:rPr>
              <w:t>根据《中华人民共和国环境影响评价法》和关于印发《污染影响类建设项目重大变动清单（试行）》的通知（环办环评函[2020]688号）等的有关规定，项目性质、实际建设地点、生产工艺、防治污染的措施与环评基本一致，不属于重大变动，应纳入竣工环境保护验收管理。</w:t>
            </w:r>
          </w:p>
          <w:p>
            <w:pPr>
              <w:pStyle w:val="2"/>
              <w:ind w:firstLine="482"/>
              <w:rPr>
                <w:rFonts w:cs="Times New Roman"/>
                <w:color w:val="auto"/>
                <w:highlight w:val="none"/>
              </w:rPr>
            </w:pPr>
            <w:r>
              <w:rPr>
                <w:rFonts w:cs="Times New Roman"/>
                <w:b/>
                <w:bCs/>
                <w:color w:val="auto"/>
                <w:szCs w:val="24"/>
                <w:highlight w:val="none"/>
              </w:rPr>
              <w:t>2、监测期间运营工况情况：</w:t>
            </w:r>
          </w:p>
          <w:p>
            <w:pPr>
              <w:pStyle w:val="2"/>
              <w:ind w:firstLine="482"/>
              <w:rPr>
                <w:color w:val="auto"/>
                <w:highlight w:val="none"/>
              </w:rPr>
            </w:pPr>
            <w:r>
              <w:rPr>
                <w:rFonts w:hint="eastAsia"/>
                <w:color w:val="auto"/>
                <w:highlight w:val="none"/>
              </w:rPr>
              <w:t>监测</w:t>
            </w:r>
            <w:r>
              <w:rPr>
                <w:color w:val="auto"/>
                <w:highlight w:val="none"/>
              </w:rPr>
              <w:t>期间本项目运行正常。</w:t>
            </w:r>
          </w:p>
          <w:p>
            <w:pPr>
              <w:pStyle w:val="2"/>
              <w:ind w:firstLine="482"/>
              <w:rPr>
                <w:rFonts w:cs="Times New Roman"/>
                <w:color w:val="auto"/>
                <w:highlight w:val="none"/>
              </w:rPr>
            </w:pPr>
            <w:r>
              <w:rPr>
                <w:rFonts w:cs="Times New Roman"/>
                <w:b/>
                <w:bCs/>
                <w:color w:val="auto"/>
                <w:szCs w:val="24"/>
                <w:highlight w:val="none"/>
              </w:rPr>
              <w:t>3、验收</w:t>
            </w:r>
            <w:r>
              <w:rPr>
                <w:rFonts w:hint="eastAsia" w:cs="Times New Roman"/>
                <w:b/>
                <w:bCs/>
                <w:color w:val="auto"/>
                <w:szCs w:val="24"/>
                <w:highlight w:val="none"/>
              </w:rPr>
              <w:t>检测结果</w:t>
            </w:r>
          </w:p>
          <w:p>
            <w:pPr>
              <w:pStyle w:val="2"/>
              <w:rPr>
                <w:rFonts w:cs="Times New Roman"/>
                <w:color w:val="auto"/>
                <w:szCs w:val="24"/>
                <w:highlight w:val="none"/>
              </w:rPr>
            </w:pPr>
            <w:r>
              <w:rPr>
                <w:rFonts w:hint="eastAsia" w:cs="Times New Roman"/>
                <w:color w:val="auto"/>
                <w:szCs w:val="24"/>
                <w:highlight w:val="none"/>
              </w:rPr>
              <w:t>（1）废气：</w:t>
            </w:r>
          </w:p>
          <w:p>
            <w:pPr>
              <w:pStyle w:val="2"/>
              <w:rPr>
                <w:rFonts w:hint="eastAsia" w:cs="Times New Roman"/>
                <w:color w:val="auto"/>
                <w:szCs w:val="24"/>
                <w:highlight w:val="none"/>
              </w:rPr>
            </w:pPr>
            <w:r>
              <w:rPr>
                <w:rFonts w:hint="eastAsia" w:cs="Times New Roman"/>
                <w:color w:val="auto"/>
                <w:szCs w:val="24"/>
                <w:highlight w:val="none"/>
              </w:rPr>
              <w:t>项目产生的废气主要是打砂过程中产生的打砂粉尘。</w:t>
            </w:r>
          </w:p>
          <w:p>
            <w:pPr>
              <w:pStyle w:val="2"/>
              <w:rPr>
                <w:rFonts w:hint="eastAsia" w:cs="Times New Roman"/>
                <w:color w:val="auto"/>
                <w:szCs w:val="24"/>
                <w:highlight w:val="none"/>
              </w:rPr>
            </w:pPr>
            <w:r>
              <w:rPr>
                <w:rFonts w:hint="eastAsia" w:cs="Times New Roman"/>
                <w:color w:val="auto"/>
                <w:szCs w:val="24"/>
                <w:highlight w:val="none"/>
              </w:rPr>
              <w:t>①有组织废气：</w:t>
            </w:r>
          </w:p>
          <w:p>
            <w:pPr>
              <w:pStyle w:val="2"/>
              <w:rPr>
                <w:rFonts w:hint="eastAsia" w:cs="Times New Roman"/>
                <w:color w:val="auto"/>
                <w:szCs w:val="24"/>
                <w:highlight w:val="none"/>
              </w:rPr>
            </w:pPr>
            <w:r>
              <w:rPr>
                <w:rFonts w:hint="eastAsia" w:cs="Times New Roman"/>
                <w:color w:val="auto"/>
                <w:szCs w:val="24"/>
                <w:highlight w:val="none"/>
              </w:rPr>
              <w:t>打砂粉尘收集后经旋风分离器和GK-48滤筒除尘器装置处理后通过22米高排气筒（DA035）排放。</w:t>
            </w:r>
          </w:p>
          <w:p>
            <w:pPr>
              <w:pStyle w:val="2"/>
              <w:rPr>
                <w:rFonts w:hint="eastAsia" w:cs="Times New Roman"/>
                <w:color w:val="auto"/>
                <w:szCs w:val="24"/>
                <w:highlight w:val="none"/>
              </w:rPr>
            </w:pPr>
            <w:r>
              <w:rPr>
                <w:rFonts w:hint="eastAsia" w:cs="Times New Roman"/>
                <w:color w:val="auto"/>
                <w:szCs w:val="24"/>
                <w:highlight w:val="none"/>
              </w:rPr>
              <w:t>②无组织废气：</w:t>
            </w:r>
          </w:p>
          <w:p>
            <w:pPr>
              <w:pStyle w:val="2"/>
              <w:rPr>
                <w:rFonts w:hint="eastAsia" w:cs="Times New Roman"/>
                <w:color w:val="auto"/>
                <w:szCs w:val="24"/>
                <w:highlight w:val="none"/>
              </w:rPr>
            </w:pPr>
            <w:r>
              <w:rPr>
                <w:rFonts w:hint="eastAsia" w:cs="Times New Roman"/>
                <w:color w:val="auto"/>
                <w:szCs w:val="24"/>
                <w:highlight w:val="none"/>
              </w:rPr>
              <w:t>未被收集的打砂粉尘，车间通风后无组织排放。</w:t>
            </w:r>
          </w:p>
          <w:p>
            <w:pPr>
              <w:pStyle w:val="21"/>
              <w:spacing w:line="360" w:lineRule="auto"/>
              <w:ind w:firstLine="480" w:firstLineChars="200"/>
              <w:rPr>
                <w:rFonts w:hint="eastAsia" w:ascii="Times New Roman" w:hAnsi="Times New Roman"/>
                <w:color w:val="auto"/>
                <w:highlight w:val="none"/>
                <w:lang w:eastAsia="zh-CN"/>
              </w:rPr>
            </w:pPr>
            <w:r>
              <w:rPr>
                <w:rFonts w:hint="eastAsia"/>
              </w:rPr>
              <w:t>由监测结果可知，验收监测期间</w:t>
            </w:r>
            <w:r>
              <w:rPr>
                <w:rFonts w:hint="eastAsia" w:ascii="Times New Roman"/>
                <w:color w:val="auto"/>
                <w:highlight w:val="none"/>
                <w:lang w:eastAsia="zh-CN"/>
              </w:rPr>
              <w:t>：</w:t>
            </w:r>
            <w:r>
              <w:rPr>
                <w:rFonts w:hint="eastAsia" w:ascii="Times New Roman"/>
                <w:color w:val="auto"/>
                <w:highlight w:val="none"/>
              </w:rPr>
              <w:t>打砂废气排气筒DA035中主要污染物</w:t>
            </w:r>
            <w:r>
              <w:rPr>
                <w:rFonts w:hint="eastAsia" w:ascii="Times New Roman"/>
                <w:color w:val="auto"/>
                <w:highlight w:val="none"/>
                <w:lang w:eastAsia="zh-CN"/>
              </w:rPr>
              <w:t>颗粒物</w:t>
            </w:r>
            <w:r>
              <w:rPr>
                <w:rFonts w:hint="eastAsia" w:ascii="Times New Roman"/>
                <w:color w:val="auto"/>
                <w:highlight w:val="none"/>
              </w:rPr>
              <w:t>最高排放浓度为</w:t>
            </w:r>
            <w:r>
              <w:rPr>
                <w:rFonts w:hint="eastAsia" w:ascii="Times New Roman"/>
                <w:color w:val="auto"/>
                <w:highlight w:val="none"/>
                <w:lang w:val="en-US" w:eastAsia="zh-CN"/>
              </w:rPr>
              <w:t>1.7</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，最高排放速率为0.0</w:t>
            </w:r>
            <w:r>
              <w:rPr>
                <w:rFonts w:hint="eastAsia" w:ascii="Times New Roman"/>
                <w:color w:val="auto"/>
                <w:highlight w:val="none"/>
                <w:lang w:val="en-US" w:eastAsia="zh-CN"/>
              </w:rPr>
              <w:t>59</w:t>
            </w:r>
            <w:r>
              <w:rPr>
                <w:rFonts w:ascii="Times New Roman"/>
                <w:color w:val="auto"/>
                <w:highlight w:val="none"/>
              </w:rPr>
              <w:t>kg/h</w:t>
            </w:r>
            <w:r>
              <w:rPr>
                <w:rFonts w:hint="eastAsia" w:ascii="Times New Roman" w:hAnsi="Times New Roman"/>
                <w:color w:val="auto"/>
                <w:highlight w:val="none"/>
                <w:lang w:eastAsia="zh-CN"/>
              </w:rPr>
              <w:t>，有组织颗粒物排放浓度满足《山东省区域性大气污染物综合排放标准》（DB37/2376-2019）标准中表1重点控制区的要求，排放速率满足《大气污染物综合排放标准》（GB16297-1996）表2二级标准的要求。</w:t>
            </w:r>
          </w:p>
          <w:p>
            <w:pPr>
              <w:pStyle w:val="2"/>
              <w:rPr>
                <w:rFonts w:hint="eastAsia" w:cs="Times New Roman"/>
                <w:color w:val="auto"/>
                <w:szCs w:val="24"/>
                <w:highlight w:val="none"/>
              </w:rPr>
            </w:pPr>
            <w:r>
              <w:rPr>
                <w:rFonts w:hint="eastAsia"/>
              </w:rPr>
              <w:t>由监测结果可知，验收监测期间：</w:t>
            </w:r>
            <w:r>
              <w:rPr>
                <w:rFonts w:hint="eastAsia" w:ascii="Times New Roman" w:hAnsi="Times New Roman"/>
                <w:color w:val="auto"/>
                <w:highlight w:val="none"/>
              </w:rPr>
              <w:t>厂界无组织排放的</w:t>
            </w:r>
            <w:r>
              <w:rPr>
                <w:rFonts w:hint="eastAsia" w:ascii="Times New Roman" w:hAnsi="Times New Roman"/>
                <w:color w:val="auto"/>
                <w:highlight w:val="none"/>
                <w:lang w:eastAsia="zh-CN"/>
              </w:rPr>
              <w:t>颗粒物</w:t>
            </w:r>
            <w:r>
              <w:rPr>
                <w:rFonts w:hint="eastAsia" w:ascii="Times New Roman" w:hAnsi="Times New Roman"/>
                <w:color w:val="auto"/>
                <w:highlight w:val="none"/>
              </w:rPr>
              <w:t>周界外浓度最高点浓度为</w:t>
            </w:r>
            <w:r>
              <w:rPr>
                <w:rFonts w:hint="eastAsia"/>
                <w:color w:val="auto"/>
                <w:highlight w:val="none"/>
                <w:lang w:val="en-US" w:eastAsia="zh-CN"/>
              </w:rPr>
              <w:t>341</w:t>
            </w:r>
            <w:r>
              <w:rPr>
                <w:rFonts w:hint="eastAsia" w:ascii="Times New Roman" w:hAnsi="Times New Roman"/>
                <w:color w:val="auto"/>
                <w:highlight w:val="none"/>
                <w:lang w:val="en-US" w:eastAsia="zh-CN"/>
              </w:rPr>
              <w:t>μg/m³</w:t>
            </w:r>
            <w:r>
              <w:rPr>
                <w:rFonts w:hint="eastAsia" w:ascii="Times New Roman" w:hAnsi="Times New Roman"/>
                <w:color w:val="auto"/>
                <w:highlight w:val="none"/>
              </w:rPr>
              <w:t>，</w:t>
            </w:r>
            <w:r>
              <w:rPr>
                <w:rFonts w:hint="eastAsia" w:ascii="Times New Roman" w:hAnsi="Times New Roman"/>
                <w:color w:val="auto"/>
                <w:highlight w:val="none"/>
                <w:lang w:eastAsia="zh-CN"/>
              </w:rPr>
              <w:t>满足《大气污染物综合排放标准》（GB16297-1996）表2无组织排放浓度限值。</w:t>
            </w:r>
          </w:p>
          <w:p>
            <w:pPr>
              <w:pStyle w:val="2"/>
              <w:adjustRightInd/>
              <w:jc w:val="both"/>
              <w:rPr>
                <w:rFonts w:cs="Times New Roman"/>
                <w:color w:val="auto"/>
                <w:kern w:val="0"/>
                <w:szCs w:val="24"/>
                <w:highlight w:val="none"/>
                <w:lang w:bidi="ar"/>
              </w:rPr>
            </w:pPr>
            <w:r>
              <w:rPr>
                <w:rFonts w:hint="eastAsia" w:cs="Times New Roman"/>
                <w:color w:val="auto"/>
                <w:kern w:val="0"/>
                <w:szCs w:val="24"/>
                <w:highlight w:val="none"/>
                <w:lang w:bidi="ar"/>
              </w:rPr>
              <w:t>（2）废水：</w:t>
            </w:r>
          </w:p>
          <w:p>
            <w:pPr>
              <w:pStyle w:val="2"/>
              <w:adjustRightInd/>
              <w:jc w:val="both"/>
              <w:rPr>
                <w:rFonts w:hint="eastAsia" w:cs="Times New Roman"/>
                <w:color w:val="auto"/>
                <w:kern w:val="0"/>
                <w:szCs w:val="24"/>
                <w:highlight w:val="none"/>
                <w:lang w:bidi="ar"/>
              </w:rPr>
            </w:pPr>
            <w:r>
              <w:rPr>
                <w:rFonts w:hint="eastAsia" w:cs="Times New Roman"/>
                <w:color w:val="auto"/>
                <w:kern w:val="0"/>
                <w:szCs w:val="24"/>
                <w:highlight w:val="none"/>
                <w:lang w:bidi="ar"/>
              </w:rPr>
              <w:t>项目不新增员工，生产过程中无生产废水产生，项目不新增废水排放。</w:t>
            </w:r>
          </w:p>
          <w:p>
            <w:pPr>
              <w:pStyle w:val="2"/>
              <w:rPr>
                <w:rFonts w:cs="Times New Roman"/>
                <w:color w:val="auto"/>
                <w:szCs w:val="24"/>
                <w:highlight w:val="none"/>
              </w:rPr>
            </w:pPr>
            <w:r>
              <w:rPr>
                <w:rFonts w:hint="eastAsia" w:cs="Times New Roman"/>
                <w:color w:val="auto"/>
                <w:szCs w:val="24"/>
                <w:highlight w:val="none"/>
              </w:rPr>
              <w:t>（3）噪声：</w:t>
            </w:r>
          </w:p>
          <w:p>
            <w:pPr>
              <w:ind w:firstLine="480"/>
              <w:rPr>
                <w:rFonts w:hint="eastAsia"/>
                <w:color w:val="auto"/>
                <w:highlight w:val="none"/>
              </w:rPr>
            </w:pPr>
            <w:r>
              <w:rPr>
                <w:rFonts w:hint="eastAsia"/>
                <w:color w:val="auto"/>
                <w:highlight w:val="none"/>
              </w:rPr>
              <w:t>项目产生的噪声主要是除尘器、风机、提升机、抽尘系统、打砂机等的运行噪声，项目采取设备均布置于室内，采取门窗、墙体隔声，全部设备均选用低噪声设备并采取减振措施。加强管理，经常保养和维护机械设备避免设备在不良状态下运行等措施。</w:t>
            </w:r>
          </w:p>
          <w:p>
            <w:pPr>
              <w:ind w:firstLine="480"/>
              <w:rPr>
                <w:rFonts w:hint="eastAsia"/>
                <w:color w:val="auto"/>
                <w:highlight w:val="none"/>
              </w:rPr>
            </w:pPr>
            <w:r>
              <w:rPr>
                <w:rFonts w:hint="eastAsia"/>
              </w:rPr>
              <w:t>由监测结果可知，验收监测期间：项目1#东厂界、2#南厂界、3#西厂界</w:t>
            </w:r>
            <w:r>
              <w:rPr>
                <w:rFonts w:hint="eastAsia"/>
                <w:lang w:eastAsia="zh-CN"/>
              </w:rPr>
              <w:t>，</w:t>
            </w:r>
            <w:r>
              <w:rPr>
                <w:rFonts w:hint="eastAsia"/>
              </w:rPr>
              <w:t>昼间厂界噪声最大值分别为</w:t>
            </w:r>
            <w:r>
              <w:rPr>
                <w:rFonts w:hint="eastAsia"/>
                <w:lang w:val="en-US" w:eastAsia="zh-CN"/>
              </w:rPr>
              <w:t>52.3</w:t>
            </w:r>
            <w:r>
              <w:rPr>
                <w:rFonts w:hint="eastAsia"/>
              </w:rPr>
              <w:t>dB（A）、</w:t>
            </w:r>
            <w:r>
              <w:rPr>
                <w:rFonts w:hint="eastAsia"/>
                <w:lang w:val="en-US" w:eastAsia="zh-CN"/>
              </w:rPr>
              <w:t>53.1</w:t>
            </w:r>
            <w:r>
              <w:rPr>
                <w:rFonts w:hint="eastAsia"/>
              </w:rPr>
              <w:t>dB（A）、</w:t>
            </w:r>
            <w:r>
              <w:rPr>
                <w:rFonts w:hint="eastAsia"/>
                <w:lang w:val="en-US" w:eastAsia="zh-CN"/>
              </w:rPr>
              <w:t>53.9</w:t>
            </w:r>
            <w:r>
              <w:rPr>
                <w:rFonts w:hint="eastAsia"/>
              </w:rPr>
              <w:t>dB（A）</w:t>
            </w:r>
            <w:r>
              <w:rPr>
                <w:rFonts w:hint="eastAsia"/>
                <w:lang w:eastAsia="zh-CN"/>
              </w:rPr>
              <w:t>，</w:t>
            </w:r>
            <w:r>
              <w:rPr>
                <w:rFonts w:hint="eastAsia"/>
              </w:rPr>
              <w:t>均满足《工业企业厂界环境噪声排放标准》(GB12348-2008)2类昼间标准。4#</w:t>
            </w:r>
            <w:r>
              <w:rPr>
                <w:rFonts w:hint="eastAsia"/>
                <w:lang w:eastAsia="zh-CN"/>
              </w:rPr>
              <w:t>北厂界（靠近铁路干线）</w:t>
            </w:r>
            <w:r>
              <w:rPr>
                <w:rFonts w:hint="eastAsia"/>
              </w:rPr>
              <w:t>昼间厂界噪声最大值为</w:t>
            </w:r>
            <w:r>
              <w:rPr>
                <w:rFonts w:hint="eastAsia"/>
                <w:lang w:val="en-US" w:eastAsia="zh-CN"/>
              </w:rPr>
              <w:t>51.9</w:t>
            </w:r>
            <w:r>
              <w:rPr>
                <w:rFonts w:hint="eastAsia"/>
              </w:rPr>
              <w:t>dB（A）</w:t>
            </w:r>
            <w:r>
              <w:rPr>
                <w:rFonts w:hint="eastAsia"/>
                <w:lang w:eastAsia="zh-CN"/>
              </w:rPr>
              <w:t>，</w:t>
            </w:r>
            <w:r>
              <w:rPr>
                <w:rFonts w:hint="eastAsia"/>
              </w:rPr>
              <w:t>满足《工业企业厂界环境噪声排放标准》(GB12348-2008)</w:t>
            </w:r>
            <w:r>
              <w:rPr>
                <w:rFonts w:hint="eastAsia"/>
                <w:lang w:val="en-US" w:eastAsia="zh-CN"/>
              </w:rPr>
              <w:t>4</w:t>
            </w:r>
            <w:r>
              <w:rPr>
                <w:rFonts w:hint="eastAsia"/>
              </w:rPr>
              <w:t>类昼间标准。</w:t>
            </w:r>
            <w:r>
              <w:rPr>
                <w:rFonts w:hint="eastAsia"/>
                <w:color w:val="auto"/>
                <w:highlight w:val="none"/>
              </w:rPr>
              <w:t>项目南侧的</w:t>
            </w:r>
            <w:r>
              <w:rPr>
                <w:rFonts w:hint="eastAsia"/>
                <w:color w:val="auto"/>
                <w:highlight w:val="none"/>
                <w:lang w:val="en-US" w:eastAsia="zh-CN"/>
              </w:rPr>
              <w:t>5#</w:t>
            </w:r>
            <w:r>
              <w:rPr>
                <w:rFonts w:hint="eastAsia"/>
                <w:color w:val="auto"/>
                <w:highlight w:val="none"/>
              </w:rPr>
              <w:t>济车东门住宅区</w:t>
            </w:r>
            <w:r>
              <w:rPr>
                <w:rFonts w:hint="eastAsia"/>
                <w:color w:val="auto"/>
                <w:highlight w:val="none"/>
                <w:lang w:eastAsia="zh-CN"/>
              </w:rPr>
              <w:t>（距厂区70m），东</w:t>
            </w:r>
            <w:r>
              <w:rPr>
                <w:rFonts w:hint="eastAsia"/>
                <w:color w:val="auto"/>
                <w:highlight w:val="none"/>
              </w:rPr>
              <w:t>侧的</w:t>
            </w:r>
            <w:r>
              <w:rPr>
                <w:rFonts w:hint="eastAsia"/>
                <w:color w:val="auto"/>
                <w:highlight w:val="none"/>
                <w:lang w:val="en-US" w:eastAsia="zh-CN"/>
              </w:rPr>
              <w:t>6#</w:t>
            </w:r>
            <w:r>
              <w:rPr>
                <w:rFonts w:hint="eastAsia"/>
                <w:color w:val="auto"/>
                <w:highlight w:val="none"/>
              </w:rPr>
              <w:t>济南市昆仑小学</w:t>
            </w:r>
            <w:r>
              <w:rPr>
                <w:rFonts w:hint="eastAsia"/>
                <w:color w:val="auto"/>
                <w:highlight w:val="none"/>
                <w:lang w:eastAsia="zh-CN"/>
              </w:rPr>
              <w:t>（距厂区25m）</w:t>
            </w:r>
            <w:r>
              <w:rPr>
                <w:rFonts w:hint="eastAsia"/>
                <w:color w:val="auto"/>
                <w:highlight w:val="none"/>
              </w:rPr>
              <w:t>，</w:t>
            </w:r>
            <w:r>
              <w:rPr>
                <w:rFonts w:hint="eastAsia"/>
                <w:color w:val="auto"/>
                <w:highlight w:val="none"/>
                <w:lang w:eastAsia="zh-CN"/>
              </w:rPr>
              <w:t>东</w:t>
            </w:r>
            <w:r>
              <w:rPr>
                <w:rFonts w:hint="eastAsia"/>
                <w:color w:val="auto"/>
                <w:highlight w:val="none"/>
              </w:rPr>
              <w:t>侧的</w:t>
            </w:r>
            <w:r>
              <w:rPr>
                <w:rFonts w:hint="eastAsia"/>
                <w:color w:val="auto"/>
                <w:highlight w:val="none"/>
                <w:lang w:val="en-US" w:eastAsia="zh-CN"/>
              </w:rPr>
              <w:t>7#</w:t>
            </w:r>
            <w:r>
              <w:rPr>
                <w:rFonts w:hint="eastAsia"/>
                <w:color w:val="auto"/>
                <w:highlight w:val="none"/>
              </w:rPr>
              <w:t>昆仑街小区</w:t>
            </w:r>
            <w:r>
              <w:rPr>
                <w:rFonts w:hint="eastAsia"/>
                <w:color w:val="auto"/>
                <w:highlight w:val="none"/>
                <w:lang w:eastAsia="zh-CN"/>
              </w:rPr>
              <w:t>（距厂区187m）</w:t>
            </w:r>
            <w:r>
              <w:rPr>
                <w:rFonts w:hint="eastAsia"/>
              </w:rPr>
              <w:t>，昼间敏感点噪声最大值</w:t>
            </w:r>
            <w:r>
              <w:rPr>
                <w:rFonts w:hint="eastAsia"/>
                <w:lang w:eastAsia="zh-CN"/>
              </w:rPr>
              <w:t>分别</w:t>
            </w:r>
            <w:r>
              <w:rPr>
                <w:rFonts w:hint="eastAsia"/>
              </w:rPr>
              <w:t>为</w:t>
            </w:r>
            <w:r>
              <w:rPr>
                <w:rFonts w:hint="eastAsia"/>
                <w:lang w:val="en-US" w:eastAsia="zh-CN"/>
              </w:rPr>
              <w:t>51.4</w:t>
            </w:r>
            <w:r>
              <w:rPr>
                <w:rFonts w:hint="eastAsia"/>
              </w:rPr>
              <w:t>dB（A）</w:t>
            </w:r>
            <w:r>
              <w:rPr>
                <w:rFonts w:hint="eastAsia"/>
                <w:lang w:eastAsia="zh-CN"/>
              </w:rPr>
              <w:t>、</w:t>
            </w:r>
            <w:r>
              <w:rPr>
                <w:rFonts w:hint="eastAsia"/>
                <w:lang w:val="en-US" w:eastAsia="zh-CN"/>
              </w:rPr>
              <w:t>52.6</w:t>
            </w:r>
            <w:r>
              <w:rPr>
                <w:rFonts w:hint="eastAsia"/>
              </w:rPr>
              <w:t>dB（A）</w:t>
            </w:r>
            <w:r>
              <w:rPr>
                <w:rFonts w:hint="eastAsia"/>
                <w:lang w:eastAsia="zh-CN"/>
              </w:rPr>
              <w:t>、</w:t>
            </w:r>
            <w:r>
              <w:rPr>
                <w:rFonts w:hint="eastAsia"/>
                <w:lang w:val="en-US" w:eastAsia="zh-CN"/>
              </w:rPr>
              <w:t>50.4</w:t>
            </w:r>
            <w:r>
              <w:rPr>
                <w:rFonts w:hint="eastAsia"/>
              </w:rPr>
              <w:t>dB（A），</w:t>
            </w:r>
            <w:r>
              <w:rPr>
                <w:rFonts w:hint="eastAsia"/>
                <w:lang w:eastAsia="zh-CN"/>
              </w:rPr>
              <w:t>均</w:t>
            </w:r>
            <w:r>
              <w:rPr>
                <w:rFonts w:hint="eastAsia"/>
              </w:rPr>
              <w:t>满足《声环境质量标准》(GB3096-2008)2类昼间标准。项目夜间不运行。</w:t>
            </w:r>
          </w:p>
          <w:p>
            <w:pPr>
              <w:pStyle w:val="2"/>
              <w:widowControl/>
              <w:adjustRightInd/>
              <w:rPr>
                <w:rFonts w:cs="Times New Roman"/>
                <w:color w:val="auto"/>
                <w:szCs w:val="24"/>
                <w:highlight w:val="none"/>
              </w:rPr>
            </w:pPr>
            <w:r>
              <w:rPr>
                <w:rFonts w:cs="Times New Roman"/>
                <w:color w:val="auto"/>
                <w:szCs w:val="24"/>
                <w:highlight w:val="none"/>
              </w:rPr>
              <w:t>（4）</w:t>
            </w:r>
            <w:r>
              <w:rPr>
                <w:rFonts w:hint="eastAsia" w:cs="Times New Roman"/>
                <w:color w:val="auto"/>
                <w:szCs w:val="24"/>
                <w:highlight w:val="none"/>
              </w:rPr>
              <w:t>固废：</w:t>
            </w:r>
          </w:p>
          <w:p>
            <w:pPr>
              <w:pStyle w:val="2"/>
              <w:widowControl/>
              <w:adjustRightInd/>
              <w:rPr>
                <w:rFonts w:hint="eastAsia" w:cs="Times New Roman"/>
                <w:color w:val="auto"/>
                <w:szCs w:val="24"/>
                <w:highlight w:val="none"/>
              </w:rPr>
            </w:pPr>
            <w:r>
              <w:rPr>
                <w:rFonts w:hint="eastAsia" w:cs="Times New Roman"/>
                <w:color w:val="auto"/>
                <w:szCs w:val="24"/>
                <w:highlight w:val="none"/>
              </w:rPr>
              <w:t>项目产生的固体废物主要是打砂过程中砂尘分离器分离出的金属氧化皮碎片和破碎的钢砂（以破碎的钢砂为主），旋风分离器和滤筒除尘器收集的粉尘及废滤筒。</w:t>
            </w:r>
          </w:p>
          <w:p>
            <w:pPr>
              <w:pStyle w:val="2"/>
              <w:widowControl/>
              <w:adjustRightInd/>
              <w:rPr>
                <w:rFonts w:hint="eastAsia" w:cs="Times New Roman"/>
                <w:color w:val="auto"/>
                <w:szCs w:val="24"/>
                <w:highlight w:val="none"/>
              </w:rPr>
            </w:pPr>
            <w:r>
              <w:rPr>
                <w:rFonts w:hint="eastAsia" w:cs="Times New Roman"/>
                <w:color w:val="auto"/>
                <w:szCs w:val="24"/>
                <w:highlight w:val="none"/>
              </w:rPr>
              <w:t>砂尘分离器分离出的金属氧化皮碎片和破碎的钢砂（以破碎的钢砂为主），旋风分离器和滤筒除尘器收集的粉尘及废滤筒，收集后和现有项目打砂房产生同类固废一起由厂区集中处理。</w:t>
            </w:r>
          </w:p>
          <w:p>
            <w:pPr>
              <w:pStyle w:val="2"/>
              <w:widowControl/>
              <w:adjustRightInd/>
              <w:rPr>
                <w:rFonts w:hint="eastAsia" w:cs="Times New Roman"/>
                <w:color w:val="auto"/>
                <w:szCs w:val="24"/>
                <w:highlight w:val="none"/>
              </w:rPr>
            </w:pPr>
            <w:r>
              <w:rPr>
                <w:rFonts w:hint="eastAsia" w:cs="Times New Roman"/>
                <w:color w:val="auto"/>
                <w:szCs w:val="24"/>
                <w:highlight w:val="none"/>
              </w:rPr>
              <w:t>一般固废的处置符合《一般工业固体废物贮存和填埋污染控制标准》(GB18599-2020)的要求。</w:t>
            </w:r>
          </w:p>
          <w:p>
            <w:pPr>
              <w:pStyle w:val="2"/>
              <w:widowControl/>
              <w:numPr>
                <w:ilvl w:val="255"/>
                <w:numId w:val="0"/>
              </w:numPr>
              <w:adjustRightInd/>
              <w:spacing w:line="240" w:lineRule="auto"/>
              <w:ind w:firstLine="482" w:firstLineChars="200"/>
              <w:rPr>
                <w:rFonts w:hint="eastAsia" w:eastAsia="宋体" w:cs="Times New Roman"/>
                <w:b/>
                <w:bCs/>
                <w:color w:val="auto"/>
                <w:szCs w:val="24"/>
                <w:highlight w:val="none"/>
                <w:lang w:eastAsia="zh-CN"/>
              </w:rPr>
            </w:pPr>
            <w:r>
              <w:rPr>
                <w:rFonts w:hint="eastAsia" w:cs="Times New Roman"/>
                <w:b/>
                <w:bCs/>
                <w:color w:val="auto"/>
                <w:szCs w:val="24"/>
                <w:highlight w:val="none"/>
              </w:rPr>
              <w:t>4、污染物排放总量</w:t>
            </w:r>
            <w:r>
              <w:rPr>
                <w:rFonts w:hint="eastAsia" w:cs="Times New Roman"/>
                <w:b/>
                <w:bCs/>
                <w:color w:val="auto"/>
                <w:szCs w:val="24"/>
                <w:highlight w:val="none"/>
                <w:lang w:eastAsia="zh-CN"/>
              </w:rPr>
              <w:t>核算</w:t>
            </w:r>
          </w:p>
          <w:p>
            <w:pPr>
              <w:pStyle w:val="6"/>
              <w:ind w:firstLine="480"/>
              <w:rPr>
                <w:rFonts w:hint="eastAsia"/>
                <w:color w:val="auto"/>
                <w:highlight w:val="none"/>
              </w:rPr>
            </w:pPr>
            <w:r>
              <w:rPr>
                <w:rFonts w:hint="eastAsia"/>
                <w:color w:val="auto"/>
                <w:highlight w:val="none"/>
              </w:rPr>
              <w:t>废气：项目《济南市建设项目污染物总量审核确认书》，编号：JNZL（2020）31号中确定的总量控制指标为颗粒物：0.2175t/a。</w:t>
            </w:r>
          </w:p>
          <w:p>
            <w:pPr>
              <w:pStyle w:val="6"/>
              <w:ind w:firstLine="480"/>
              <w:rPr>
                <w:rFonts w:hint="eastAsia"/>
                <w:color w:val="auto"/>
                <w:highlight w:val="none"/>
              </w:rPr>
            </w:pPr>
            <w:r>
              <w:rPr>
                <w:rFonts w:hint="eastAsia"/>
                <w:color w:val="auto"/>
                <w:highlight w:val="none"/>
              </w:rPr>
              <w:t>项目在打砂工序产生粉尘，打砂工序排气筒年排气时间为2080小时，根据验收监测结果核算，项目排放量颗粒物：</w:t>
            </w:r>
            <w:r>
              <w:rPr>
                <w:rFonts w:hint="eastAsia" w:cs="Times New Roman"/>
                <w:color w:val="auto"/>
                <w:highlight w:val="none"/>
                <w:lang w:val="en-US" w:eastAsia="zh-CN"/>
              </w:rPr>
              <w:t>0.12272</w:t>
            </w:r>
            <w:r>
              <w:rPr>
                <w:rFonts w:hint="eastAsia"/>
                <w:color w:val="auto"/>
                <w:highlight w:val="none"/>
              </w:rPr>
              <w:t>t/a，满足总量控制要求。</w:t>
            </w:r>
          </w:p>
          <w:p>
            <w:pPr>
              <w:numPr>
                <w:ilvl w:val="255"/>
                <w:numId w:val="0"/>
              </w:numPr>
              <w:ind w:firstLine="482"/>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lang w:val="en-US" w:eastAsia="zh-CN"/>
              </w:rPr>
              <w:t>5</w:t>
            </w:r>
            <w:r>
              <w:rPr>
                <w:rFonts w:hint="eastAsia" w:ascii="Times New Roman" w:hAnsi="Times New Roman" w:eastAsia="宋体" w:cs="Times New Roman"/>
                <w:b/>
                <w:bCs/>
                <w:color w:val="auto"/>
                <w:highlight w:val="none"/>
              </w:rPr>
              <w:t>、</w:t>
            </w:r>
            <w:r>
              <w:rPr>
                <w:rFonts w:hint="eastAsia" w:ascii="Times New Roman" w:hAnsi="Times New Roman" w:eastAsia="宋体" w:cs="Times New Roman"/>
                <w:b/>
                <w:bCs/>
                <w:color w:val="auto"/>
                <w:sz w:val="24"/>
                <w:highlight w:val="none"/>
              </w:rPr>
              <w:t>环保设施去除效率</w:t>
            </w:r>
          </w:p>
          <w:p>
            <w:pPr>
              <w:pStyle w:val="27"/>
              <w:rPr>
                <w:rFonts w:hint="eastAsia" w:ascii="Times New Roman" w:hAnsi="Times New Roman"/>
                <w:color w:val="auto"/>
                <w:sz w:val="24"/>
                <w:highlight w:val="none"/>
              </w:rPr>
            </w:pPr>
            <w:r>
              <w:rPr>
                <w:rFonts w:hint="eastAsia" w:ascii="Times New Roman" w:hAnsi="Times New Roman"/>
                <w:color w:val="auto"/>
                <w:sz w:val="24"/>
                <w:highlight w:val="none"/>
              </w:rPr>
              <w:t>废气：根据验收监测结果核算：打砂废气排气筒DA035“旋风分离器和GK-48滤筒除尘器”装置对废气中主要污染物颗粒物的去除效率为96.2%。</w:t>
            </w:r>
          </w:p>
          <w:p>
            <w:pPr>
              <w:pStyle w:val="2"/>
              <w:ind w:firstLine="482"/>
              <w:jc w:val="left"/>
              <w:rPr>
                <w:rFonts w:hint="eastAsia" w:ascii="Times New Roman" w:hAnsi="Times New Roman" w:eastAsia="宋体" w:cs="Times New Roman"/>
                <w:b/>
                <w:bCs/>
                <w:color w:val="auto"/>
                <w:szCs w:val="24"/>
                <w:highlight w:val="none"/>
                <w:lang w:val="en-US" w:eastAsia="zh-CN"/>
              </w:rPr>
            </w:pPr>
            <w:r>
              <w:rPr>
                <w:rFonts w:hint="eastAsia" w:ascii="Times New Roman" w:hAnsi="Times New Roman" w:eastAsia="宋体" w:cs="Times New Roman"/>
                <w:b/>
                <w:bCs/>
                <w:color w:val="auto"/>
                <w:szCs w:val="24"/>
                <w:highlight w:val="none"/>
                <w:lang w:val="en-US" w:eastAsia="zh-CN"/>
              </w:rPr>
              <w:t>6、</w:t>
            </w:r>
            <w:r>
              <w:rPr>
                <w:rFonts w:hint="eastAsia" w:ascii="Times New Roman" w:hAnsi="Times New Roman" w:eastAsia="宋体" w:cs="Times New Roman"/>
                <w:b/>
                <w:bCs/>
                <w:color w:val="auto"/>
                <w:sz w:val="24"/>
                <w:szCs w:val="24"/>
                <w:highlight w:val="none"/>
              </w:rPr>
              <w:t>排污许可</w:t>
            </w:r>
          </w:p>
          <w:p>
            <w:pPr>
              <w:pStyle w:val="2"/>
              <w:jc w:val="both"/>
              <w:rPr>
                <w:rFonts w:hint="eastAsia" w:eastAsia="宋体" w:cs="Times New Roman"/>
                <w:color w:val="auto"/>
                <w:szCs w:val="24"/>
                <w:highlight w:val="none"/>
                <w:lang w:eastAsia="zh-CN"/>
              </w:rPr>
            </w:pPr>
            <w:r>
              <w:rPr>
                <w:rFonts w:hint="eastAsia" w:cs="Times New Roman"/>
                <w:color w:val="auto"/>
                <w:szCs w:val="24"/>
                <w:highlight w:val="none"/>
              </w:rPr>
              <w:t>根据《固定污染源排污许可分类管理名录（2019 年版）》，项目已申领排污许可证，</w:t>
            </w:r>
            <w:r>
              <w:rPr>
                <w:rFonts w:hint="eastAsia" w:cs="Times New Roman"/>
                <w:color w:val="auto"/>
                <w:szCs w:val="24"/>
                <w:highlight w:val="none"/>
                <w:lang w:eastAsia="zh-CN"/>
              </w:rPr>
              <w:t>证书</w:t>
            </w:r>
            <w:r>
              <w:rPr>
                <w:rFonts w:hint="eastAsia" w:cs="Times New Roman"/>
                <w:color w:val="auto"/>
                <w:szCs w:val="24"/>
                <w:highlight w:val="none"/>
              </w:rPr>
              <w:t>编号：91370100664851254J001V</w:t>
            </w:r>
            <w:r>
              <w:rPr>
                <w:rFonts w:hint="eastAsia" w:cs="Times New Roman"/>
                <w:color w:val="auto"/>
                <w:szCs w:val="24"/>
                <w:highlight w:val="none"/>
                <w:lang w:eastAsia="zh-CN"/>
              </w:rPr>
              <w:t>。</w:t>
            </w:r>
          </w:p>
          <w:p>
            <w:pPr>
              <w:numPr>
                <w:ilvl w:val="255"/>
                <w:numId w:val="0"/>
              </w:numPr>
              <w:ind w:firstLine="482"/>
              <w:rPr>
                <w:b/>
                <w:bCs/>
                <w:color w:val="auto"/>
                <w:highlight w:val="none"/>
              </w:rPr>
            </w:pPr>
            <w:r>
              <w:rPr>
                <w:rFonts w:hint="eastAsia"/>
                <w:b/>
                <w:bCs/>
                <w:color w:val="auto"/>
                <w:highlight w:val="none"/>
                <w:lang w:val="en-US" w:eastAsia="zh-CN"/>
              </w:rPr>
              <w:t>7</w:t>
            </w:r>
            <w:r>
              <w:rPr>
                <w:rFonts w:hint="eastAsia"/>
                <w:b/>
                <w:bCs/>
                <w:color w:val="auto"/>
                <w:highlight w:val="none"/>
              </w:rPr>
              <w:t>、</w:t>
            </w:r>
            <w:r>
              <w:rPr>
                <w:b/>
                <w:color w:val="auto"/>
                <w:highlight w:val="none"/>
              </w:rPr>
              <w:t>工程建设对环境的影响</w:t>
            </w:r>
          </w:p>
          <w:p>
            <w:pPr>
              <w:pStyle w:val="2"/>
              <w:jc w:val="both"/>
              <w:rPr>
                <w:rFonts w:cs="Times New Roman"/>
                <w:color w:val="auto"/>
                <w:szCs w:val="24"/>
                <w:highlight w:val="none"/>
              </w:rPr>
            </w:pPr>
            <w:r>
              <w:rPr>
                <w:rFonts w:cs="Times New Roman"/>
                <w:color w:val="auto"/>
                <w:szCs w:val="24"/>
                <w:highlight w:val="none"/>
              </w:rPr>
              <w:t>本项目位于</w:t>
            </w:r>
            <w:r>
              <w:rPr>
                <w:rFonts w:hint="eastAsia" w:cs="Times New Roman"/>
                <w:color w:val="auto"/>
                <w:szCs w:val="24"/>
                <w:highlight w:val="none"/>
                <w:lang w:eastAsia="zh-CN"/>
              </w:rPr>
              <w:t>济南市槐荫区槐村街73号，中车山东机车车辆有限公司厂区内</w:t>
            </w:r>
            <w:r>
              <w:rPr>
                <w:rFonts w:cs="Times New Roman"/>
                <w:color w:val="auto"/>
                <w:szCs w:val="24"/>
                <w:highlight w:val="none"/>
              </w:rPr>
              <w:t>，监测结果表明，本项目废气、噪声均符合国家标准要求，达标排放，固体废物均合理处置，对周围环境影响较小。</w:t>
            </w:r>
          </w:p>
          <w:p>
            <w:pPr>
              <w:pStyle w:val="2"/>
              <w:jc w:val="both"/>
              <w:rPr>
                <w:rFonts w:cs="Times New Roman"/>
                <w:color w:val="auto"/>
                <w:szCs w:val="24"/>
                <w:highlight w:val="none"/>
              </w:rPr>
            </w:pPr>
            <w:r>
              <w:rPr>
                <w:rFonts w:cs="Times New Roman"/>
                <w:color w:val="auto"/>
                <w:szCs w:val="24"/>
                <w:highlight w:val="none"/>
              </w:rPr>
              <w:t>根据监测及调查结果分析，项目建设对环境的影响可以接受，不会造成环境质量的恶化。</w:t>
            </w:r>
          </w:p>
          <w:p>
            <w:pPr>
              <w:pStyle w:val="2"/>
              <w:ind w:firstLine="482"/>
              <w:rPr>
                <w:rFonts w:cs="Times New Roman"/>
                <w:b/>
                <w:bCs/>
                <w:color w:val="auto"/>
                <w:szCs w:val="24"/>
                <w:highlight w:val="none"/>
              </w:rPr>
            </w:pPr>
            <w:r>
              <w:rPr>
                <w:rFonts w:hint="eastAsia" w:cs="Times New Roman"/>
                <w:b/>
                <w:bCs/>
                <w:color w:val="auto"/>
                <w:szCs w:val="24"/>
                <w:highlight w:val="none"/>
                <w:lang w:val="en-US" w:eastAsia="zh-CN"/>
              </w:rPr>
              <w:t>8</w:t>
            </w:r>
            <w:r>
              <w:rPr>
                <w:rFonts w:hint="eastAsia" w:cs="Times New Roman"/>
                <w:b/>
                <w:bCs/>
                <w:color w:val="auto"/>
                <w:szCs w:val="24"/>
                <w:highlight w:val="none"/>
              </w:rPr>
              <w:t>、</w:t>
            </w:r>
            <w:r>
              <w:rPr>
                <w:rFonts w:cs="Times New Roman"/>
                <w:b/>
                <w:bCs/>
                <w:color w:val="auto"/>
                <w:szCs w:val="24"/>
                <w:highlight w:val="none"/>
              </w:rPr>
              <w:t>验收结论</w:t>
            </w:r>
          </w:p>
          <w:p>
            <w:pPr>
              <w:pStyle w:val="2"/>
              <w:jc w:val="both"/>
              <w:rPr>
                <w:rFonts w:cs="Times New Roman"/>
                <w:color w:val="auto"/>
                <w:szCs w:val="24"/>
                <w:highlight w:val="none"/>
              </w:rPr>
            </w:pPr>
            <w:r>
              <w:rPr>
                <w:rFonts w:hint="eastAsia" w:cs="Times New Roman"/>
                <w:color w:val="auto"/>
                <w:kern w:val="21"/>
                <w:szCs w:val="24"/>
                <w:highlight w:val="none"/>
                <w:lang w:eastAsia="zh-CN"/>
              </w:rPr>
              <w:t>中车山东机车车辆有限公司原钢构喷漆房改造为打砂房项目</w:t>
            </w:r>
            <w:r>
              <w:rPr>
                <w:rFonts w:hint="eastAsia" w:cs="Times New Roman"/>
                <w:color w:val="auto"/>
                <w:kern w:val="21"/>
                <w:szCs w:val="24"/>
                <w:highlight w:val="none"/>
              </w:rPr>
              <w:t>环评手续完备，技术资料基本齐全。项目主体及环境保护设施等总体按环评及批复要求建成，项目建设了完善的环保设施</w:t>
            </w:r>
            <w:r>
              <w:rPr>
                <w:rFonts w:hint="eastAsia" w:cs="Times New Roman"/>
                <w:color w:val="auto"/>
                <w:kern w:val="21"/>
                <w:szCs w:val="24"/>
                <w:highlight w:val="none"/>
                <w:lang w:eastAsia="zh-CN"/>
              </w:rPr>
              <w:t>并能正常运行。</w:t>
            </w:r>
            <w:r>
              <w:rPr>
                <w:rFonts w:hint="eastAsia" w:cs="Times New Roman"/>
                <w:color w:val="auto"/>
                <w:kern w:val="21"/>
                <w:szCs w:val="24"/>
                <w:highlight w:val="none"/>
              </w:rPr>
              <w:t>调试期间废气污染物排放浓度和排放速率均满足有关标准要求，固体废物贮存及处置合理、得当，厂界和敏感点噪声均达标，污染物排放总量满足要求。项目具备正常运行条件，</w:t>
            </w:r>
            <w:r>
              <w:rPr>
                <w:rFonts w:hint="eastAsia" w:cs="Times New Roman"/>
                <w:color w:val="auto"/>
                <w:kern w:val="21"/>
                <w:szCs w:val="24"/>
                <w:highlight w:val="none"/>
                <w:lang w:eastAsia="zh-CN"/>
              </w:rPr>
              <w:t>未发生重大变动</w:t>
            </w:r>
            <w:r>
              <w:rPr>
                <w:rFonts w:hint="eastAsia" w:cs="Times New Roman"/>
                <w:color w:val="auto"/>
                <w:kern w:val="21"/>
                <w:szCs w:val="24"/>
                <w:highlight w:val="none"/>
              </w:rPr>
              <w:t>，</w:t>
            </w:r>
            <w:r>
              <w:rPr>
                <w:rFonts w:hint="eastAsia" w:cs="Times New Roman"/>
                <w:color w:val="auto"/>
                <w:szCs w:val="24"/>
                <w:highlight w:val="none"/>
                <w:lang w:eastAsia="zh-CN"/>
              </w:rPr>
              <w:t>符合</w:t>
            </w:r>
            <w:r>
              <w:rPr>
                <w:rFonts w:cs="Times New Roman"/>
                <w:color w:val="auto"/>
                <w:szCs w:val="24"/>
                <w:highlight w:val="none"/>
              </w:rPr>
              <w:t>建设项目竣工环境保护验收条件</w:t>
            </w:r>
            <w:r>
              <w:rPr>
                <w:rFonts w:hint="eastAsia" w:cs="Times New Roman"/>
                <w:color w:val="auto"/>
                <w:szCs w:val="24"/>
                <w:highlight w:val="none"/>
              </w:rPr>
              <w:t>。</w:t>
            </w:r>
          </w:p>
          <w:p>
            <w:pPr>
              <w:ind w:firstLine="482"/>
              <w:rPr>
                <w:b/>
                <w:bCs/>
                <w:color w:val="auto"/>
                <w:highlight w:val="none"/>
              </w:rPr>
            </w:pPr>
            <w:r>
              <w:rPr>
                <w:b/>
                <w:bCs/>
                <w:color w:val="auto"/>
                <w:highlight w:val="none"/>
              </w:rPr>
              <w:t>二、建议：</w:t>
            </w:r>
          </w:p>
          <w:p>
            <w:pPr>
              <w:snapToGrid w:val="0"/>
              <w:ind w:right="113" w:firstLine="480"/>
              <w:rPr>
                <w:rFonts w:hint="eastAsia"/>
                <w:color w:val="auto"/>
                <w:kern w:val="21"/>
                <w:highlight w:val="none"/>
              </w:rPr>
            </w:pPr>
            <w:r>
              <w:rPr>
                <w:rFonts w:hint="eastAsia"/>
                <w:color w:val="auto"/>
                <w:kern w:val="21"/>
                <w:highlight w:val="none"/>
              </w:rPr>
              <w:t>（1）加强废气处理设施的管理与维护，建立并落实日常运行管理台账，确保废气环保设施的稳定运行和污染物长期稳定达标排放；</w:t>
            </w:r>
          </w:p>
          <w:p>
            <w:pPr>
              <w:pStyle w:val="2"/>
              <w:rPr>
                <w:rFonts w:hint="eastAsia" w:cs="Times New Roman"/>
                <w:color w:val="auto"/>
                <w:kern w:val="21"/>
                <w:szCs w:val="24"/>
                <w:highlight w:val="none"/>
              </w:rPr>
            </w:pPr>
            <w:r>
              <w:rPr>
                <w:rFonts w:hint="eastAsia" w:cs="Times New Roman"/>
                <w:color w:val="auto"/>
                <w:kern w:val="21"/>
                <w:szCs w:val="24"/>
                <w:highlight w:val="none"/>
              </w:rPr>
              <w:t xml:space="preserve">（2）加强高噪音设备的维修和保养，降低噪声污染，维持噪声排放达标。 </w:t>
            </w:r>
          </w:p>
          <w:p>
            <w:pPr>
              <w:pStyle w:val="2"/>
              <w:rPr>
                <w:rFonts w:hint="eastAsia" w:eastAsia="宋体" w:cs="Times New Roman"/>
                <w:color w:val="auto"/>
                <w:kern w:val="21"/>
                <w:szCs w:val="24"/>
                <w:highlight w:val="none"/>
                <w:lang w:eastAsia="zh-CN"/>
              </w:rPr>
            </w:pPr>
            <w:r>
              <w:rPr>
                <w:rFonts w:hint="eastAsia" w:cs="Times New Roman"/>
                <w:color w:val="auto"/>
                <w:kern w:val="21"/>
                <w:szCs w:val="24"/>
                <w:highlight w:val="none"/>
                <w:lang w:eastAsia="zh-CN"/>
              </w:rPr>
              <w:t>（</w:t>
            </w:r>
            <w:r>
              <w:rPr>
                <w:rFonts w:hint="eastAsia" w:cs="Times New Roman"/>
                <w:color w:val="auto"/>
                <w:kern w:val="21"/>
                <w:szCs w:val="24"/>
                <w:highlight w:val="none"/>
                <w:lang w:val="en-US" w:eastAsia="zh-CN"/>
              </w:rPr>
              <w:t>3</w:t>
            </w:r>
            <w:r>
              <w:rPr>
                <w:rFonts w:hint="eastAsia" w:cs="Times New Roman"/>
                <w:color w:val="auto"/>
                <w:kern w:val="21"/>
                <w:szCs w:val="24"/>
                <w:highlight w:val="none"/>
                <w:lang w:eastAsia="zh-CN"/>
              </w:rPr>
              <w:t>）</w:t>
            </w:r>
            <w:r>
              <w:rPr>
                <w:rFonts w:hint="eastAsia" w:ascii="Times New Roman" w:hAnsi="Times New Roman" w:cs="Times New Roman"/>
                <w:color w:val="auto"/>
                <w:kern w:val="21"/>
                <w:sz w:val="24"/>
                <w:szCs w:val="24"/>
                <w:highlight w:val="none"/>
              </w:rPr>
              <w:t>按照企业自行监测技术指南相关要求开展企业定期自行监测工作，并按照《企事业单位环境信息公开管理办法》要求进行环境信息公开。</w:t>
            </w:r>
          </w:p>
          <w:p>
            <w:pPr>
              <w:pStyle w:val="2"/>
              <w:rPr>
                <w:rFonts w:cs="Times New Roman"/>
                <w:color w:val="auto"/>
                <w:szCs w:val="24"/>
                <w:highlight w:val="none"/>
              </w:rPr>
            </w:pPr>
          </w:p>
          <w:p>
            <w:pPr>
              <w:pStyle w:val="2"/>
              <w:rPr>
                <w:rFonts w:cs="Times New Roman"/>
                <w:color w:val="auto"/>
                <w:szCs w:val="24"/>
                <w:highlight w:val="none"/>
              </w:rPr>
            </w:pPr>
          </w:p>
          <w:p>
            <w:pPr>
              <w:pStyle w:val="2"/>
              <w:rPr>
                <w:rFonts w:cs="Times New Roman"/>
                <w:color w:val="auto"/>
                <w:szCs w:val="24"/>
                <w:highlight w:val="none"/>
              </w:rPr>
            </w:pPr>
          </w:p>
          <w:p>
            <w:pPr>
              <w:pStyle w:val="2"/>
              <w:rPr>
                <w:rFonts w:cs="Times New Roman"/>
                <w:color w:val="auto"/>
                <w:szCs w:val="24"/>
                <w:highlight w:val="none"/>
              </w:rPr>
            </w:pPr>
          </w:p>
          <w:p>
            <w:pPr>
              <w:pStyle w:val="2"/>
              <w:rPr>
                <w:rFonts w:cs="Times New Roman"/>
                <w:color w:val="auto"/>
                <w:szCs w:val="24"/>
                <w:highlight w:val="none"/>
              </w:rPr>
            </w:pPr>
            <w:r>
              <w:rPr>
                <w:rFonts w:cs="Times New Roman"/>
                <w:color w:val="auto"/>
                <w:szCs w:val="24"/>
                <w:highlight w:val="none"/>
              </w:rPr>
              <w:t xml:space="preserve">   </w:t>
            </w:r>
          </w:p>
        </w:tc>
      </w:tr>
    </w:tbl>
    <w:p>
      <w:pPr>
        <w:ind w:firstLine="480"/>
        <w:rPr>
          <w:color w:val="auto"/>
          <w:highlight w:val="none"/>
        </w:rPr>
      </w:pPr>
    </w:p>
    <w:sectPr>
      <w:footerReference r:id="rId6" w:type="default"/>
      <w:pgSz w:w="11906" w:h="16838"/>
      <w:pgMar w:top="1440" w:right="1463" w:bottom="1440" w:left="1519"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宋体">
    <w:panose1 w:val="02010600040101010101"/>
    <w:charset w:val="86"/>
    <w:family w:val="auto"/>
    <w:pitch w:val="default"/>
    <w:sig w:usb0="00000287" w:usb1="080F0000" w:usb2="00000000" w:usb3="00000000" w:csb0="0004009F" w:csb1="DFD70000"/>
  </w:font>
  <w:font w:name="仿宋体">
    <w:altName w:val="微软雅黑"/>
    <w:panose1 w:val="00000000000000000000"/>
    <w:charset w:val="86"/>
    <w:family w:val="swiss"/>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r>
      <w:pict>
        <v:shape id="文本框 1025"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17"/>
                  <w:ind w:firstLine="360"/>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r>
      <w:pict>
        <v:shape id="文本框 1026" o:spid="_x0000_s2050"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17"/>
                  <w:ind w:firstLine="36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8DAAB"/>
    <w:multiLevelType w:val="singleLevel"/>
    <w:tmpl w:val="83D8DAAB"/>
    <w:lvl w:ilvl="0" w:tentative="0">
      <w:start w:val="1"/>
      <w:numFmt w:val="decimal"/>
      <w:suff w:val="nothing"/>
      <w:lvlText w:val="（%1）"/>
      <w:lvlJc w:val="left"/>
    </w:lvl>
  </w:abstractNum>
  <w:abstractNum w:abstractNumId="1">
    <w:nsid w:val="A8758E5B"/>
    <w:multiLevelType w:val="singleLevel"/>
    <w:tmpl w:val="A8758E5B"/>
    <w:lvl w:ilvl="0" w:tentative="0">
      <w:start w:val="3"/>
      <w:numFmt w:val="decimal"/>
      <w:suff w:val="nothing"/>
      <w:lvlText w:val="（%1）"/>
      <w:lvlJc w:val="left"/>
    </w:lvl>
  </w:abstractNum>
  <w:abstractNum w:abstractNumId="2">
    <w:nsid w:val="DE9CD2FC"/>
    <w:multiLevelType w:val="singleLevel"/>
    <w:tmpl w:val="DE9CD2FC"/>
    <w:lvl w:ilvl="0" w:tentative="0">
      <w:start w:val="1"/>
      <w:numFmt w:val="bullet"/>
      <w:pStyle w:val="9"/>
      <w:lvlText w:val=""/>
      <w:lvlJc w:val="left"/>
      <w:pPr>
        <w:tabs>
          <w:tab w:val="left" w:pos="2040"/>
        </w:tabs>
        <w:ind w:left="2040" w:hanging="360"/>
      </w:pPr>
      <w:rPr>
        <w:rFonts w:hint="default" w:ascii="Wingdings" w:hAnsi="Wingdings"/>
      </w:rPr>
    </w:lvl>
  </w:abstractNum>
  <w:abstractNum w:abstractNumId="3">
    <w:nsid w:val="44DB2C60"/>
    <w:multiLevelType w:val="singleLevel"/>
    <w:tmpl w:val="44DB2C60"/>
    <w:lvl w:ilvl="0" w:tentative="0">
      <w:start w:val="2"/>
      <w:numFmt w:val="chineseCounting"/>
      <w:suff w:val="nothing"/>
      <w:lvlText w:val="%1、"/>
      <w:lvlJc w:val="left"/>
      <w:rPr>
        <w:rFonts w:hint="eastAsia"/>
      </w:rPr>
    </w:lvl>
  </w:abstractNum>
  <w:abstractNum w:abstractNumId="4">
    <w:nsid w:val="4517F584"/>
    <w:multiLevelType w:val="singleLevel"/>
    <w:tmpl w:val="4517F584"/>
    <w:lvl w:ilvl="0" w:tentative="0">
      <w:start w:val="3"/>
      <w:numFmt w:val="chineseCounting"/>
      <w:suff w:val="nothing"/>
      <w:lvlText w:val="%1、"/>
      <w:lvlJc w:val="left"/>
      <w:rPr>
        <w:rFonts w:hint="eastAsia"/>
      </w:rPr>
    </w:lvl>
  </w:abstractNum>
  <w:abstractNum w:abstractNumId="5">
    <w:nsid w:val="677197B0"/>
    <w:multiLevelType w:val="singleLevel"/>
    <w:tmpl w:val="677197B0"/>
    <w:lvl w:ilvl="0" w:tentative="0">
      <w:start w:val="1"/>
      <w:numFmt w:val="decimal"/>
      <w:suff w:val="nothing"/>
      <w:lvlText w:val="%1、"/>
      <w:lvlJc w:val="left"/>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gxMjNkZDE3NjJiZmU3MzFlNjgxMTIzZjViZDlhMDEifQ=="/>
  </w:docVars>
  <w:rsids>
    <w:rsidRoot w:val="00C92A4A"/>
    <w:rsid w:val="00133537"/>
    <w:rsid w:val="0021349B"/>
    <w:rsid w:val="00216040"/>
    <w:rsid w:val="00223B27"/>
    <w:rsid w:val="00297FFC"/>
    <w:rsid w:val="003471E1"/>
    <w:rsid w:val="00377076"/>
    <w:rsid w:val="003F06E7"/>
    <w:rsid w:val="00422E93"/>
    <w:rsid w:val="0047371B"/>
    <w:rsid w:val="006C0C52"/>
    <w:rsid w:val="006C51A5"/>
    <w:rsid w:val="00733ADA"/>
    <w:rsid w:val="00816F1D"/>
    <w:rsid w:val="009E524A"/>
    <w:rsid w:val="00AC3EC8"/>
    <w:rsid w:val="00C92A4A"/>
    <w:rsid w:val="00DE25E2"/>
    <w:rsid w:val="00DE7EF5"/>
    <w:rsid w:val="00E65F23"/>
    <w:rsid w:val="00F44DA0"/>
    <w:rsid w:val="00F73714"/>
    <w:rsid w:val="010E11FA"/>
    <w:rsid w:val="0136732D"/>
    <w:rsid w:val="013D04D4"/>
    <w:rsid w:val="01400946"/>
    <w:rsid w:val="01510BEF"/>
    <w:rsid w:val="015206A9"/>
    <w:rsid w:val="01662125"/>
    <w:rsid w:val="016F4F87"/>
    <w:rsid w:val="01796CFC"/>
    <w:rsid w:val="01825D28"/>
    <w:rsid w:val="01AA67C9"/>
    <w:rsid w:val="01AE5391"/>
    <w:rsid w:val="01BE2C5A"/>
    <w:rsid w:val="01CD70A4"/>
    <w:rsid w:val="020B604A"/>
    <w:rsid w:val="02311EFB"/>
    <w:rsid w:val="02431E27"/>
    <w:rsid w:val="02591901"/>
    <w:rsid w:val="02662CBA"/>
    <w:rsid w:val="026B3007"/>
    <w:rsid w:val="027A7982"/>
    <w:rsid w:val="027E4268"/>
    <w:rsid w:val="028A7DFD"/>
    <w:rsid w:val="029301EE"/>
    <w:rsid w:val="02936A01"/>
    <w:rsid w:val="0297294C"/>
    <w:rsid w:val="029F6E8A"/>
    <w:rsid w:val="02A35F83"/>
    <w:rsid w:val="02BC789B"/>
    <w:rsid w:val="02D65E4B"/>
    <w:rsid w:val="02DD53DA"/>
    <w:rsid w:val="02DD598C"/>
    <w:rsid w:val="02EE4716"/>
    <w:rsid w:val="02FE7E52"/>
    <w:rsid w:val="03036C83"/>
    <w:rsid w:val="031D70B2"/>
    <w:rsid w:val="03303A6C"/>
    <w:rsid w:val="035328CF"/>
    <w:rsid w:val="037B520E"/>
    <w:rsid w:val="03930E11"/>
    <w:rsid w:val="03C07005"/>
    <w:rsid w:val="03C21B8E"/>
    <w:rsid w:val="03E73F51"/>
    <w:rsid w:val="03ED38B6"/>
    <w:rsid w:val="03F21E0D"/>
    <w:rsid w:val="03F86B1C"/>
    <w:rsid w:val="04297E3C"/>
    <w:rsid w:val="043A613C"/>
    <w:rsid w:val="04557299"/>
    <w:rsid w:val="04876F6C"/>
    <w:rsid w:val="049715D3"/>
    <w:rsid w:val="04A06377"/>
    <w:rsid w:val="04D8694E"/>
    <w:rsid w:val="04E7250F"/>
    <w:rsid w:val="04E73936"/>
    <w:rsid w:val="04F3565F"/>
    <w:rsid w:val="052E656D"/>
    <w:rsid w:val="05406729"/>
    <w:rsid w:val="0560351D"/>
    <w:rsid w:val="05746CDB"/>
    <w:rsid w:val="05815E04"/>
    <w:rsid w:val="05B43FA6"/>
    <w:rsid w:val="05E22866"/>
    <w:rsid w:val="05EA345B"/>
    <w:rsid w:val="05F860E5"/>
    <w:rsid w:val="061544E1"/>
    <w:rsid w:val="06347FC0"/>
    <w:rsid w:val="06400C4E"/>
    <w:rsid w:val="06754E26"/>
    <w:rsid w:val="06805A4F"/>
    <w:rsid w:val="069536E9"/>
    <w:rsid w:val="06A825F4"/>
    <w:rsid w:val="06B367A3"/>
    <w:rsid w:val="06CA63B8"/>
    <w:rsid w:val="06D51D6A"/>
    <w:rsid w:val="07090C52"/>
    <w:rsid w:val="07296F16"/>
    <w:rsid w:val="07462294"/>
    <w:rsid w:val="07550D30"/>
    <w:rsid w:val="077B268C"/>
    <w:rsid w:val="079E53C5"/>
    <w:rsid w:val="07B92DF8"/>
    <w:rsid w:val="07C35CFA"/>
    <w:rsid w:val="07CA2599"/>
    <w:rsid w:val="07DB45A4"/>
    <w:rsid w:val="07DC0503"/>
    <w:rsid w:val="07EA3C15"/>
    <w:rsid w:val="07EC732D"/>
    <w:rsid w:val="08154DC3"/>
    <w:rsid w:val="08223887"/>
    <w:rsid w:val="083A2F63"/>
    <w:rsid w:val="085C2138"/>
    <w:rsid w:val="085D4B1A"/>
    <w:rsid w:val="08865107"/>
    <w:rsid w:val="08903093"/>
    <w:rsid w:val="08DA7138"/>
    <w:rsid w:val="08E83851"/>
    <w:rsid w:val="08EE04EE"/>
    <w:rsid w:val="090D69D4"/>
    <w:rsid w:val="09423105"/>
    <w:rsid w:val="094B1DE4"/>
    <w:rsid w:val="096761A8"/>
    <w:rsid w:val="096C24DE"/>
    <w:rsid w:val="097275F8"/>
    <w:rsid w:val="097962DF"/>
    <w:rsid w:val="098E77A0"/>
    <w:rsid w:val="09BA2B89"/>
    <w:rsid w:val="09C32EC2"/>
    <w:rsid w:val="09C74070"/>
    <w:rsid w:val="09CE7B1C"/>
    <w:rsid w:val="09CF4BD2"/>
    <w:rsid w:val="09D861D9"/>
    <w:rsid w:val="09DC6FDC"/>
    <w:rsid w:val="09E74C46"/>
    <w:rsid w:val="0A1C1AFC"/>
    <w:rsid w:val="0A2C7F98"/>
    <w:rsid w:val="0A2E0D3C"/>
    <w:rsid w:val="0A592F67"/>
    <w:rsid w:val="0A5D1981"/>
    <w:rsid w:val="0A6B4741"/>
    <w:rsid w:val="0A7A7F5F"/>
    <w:rsid w:val="0AA82867"/>
    <w:rsid w:val="0AB143FE"/>
    <w:rsid w:val="0B2A5B1C"/>
    <w:rsid w:val="0B3A2FAD"/>
    <w:rsid w:val="0B3A70C3"/>
    <w:rsid w:val="0B4D5DA2"/>
    <w:rsid w:val="0B82583D"/>
    <w:rsid w:val="0B89325F"/>
    <w:rsid w:val="0BDC27AC"/>
    <w:rsid w:val="0BF23B46"/>
    <w:rsid w:val="0BF83554"/>
    <w:rsid w:val="0C0D40EB"/>
    <w:rsid w:val="0C4F54B4"/>
    <w:rsid w:val="0C503F46"/>
    <w:rsid w:val="0C5361FC"/>
    <w:rsid w:val="0C5732FD"/>
    <w:rsid w:val="0C5E4C02"/>
    <w:rsid w:val="0C6B725D"/>
    <w:rsid w:val="0C7B29E0"/>
    <w:rsid w:val="0C7D381D"/>
    <w:rsid w:val="0C931AD8"/>
    <w:rsid w:val="0C935C3C"/>
    <w:rsid w:val="0CB93CA2"/>
    <w:rsid w:val="0CC53C5B"/>
    <w:rsid w:val="0CCD48BE"/>
    <w:rsid w:val="0CDD313D"/>
    <w:rsid w:val="0CDF25A6"/>
    <w:rsid w:val="0D1E3B0E"/>
    <w:rsid w:val="0D4E59FF"/>
    <w:rsid w:val="0D605C68"/>
    <w:rsid w:val="0D7379F4"/>
    <w:rsid w:val="0D9413D8"/>
    <w:rsid w:val="0DB717F6"/>
    <w:rsid w:val="0E3258FD"/>
    <w:rsid w:val="0E582966"/>
    <w:rsid w:val="0E6B22F4"/>
    <w:rsid w:val="0E8536A2"/>
    <w:rsid w:val="0EBA38E6"/>
    <w:rsid w:val="0EBB07DB"/>
    <w:rsid w:val="0ECD6DF7"/>
    <w:rsid w:val="0ED939EE"/>
    <w:rsid w:val="0EDE1763"/>
    <w:rsid w:val="0EFF52AD"/>
    <w:rsid w:val="0F222ECC"/>
    <w:rsid w:val="0F275BBC"/>
    <w:rsid w:val="0F2B795D"/>
    <w:rsid w:val="0F2F200D"/>
    <w:rsid w:val="0F4B19BF"/>
    <w:rsid w:val="0F4C0664"/>
    <w:rsid w:val="0F4F7E54"/>
    <w:rsid w:val="0F5624FB"/>
    <w:rsid w:val="0F82537E"/>
    <w:rsid w:val="0F8C424A"/>
    <w:rsid w:val="0FA65A71"/>
    <w:rsid w:val="0FDE601F"/>
    <w:rsid w:val="0FE926D3"/>
    <w:rsid w:val="0FF131C4"/>
    <w:rsid w:val="0FFB3A06"/>
    <w:rsid w:val="10025E7A"/>
    <w:rsid w:val="100B2D56"/>
    <w:rsid w:val="101544EB"/>
    <w:rsid w:val="102073F6"/>
    <w:rsid w:val="102962AF"/>
    <w:rsid w:val="102A4B9D"/>
    <w:rsid w:val="10446BCA"/>
    <w:rsid w:val="104739AC"/>
    <w:rsid w:val="105B06CE"/>
    <w:rsid w:val="10E96908"/>
    <w:rsid w:val="11023098"/>
    <w:rsid w:val="11276467"/>
    <w:rsid w:val="115745DF"/>
    <w:rsid w:val="117F262B"/>
    <w:rsid w:val="11991213"/>
    <w:rsid w:val="11A24424"/>
    <w:rsid w:val="11AA678F"/>
    <w:rsid w:val="11BE0997"/>
    <w:rsid w:val="11C137B8"/>
    <w:rsid w:val="11C46C08"/>
    <w:rsid w:val="11CC2B0E"/>
    <w:rsid w:val="120325DE"/>
    <w:rsid w:val="12174F59"/>
    <w:rsid w:val="12386C7D"/>
    <w:rsid w:val="1264305F"/>
    <w:rsid w:val="126C71CE"/>
    <w:rsid w:val="127376A9"/>
    <w:rsid w:val="127A5249"/>
    <w:rsid w:val="12877316"/>
    <w:rsid w:val="128D3425"/>
    <w:rsid w:val="12AC282E"/>
    <w:rsid w:val="12B22989"/>
    <w:rsid w:val="12B26A30"/>
    <w:rsid w:val="12E260AD"/>
    <w:rsid w:val="12E91559"/>
    <w:rsid w:val="12E95F2B"/>
    <w:rsid w:val="12F232D0"/>
    <w:rsid w:val="131D034D"/>
    <w:rsid w:val="131F0A7F"/>
    <w:rsid w:val="13205619"/>
    <w:rsid w:val="13394A5B"/>
    <w:rsid w:val="133B4B25"/>
    <w:rsid w:val="135915A9"/>
    <w:rsid w:val="13680D28"/>
    <w:rsid w:val="139454AD"/>
    <w:rsid w:val="13A47873"/>
    <w:rsid w:val="13A879AD"/>
    <w:rsid w:val="13B55962"/>
    <w:rsid w:val="13C61F27"/>
    <w:rsid w:val="13CA6CD3"/>
    <w:rsid w:val="14035F02"/>
    <w:rsid w:val="14043122"/>
    <w:rsid w:val="14437B44"/>
    <w:rsid w:val="1460135C"/>
    <w:rsid w:val="14641497"/>
    <w:rsid w:val="148C21B0"/>
    <w:rsid w:val="14C33DB7"/>
    <w:rsid w:val="14EC41EA"/>
    <w:rsid w:val="14F744C9"/>
    <w:rsid w:val="15194B44"/>
    <w:rsid w:val="15260B17"/>
    <w:rsid w:val="15261ADB"/>
    <w:rsid w:val="156113E2"/>
    <w:rsid w:val="15737602"/>
    <w:rsid w:val="15793835"/>
    <w:rsid w:val="15914368"/>
    <w:rsid w:val="159A3ED7"/>
    <w:rsid w:val="159F2051"/>
    <w:rsid w:val="15A37B48"/>
    <w:rsid w:val="15A5462A"/>
    <w:rsid w:val="15A7091D"/>
    <w:rsid w:val="15B40634"/>
    <w:rsid w:val="15B84334"/>
    <w:rsid w:val="15BF5987"/>
    <w:rsid w:val="15CC123F"/>
    <w:rsid w:val="15F638FB"/>
    <w:rsid w:val="15FF213F"/>
    <w:rsid w:val="16096967"/>
    <w:rsid w:val="163C029A"/>
    <w:rsid w:val="16414AC9"/>
    <w:rsid w:val="1641578F"/>
    <w:rsid w:val="164803CE"/>
    <w:rsid w:val="164C7AF9"/>
    <w:rsid w:val="16726C02"/>
    <w:rsid w:val="16773610"/>
    <w:rsid w:val="16810BF3"/>
    <w:rsid w:val="16865A4A"/>
    <w:rsid w:val="16D04616"/>
    <w:rsid w:val="16FE2D5E"/>
    <w:rsid w:val="17147A18"/>
    <w:rsid w:val="17342399"/>
    <w:rsid w:val="17446A01"/>
    <w:rsid w:val="17575DF8"/>
    <w:rsid w:val="17595A97"/>
    <w:rsid w:val="175A4B41"/>
    <w:rsid w:val="1760737E"/>
    <w:rsid w:val="177A4E90"/>
    <w:rsid w:val="17A411E1"/>
    <w:rsid w:val="1824217E"/>
    <w:rsid w:val="18411CF8"/>
    <w:rsid w:val="1847039F"/>
    <w:rsid w:val="18550589"/>
    <w:rsid w:val="18622CA6"/>
    <w:rsid w:val="187825D6"/>
    <w:rsid w:val="18797892"/>
    <w:rsid w:val="189261A2"/>
    <w:rsid w:val="18957D75"/>
    <w:rsid w:val="18964FA8"/>
    <w:rsid w:val="189F35B2"/>
    <w:rsid w:val="18A0088A"/>
    <w:rsid w:val="18B85315"/>
    <w:rsid w:val="18CB3E99"/>
    <w:rsid w:val="18D06021"/>
    <w:rsid w:val="18DC2DEE"/>
    <w:rsid w:val="18EA1E36"/>
    <w:rsid w:val="18F07354"/>
    <w:rsid w:val="190776DD"/>
    <w:rsid w:val="1918427E"/>
    <w:rsid w:val="1930525F"/>
    <w:rsid w:val="195B2DEE"/>
    <w:rsid w:val="195B5FB8"/>
    <w:rsid w:val="197720A3"/>
    <w:rsid w:val="198A6E34"/>
    <w:rsid w:val="198B2AAE"/>
    <w:rsid w:val="198D3BDB"/>
    <w:rsid w:val="19B062B6"/>
    <w:rsid w:val="1A1A51BB"/>
    <w:rsid w:val="1A3D7527"/>
    <w:rsid w:val="1A4B186B"/>
    <w:rsid w:val="1A5C7316"/>
    <w:rsid w:val="1A680BCF"/>
    <w:rsid w:val="1A723D6B"/>
    <w:rsid w:val="1A8E059C"/>
    <w:rsid w:val="1AA03F29"/>
    <w:rsid w:val="1AA43E0E"/>
    <w:rsid w:val="1AAF3571"/>
    <w:rsid w:val="1AB833E8"/>
    <w:rsid w:val="1ABC7D4E"/>
    <w:rsid w:val="1AD772FB"/>
    <w:rsid w:val="1AE25BC8"/>
    <w:rsid w:val="1AE53683"/>
    <w:rsid w:val="1AE55B64"/>
    <w:rsid w:val="1AF51BD8"/>
    <w:rsid w:val="1AFB6971"/>
    <w:rsid w:val="1AFE6CB6"/>
    <w:rsid w:val="1B28788F"/>
    <w:rsid w:val="1B2C1F36"/>
    <w:rsid w:val="1B2D12FA"/>
    <w:rsid w:val="1B3B0ABD"/>
    <w:rsid w:val="1B3D20D5"/>
    <w:rsid w:val="1B3E509E"/>
    <w:rsid w:val="1B4548E5"/>
    <w:rsid w:val="1B4555D6"/>
    <w:rsid w:val="1B4D5379"/>
    <w:rsid w:val="1B854865"/>
    <w:rsid w:val="1B854FDF"/>
    <w:rsid w:val="1B8B170E"/>
    <w:rsid w:val="1B98337D"/>
    <w:rsid w:val="1B993D30"/>
    <w:rsid w:val="1B9C45A8"/>
    <w:rsid w:val="1BAE0AE9"/>
    <w:rsid w:val="1BDD5651"/>
    <w:rsid w:val="1BE64BA3"/>
    <w:rsid w:val="1BF15DCA"/>
    <w:rsid w:val="1C0711D4"/>
    <w:rsid w:val="1C0F399F"/>
    <w:rsid w:val="1C360715"/>
    <w:rsid w:val="1C3C7EA9"/>
    <w:rsid w:val="1C3E7A3C"/>
    <w:rsid w:val="1C454471"/>
    <w:rsid w:val="1C582DE0"/>
    <w:rsid w:val="1C8D2D19"/>
    <w:rsid w:val="1CB22D3B"/>
    <w:rsid w:val="1CBE3199"/>
    <w:rsid w:val="1CD049D0"/>
    <w:rsid w:val="1CD37AB5"/>
    <w:rsid w:val="1CEC2C59"/>
    <w:rsid w:val="1CED6FE2"/>
    <w:rsid w:val="1CF332BF"/>
    <w:rsid w:val="1D2152F1"/>
    <w:rsid w:val="1D2F2FE7"/>
    <w:rsid w:val="1D6708AF"/>
    <w:rsid w:val="1D7068D1"/>
    <w:rsid w:val="1D75191F"/>
    <w:rsid w:val="1D7B0CEF"/>
    <w:rsid w:val="1D7C7C8B"/>
    <w:rsid w:val="1D8C3E58"/>
    <w:rsid w:val="1DA94F92"/>
    <w:rsid w:val="1DBE151C"/>
    <w:rsid w:val="1DD40B7D"/>
    <w:rsid w:val="1DE2262F"/>
    <w:rsid w:val="1DF45C16"/>
    <w:rsid w:val="1DF60A19"/>
    <w:rsid w:val="1E1360D3"/>
    <w:rsid w:val="1E141307"/>
    <w:rsid w:val="1E2A6526"/>
    <w:rsid w:val="1E375B49"/>
    <w:rsid w:val="1E804169"/>
    <w:rsid w:val="1EA065D4"/>
    <w:rsid w:val="1EAC4C7B"/>
    <w:rsid w:val="1EBF06D7"/>
    <w:rsid w:val="1EFD54D7"/>
    <w:rsid w:val="1F0C3E04"/>
    <w:rsid w:val="1F1C53A4"/>
    <w:rsid w:val="1F1F2C34"/>
    <w:rsid w:val="1F26567D"/>
    <w:rsid w:val="1F271546"/>
    <w:rsid w:val="1F2C7572"/>
    <w:rsid w:val="1F411BC6"/>
    <w:rsid w:val="1FC17C12"/>
    <w:rsid w:val="1FC6340A"/>
    <w:rsid w:val="1FDE59B1"/>
    <w:rsid w:val="1FFB1A16"/>
    <w:rsid w:val="200415C4"/>
    <w:rsid w:val="2006563C"/>
    <w:rsid w:val="20306BD1"/>
    <w:rsid w:val="2033005C"/>
    <w:rsid w:val="20374D4E"/>
    <w:rsid w:val="209E3C88"/>
    <w:rsid w:val="20B03D83"/>
    <w:rsid w:val="20B6486E"/>
    <w:rsid w:val="20DA79B4"/>
    <w:rsid w:val="20F3473B"/>
    <w:rsid w:val="20FA49EA"/>
    <w:rsid w:val="20FC0CDE"/>
    <w:rsid w:val="210C0DE0"/>
    <w:rsid w:val="213E6B87"/>
    <w:rsid w:val="215B468B"/>
    <w:rsid w:val="21607D16"/>
    <w:rsid w:val="21613AFB"/>
    <w:rsid w:val="21870F94"/>
    <w:rsid w:val="218D668D"/>
    <w:rsid w:val="21B34266"/>
    <w:rsid w:val="21BD7364"/>
    <w:rsid w:val="21BE085D"/>
    <w:rsid w:val="21C415C4"/>
    <w:rsid w:val="21CA5B44"/>
    <w:rsid w:val="21DC30F5"/>
    <w:rsid w:val="21FC09D3"/>
    <w:rsid w:val="22094132"/>
    <w:rsid w:val="220B7216"/>
    <w:rsid w:val="22105521"/>
    <w:rsid w:val="22160FB3"/>
    <w:rsid w:val="2240296C"/>
    <w:rsid w:val="22452CD9"/>
    <w:rsid w:val="22573150"/>
    <w:rsid w:val="22600B99"/>
    <w:rsid w:val="22713E52"/>
    <w:rsid w:val="22923C34"/>
    <w:rsid w:val="229C0074"/>
    <w:rsid w:val="229C0B63"/>
    <w:rsid w:val="22AD5281"/>
    <w:rsid w:val="22BB4EC8"/>
    <w:rsid w:val="22D762F3"/>
    <w:rsid w:val="22DC0ADE"/>
    <w:rsid w:val="22EF38AF"/>
    <w:rsid w:val="22FE4BEA"/>
    <w:rsid w:val="231E4892"/>
    <w:rsid w:val="2322454C"/>
    <w:rsid w:val="23243032"/>
    <w:rsid w:val="2339743D"/>
    <w:rsid w:val="234279B0"/>
    <w:rsid w:val="239F377F"/>
    <w:rsid w:val="23AA1FE5"/>
    <w:rsid w:val="23CE6699"/>
    <w:rsid w:val="23E31D17"/>
    <w:rsid w:val="23FC31D7"/>
    <w:rsid w:val="240F4A2D"/>
    <w:rsid w:val="24294678"/>
    <w:rsid w:val="24445555"/>
    <w:rsid w:val="24466FD8"/>
    <w:rsid w:val="245636BF"/>
    <w:rsid w:val="24581193"/>
    <w:rsid w:val="2460559A"/>
    <w:rsid w:val="24A81235"/>
    <w:rsid w:val="24D01010"/>
    <w:rsid w:val="24E64EBF"/>
    <w:rsid w:val="24EB45FE"/>
    <w:rsid w:val="2503311B"/>
    <w:rsid w:val="250E6E30"/>
    <w:rsid w:val="25165674"/>
    <w:rsid w:val="25184258"/>
    <w:rsid w:val="251B7141"/>
    <w:rsid w:val="2531151D"/>
    <w:rsid w:val="255E6A17"/>
    <w:rsid w:val="259D37E8"/>
    <w:rsid w:val="25D52D09"/>
    <w:rsid w:val="25DB6CBC"/>
    <w:rsid w:val="25EB092E"/>
    <w:rsid w:val="261455E0"/>
    <w:rsid w:val="261761A2"/>
    <w:rsid w:val="262670C1"/>
    <w:rsid w:val="264358A9"/>
    <w:rsid w:val="264A2E70"/>
    <w:rsid w:val="267D5105"/>
    <w:rsid w:val="269475E4"/>
    <w:rsid w:val="26CF4A60"/>
    <w:rsid w:val="26ED18E9"/>
    <w:rsid w:val="26FD42C6"/>
    <w:rsid w:val="27003BC0"/>
    <w:rsid w:val="270F5B8F"/>
    <w:rsid w:val="27111B1F"/>
    <w:rsid w:val="27402EAC"/>
    <w:rsid w:val="274F4A0F"/>
    <w:rsid w:val="27640B66"/>
    <w:rsid w:val="2780222C"/>
    <w:rsid w:val="27B62191"/>
    <w:rsid w:val="27B80D82"/>
    <w:rsid w:val="27F03715"/>
    <w:rsid w:val="27F07786"/>
    <w:rsid w:val="280D3597"/>
    <w:rsid w:val="28143990"/>
    <w:rsid w:val="282910EA"/>
    <w:rsid w:val="285F4A1E"/>
    <w:rsid w:val="2866065C"/>
    <w:rsid w:val="28662BD3"/>
    <w:rsid w:val="287454C4"/>
    <w:rsid w:val="288A0840"/>
    <w:rsid w:val="288A7AA8"/>
    <w:rsid w:val="2892400F"/>
    <w:rsid w:val="28BB2B58"/>
    <w:rsid w:val="28D56B7C"/>
    <w:rsid w:val="28D600E2"/>
    <w:rsid w:val="28DC5EA4"/>
    <w:rsid w:val="28DE70EB"/>
    <w:rsid w:val="28E56758"/>
    <w:rsid w:val="28F30D41"/>
    <w:rsid w:val="291E6775"/>
    <w:rsid w:val="2931260B"/>
    <w:rsid w:val="293F0351"/>
    <w:rsid w:val="294778BF"/>
    <w:rsid w:val="29793709"/>
    <w:rsid w:val="298C18C1"/>
    <w:rsid w:val="29A7420A"/>
    <w:rsid w:val="29AF345F"/>
    <w:rsid w:val="29C56B78"/>
    <w:rsid w:val="29D44898"/>
    <w:rsid w:val="29E05209"/>
    <w:rsid w:val="2A0D172C"/>
    <w:rsid w:val="2A0F5360"/>
    <w:rsid w:val="2A1243E7"/>
    <w:rsid w:val="2A273408"/>
    <w:rsid w:val="2A2B114A"/>
    <w:rsid w:val="2A4022D4"/>
    <w:rsid w:val="2A4715CF"/>
    <w:rsid w:val="2A4D1354"/>
    <w:rsid w:val="2A580712"/>
    <w:rsid w:val="2A7F0B53"/>
    <w:rsid w:val="2AA53FB3"/>
    <w:rsid w:val="2AAA4924"/>
    <w:rsid w:val="2ACB7F37"/>
    <w:rsid w:val="2AD97A87"/>
    <w:rsid w:val="2AE77661"/>
    <w:rsid w:val="2AF20BB1"/>
    <w:rsid w:val="2B015274"/>
    <w:rsid w:val="2B0549A6"/>
    <w:rsid w:val="2B0717FC"/>
    <w:rsid w:val="2B083239"/>
    <w:rsid w:val="2B0B1799"/>
    <w:rsid w:val="2B1453E4"/>
    <w:rsid w:val="2B1D1780"/>
    <w:rsid w:val="2B2012AD"/>
    <w:rsid w:val="2B2A1401"/>
    <w:rsid w:val="2B490AEE"/>
    <w:rsid w:val="2B605B59"/>
    <w:rsid w:val="2B67525B"/>
    <w:rsid w:val="2B853825"/>
    <w:rsid w:val="2B893600"/>
    <w:rsid w:val="2B916CDF"/>
    <w:rsid w:val="2BAE3BAD"/>
    <w:rsid w:val="2BEF4305"/>
    <w:rsid w:val="2BF9498F"/>
    <w:rsid w:val="2BFB7326"/>
    <w:rsid w:val="2C081860"/>
    <w:rsid w:val="2C0D0BE9"/>
    <w:rsid w:val="2C1313E8"/>
    <w:rsid w:val="2C183950"/>
    <w:rsid w:val="2C2461F3"/>
    <w:rsid w:val="2C2A0B96"/>
    <w:rsid w:val="2C6027BC"/>
    <w:rsid w:val="2C680AA2"/>
    <w:rsid w:val="2C6A7F59"/>
    <w:rsid w:val="2CA406D6"/>
    <w:rsid w:val="2CB82A3D"/>
    <w:rsid w:val="2CBA4A07"/>
    <w:rsid w:val="2CD158B5"/>
    <w:rsid w:val="2CFD19F5"/>
    <w:rsid w:val="2CFD652B"/>
    <w:rsid w:val="2D0E3978"/>
    <w:rsid w:val="2D2212E5"/>
    <w:rsid w:val="2D462537"/>
    <w:rsid w:val="2DBA7D40"/>
    <w:rsid w:val="2DC413B6"/>
    <w:rsid w:val="2DD3461D"/>
    <w:rsid w:val="2E1B3283"/>
    <w:rsid w:val="2E1E4B22"/>
    <w:rsid w:val="2E5B4739"/>
    <w:rsid w:val="2E5D4969"/>
    <w:rsid w:val="2E673156"/>
    <w:rsid w:val="2E6F1629"/>
    <w:rsid w:val="2E7078E1"/>
    <w:rsid w:val="2E76670C"/>
    <w:rsid w:val="2E7B3745"/>
    <w:rsid w:val="2E836001"/>
    <w:rsid w:val="2E90284D"/>
    <w:rsid w:val="2E9A689E"/>
    <w:rsid w:val="2EA46655"/>
    <w:rsid w:val="2EA770E8"/>
    <w:rsid w:val="2EAF2D66"/>
    <w:rsid w:val="2EBB5FB9"/>
    <w:rsid w:val="2EDF1BC4"/>
    <w:rsid w:val="2EDF4686"/>
    <w:rsid w:val="2EE203AF"/>
    <w:rsid w:val="2EE87A31"/>
    <w:rsid w:val="2EEB70FA"/>
    <w:rsid w:val="2EF05FE7"/>
    <w:rsid w:val="2F027601"/>
    <w:rsid w:val="2F0C1127"/>
    <w:rsid w:val="2F266266"/>
    <w:rsid w:val="2F4A6121"/>
    <w:rsid w:val="2F603F3E"/>
    <w:rsid w:val="2F8A246F"/>
    <w:rsid w:val="2F8D6403"/>
    <w:rsid w:val="2F9C00DB"/>
    <w:rsid w:val="2FA459A5"/>
    <w:rsid w:val="2FBA585A"/>
    <w:rsid w:val="2FBB6ACC"/>
    <w:rsid w:val="2FF10027"/>
    <w:rsid w:val="301C14C1"/>
    <w:rsid w:val="30233399"/>
    <w:rsid w:val="3038636F"/>
    <w:rsid w:val="304B0B4C"/>
    <w:rsid w:val="30500089"/>
    <w:rsid w:val="3058359B"/>
    <w:rsid w:val="305947FE"/>
    <w:rsid w:val="3070722D"/>
    <w:rsid w:val="30777D25"/>
    <w:rsid w:val="307862DE"/>
    <w:rsid w:val="308556FC"/>
    <w:rsid w:val="30CF2A40"/>
    <w:rsid w:val="311D5D13"/>
    <w:rsid w:val="312B7C81"/>
    <w:rsid w:val="313568B9"/>
    <w:rsid w:val="31390451"/>
    <w:rsid w:val="31442EA9"/>
    <w:rsid w:val="314E4ADE"/>
    <w:rsid w:val="31502DEF"/>
    <w:rsid w:val="315F3BAC"/>
    <w:rsid w:val="316A5CB5"/>
    <w:rsid w:val="316E746A"/>
    <w:rsid w:val="31730030"/>
    <w:rsid w:val="318B1DD8"/>
    <w:rsid w:val="318C4312"/>
    <w:rsid w:val="3195076F"/>
    <w:rsid w:val="31A02ABC"/>
    <w:rsid w:val="31AD4B3A"/>
    <w:rsid w:val="31DA602E"/>
    <w:rsid w:val="31E66087"/>
    <w:rsid w:val="31EC7BF6"/>
    <w:rsid w:val="31FC3722"/>
    <w:rsid w:val="320209E2"/>
    <w:rsid w:val="320A7AA4"/>
    <w:rsid w:val="321815DB"/>
    <w:rsid w:val="321F51CA"/>
    <w:rsid w:val="32286688"/>
    <w:rsid w:val="322A7D1F"/>
    <w:rsid w:val="322F7F00"/>
    <w:rsid w:val="323E33C3"/>
    <w:rsid w:val="328B74FD"/>
    <w:rsid w:val="32BA698E"/>
    <w:rsid w:val="32C20171"/>
    <w:rsid w:val="330B1693"/>
    <w:rsid w:val="33131776"/>
    <w:rsid w:val="332E694B"/>
    <w:rsid w:val="3340186F"/>
    <w:rsid w:val="334453A4"/>
    <w:rsid w:val="334F03CF"/>
    <w:rsid w:val="3355049A"/>
    <w:rsid w:val="3360174A"/>
    <w:rsid w:val="3375198A"/>
    <w:rsid w:val="33870C1A"/>
    <w:rsid w:val="338D1111"/>
    <w:rsid w:val="339B6ADF"/>
    <w:rsid w:val="33A6015F"/>
    <w:rsid w:val="33AB50A9"/>
    <w:rsid w:val="33F63C33"/>
    <w:rsid w:val="34034262"/>
    <w:rsid w:val="34094276"/>
    <w:rsid w:val="34185E8E"/>
    <w:rsid w:val="342C28E4"/>
    <w:rsid w:val="342C61EA"/>
    <w:rsid w:val="34405969"/>
    <w:rsid w:val="346B74BB"/>
    <w:rsid w:val="34783A2E"/>
    <w:rsid w:val="348302C0"/>
    <w:rsid w:val="34855996"/>
    <w:rsid w:val="349E5EEA"/>
    <w:rsid w:val="34A61090"/>
    <w:rsid w:val="34AB6B6B"/>
    <w:rsid w:val="34AD4A64"/>
    <w:rsid w:val="34B83161"/>
    <w:rsid w:val="34BC595C"/>
    <w:rsid w:val="34E3550C"/>
    <w:rsid w:val="34EA2E3B"/>
    <w:rsid w:val="350031D3"/>
    <w:rsid w:val="3504246A"/>
    <w:rsid w:val="35072491"/>
    <w:rsid w:val="350E307A"/>
    <w:rsid w:val="35185032"/>
    <w:rsid w:val="352970EB"/>
    <w:rsid w:val="352E4A01"/>
    <w:rsid w:val="353214BB"/>
    <w:rsid w:val="35436D6F"/>
    <w:rsid w:val="35852C22"/>
    <w:rsid w:val="358C6C6C"/>
    <w:rsid w:val="358F1091"/>
    <w:rsid w:val="35DE4F44"/>
    <w:rsid w:val="35ED64F8"/>
    <w:rsid w:val="36150E2C"/>
    <w:rsid w:val="36272D6E"/>
    <w:rsid w:val="368E2148"/>
    <w:rsid w:val="36BD312A"/>
    <w:rsid w:val="36C07833"/>
    <w:rsid w:val="36C57E2E"/>
    <w:rsid w:val="36C715D4"/>
    <w:rsid w:val="37032093"/>
    <w:rsid w:val="370E0375"/>
    <w:rsid w:val="37164613"/>
    <w:rsid w:val="37396C25"/>
    <w:rsid w:val="373B0455"/>
    <w:rsid w:val="373E0B7B"/>
    <w:rsid w:val="37467467"/>
    <w:rsid w:val="375F33F1"/>
    <w:rsid w:val="376E71BC"/>
    <w:rsid w:val="3794778E"/>
    <w:rsid w:val="37947DDC"/>
    <w:rsid w:val="37C52DC1"/>
    <w:rsid w:val="37D969D7"/>
    <w:rsid w:val="38055726"/>
    <w:rsid w:val="380C1EEC"/>
    <w:rsid w:val="382A14D1"/>
    <w:rsid w:val="382A2BB6"/>
    <w:rsid w:val="382A30A3"/>
    <w:rsid w:val="385E5DFF"/>
    <w:rsid w:val="38665A54"/>
    <w:rsid w:val="387554F4"/>
    <w:rsid w:val="38860B35"/>
    <w:rsid w:val="388D1922"/>
    <w:rsid w:val="38C01558"/>
    <w:rsid w:val="38D64CA0"/>
    <w:rsid w:val="38F35D01"/>
    <w:rsid w:val="38FE152C"/>
    <w:rsid w:val="39001039"/>
    <w:rsid w:val="39023647"/>
    <w:rsid w:val="39327A82"/>
    <w:rsid w:val="3937090F"/>
    <w:rsid w:val="3937132F"/>
    <w:rsid w:val="393D0552"/>
    <w:rsid w:val="395B0800"/>
    <w:rsid w:val="39AC1DA0"/>
    <w:rsid w:val="39B22FD2"/>
    <w:rsid w:val="39E01568"/>
    <w:rsid w:val="39FE59EE"/>
    <w:rsid w:val="3A014B0F"/>
    <w:rsid w:val="3A0F4B8D"/>
    <w:rsid w:val="3A250ED1"/>
    <w:rsid w:val="3A36183C"/>
    <w:rsid w:val="3A3A1169"/>
    <w:rsid w:val="3A572C4A"/>
    <w:rsid w:val="3A5E6C3C"/>
    <w:rsid w:val="3A6B3E1F"/>
    <w:rsid w:val="3A6C08F8"/>
    <w:rsid w:val="3ABB16DC"/>
    <w:rsid w:val="3AE93483"/>
    <w:rsid w:val="3AEC6CA1"/>
    <w:rsid w:val="3AF95660"/>
    <w:rsid w:val="3B056408"/>
    <w:rsid w:val="3B153E6E"/>
    <w:rsid w:val="3B1E418A"/>
    <w:rsid w:val="3B1E4B89"/>
    <w:rsid w:val="3B263102"/>
    <w:rsid w:val="3B2B17FF"/>
    <w:rsid w:val="3B2F652A"/>
    <w:rsid w:val="3B420B2B"/>
    <w:rsid w:val="3B57219D"/>
    <w:rsid w:val="3B6651A5"/>
    <w:rsid w:val="3B667CFC"/>
    <w:rsid w:val="3B6E6CB9"/>
    <w:rsid w:val="3B6F55C4"/>
    <w:rsid w:val="3B833BB7"/>
    <w:rsid w:val="3B963EE5"/>
    <w:rsid w:val="3B9823B7"/>
    <w:rsid w:val="3BAD58D2"/>
    <w:rsid w:val="3BBB6D8F"/>
    <w:rsid w:val="3BCB3E96"/>
    <w:rsid w:val="3BE15B0C"/>
    <w:rsid w:val="3BE51A90"/>
    <w:rsid w:val="3C464A9E"/>
    <w:rsid w:val="3C5B3E6A"/>
    <w:rsid w:val="3C6F02CC"/>
    <w:rsid w:val="3C7E23E0"/>
    <w:rsid w:val="3C8C471D"/>
    <w:rsid w:val="3CA01F00"/>
    <w:rsid w:val="3CB46DFB"/>
    <w:rsid w:val="3CC814A1"/>
    <w:rsid w:val="3CC92A96"/>
    <w:rsid w:val="3CF41FEF"/>
    <w:rsid w:val="3CFC6E71"/>
    <w:rsid w:val="3CFF37EC"/>
    <w:rsid w:val="3D361E88"/>
    <w:rsid w:val="3D3B124C"/>
    <w:rsid w:val="3D4F0C4B"/>
    <w:rsid w:val="3D6C1880"/>
    <w:rsid w:val="3D705902"/>
    <w:rsid w:val="3D804F53"/>
    <w:rsid w:val="3D8F5805"/>
    <w:rsid w:val="3D9E19D5"/>
    <w:rsid w:val="3DAE0295"/>
    <w:rsid w:val="3DC93A18"/>
    <w:rsid w:val="3DCF0A88"/>
    <w:rsid w:val="3DF276CF"/>
    <w:rsid w:val="3DF5641B"/>
    <w:rsid w:val="3E162E51"/>
    <w:rsid w:val="3E1A2831"/>
    <w:rsid w:val="3E240386"/>
    <w:rsid w:val="3E267B22"/>
    <w:rsid w:val="3E2D5039"/>
    <w:rsid w:val="3E3637AD"/>
    <w:rsid w:val="3E4147B1"/>
    <w:rsid w:val="3E763C97"/>
    <w:rsid w:val="3E783652"/>
    <w:rsid w:val="3E9174FC"/>
    <w:rsid w:val="3E987E51"/>
    <w:rsid w:val="3EAD43CC"/>
    <w:rsid w:val="3EB5668D"/>
    <w:rsid w:val="3EBE20D4"/>
    <w:rsid w:val="3EED6C06"/>
    <w:rsid w:val="3EF766CB"/>
    <w:rsid w:val="3F07392F"/>
    <w:rsid w:val="3F201483"/>
    <w:rsid w:val="3F286E96"/>
    <w:rsid w:val="3F2C4D37"/>
    <w:rsid w:val="3F422D66"/>
    <w:rsid w:val="3F4423E4"/>
    <w:rsid w:val="3F470C1C"/>
    <w:rsid w:val="3F753CD1"/>
    <w:rsid w:val="3F84512C"/>
    <w:rsid w:val="3F8769CB"/>
    <w:rsid w:val="3F942E96"/>
    <w:rsid w:val="3FB5734D"/>
    <w:rsid w:val="3FCA1517"/>
    <w:rsid w:val="3FCA4B09"/>
    <w:rsid w:val="3FD6525C"/>
    <w:rsid w:val="3FD93F0B"/>
    <w:rsid w:val="40072013"/>
    <w:rsid w:val="40271B91"/>
    <w:rsid w:val="404843AC"/>
    <w:rsid w:val="406B6EE7"/>
    <w:rsid w:val="409B315A"/>
    <w:rsid w:val="40B11FF7"/>
    <w:rsid w:val="40C63BE4"/>
    <w:rsid w:val="40D53C89"/>
    <w:rsid w:val="40E25BA0"/>
    <w:rsid w:val="410F7EE8"/>
    <w:rsid w:val="411B6481"/>
    <w:rsid w:val="411B7DB6"/>
    <w:rsid w:val="4125649B"/>
    <w:rsid w:val="414564B4"/>
    <w:rsid w:val="414765CF"/>
    <w:rsid w:val="415467CA"/>
    <w:rsid w:val="41654AEA"/>
    <w:rsid w:val="416D1A8D"/>
    <w:rsid w:val="417A08B0"/>
    <w:rsid w:val="41AE5BA6"/>
    <w:rsid w:val="41AF35D7"/>
    <w:rsid w:val="41B373D1"/>
    <w:rsid w:val="41B4781F"/>
    <w:rsid w:val="41BD3F9A"/>
    <w:rsid w:val="41BE51F4"/>
    <w:rsid w:val="41BF47EC"/>
    <w:rsid w:val="41FA4D4B"/>
    <w:rsid w:val="41FD2F74"/>
    <w:rsid w:val="420C4083"/>
    <w:rsid w:val="42215E03"/>
    <w:rsid w:val="423E2FD9"/>
    <w:rsid w:val="42445EFC"/>
    <w:rsid w:val="425A3900"/>
    <w:rsid w:val="42673750"/>
    <w:rsid w:val="427C5FF0"/>
    <w:rsid w:val="42891FAA"/>
    <w:rsid w:val="428A6A3E"/>
    <w:rsid w:val="42AD0832"/>
    <w:rsid w:val="42B93B1E"/>
    <w:rsid w:val="42BE1AF7"/>
    <w:rsid w:val="42C5722F"/>
    <w:rsid w:val="42C6302C"/>
    <w:rsid w:val="42EA6528"/>
    <w:rsid w:val="42F55B27"/>
    <w:rsid w:val="431B55A6"/>
    <w:rsid w:val="4331199B"/>
    <w:rsid w:val="433C1AFE"/>
    <w:rsid w:val="43430E5B"/>
    <w:rsid w:val="434D3D80"/>
    <w:rsid w:val="43792585"/>
    <w:rsid w:val="437B0938"/>
    <w:rsid w:val="437E52D3"/>
    <w:rsid w:val="438751EB"/>
    <w:rsid w:val="439876BD"/>
    <w:rsid w:val="43A27485"/>
    <w:rsid w:val="43BD2088"/>
    <w:rsid w:val="43C05490"/>
    <w:rsid w:val="43C10346"/>
    <w:rsid w:val="43CA1F96"/>
    <w:rsid w:val="43D043B4"/>
    <w:rsid w:val="43D269A9"/>
    <w:rsid w:val="43D60CB9"/>
    <w:rsid w:val="43D7416E"/>
    <w:rsid w:val="43D955EF"/>
    <w:rsid w:val="43DF6FF0"/>
    <w:rsid w:val="43E066A9"/>
    <w:rsid w:val="43F753F8"/>
    <w:rsid w:val="43F81C45"/>
    <w:rsid w:val="44093084"/>
    <w:rsid w:val="440A7CA0"/>
    <w:rsid w:val="440C1383"/>
    <w:rsid w:val="440D6ED6"/>
    <w:rsid w:val="441445A5"/>
    <w:rsid w:val="4425531B"/>
    <w:rsid w:val="442A7E48"/>
    <w:rsid w:val="44310893"/>
    <w:rsid w:val="447C4823"/>
    <w:rsid w:val="448A40A1"/>
    <w:rsid w:val="449F59C2"/>
    <w:rsid w:val="44AC69D9"/>
    <w:rsid w:val="44B23C8E"/>
    <w:rsid w:val="44E40468"/>
    <w:rsid w:val="45065071"/>
    <w:rsid w:val="451470F8"/>
    <w:rsid w:val="45660E30"/>
    <w:rsid w:val="45842B85"/>
    <w:rsid w:val="458626FF"/>
    <w:rsid w:val="4588524B"/>
    <w:rsid w:val="45905068"/>
    <w:rsid w:val="45B604D0"/>
    <w:rsid w:val="45B606E7"/>
    <w:rsid w:val="45BA77FF"/>
    <w:rsid w:val="45DF32B3"/>
    <w:rsid w:val="45E10B02"/>
    <w:rsid w:val="45E702E2"/>
    <w:rsid w:val="45F470EC"/>
    <w:rsid w:val="46034E21"/>
    <w:rsid w:val="46222152"/>
    <w:rsid w:val="462D6710"/>
    <w:rsid w:val="46362EF9"/>
    <w:rsid w:val="463B7681"/>
    <w:rsid w:val="464C34D6"/>
    <w:rsid w:val="466C0A1D"/>
    <w:rsid w:val="467474C9"/>
    <w:rsid w:val="469E39D0"/>
    <w:rsid w:val="46C07DC2"/>
    <w:rsid w:val="46CA3926"/>
    <w:rsid w:val="46CC1167"/>
    <w:rsid w:val="46EB3D58"/>
    <w:rsid w:val="46F830B9"/>
    <w:rsid w:val="47282AD0"/>
    <w:rsid w:val="47301B2E"/>
    <w:rsid w:val="477612F6"/>
    <w:rsid w:val="478231AF"/>
    <w:rsid w:val="4787232B"/>
    <w:rsid w:val="47B3234E"/>
    <w:rsid w:val="47B75973"/>
    <w:rsid w:val="47C22D67"/>
    <w:rsid w:val="47CB382A"/>
    <w:rsid w:val="47CC1DDE"/>
    <w:rsid w:val="47D46525"/>
    <w:rsid w:val="47D9409D"/>
    <w:rsid w:val="47DA5463"/>
    <w:rsid w:val="47DF6A6D"/>
    <w:rsid w:val="47E26E94"/>
    <w:rsid w:val="47F1446D"/>
    <w:rsid w:val="47F6304E"/>
    <w:rsid w:val="480D0CD3"/>
    <w:rsid w:val="48272AF9"/>
    <w:rsid w:val="48480CC1"/>
    <w:rsid w:val="484F67FB"/>
    <w:rsid w:val="48964DF5"/>
    <w:rsid w:val="4896623E"/>
    <w:rsid w:val="48C07F26"/>
    <w:rsid w:val="48C24DE3"/>
    <w:rsid w:val="48DF33E5"/>
    <w:rsid w:val="48EE3617"/>
    <w:rsid w:val="48F36732"/>
    <w:rsid w:val="49281C38"/>
    <w:rsid w:val="49354775"/>
    <w:rsid w:val="494266EE"/>
    <w:rsid w:val="494A0752"/>
    <w:rsid w:val="49575B00"/>
    <w:rsid w:val="496031C8"/>
    <w:rsid w:val="496725F4"/>
    <w:rsid w:val="496D642E"/>
    <w:rsid w:val="497B12BD"/>
    <w:rsid w:val="498E08FD"/>
    <w:rsid w:val="49927573"/>
    <w:rsid w:val="49951AB2"/>
    <w:rsid w:val="499F7D81"/>
    <w:rsid w:val="49CB686E"/>
    <w:rsid w:val="49D64976"/>
    <w:rsid w:val="49DA5979"/>
    <w:rsid w:val="49E51A63"/>
    <w:rsid w:val="49E726B5"/>
    <w:rsid w:val="49F27137"/>
    <w:rsid w:val="4A10021B"/>
    <w:rsid w:val="4A162A08"/>
    <w:rsid w:val="4A1673C8"/>
    <w:rsid w:val="4A34643C"/>
    <w:rsid w:val="4A3C67B2"/>
    <w:rsid w:val="4A420BA1"/>
    <w:rsid w:val="4A4B4A9E"/>
    <w:rsid w:val="4A864349"/>
    <w:rsid w:val="4AAC21B0"/>
    <w:rsid w:val="4AB90E63"/>
    <w:rsid w:val="4AD172F2"/>
    <w:rsid w:val="4AEA36E0"/>
    <w:rsid w:val="4AF50324"/>
    <w:rsid w:val="4AF92DE3"/>
    <w:rsid w:val="4B032B87"/>
    <w:rsid w:val="4B222B26"/>
    <w:rsid w:val="4B363E9F"/>
    <w:rsid w:val="4B697A44"/>
    <w:rsid w:val="4B7C26C9"/>
    <w:rsid w:val="4B86222C"/>
    <w:rsid w:val="4BBC1F9B"/>
    <w:rsid w:val="4BE21160"/>
    <w:rsid w:val="4BF03B4A"/>
    <w:rsid w:val="4BFF088F"/>
    <w:rsid w:val="4C0B1D5F"/>
    <w:rsid w:val="4C3126CB"/>
    <w:rsid w:val="4C382E0A"/>
    <w:rsid w:val="4C3920CB"/>
    <w:rsid w:val="4C397865"/>
    <w:rsid w:val="4C3F41A4"/>
    <w:rsid w:val="4C5D75CA"/>
    <w:rsid w:val="4C623CEF"/>
    <w:rsid w:val="4C6E36B7"/>
    <w:rsid w:val="4C787BB6"/>
    <w:rsid w:val="4C7F28E5"/>
    <w:rsid w:val="4C800A2A"/>
    <w:rsid w:val="4C8112ED"/>
    <w:rsid w:val="4C9362A9"/>
    <w:rsid w:val="4CA04AED"/>
    <w:rsid w:val="4CC429A7"/>
    <w:rsid w:val="4CC823D1"/>
    <w:rsid w:val="4CCB33EC"/>
    <w:rsid w:val="4CCC1953"/>
    <w:rsid w:val="4CD00D23"/>
    <w:rsid w:val="4CD72E8E"/>
    <w:rsid w:val="4CD83605"/>
    <w:rsid w:val="4CDE27F3"/>
    <w:rsid w:val="4CF67FD1"/>
    <w:rsid w:val="4D036904"/>
    <w:rsid w:val="4D0E6A50"/>
    <w:rsid w:val="4D152F41"/>
    <w:rsid w:val="4D365005"/>
    <w:rsid w:val="4D642C30"/>
    <w:rsid w:val="4D87403A"/>
    <w:rsid w:val="4D9927AF"/>
    <w:rsid w:val="4DA11831"/>
    <w:rsid w:val="4DA90454"/>
    <w:rsid w:val="4DAA1BB6"/>
    <w:rsid w:val="4DAC584E"/>
    <w:rsid w:val="4DE9191A"/>
    <w:rsid w:val="4DEC1CC7"/>
    <w:rsid w:val="4E082271"/>
    <w:rsid w:val="4E1C4759"/>
    <w:rsid w:val="4E293CD0"/>
    <w:rsid w:val="4E372CB3"/>
    <w:rsid w:val="4E3B474E"/>
    <w:rsid w:val="4E4F2DA9"/>
    <w:rsid w:val="4E524648"/>
    <w:rsid w:val="4E654DB7"/>
    <w:rsid w:val="4E6F2D41"/>
    <w:rsid w:val="4E8A160E"/>
    <w:rsid w:val="4E9A408E"/>
    <w:rsid w:val="4EAA4484"/>
    <w:rsid w:val="4F0E2BF9"/>
    <w:rsid w:val="4F142475"/>
    <w:rsid w:val="4F195957"/>
    <w:rsid w:val="4F253FEC"/>
    <w:rsid w:val="4F2C7590"/>
    <w:rsid w:val="4F6071CE"/>
    <w:rsid w:val="4F84721C"/>
    <w:rsid w:val="4F9E4301"/>
    <w:rsid w:val="4FB32BFC"/>
    <w:rsid w:val="4FBE7D02"/>
    <w:rsid w:val="4FBF7671"/>
    <w:rsid w:val="4FC13833"/>
    <w:rsid w:val="4FC52EF0"/>
    <w:rsid w:val="4FD67643"/>
    <w:rsid w:val="4FE31002"/>
    <w:rsid w:val="4FED6944"/>
    <w:rsid w:val="501A73E7"/>
    <w:rsid w:val="501E292C"/>
    <w:rsid w:val="503B41B6"/>
    <w:rsid w:val="503E20AA"/>
    <w:rsid w:val="503F05DC"/>
    <w:rsid w:val="50484B07"/>
    <w:rsid w:val="50502C8E"/>
    <w:rsid w:val="50715259"/>
    <w:rsid w:val="50790B73"/>
    <w:rsid w:val="50CA4969"/>
    <w:rsid w:val="50EA615E"/>
    <w:rsid w:val="50EC5FC6"/>
    <w:rsid w:val="50ED5EFD"/>
    <w:rsid w:val="510F05CE"/>
    <w:rsid w:val="511225FA"/>
    <w:rsid w:val="51347367"/>
    <w:rsid w:val="515B5F7F"/>
    <w:rsid w:val="51742987"/>
    <w:rsid w:val="517767E1"/>
    <w:rsid w:val="5187404B"/>
    <w:rsid w:val="51AE6D95"/>
    <w:rsid w:val="51AF71F5"/>
    <w:rsid w:val="51C94CD2"/>
    <w:rsid w:val="51D13AD5"/>
    <w:rsid w:val="51D2331D"/>
    <w:rsid w:val="51E6434F"/>
    <w:rsid w:val="51EF6F14"/>
    <w:rsid w:val="5206316B"/>
    <w:rsid w:val="520C1FBF"/>
    <w:rsid w:val="523948DD"/>
    <w:rsid w:val="525B0C34"/>
    <w:rsid w:val="52685339"/>
    <w:rsid w:val="527201F1"/>
    <w:rsid w:val="52776F50"/>
    <w:rsid w:val="529A0D8A"/>
    <w:rsid w:val="52AE36F0"/>
    <w:rsid w:val="52AF406A"/>
    <w:rsid w:val="52C21540"/>
    <w:rsid w:val="52C8559F"/>
    <w:rsid w:val="52C9184B"/>
    <w:rsid w:val="52D4295D"/>
    <w:rsid w:val="5305035F"/>
    <w:rsid w:val="53243A3B"/>
    <w:rsid w:val="53254DF5"/>
    <w:rsid w:val="532708C5"/>
    <w:rsid w:val="532A5B93"/>
    <w:rsid w:val="53336043"/>
    <w:rsid w:val="533C5358"/>
    <w:rsid w:val="534E106C"/>
    <w:rsid w:val="535E2162"/>
    <w:rsid w:val="53625171"/>
    <w:rsid w:val="536D782E"/>
    <w:rsid w:val="5370717B"/>
    <w:rsid w:val="538B3BC4"/>
    <w:rsid w:val="53C90757"/>
    <w:rsid w:val="53E61085"/>
    <w:rsid w:val="540939FA"/>
    <w:rsid w:val="541174EE"/>
    <w:rsid w:val="541774AA"/>
    <w:rsid w:val="5421581B"/>
    <w:rsid w:val="542B1BC3"/>
    <w:rsid w:val="5436281D"/>
    <w:rsid w:val="54664FFC"/>
    <w:rsid w:val="54802CFF"/>
    <w:rsid w:val="54872F41"/>
    <w:rsid w:val="548F7351"/>
    <w:rsid w:val="549F7EBB"/>
    <w:rsid w:val="54B73C39"/>
    <w:rsid w:val="54B91A16"/>
    <w:rsid w:val="54CA05DF"/>
    <w:rsid w:val="54CC288D"/>
    <w:rsid w:val="54D65852"/>
    <w:rsid w:val="54DD1CC8"/>
    <w:rsid w:val="54E171D9"/>
    <w:rsid w:val="54F839CA"/>
    <w:rsid w:val="55057555"/>
    <w:rsid w:val="55203D5B"/>
    <w:rsid w:val="553654F1"/>
    <w:rsid w:val="55403DB8"/>
    <w:rsid w:val="55456520"/>
    <w:rsid w:val="554E7EC4"/>
    <w:rsid w:val="55546084"/>
    <w:rsid w:val="55820CAC"/>
    <w:rsid w:val="559B0619"/>
    <w:rsid w:val="55AF5177"/>
    <w:rsid w:val="55B54084"/>
    <w:rsid w:val="55C51BA3"/>
    <w:rsid w:val="55D33A01"/>
    <w:rsid w:val="55D40C5C"/>
    <w:rsid w:val="55EC13F4"/>
    <w:rsid w:val="55F955D4"/>
    <w:rsid w:val="55FA199E"/>
    <w:rsid w:val="561E7639"/>
    <w:rsid w:val="56437F80"/>
    <w:rsid w:val="56460F02"/>
    <w:rsid w:val="565D3B8A"/>
    <w:rsid w:val="565F3DA6"/>
    <w:rsid w:val="56715929"/>
    <w:rsid w:val="56784C3B"/>
    <w:rsid w:val="5679268D"/>
    <w:rsid w:val="56BA722E"/>
    <w:rsid w:val="56C76E83"/>
    <w:rsid w:val="56DA3975"/>
    <w:rsid w:val="56DC2E8E"/>
    <w:rsid w:val="56E27E0B"/>
    <w:rsid w:val="56E3313F"/>
    <w:rsid w:val="56F4704A"/>
    <w:rsid w:val="57213057"/>
    <w:rsid w:val="57275B7E"/>
    <w:rsid w:val="57321A3A"/>
    <w:rsid w:val="57407733"/>
    <w:rsid w:val="57427C5A"/>
    <w:rsid w:val="576D42A0"/>
    <w:rsid w:val="576E673F"/>
    <w:rsid w:val="578B2DF8"/>
    <w:rsid w:val="578D0B61"/>
    <w:rsid w:val="57904B13"/>
    <w:rsid w:val="57AD1C83"/>
    <w:rsid w:val="57B8376D"/>
    <w:rsid w:val="57C044FC"/>
    <w:rsid w:val="57C53AC2"/>
    <w:rsid w:val="57E21315"/>
    <w:rsid w:val="57F52B59"/>
    <w:rsid w:val="58000968"/>
    <w:rsid w:val="580B26F7"/>
    <w:rsid w:val="58186F97"/>
    <w:rsid w:val="58263D40"/>
    <w:rsid w:val="58341026"/>
    <w:rsid w:val="584D2133"/>
    <w:rsid w:val="584E019A"/>
    <w:rsid w:val="584F160A"/>
    <w:rsid w:val="58612827"/>
    <w:rsid w:val="58707BE8"/>
    <w:rsid w:val="587B7B5D"/>
    <w:rsid w:val="58855EB2"/>
    <w:rsid w:val="58B104E2"/>
    <w:rsid w:val="58CD5907"/>
    <w:rsid w:val="58DA5965"/>
    <w:rsid w:val="58DE3773"/>
    <w:rsid w:val="58FF3061"/>
    <w:rsid w:val="591C42FE"/>
    <w:rsid w:val="592F1F7D"/>
    <w:rsid w:val="593E233D"/>
    <w:rsid w:val="595E3400"/>
    <w:rsid w:val="5985283B"/>
    <w:rsid w:val="599F0649"/>
    <w:rsid w:val="59C0225F"/>
    <w:rsid w:val="59CA7151"/>
    <w:rsid w:val="59FE715B"/>
    <w:rsid w:val="5A0828A8"/>
    <w:rsid w:val="5A187995"/>
    <w:rsid w:val="5A2E0BBE"/>
    <w:rsid w:val="5A771EF2"/>
    <w:rsid w:val="5A831712"/>
    <w:rsid w:val="5A8C21A3"/>
    <w:rsid w:val="5A966243"/>
    <w:rsid w:val="5AAC2124"/>
    <w:rsid w:val="5AB316B1"/>
    <w:rsid w:val="5AB3672C"/>
    <w:rsid w:val="5AC57957"/>
    <w:rsid w:val="5ACA7B36"/>
    <w:rsid w:val="5AD12D2F"/>
    <w:rsid w:val="5AE327BC"/>
    <w:rsid w:val="5AE44879"/>
    <w:rsid w:val="5AE84658"/>
    <w:rsid w:val="5B1517EF"/>
    <w:rsid w:val="5B314370"/>
    <w:rsid w:val="5B3E176E"/>
    <w:rsid w:val="5B452533"/>
    <w:rsid w:val="5B4B2C4D"/>
    <w:rsid w:val="5B4C501C"/>
    <w:rsid w:val="5B6F7110"/>
    <w:rsid w:val="5B70435F"/>
    <w:rsid w:val="5B7B4262"/>
    <w:rsid w:val="5B7E082A"/>
    <w:rsid w:val="5B8B6F5B"/>
    <w:rsid w:val="5B8C2E9B"/>
    <w:rsid w:val="5BC375D6"/>
    <w:rsid w:val="5BCA7EEA"/>
    <w:rsid w:val="5BD250A3"/>
    <w:rsid w:val="5BDA2511"/>
    <w:rsid w:val="5C0F3A0B"/>
    <w:rsid w:val="5C1709E1"/>
    <w:rsid w:val="5C1A2979"/>
    <w:rsid w:val="5C2F28D5"/>
    <w:rsid w:val="5C3369BA"/>
    <w:rsid w:val="5C595EA3"/>
    <w:rsid w:val="5C5B66E6"/>
    <w:rsid w:val="5C732359"/>
    <w:rsid w:val="5C75020C"/>
    <w:rsid w:val="5C8619C1"/>
    <w:rsid w:val="5CBC2F38"/>
    <w:rsid w:val="5CFF3B9A"/>
    <w:rsid w:val="5D3564FD"/>
    <w:rsid w:val="5D39431C"/>
    <w:rsid w:val="5D423AA3"/>
    <w:rsid w:val="5D4715D6"/>
    <w:rsid w:val="5D5B391D"/>
    <w:rsid w:val="5D69550A"/>
    <w:rsid w:val="5D804D2D"/>
    <w:rsid w:val="5D8607BA"/>
    <w:rsid w:val="5DA71D84"/>
    <w:rsid w:val="5DD26D33"/>
    <w:rsid w:val="5DF57FA6"/>
    <w:rsid w:val="5DF70D68"/>
    <w:rsid w:val="5E0276B2"/>
    <w:rsid w:val="5E1619CA"/>
    <w:rsid w:val="5E1C257C"/>
    <w:rsid w:val="5E312A07"/>
    <w:rsid w:val="5E4B342A"/>
    <w:rsid w:val="5E6122E3"/>
    <w:rsid w:val="5E630089"/>
    <w:rsid w:val="5E6612E6"/>
    <w:rsid w:val="5EA11185"/>
    <w:rsid w:val="5ECA4AF3"/>
    <w:rsid w:val="5F011E9E"/>
    <w:rsid w:val="5F0E5EA3"/>
    <w:rsid w:val="5F101C07"/>
    <w:rsid w:val="5F3722C3"/>
    <w:rsid w:val="5F374274"/>
    <w:rsid w:val="5F392EA3"/>
    <w:rsid w:val="5F4D16DB"/>
    <w:rsid w:val="5F5819C1"/>
    <w:rsid w:val="5F67740E"/>
    <w:rsid w:val="5F6C1D22"/>
    <w:rsid w:val="5F8853CD"/>
    <w:rsid w:val="5F9171DB"/>
    <w:rsid w:val="5F984F2E"/>
    <w:rsid w:val="5FA12D39"/>
    <w:rsid w:val="5FA315F5"/>
    <w:rsid w:val="5FC35BED"/>
    <w:rsid w:val="5FD5300A"/>
    <w:rsid w:val="60097F77"/>
    <w:rsid w:val="600C1AA2"/>
    <w:rsid w:val="6012042D"/>
    <w:rsid w:val="601B0F31"/>
    <w:rsid w:val="606D3CD4"/>
    <w:rsid w:val="60764E01"/>
    <w:rsid w:val="607851F2"/>
    <w:rsid w:val="608471CB"/>
    <w:rsid w:val="60980B11"/>
    <w:rsid w:val="60CB71DC"/>
    <w:rsid w:val="60DC2CC3"/>
    <w:rsid w:val="610939F3"/>
    <w:rsid w:val="611773D2"/>
    <w:rsid w:val="61187462"/>
    <w:rsid w:val="612B4FB0"/>
    <w:rsid w:val="613126C4"/>
    <w:rsid w:val="614E3D64"/>
    <w:rsid w:val="616B39BC"/>
    <w:rsid w:val="616E6252"/>
    <w:rsid w:val="61821144"/>
    <w:rsid w:val="619774E9"/>
    <w:rsid w:val="61AB71C3"/>
    <w:rsid w:val="61D31BC1"/>
    <w:rsid w:val="61FB4D8E"/>
    <w:rsid w:val="61FC2A08"/>
    <w:rsid w:val="621B5F23"/>
    <w:rsid w:val="622B39A5"/>
    <w:rsid w:val="62340155"/>
    <w:rsid w:val="62374AA8"/>
    <w:rsid w:val="62377985"/>
    <w:rsid w:val="6243676B"/>
    <w:rsid w:val="624520A2"/>
    <w:rsid w:val="624D42CA"/>
    <w:rsid w:val="626A4288"/>
    <w:rsid w:val="62800180"/>
    <w:rsid w:val="629923ED"/>
    <w:rsid w:val="629B43B7"/>
    <w:rsid w:val="62A3189F"/>
    <w:rsid w:val="62AD6DCB"/>
    <w:rsid w:val="62B270BB"/>
    <w:rsid w:val="62E10795"/>
    <w:rsid w:val="62F6339C"/>
    <w:rsid w:val="6314602D"/>
    <w:rsid w:val="63202BCA"/>
    <w:rsid w:val="63366A69"/>
    <w:rsid w:val="633C2632"/>
    <w:rsid w:val="633F27E5"/>
    <w:rsid w:val="63703AFF"/>
    <w:rsid w:val="63927751"/>
    <w:rsid w:val="63A02ED7"/>
    <w:rsid w:val="63B63F09"/>
    <w:rsid w:val="63BB49EE"/>
    <w:rsid w:val="63BF07FF"/>
    <w:rsid w:val="63ED0C43"/>
    <w:rsid w:val="63F20007"/>
    <w:rsid w:val="63F84F14"/>
    <w:rsid w:val="63F95B02"/>
    <w:rsid w:val="64094949"/>
    <w:rsid w:val="64207BFC"/>
    <w:rsid w:val="642251FF"/>
    <w:rsid w:val="64485E79"/>
    <w:rsid w:val="644B6D13"/>
    <w:rsid w:val="64881FF6"/>
    <w:rsid w:val="64A42F2F"/>
    <w:rsid w:val="64A8302A"/>
    <w:rsid w:val="64C623B3"/>
    <w:rsid w:val="64D67929"/>
    <w:rsid w:val="64DB504D"/>
    <w:rsid w:val="64E262CE"/>
    <w:rsid w:val="64E4321D"/>
    <w:rsid w:val="64E576F7"/>
    <w:rsid w:val="64FC4B4F"/>
    <w:rsid w:val="65092D1D"/>
    <w:rsid w:val="6521632B"/>
    <w:rsid w:val="657B15F3"/>
    <w:rsid w:val="6598698C"/>
    <w:rsid w:val="65BF017A"/>
    <w:rsid w:val="65D26342"/>
    <w:rsid w:val="65DB0D7A"/>
    <w:rsid w:val="65E816C2"/>
    <w:rsid w:val="66040158"/>
    <w:rsid w:val="661477AD"/>
    <w:rsid w:val="664B3FFA"/>
    <w:rsid w:val="666002B1"/>
    <w:rsid w:val="66686B7C"/>
    <w:rsid w:val="66BB5028"/>
    <w:rsid w:val="66EE78FB"/>
    <w:rsid w:val="670664EA"/>
    <w:rsid w:val="670B5473"/>
    <w:rsid w:val="671B0AE4"/>
    <w:rsid w:val="671F2076"/>
    <w:rsid w:val="67205C47"/>
    <w:rsid w:val="67206486"/>
    <w:rsid w:val="67226B22"/>
    <w:rsid w:val="67292D3C"/>
    <w:rsid w:val="673D3C8F"/>
    <w:rsid w:val="674C1C4D"/>
    <w:rsid w:val="67564D51"/>
    <w:rsid w:val="676C5E93"/>
    <w:rsid w:val="678D1AB8"/>
    <w:rsid w:val="679D0811"/>
    <w:rsid w:val="67D26A1E"/>
    <w:rsid w:val="67DC2276"/>
    <w:rsid w:val="67DD1216"/>
    <w:rsid w:val="67E1728F"/>
    <w:rsid w:val="681C3A31"/>
    <w:rsid w:val="683D44EE"/>
    <w:rsid w:val="683E1CF9"/>
    <w:rsid w:val="68443B82"/>
    <w:rsid w:val="68790CF7"/>
    <w:rsid w:val="68907DEF"/>
    <w:rsid w:val="689567EB"/>
    <w:rsid w:val="68A2071A"/>
    <w:rsid w:val="68A563A7"/>
    <w:rsid w:val="68B7339D"/>
    <w:rsid w:val="68B86AB7"/>
    <w:rsid w:val="68BA3F1C"/>
    <w:rsid w:val="68CF7B0C"/>
    <w:rsid w:val="68D371F1"/>
    <w:rsid w:val="68E30C38"/>
    <w:rsid w:val="68E35B87"/>
    <w:rsid w:val="68F16F31"/>
    <w:rsid w:val="68F35871"/>
    <w:rsid w:val="68F74D57"/>
    <w:rsid w:val="690804F2"/>
    <w:rsid w:val="690A4DC4"/>
    <w:rsid w:val="69392368"/>
    <w:rsid w:val="694B5DFC"/>
    <w:rsid w:val="696B7830"/>
    <w:rsid w:val="698931BC"/>
    <w:rsid w:val="69AA2DFD"/>
    <w:rsid w:val="69AF0461"/>
    <w:rsid w:val="69B33D28"/>
    <w:rsid w:val="69C450F7"/>
    <w:rsid w:val="69CF44BC"/>
    <w:rsid w:val="69D07B6C"/>
    <w:rsid w:val="69DD2A9A"/>
    <w:rsid w:val="69DF2175"/>
    <w:rsid w:val="69F957DD"/>
    <w:rsid w:val="6A02691A"/>
    <w:rsid w:val="6A050368"/>
    <w:rsid w:val="6A1E33C9"/>
    <w:rsid w:val="6A26751E"/>
    <w:rsid w:val="6A274783"/>
    <w:rsid w:val="6A296884"/>
    <w:rsid w:val="6A421040"/>
    <w:rsid w:val="6A4C1EF1"/>
    <w:rsid w:val="6A4F56A9"/>
    <w:rsid w:val="6A505F51"/>
    <w:rsid w:val="6A594925"/>
    <w:rsid w:val="6A5A6906"/>
    <w:rsid w:val="6A7555EA"/>
    <w:rsid w:val="6A99742E"/>
    <w:rsid w:val="6AA54025"/>
    <w:rsid w:val="6AAD7E56"/>
    <w:rsid w:val="6AE91BF7"/>
    <w:rsid w:val="6AF66948"/>
    <w:rsid w:val="6AFF2CEE"/>
    <w:rsid w:val="6B023FAE"/>
    <w:rsid w:val="6B273C97"/>
    <w:rsid w:val="6B2A2EBB"/>
    <w:rsid w:val="6B4D1CA7"/>
    <w:rsid w:val="6B533A81"/>
    <w:rsid w:val="6B65177B"/>
    <w:rsid w:val="6B83675A"/>
    <w:rsid w:val="6BAB287A"/>
    <w:rsid w:val="6BB40298"/>
    <w:rsid w:val="6BF333E5"/>
    <w:rsid w:val="6C0433FB"/>
    <w:rsid w:val="6C135683"/>
    <w:rsid w:val="6C3041B5"/>
    <w:rsid w:val="6C4C4D83"/>
    <w:rsid w:val="6C5D03E7"/>
    <w:rsid w:val="6C5E7622"/>
    <w:rsid w:val="6C7C5D15"/>
    <w:rsid w:val="6C8F5DCE"/>
    <w:rsid w:val="6CA572BA"/>
    <w:rsid w:val="6CA62166"/>
    <w:rsid w:val="6CA63239"/>
    <w:rsid w:val="6CAF3B0B"/>
    <w:rsid w:val="6CB419CF"/>
    <w:rsid w:val="6CF0092B"/>
    <w:rsid w:val="6CF04C05"/>
    <w:rsid w:val="6CFE3812"/>
    <w:rsid w:val="6D006BE4"/>
    <w:rsid w:val="6D071106"/>
    <w:rsid w:val="6D0E5786"/>
    <w:rsid w:val="6D2C3CF4"/>
    <w:rsid w:val="6D4F64CA"/>
    <w:rsid w:val="6D6E42EF"/>
    <w:rsid w:val="6D764863"/>
    <w:rsid w:val="6D89250E"/>
    <w:rsid w:val="6D964223"/>
    <w:rsid w:val="6D9B57CE"/>
    <w:rsid w:val="6DAE66B7"/>
    <w:rsid w:val="6DFF074B"/>
    <w:rsid w:val="6E184B0E"/>
    <w:rsid w:val="6E236E02"/>
    <w:rsid w:val="6E4327AC"/>
    <w:rsid w:val="6E496B96"/>
    <w:rsid w:val="6E572980"/>
    <w:rsid w:val="6EA51209"/>
    <w:rsid w:val="6EBA3E17"/>
    <w:rsid w:val="6ED6311E"/>
    <w:rsid w:val="6F0F0CE1"/>
    <w:rsid w:val="6F375694"/>
    <w:rsid w:val="6F4E0CD0"/>
    <w:rsid w:val="6F4F4560"/>
    <w:rsid w:val="6F503B94"/>
    <w:rsid w:val="6F727E3E"/>
    <w:rsid w:val="6F9B2424"/>
    <w:rsid w:val="6F9D2209"/>
    <w:rsid w:val="6FAC5870"/>
    <w:rsid w:val="6FC43A30"/>
    <w:rsid w:val="6FC614C4"/>
    <w:rsid w:val="6FE95A08"/>
    <w:rsid w:val="6FF52413"/>
    <w:rsid w:val="70180CEA"/>
    <w:rsid w:val="706031C2"/>
    <w:rsid w:val="706758D9"/>
    <w:rsid w:val="70820965"/>
    <w:rsid w:val="709134B3"/>
    <w:rsid w:val="709E583F"/>
    <w:rsid w:val="70BF1DFE"/>
    <w:rsid w:val="70EB7CB3"/>
    <w:rsid w:val="710147BF"/>
    <w:rsid w:val="71015D2D"/>
    <w:rsid w:val="710363FD"/>
    <w:rsid w:val="71057760"/>
    <w:rsid w:val="71075128"/>
    <w:rsid w:val="71180B52"/>
    <w:rsid w:val="71226EC2"/>
    <w:rsid w:val="71281547"/>
    <w:rsid w:val="71281B9C"/>
    <w:rsid w:val="714A297D"/>
    <w:rsid w:val="714C6039"/>
    <w:rsid w:val="714F3171"/>
    <w:rsid w:val="7176608C"/>
    <w:rsid w:val="717C3606"/>
    <w:rsid w:val="717F16E3"/>
    <w:rsid w:val="71867FE1"/>
    <w:rsid w:val="71A212BE"/>
    <w:rsid w:val="71A32611"/>
    <w:rsid w:val="71B763EC"/>
    <w:rsid w:val="71C60C26"/>
    <w:rsid w:val="71CB5A97"/>
    <w:rsid w:val="71CF76A5"/>
    <w:rsid w:val="71D522F9"/>
    <w:rsid w:val="71DB5C9D"/>
    <w:rsid w:val="71FC2EA2"/>
    <w:rsid w:val="721D1D33"/>
    <w:rsid w:val="723201D8"/>
    <w:rsid w:val="724051E8"/>
    <w:rsid w:val="724539F8"/>
    <w:rsid w:val="725B5FFD"/>
    <w:rsid w:val="72990D92"/>
    <w:rsid w:val="72AF7B7E"/>
    <w:rsid w:val="72B3764B"/>
    <w:rsid w:val="72B573A8"/>
    <w:rsid w:val="72B63417"/>
    <w:rsid w:val="72C47013"/>
    <w:rsid w:val="72D7797A"/>
    <w:rsid w:val="73076EFF"/>
    <w:rsid w:val="73B70891"/>
    <w:rsid w:val="73C62FE4"/>
    <w:rsid w:val="73ED6005"/>
    <w:rsid w:val="73F53944"/>
    <w:rsid w:val="73F80ACF"/>
    <w:rsid w:val="742465B7"/>
    <w:rsid w:val="742D0175"/>
    <w:rsid w:val="743106D8"/>
    <w:rsid w:val="743D0984"/>
    <w:rsid w:val="744D0EC6"/>
    <w:rsid w:val="745B56DF"/>
    <w:rsid w:val="747D74C9"/>
    <w:rsid w:val="748660CD"/>
    <w:rsid w:val="748A76D2"/>
    <w:rsid w:val="749E2864"/>
    <w:rsid w:val="74B51309"/>
    <w:rsid w:val="74B97D3E"/>
    <w:rsid w:val="74C57177"/>
    <w:rsid w:val="74CE2672"/>
    <w:rsid w:val="74DD25AD"/>
    <w:rsid w:val="74FD2A85"/>
    <w:rsid w:val="756B7C19"/>
    <w:rsid w:val="75882C0C"/>
    <w:rsid w:val="758C7D84"/>
    <w:rsid w:val="75911FEE"/>
    <w:rsid w:val="759325C0"/>
    <w:rsid w:val="75A9738B"/>
    <w:rsid w:val="75AD3D8E"/>
    <w:rsid w:val="75B6475D"/>
    <w:rsid w:val="75B84C9E"/>
    <w:rsid w:val="75C31803"/>
    <w:rsid w:val="75CC26D6"/>
    <w:rsid w:val="75E32AAA"/>
    <w:rsid w:val="75EB7168"/>
    <w:rsid w:val="75FA634C"/>
    <w:rsid w:val="7612284D"/>
    <w:rsid w:val="7628461E"/>
    <w:rsid w:val="762C0F3E"/>
    <w:rsid w:val="76413491"/>
    <w:rsid w:val="76493E64"/>
    <w:rsid w:val="765D07B9"/>
    <w:rsid w:val="76652245"/>
    <w:rsid w:val="7682346D"/>
    <w:rsid w:val="76872831"/>
    <w:rsid w:val="76AB3CFA"/>
    <w:rsid w:val="76C131A0"/>
    <w:rsid w:val="76C16F09"/>
    <w:rsid w:val="76DB492B"/>
    <w:rsid w:val="76DE5A8F"/>
    <w:rsid w:val="76E34DFB"/>
    <w:rsid w:val="76F732C9"/>
    <w:rsid w:val="76F73AEE"/>
    <w:rsid w:val="76FB15A5"/>
    <w:rsid w:val="77191A35"/>
    <w:rsid w:val="772757A8"/>
    <w:rsid w:val="77383B2B"/>
    <w:rsid w:val="773F4EBA"/>
    <w:rsid w:val="77470212"/>
    <w:rsid w:val="775178C8"/>
    <w:rsid w:val="777B0ED9"/>
    <w:rsid w:val="778841F7"/>
    <w:rsid w:val="77970978"/>
    <w:rsid w:val="77B21BDE"/>
    <w:rsid w:val="77BB17EE"/>
    <w:rsid w:val="782D5ACB"/>
    <w:rsid w:val="78452678"/>
    <w:rsid w:val="788714E8"/>
    <w:rsid w:val="78940B0A"/>
    <w:rsid w:val="789D27E0"/>
    <w:rsid w:val="789F624A"/>
    <w:rsid w:val="78AA485E"/>
    <w:rsid w:val="78BC55B0"/>
    <w:rsid w:val="78CF4963"/>
    <w:rsid w:val="78D32032"/>
    <w:rsid w:val="78D44BF3"/>
    <w:rsid w:val="78D610F1"/>
    <w:rsid w:val="78E94929"/>
    <w:rsid w:val="78EA1CB2"/>
    <w:rsid w:val="790B3277"/>
    <w:rsid w:val="790F6B0E"/>
    <w:rsid w:val="79143A2E"/>
    <w:rsid w:val="7929591E"/>
    <w:rsid w:val="79843224"/>
    <w:rsid w:val="798D541A"/>
    <w:rsid w:val="79A33E26"/>
    <w:rsid w:val="79B002F1"/>
    <w:rsid w:val="79B452A3"/>
    <w:rsid w:val="79BC6C95"/>
    <w:rsid w:val="79CF5DBB"/>
    <w:rsid w:val="79F22FCB"/>
    <w:rsid w:val="79FA59D1"/>
    <w:rsid w:val="7A091BAF"/>
    <w:rsid w:val="7A0E7443"/>
    <w:rsid w:val="7A1517EA"/>
    <w:rsid w:val="7A463B18"/>
    <w:rsid w:val="7A4E4E1E"/>
    <w:rsid w:val="7A611480"/>
    <w:rsid w:val="7A63392F"/>
    <w:rsid w:val="7A836286"/>
    <w:rsid w:val="7A8F7F06"/>
    <w:rsid w:val="7A93214F"/>
    <w:rsid w:val="7AB87E26"/>
    <w:rsid w:val="7ABB6C39"/>
    <w:rsid w:val="7ADB2460"/>
    <w:rsid w:val="7B007457"/>
    <w:rsid w:val="7B194DFF"/>
    <w:rsid w:val="7B326164"/>
    <w:rsid w:val="7B36582E"/>
    <w:rsid w:val="7B5B24C6"/>
    <w:rsid w:val="7B5C1712"/>
    <w:rsid w:val="7B605E1E"/>
    <w:rsid w:val="7B6C15BB"/>
    <w:rsid w:val="7B727DD7"/>
    <w:rsid w:val="7B791623"/>
    <w:rsid w:val="7B9D2AF7"/>
    <w:rsid w:val="7BED7766"/>
    <w:rsid w:val="7BFD5343"/>
    <w:rsid w:val="7C0500F0"/>
    <w:rsid w:val="7C4A4251"/>
    <w:rsid w:val="7C4F3DF1"/>
    <w:rsid w:val="7C6F2B32"/>
    <w:rsid w:val="7C7A3690"/>
    <w:rsid w:val="7CA20CDA"/>
    <w:rsid w:val="7CB2612E"/>
    <w:rsid w:val="7CB47737"/>
    <w:rsid w:val="7CBA4FE2"/>
    <w:rsid w:val="7CCA7565"/>
    <w:rsid w:val="7CE015FE"/>
    <w:rsid w:val="7CE54755"/>
    <w:rsid w:val="7D1532D0"/>
    <w:rsid w:val="7D1C17A5"/>
    <w:rsid w:val="7D315F9B"/>
    <w:rsid w:val="7D404557"/>
    <w:rsid w:val="7D461F9F"/>
    <w:rsid w:val="7D470F6C"/>
    <w:rsid w:val="7D730B4C"/>
    <w:rsid w:val="7D785951"/>
    <w:rsid w:val="7D8F5316"/>
    <w:rsid w:val="7DB03649"/>
    <w:rsid w:val="7DB172C4"/>
    <w:rsid w:val="7DE22A43"/>
    <w:rsid w:val="7DE36142"/>
    <w:rsid w:val="7E153E08"/>
    <w:rsid w:val="7E344F88"/>
    <w:rsid w:val="7E38519C"/>
    <w:rsid w:val="7E4D4360"/>
    <w:rsid w:val="7E535562"/>
    <w:rsid w:val="7E5A5D7A"/>
    <w:rsid w:val="7E603F35"/>
    <w:rsid w:val="7E7A7D18"/>
    <w:rsid w:val="7E817ACB"/>
    <w:rsid w:val="7E8F758A"/>
    <w:rsid w:val="7EAA261C"/>
    <w:rsid w:val="7EAD60AE"/>
    <w:rsid w:val="7EB35BF6"/>
    <w:rsid w:val="7EC55300"/>
    <w:rsid w:val="7EC93BAC"/>
    <w:rsid w:val="7ECA657B"/>
    <w:rsid w:val="7ED14F91"/>
    <w:rsid w:val="7ED93E46"/>
    <w:rsid w:val="7EFB7192"/>
    <w:rsid w:val="7F097845"/>
    <w:rsid w:val="7F1232AF"/>
    <w:rsid w:val="7F147A5B"/>
    <w:rsid w:val="7F404F2D"/>
    <w:rsid w:val="7F417C68"/>
    <w:rsid w:val="7F6B621B"/>
    <w:rsid w:val="7F89002C"/>
    <w:rsid w:val="7FA454D1"/>
    <w:rsid w:val="7FD727EA"/>
    <w:rsid w:val="7FD96ABC"/>
    <w:rsid w:val="7FED0C32"/>
    <w:rsid w:val="7FF83E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jc w:val="both"/>
    </w:pPr>
    <w:rPr>
      <w:rFonts w:ascii="Times New Roman" w:hAnsi="Times New Roman" w:eastAsia="宋体" w:cs="Times New Roman"/>
      <w:kern w:val="2"/>
      <w:sz w:val="24"/>
      <w:szCs w:val="24"/>
      <w:lang w:val="en-US" w:eastAsia="zh-CN" w:bidi="ar-SA"/>
    </w:rPr>
  </w:style>
  <w:style w:type="paragraph" w:styleId="3">
    <w:name w:val="heading 1"/>
    <w:basedOn w:val="1"/>
    <w:next w:val="1"/>
    <w:qFormat/>
    <w:uiPriority w:val="0"/>
    <w:pPr>
      <w:keepNext/>
      <w:ind w:firstLine="0" w:firstLineChars="0"/>
      <w:jc w:val="center"/>
      <w:outlineLvl w:val="0"/>
    </w:pPr>
    <w:rPr>
      <w:b/>
      <w:sz w:val="28"/>
      <w:szCs w:val="20"/>
    </w:rPr>
  </w:style>
  <w:style w:type="paragraph" w:styleId="4">
    <w:name w:val="heading 2"/>
    <w:basedOn w:val="1"/>
    <w:next w:val="1"/>
    <w:qFormat/>
    <w:uiPriority w:val="0"/>
    <w:pPr>
      <w:keepNext/>
      <w:ind w:firstLine="0" w:firstLineChars="0"/>
      <w:outlineLvl w:val="1"/>
    </w:pPr>
    <w:rPr>
      <w:b/>
      <w:bCs/>
      <w:sz w:val="28"/>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customStyle="1" w:styleId="2">
    <w:name w:val="样式 样式 样式 样式 小四 左 首行缩进:  2 字符 + 首行缩进:  2 字符 Char + 右  0 字符1 + 首行缩...3"/>
    <w:basedOn w:val="1"/>
    <w:qFormat/>
    <w:uiPriority w:val="0"/>
    <w:pPr>
      <w:adjustRightInd w:val="0"/>
      <w:ind w:firstLine="480"/>
      <w:jc w:val="left"/>
      <w:textAlignment w:val="baseline"/>
    </w:pPr>
    <w:rPr>
      <w:rFonts w:cs="宋体"/>
      <w:szCs w:val="20"/>
    </w:rPr>
  </w:style>
  <w:style w:type="paragraph" w:styleId="6">
    <w:name w:val="Normal Indent"/>
    <w:basedOn w:val="1"/>
    <w:next w:val="1"/>
    <w:qFormat/>
    <w:uiPriority w:val="0"/>
    <w:pPr>
      <w:ind w:firstLine="420"/>
    </w:pPr>
    <w:rPr>
      <w:szCs w:val="20"/>
    </w:rPr>
  </w:style>
  <w:style w:type="paragraph" w:styleId="7">
    <w:name w:val="annotation text"/>
    <w:basedOn w:val="1"/>
    <w:qFormat/>
    <w:uiPriority w:val="0"/>
    <w:pPr>
      <w:jc w:val="left"/>
    </w:pPr>
  </w:style>
  <w:style w:type="paragraph" w:styleId="8">
    <w:name w:val="Body Text"/>
    <w:basedOn w:val="1"/>
    <w:next w:val="9"/>
    <w:qFormat/>
    <w:uiPriority w:val="0"/>
    <w:rPr>
      <w:rFonts w:hint="eastAsia" w:eastAsia="华文宋体"/>
      <w:szCs w:val="20"/>
    </w:rPr>
  </w:style>
  <w:style w:type="paragraph" w:styleId="9">
    <w:name w:val="List Bullet 5"/>
    <w:basedOn w:val="1"/>
    <w:qFormat/>
    <w:uiPriority w:val="0"/>
    <w:pPr>
      <w:numPr>
        <w:ilvl w:val="0"/>
        <w:numId w:val="1"/>
      </w:numPr>
    </w:pPr>
  </w:style>
  <w:style w:type="paragraph" w:styleId="10">
    <w:name w:val="Body Text Indent"/>
    <w:basedOn w:val="1"/>
    <w:next w:val="11"/>
    <w:qFormat/>
    <w:uiPriority w:val="0"/>
    <w:pPr>
      <w:ind w:firstLine="570"/>
    </w:pPr>
    <w:rPr>
      <w:rFonts w:ascii="宋体" w:hAnsi="宋体"/>
      <w:color w:val="000000"/>
      <w:sz w:val="28"/>
    </w:rPr>
  </w:style>
  <w:style w:type="paragraph" w:customStyle="1" w:styleId="11">
    <w:name w:val="样式 正文文本缩进 + 行距: 1.5 倍行距"/>
    <w:basedOn w:val="12"/>
    <w:next w:val="1"/>
    <w:qFormat/>
    <w:uiPriority w:val="0"/>
    <w:pPr>
      <w:ind w:left="90" w:leftChars="32"/>
    </w:pPr>
    <w:rPr>
      <w:rFonts w:cs="宋体"/>
    </w:rPr>
  </w:style>
  <w:style w:type="paragraph" w:customStyle="1" w:styleId="12">
    <w:name w:val="Body Text Indent"/>
    <w:basedOn w:val="1"/>
    <w:next w:val="11"/>
    <w:qFormat/>
    <w:uiPriority w:val="0"/>
    <w:pPr>
      <w:spacing w:after="120" w:afterLines="0"/>
      <w:ind w:left="420" w:leftChars="200"/>
    </w:pPr>
    <w:rPr>
      <w:rFonts w:ascii="Times New Roman" w:hAnsi="Times New Roman" w:eastAsia="宋体"/>
      <w:sz w:val="24"/>
    </w:rPr>
  </w:style>
  <w:style w:type="paragraph" w:styleId="13">
    <w:name w:val="Date"/>
    <w:basedOn w:val="1"/>
    <w:next w:val="1"/>
    <w:qFormat/>
    <w:uiPriority w:val="0"/>
    <w:pPr>
      <w:ind w:left="100" w:leftChars="2500"/>
    </w:pPr>
    <w:rPr>
      <w:kern w:val="0"/>
      <w:sz w:val="20"/>
      <w:szCs w:val="20"/>
    </w:rPr>
  </w:style>
  <w:style w:type="paragraph" w:styleId="14">
    <w:name w:val="Body Text Indent 2"/>
    <w:basedOn w:val="1"/>
    <w:next w:val="15"/>
    <w:qFormat/>
    <w:uiPriority w:val="0"/>
    <w:pPr>
      <w:spacing w:line="300" w:lineRule="auto"/>
      <w:ind w:firstLine="480"/>
    </w:pPr>
    <w:rPr>
      <w:rFonts w:ascii="仿宋体" w:eastAsia="仿宋体"/>
      <w:b/>
    </w:rPr>
  </w:style>
  <w:style w:type="paragraph" w:styleId="15">
    <w:name w:val="Body Text 2"/>
    <w:basedOn w:val="1"/>
    <w:qFormat/>
    <w:uiPriority w:val="0"/>
    <w:pPr>
      <w:spacing w:after="120" w:line="480" w:lineRule="auto"/>
    </w:pPr>
  </w:style>
  <w:style w:type="paragraph" w:styleId="16">
    <w:name w:val="Balloon Text"/>
    <w:basedOn w:val="1"/>
    <w:link w:val="69"/>
    <w:qFormat/>
    <w:uiPriority w:val="0"/>
    <w:pPr>
      <w:spacing w:line="240" w:lineRule="auto"/>
    </w:pPr>
    <w:rPr>
      <w:sz w:val="18"/>
      <w:szCs w:val="18"/>
    </w:rPr>
  </w:style>
  <w:style w:type="paragraph" w:styleId="17">
    <w:name w:val="footer"/>
    <w:basedOn w:val="1"/>
    <w:qFormat/>
    <w:uiPriority w:val="99"/>
    <w:pPr>
      <w:tabs>
        <w:tab w:val="center" w:pos="4153"/>
        <w:tab w:val="right" w:pos="8306"/>
      </w:tabs>
      <w:snapToGrid w:val="0"/>
      <w:jc w:val="left"/>
    </w:pPr>
    <w:rPr>
      <w:sz w:val="18"/>
      <w:szCs w:val="18"/>
    </w:rPr>
  </w:style>
  <w:style w:type="paragraph" w:styleId="18">
    <w:name w:val="header"/>
    <w:basedOn w:val="1"/>
    <w:next w:val="19"/>
    <w:qFormat/>
    <w:uiPriority w:val="99"/>
    <w:pPr>
      <w:pBdr>
        <w:bottom w:val="single" w:color="auto" w:sz="6" w:space="1"/>
      </w:pBdr>
      <w:tabs>
        <w:tab w:val="center" w:pos="4153"/>
        <w:tab w:val="right" w:pos="8306"/>
      </w:tabs>
      <w:snapToGrid w:val="0"/>
      <w:jc w:val="center"/>
    </w:pPr>
    <w:rPr>
      <w:sz w:val="18"/>
      <w:szCs w:val="18"/>
    </w:rPr>
  </w:style>
  <w:style w:type="paragraph" w:customStyle="1" w:styleId="19">
    <w:name w:val="样式5"/>
    <w:basedOn w:val="20"/>
    <w:next w:val="1"/>
    <w:qFormat/>
    <w:uiPriority w:val="0"/>
    <w:pPr>
      <w:spacing w:line="360" w:lineRule="auto"/>
      <w:ind w:firstLine="510"/>
    </w:pPr>
  </w:style>
  <w:style w:type="paragraph" w:customStyle="1" w:styleId="20">
    <w:name w:val="正文1"/>
    <w:basedOn w:val="1"/>
    <w:next w:val="21"/>
    <w:qFormat/>
    <w:uiPriority w:val="0"/>
    <w:pPr>
      <w:snapToGrid w:val="0"/>
      <w:spacing w:before="62" w:beforeLines="20" w:after="62" w:afterLines="20" w:line="312" w:lineRule="auto"/>
      <w:ind w:firstLine="475" w:firstLineChars="198"/>
    </w:pPr>
    <w:rPr>
      <w:rFonts w:ascii="宋体" w:hAnsi="宋体"/>
      <w:color w:val="000000"/>
      <w:szCs w:val="20"/>
    </w:rPr>
  </w:style>
  <w:style w:type="paragraph" w:customStyle="1" w:styleId="21">
    <w:name w:val="Default"/>
    <w:basedOn w:val="22"/>
    <w:next w:val="23"/>
    <w:unhideWhenUsed/>
    <w:qFormat/>
    <w:uiPriority w:val="99"/>
    <w:pPr>
      <w:autoSpaceDE w:val="0"/>
      <w:autoSpaceDN w:val="0"/>
      <w:adjustRightInd w:val="0"/>
    </w:pPr>
    <w:rPr>
      <w:rFonts w:ascii="宋体" w:hAnsi="宋体"/>
      <w:sz w:val="24"/>
    </w:rPr>
  </w:style>
  <w:style w:type="paragraph" w:customStyle="1" w:styleId="22">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23">
    <w:name w:val="样式35"/>
    <w:basedOn w:val="1"/>
    <w:next w:val="1"/>
    <w:qFormat/>
    <w:uiPriority w:val="0"/>
    <w:pPr>
      <w:spacing w:line="312" w:lineRule="auto"/>
      <w:ind w:firstLine="567"/>
    </w:pPr>
    <w:rPr>
      <w:rFonts w:ascii="宋体"/>
      <w:sz w:val="28"/>
    </w:rPr>
  </w:style>
  <w:style w:type="paragraph" w:styleId="24">
    <w:name w:val="toc 1"/>
    <w:basedOn w:val="1"/>
    <w:next w:val="1"/>
    <w:qFormat/>
    <w:uiPriority w:val="99"/>
    <w:pPr>
      <w:tabs>
        <w:tab w:val="right" w:leader="dot" w:pos="8836"/>
      </w:tabs>
      <w:jc w:val="center"/>
    </w:pPr>
    <w:rPr>
      <w:rFonts w:ascii="宋体" w:hAnsi="宋体"/>
      <w:sz w:val="32"/>
    </w:rPr>
  </w:style>
  <w:style w:type="paragraph" w:styleId="25">
    <w:name w:val="toc 2"/>
    <w:basedOn w:val="1"/>
    <w:next w:val="1"/>
    <w:qFormat/>
    <w:uiPriority w:val="0"/>
    <w:pPr>
      <w:ind w:left="420" w:leftChars="200"/>
    </w:pPr>
  </w:style>
  <w:style w:type="paragraph" w:styleId="26">
    <w:name w:val="Body Text First Indent"/>
    <w:basedOn w:val="8"/>
    <w:next w:val="1"/>
    <w:qFormat/>
    <w:uiPriority w:val="0"/>
    <w:pPr>
      <w:spacing w:after="120"/>
      <w:ind w:firstLine="420" w:firstLineChars="100"/>
    </w:pPr>
  </w:style>
  <w:style w:type="paragraph" w:styleId="27">
    <w:name w:val="Body Text First Indent 2"/>
    <w:basedOn w:val="10"/>
    <w:next w:val="26"/>
    <w:qFormat/>
    <w:uiPriority w:val="0"/>
    <w:pPr>
      <w:ind w:firstLine="420"/>
    </w:p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Strong"/>
    <w:qFormat/>
    <w:uiPriority w:val="0"/>
    <w:rPr>
      <w:b/>
    </w:rPr>
  </w:style>
  <w:style w:type="paragraph" w:customStyle="1" w:styleId="32">
    <w:name w:val="正文文本缩进1"/>
    <w:basedOn w:val="1"/>
    <w:next w:val="11"/>
    <w:qFormat/>
    <w:uiPriority w:val="0"/>
    <w:pPr>
      <w:spacing w:after="120"/>
      <w:ind w:left="420" w:leftChars="200"/>
    </w:pPr>
  </w:style>
  <w:style w:type="paragraph" w:customStyle="1" w:styleId="33">
    <w:name w:val="Date1"/>
    <w:basedOn w:val="1"/>
    <w:next w:val="1"/>
    <w:qFormat/>
    <w:uiPriority w:val="0"/>
    <w:rPr>
      <w:sz w:val="21"/>
      <w:szCs w:val="20"/>
    </w:rPr>
  </w:style>
  <w:style w:type="paragraph" w:customStyle="1" w:styleId="34">
    <w:name w:val="正文文本缩进2"/>
    <w:basedOn w:val="1"/>
    <w:next w:val="11"/>
    <w:qFormat/>
    <w:uiPriority w:val="0"/>
    <w:pPr>
      <w:spacing w:after="120"/>
      <w:ind w:left="420" w:leftChars="200"/>
    </w:pPr>
  </w:style>
  <w:style w:type="paragraph" w:customStyle="1" w:styleId="35">
    <w:name w:val="Body Text First Indent 21"/>
    <w:basedOn w:val="36"/>
    <w:qFormat/>
    <w:uiPriority w:val="0"/>
    <w:pPr>
      <w:ind w:firstLine="420"/>
    </w:pPr>
  </w:style>
  <w:style w:type="paragraph" w:customStyle="1" w:styleId="36">
    <w:name w:val="Body Text Indent1"/>
    <w:basedOn w:val="1"/>
    <w:qFormat/>
    <w:uiPriority w:val="0"/>
    <w:pPr>
      <w:spacing w:after="120"/>
      <w:ind w:left="420" w:leftChars="200"/>
    </w:pPr>
  </w:style>
  <w:style w:type="character" w:customStyle="1" w:styleId="37">
    <w:name w:val="font31"/>
    <w:qFormat/>
    <w:uiPriority w:val="0"/>
    <w:rPr>
      <w:rFonts w:hint="default" w:ascii="Times New Roman" w:hAnsi="Times New Roman" w:cs="Times New Roman"/>
      <w:b/>
      <w:color w:val="000000"/>
      <w:sz w:val="24"/>
      <w:szCs w:val="24"/>
      <w:u w:val="none"/>
    </w:rPr>
  </w:style>
  <w:style w:type="character" w:customStyle="1" w:styleId="38">
    <w:name w:val="font41"/>
    <w:qFormat/>
    <w:uiPriority w:val="0"/>
    <w:rPr>
      <w:rFonts w:hint="default" w:ascii="Times New Roman" w:hAnsi="Times New Roman" w:cs="Times New Roman"/>
      <w:b/>
      <w:color w:val="000000"/>
      <w:sz w:val="22"/>
      <w:szCs w:val="22"/>
      <w:u w:val="none"/>
    </w:rPr>
  </w:style>
  <w:style w:type="character" w:customStyle="1" w:styleId="39">
    <w:name w:val="font21"/>
    <w:basedOn w:val="30"/>
    <w:qFormat/>
    <w:uiPriority w:val="0"/>
    <w:rPr>
      <w:rFonts w:hint="eastAsia" w:ascii="宋体" w:hAnsi="宋体" w:eastAsia="宋体" w:cs="宋体"/>
      <w:color w:val="0000FF"/>
      <w:sz w:val="18"/>
      <w:szCs w:val="18"/>
      <w:u w:val="none"/>
    </w:rPr>
  </w:style>
  <w:style w:type="paragraph" w:customStyle="1" w:styleId="40">
    <w:name w:val="Body text|2"/>
    <w:basedOn w:val="1"/>
    <w:qFormat/>
    <w:uiPriority w:val="0"/>
    <w:pPr>
      <w:spacing w:after="160" w:line="445" w:lineRule="exact"/>
      <w:ind w:left="1320"/>
    </w:pPr>
    <w:rPr>
      <w:rFonts w:ascii="宋体" w:hAnsi="宋体" w:cs="宋体"/>
      <w:sz w:val="19"/>
      <w:szCs w:val="19"/>
      <w:lang w:val="zh-TW" w:eastAsia="zh-TW" w:bidi="zh-TW"/>
    </w:rPr>
  </w:style>
  <w:style w:type="paragraph" w:customStyle="1" w:styleId="41">
    <w:name w:val="Table Paragraph"/>
    <w:basedOn w:val="1"/>
    <w:unhideWhenUsed/>
    <w:qFormat/>
    <w:uiPriority w:val="1"/>
    <w:pPr>
      <w:spacing w:line="240" w:lineRule="auto"/>
      <w:ind w:firstLine="0" w:firstLineChars="0"/>
      <w:jc w:val="center"/>
    </w:pPr>
    <w:rPr>
      <w:sz w:val="21"/>
    </w:rPr>
  </w:style>
  <w:style w:type="paragraph" w:customStyle="1" w:styleId="42">
    <w:name w:val="Other|1"/>
    <w:basedOn w:val="1"/>
    <w:qFormat/>
    <w:uiPriority w:val="0"/>
    <w:pPr>
      <w:spacing w:line="420" w:lineRule="auto"/>
      <w:ind w:firstLine="400"/>
    </w:pPr>
    <w:rPr>
      <w:rFonts w:ascii="宋体" w:hAnsi="宋体" w:cs="宋体"/>
      <w:lang w:val="zh-TW" w:eastAsia="zh-TW" w:bidi="zh-TW"/>
    </w:rPr>
  </w:style>
  <w:style w:type="paragraph" w:customStyle="1" w:styleId="43">
    <w:name w:val="正文文本 21"/>
    <w:basedOn w:val="1"/>
    <w:qFormat/>
    <w:uiPriority w:val="0"/>
    <w:pPr>
      <w:autoSpaceDE w:val="0"/>
      <w:autoSpaceDN w:val="0"/>
      <w:adjustRightInd w:val="0"/>
      <w:spacing w:line="480" w:lineRule="atLeast"/>
      <w:ind w:firstLine="570"/>
      <w:textAlignment w:val="baseline"/>
    </w:pPr>
    <w:rPr>
      <w:rFonts w:ascii="宋体" w:hAnsi="Tms Rmn"/>
      <w:kern w:val="0"/>
      <w:sz w:val="28"/>
      <w:szCs w:val="20"/>
    </w:rPr>
  </w:style>
  <w:style w:type="paragraph" w:customStyle="1" w:styleId="44">
    <w:name w:val="普通(网站)1"/>
    <w:basedOn w:val="1"/>
    <w:qFormat/>
    <w:uiPriority w:val="0"/>
    <w:pPr>
      <w:spacing w:before="100" w:beforeAutospacing="1" w:after="100" w:afterAutospacing="1"/>
    </w:pPr>
    <w:rPr>
      <w:rFonts w:ascii="宋体" w:hAnsi="宋体" w:cs="宋体"/>
    </w:rPr>
  </w:style>
  <w:style w:type="paragraph" w:customStyle="1" w:styleId="45">
    <w:name w:val="表格文字"/>
    <w:basedOn w:val="1"/>
    <w:next w:val="1"/>
    <w:qFormat/>
    <w:uiPriority w:val="0"/>
    <w:pPr>
      <w:spacing w:beforeLines="30" w:afterLines="30"/>
      <w:jc w:val="center"/>
    </w:pPr>
    <w:rPr>
      <w:spacing w:val="10"/>
      <w:kern w:val="0"/>
      <w:szCs w:val="21"/>
    </w:rPr>
  </w:style>
  <w:style w:type="paragraph" w:customStyle="1" w:styleId="46">
    <w:name w:val="Body text|3"/>
    <w:basedOn w:val="1"/>
    <w:qFormat/>
    <w:uiPriority w:val="0"/>
    <w:pPr>
      <w:ind w:firstLine="140"/>
    </w:pPr>
    <w:rPr>
      <w:sz w:val="20"/>
      <w:szCs w:val="20"/>
    </w:rPr>
  </w:style>
  <w:style w:type="paragraph" w:customStyle="1" w:styleId="47">
    <w:name w:val="文本内容"/>
    <w:basedOn w:val="1"/>
    <w:qFormat/>
    <w:uiPriority w:val="0"/>
    <w:pPr>
      <w:adjustRightInd w:val="0"/>
      <w:snapToGrid w:val="0"/>
      <w:ind w:firstLine="546"/>
    </w:pPr>
    <w:rPr>
      <w:rFonts w:cs="宋体"/>
      <w:sz w:val="28"/>
    </w:rPr>
  </w:style>
  <w:style w:type="paragraph" w:customStyle="1" w:styleId="48">
    <w:name w:val="表格1"/>
    <w:basedOn w:val="1"/>
    <w:qFormat/>
    <w:uiPriority w:val="0"/>
    <w:pPr>
      <w:jc w:val="center"/>
    </w:pPr>
    <w:rPr>
      <w:sz w:val="18"/>
      <w:szCs w:val="18"/>
    </w:rPr>
  </w:style>
  <w:style w:type="paragraph" w:customStyle="1" w:styleId="49">
    <w:name w:val="表格文字两端对齐"/>
    <w:basedOn w:val="1"/>
    <w:qFormat/>
    <w:uiPriority w:val="0"/>
    <w:pPr>
      <w:spacing w:line="240" w:lineRule="auto"/>
      <w:ind w:firstLine="0" w:firstLineChars="0"/>
      <w:jc w:val="center"/>
    </w:pPr>
    <w:rPr>
      <w:sz w:val="21"/>
    </w:rPr>
  </w:style>
  <w:style w:type="paragraph" w:customStyle="1" w:styleId="50">
    <w:name w:val="Body text|6"/>
    <w:basedOn w:val="1"/>
    <w:qFormat/>
    <w:uiPriority w:val="0"/>
    <w:pPr>
      <w:spacing w:after="170" w:line="317" w:lineRule="auto"/>
      <w:ind w:firstLine="370"/>
    </w:pPr>
  </w:style>
  <w:style w:type="paragraph" w:customStyle="1" w:styleId="51">
    <w:name w:val="正文小四"/>
    <w:basedOn w:val="1"/>
    <w:qFormat/>
    <w:uiPriority w:val="0"/>
    <w:pPr>
      <w:spacing w:line="460" w:lineRule="exact"/>
      <w:ind w:firstLine="600"/>
    </w:pPr>
    <w:rPr>
      <w:rFonts w:ascii="宋体" w:hAnsi="宋体" w:cs="宋体"/>
      <w:spacing w:val="30"/>
      <w:kern w:val="24"/>
    </w:rPr>
  </w:style>
  <w:style w:type="paragraph" w:customStyle="1" w:styleId="52">
    <w:name w:val="表格正文"/>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53">
    <w:name w:val="Heading #2|1"/>
    <w:basedOn w:val="1"/>
    <w:qFormat/>
    <w:uiPriority w:val="0"/>
    <w:pPr>
      <w:spacing w:line="523" w:lineRule="exact"/>
      <w:jc w:val="center"/>
      <w:outlineLvl w:val="1"/>
    </w:pPr>
    <w:rPr>
      <w:rFonts w:ascii="宋体" w:hAnsi="宋体" w:cs="宋体"/>
      <w:sz w:val="28"/>
      <w:szCs w:val="28"/>
      <w:lang w:val="zh-TW" w:eastAsia="zh-TW" w:bidi="zh-TW"/>
    </w:rPr>
  </w:style>
  <w:style w:type="paragraph" w:customStyle="1" w:styleId="54">
    <w:name w:val="样式 样式 样式 样式 小四 左 首行缩进: 2 字符 + 首行缩进: 2 字符 Char + 右 0 字符1 + 首行缩...3"/>
    <w:basedOn w:val="1"/>
    <w:qFormat/>
    <w:uiPriority w:val="0"/>
    <w:pPr>
      <w:adjustRightInd w:val="0"/>
      <w:ind w:firstLine="480"/>
      <w:jc w:val="left"/>
      <w:textAlignment w:val="baseline"/>
    </w:pPr>
  </w:style>
  <w:style w:type="paragraph" w:customStyle="1" w:styleId="55">
    <w:name w:val="Body text|1"/>
    <w:basedOn w:val="1"/>
    <w:qFormat/>
    <w:uiPriority w:val="0"/>
    <w:pPr>
      <w:spacing w:line="398" w:lineRule="auto"/>
      <w:ind w:firstLine="400"/>
    </w:pPr>
    <w:rPr>
      <w:rFonts w:ascii="宋体" w:hAnsi="宋体" w:cs="宋体"/>
      <w:sz w:val="30"/>
      <w:szCs w:val="30"/>
      <w:lang w:val="zh-TW" w:eastAsia="zh-TW" w:bidi="zh-TW"/>
    </w:rPr>
  </w:style>
  <w:style w:type="paragraph" w:customStyle="1" w:styleId="56">
    <w:name w:val="表格文字1.0"/>
    <w:basedOn w:val="1"/>
    <w:qFormat/>
    <w:uiPriority w:val="0"/>
    <w:pPr>
      <w:adjustRightInd w:val="0"/>
      <w:snapToGrid w:val="0"/>
      <w:jc w:val="center"/>
    </w:pPr>
    <w:rPr>
      <w:kern w:val="0"/>
      <w:sz w:val="21"/>
    </w:rPr>
  </w:style>
  <w:style w:type="paragraph" w:customStyle="1" w:styleId="57">
    <w:name w:val="框架内容"/>
    <w:basedOn w:val="20"/>
    <w:qFormat/>
    <w:uiPriority w:val="0"/>
  </w:style>
  <w:style w:type="character" w:customStyle="1" w:styleId="58">
    <w:name w:val="15"/>
    <w:qFormat/>
    <w:uiPriority w:val="0"/>
    <w:rPr>
      <w:rFonts w:hint="default" w:ascii="Times New Roman" w:hAnsi="Times New Roman" w:cs="Times New Roman"/>
      <w:color w:val="000000"/>
      <w:sz w:val="22"/>
      <w:szCs w:val="22"/>
    </w:rPr>
  </w:style>
  <w:style w:type="paragraph" w:customStyle="1" w:styleId="59">
    <w:name w:val="表1111111111"/>
    <w:basedOn w:val="1"/>
    <w:qFormat/>
    <w:uiPriority w:val="0"/>
    <w:pPr>
      <w:jc w:val="center"/>
    </w:pPr>
  </w:style>
  <w:style w:type="paragraph" w:customStyle="1" w:styleId="60">
    <w:name w:val="表格"/>
    <w:basedOn w:val="1"/>
    <w:next w:val="1"/>
    <w:qFormat/>
    <w:uiPriority w:val="0"/>
    <w:pPr>
      <w:adjustRightInd w:val="0"/>
      <w:snapToGrid w:val="0"/>
      <w:spacing w:beforeLines="10" w:afterLines="10" w:line="259" w:lineRule="auto"/>
      <w:jc w:val="center"/>
    </w:pPr>
    <w:rPr>
      <w:rFonts w:ascii="宋体"/>
      <w:kern w:val="0"/>
      <w:szCs w:val="20"/>
    </w:rPr>
  </w:style>
  <w:style w:type="paragraph" w:customStyle="1" w:styleId="61">
    <w:name w:val="内部文字"/>
    <w:basedOn w:val="1"/>
    <w:qFormat/>
    <w:uiPriority w:val="0"/>
    <w:pPr>
      <w:adjustRightInd w:val="0"/>
      <w:snapToGrid w:val="0"/>
      <w:ind w:firstLine="200"/>
    </w:pPr>
  </w:style>
  <w:style w:type="paragraph" w:customStyle="1" w:styleId="62">
    <w:name w:val="lh-表格文字-报告表"/>
    <w:basedOn w:val="1"/>
    <w:qFormat/>
    <w:uiPriority w:val="0"/>
    <w:pPr>
      <w:jc w:val="center"/>
    </w:pPr>
    <w:rPr>
      <w:kern w:val="0"/>
    </w:rPr>
  </w:style>
  <w:style w:type="paragraph" w:customStyle="1" w:styleId="63">
    <w:name w:val="正文文本2"/>
    <w:qFormat/>
    <w:uiPriority w:val="0"/>
    <w:pPr>
      <w:widowControl w:val="0"/>
      <w:spacing w:line="360" w:lineRule="auto"/>
      <w:ind w:firstLine="480" w:firstLineChars="200"/>
      <w:jc w:val="both"/>
    </w:pPr>
    <w:rPr>
      <w:rFonts w:ascii="宋体" w:hAnsi="Times New Roman" w:eastAsia="宋体" w:cs="宋体"/>
      <w:kern w:val="2"/>
      <w:sz w:val="24"/>
      <w:lang w:val="en-US" w:eastAsia="zh-CN" w:bidi="ar-SA"/>
    </w:rPr>
  </w:style>
  <w:style w:type="character" w:customStyle="1" w:styleId="64">
    <w:name w:val="font01"/>
    <w:qFormat/>
    <w:uiPriority w:val="0"/>
    <w:rPr>
      <w:rFonts w:hint="default" w:ascii="Times New Roman" w:hAnsi="Times New Roman" w:cs="Times New Roman"/>
      <w:color w:val="000000"/>
      <w:sz w:val="21"/>
      <w:szCs w:val="21"/>
      <w:u w:val="none"/>
      <w:vertAlign w:val="superscript"/>
    </w:rPr>
  </w:style>
  <w:style w:type="paragraph" w:customStyle="1" w:styleId="65">
    <w:name w:val="表内容"/>
    <w:basedOn w:val="1"/>
    <w:qFormat/>
    <w:uiPriority w:val="0"/>
    <w:pPr>
      <w:adjustRightInd w:val="0"/>
      <w:snapToGrid w:val="0"/>
      <w:jc w:val="center"/>
    </w:pPr>
    <w:rPr>
      <w:snapToGrid w:val="0"/>
      <w:szCs w:val="21"/>
    </w:rPr>
  </w:style>
  <w:style w:type="paragraph" w:customStyle="1" w:styleId="66">
    <w:name w:val="li_正文"/>
    <w:basedOn w:val="1"/>
    <w:qFormat/>
    <w:uiPriority w:val="0"/>
    <w:pPr>
      <w:ind w:firstLine="200"/>
    </w:pPr>
    <w:rPr>
      <w:sz w:val="28"/>
      <w:szCs w:val="28"/>
    </w:rPr>
  </w:style>
  <w:style w:type="paragraph" w:customStyle="1" w:styleId="67">
    <w:name w:val="普通(网站)11"/>
    <w:basedOn w:val="1"/>
    <w:qFormat/>
    <w:uiPriority w:val="0"/>
    <w:pPr>
      <w:spacing w:before="100" w:beforeAutospacing="1" w:after="100" w:afterAutospacing="1"/>
    </w:pPr>
    <w:rPr>
      <w:rFonts w:ascii="宋体" w:hAnsi="宋体" w:cs="宋体"/>
    </w:rPr>
  </w:style>
  <w:style w:type="paragraph" w:customStyle="1" w:styleId="68">
    <w:name w:val="报告书表格"/>
    <w:basedOn w:val="1"/>
    <w:qFormat/>
    <w:uiPriority w:val="0"/>
    <w:pPr>
      <w:adjustRightInd w:val="0"/>
      <w:spacing w:before="60" w:after="60" w:line="240" w:lineRule="atLeast"/>
      <w:jc w:val="center"/>
      <w:textAlignment w:val="baseline"/>
    </w:pPr>
    <w:rPr>
      <w:kern w:val="0"/>
    </w:rPr>
  </w:style>
  <w:style w:type="character" w:customStyle="1" w:styleId="69">
    <w:name w:val="批注框文本 Char"/>
    <w:link w:val="16"/>
    <w:qFormat/>
    <w:uiPriority w:val="0"/>
    <w:rPr>
      <w:kern w:val="2"/>
      <w:sz w:val="18"/>
      <w:szCs w:val="18"/>
    </w:rPr>
  </w:style>
  <w:style w:type="character" w:customStyle="1" w:styleId="70">
    <w:name w:val="font11"/>
    <w:basedOn w:val="30"/>
    <w:qFormat/>
    <w:uiPriority w:val="0"/>
    <w:rPr>
      <w:rFonts w:hint="eastAsia" w:ascii="仿宋" w:hAnsi="仿宋" w:eastAsia="仿宋" w:cs="仿宋"/>
      <w:color w:val="000000"/>
      <w:sz w:val="24"/>
      <w:szCs w:val="24"/>
      <w:u w:val="none"/>
    </w:rPr>
  </w:style>
  <w:style w:type="paragraph" w:customStyle="1" w:styleId="71">
    <w:name w:val="0000表格文字"/>
    <w:next w:val="1"/>
    <w:qFormat/>
    <w:uiPriority w:val="0"/>
    <w:pPr>
      <w:jc w:val="center"/>
    </w:pPr>
    <w:rPr>
      <w:rFonts w:ascii="Times New Roman" w:hAnsi="Times New Roman" w:eastAsia="宋体" w:cs="Times New Roman"/>
      <w:sz w:val="21"/>
    </w:rPr>
  </w:style>
  <w:style w:type="paragraph" w:customStyle="1" w:styleId="72">
    <w:name w:val="表头"/>
    <w:basedOn w:val="6"/>
    <w:qFormat/>
    <w:uiPriority w:val="99"/>
    <w:pPr>
      <w:spacing w:before="120" w:after="120" w:line="500" w:lineRule="atLeast"/>
      <w:jc w:val="center"/>
    </w:pPr>
    <w:rPr>
      <w:b/>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emf"/><Relationship Id="rId8" Type="http://schemas.openxmlformats.org/officeDocument/2006/relationships/oleObject" Target="embeddings/oleObject1.bin"/><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media/image10.jpeg"/><Relationship Id="rId18" Type="http://schemas.openxmlformats.org/officeDocument/2006/relationships/image" Target="media/image9.jpeg"/><Relationship Id="rId17" Type="http://schemas.openxmlformats.org/officeDocument/2006/relationships/image" Target="media/image8.jpeg"/><Relationship Id="rId16" Type="http://schemas.openxmlformats.org/officeDocument/2006/relationships/image" Target="media/image7.jpe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emf"/><Relationship Id="rId10" Type="http://schemas.openxmlformats.org/officeDocument/2006/relationships/oleObject" Target="embeddings/oleObject2.bin"/><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50"/>
    <customShpInfo spid="_x0000_s1078"/>
    <customShpInfo spid="_x0000_s1092"/>
    <customShpInfo spid="_x0000_s1074"/>
    <customShpInfo spid="_x0000_s1075"/>
    <customShpInfo spid="_x0000_s1076"/>
    <customShpInfo spid="_x0000_s1077"/>
  </customShpExts>
  <extobjs>
    <extobj name="ECB019B1-382A-4266-B25C-5B523AA43C14-1">
      <extobjdata type="ECB019B1-382A-4266-B25C-5B523AA43C14" data="ewoJIkZpbGVJZCIgOiAiMjA2MzA0ODA4NDQ3IiwKCSJHcm91cElkIiA6ICI0MTc4Mzk5NjciLAoJIkltYWdlIiA6ICJpVkJPUncwS0dnb0FBQUFOU1VoRVVnQUFBZllBQUFDYUNBWUFBQUJicW1vcEFBQUFDWEJJV1hNQUFBc1RBQUFMRXdFQW1wd1lBQUFnQUVsRVFWUjRuTzNkZlZ5TjkvOEg4TmNwVW9pVWtuczFtMjFwVkVob050M1FLdVltSTRXR2JFd29rNUNVMld5RUlVS1l1MnI2cW9pRnlWRDBsU1hXdEVKaWhMbHRsVzVPbmM3dmozN24rbmFjU3U0NjNieWVqNGRIZFYyZmMxMmZrMC9uZlgzdUFT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"/>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45</Pages>
  <Words>23611</Words>
  <Characters>27314</Characters>
  <Lines>288</Lines>
  <Paragraphs>81</Paragraphs>
  <TotalTime>5</TotalTime>
  <ScaleCrop>false</ScaleCrop>
  <LinksUpToDate>false</LinksUpToDate>
  <CharactersWithSpaces>27531</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2020-07-23T00:40:00Z</dcterms:created>
  <dc:creator>Administrator.SKY-20190624CFY</dc:creator>
  <cp:lastModifiedBy>六月</cp:lastModifiedBy>
  <cp:lastPrinted>2023-09-12T08:28:00Z</cp:lastPrinted>
  <dcterms:modified xsi:type="dcterms:W3CDTF">2023-09-12T08:28:10Z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7A1B6DF1F5A749A19E8F6B429C7139C7</vt:lpwstr>
  </property>
</Properties>
</file>