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Times New Roman" w:hAnsi="Times New Roman"/>
          <w:b/>
          <w:sz w:val="72"/>
        </w:rPr>
      </w:pPr>
      <w:bookmarkStart w:id="0" w:name="_GoBack"/>
      <w:bookmarkEnd w:id="0"/>
      <w:r>
        <w:rPr>
          <w:rFonts w:hint="eastAsia" w:ascii="宋体" w:hAnsi="宋体"/>
          <w:b/>
          <w:sz w:val="24"/>
          <w:lang w:val="en-US" w:eastAsia="zh-CN"/>
        </w:rPr>
        <w:t xml:space="preserve"> </w:t>
      </w:r>
      <w:r>
        <w:rPr>
          <w:rFonts w:hint="eastAsia" w:ascii="宋体" w:hAnsi="宋体"/>
          <w:b/>
          <w:sz w:val="24"/>
          <w:lang w:val="en-US" w:eastAsia="zh-CN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29210</wp:posOffset>
            </wp:positionV>
            <wp:extent cx="1378585" cy="1080135"/>
            <wp:effectExtent l="0" t="0" r="12065" b="5715"/>
            <wp:wrapNone/>
            <wp:docPr id="1" name="图片 1" descr="4ffccec7e50be109cd575e20b660c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ffccec7e50be109cd575e20b660c8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785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b/>
          <w:sz w:val="24"/>
          <w:lang w:val="en-US" w:eastAsia="zh-CN"/>
        </w:rPr>
        <w:t xml:space="preserve">                                                        报告编号：LT2023080318 </w:t>
      </w:r>
      <w:r>
        <w:rPr>
          <w:rFonts w:hint="eastAsia" w:ascii="宋体" w:hAnsi="宋体"/>
          <w:b/>
          <w:sz w:val="24"/>
        </w:rPr>
        <w:t xml:space="preserve">                        </w:t>
      </w:r>
      <w:r>
        <w:rPr>
          <w:rFonts w:hint="default" w:ascii="Times New Roman" w:hAnsi="Times New Roman"/>
          <w:b/>
          <w:sz w:val="72"/>
        </w:rPr>
        <w:t xml:space="preserve">               </w:t>
      </w:r>
    </w:p>
    <w:p>
      <w:pPr>
        <w:jc w:val="both"/>
        <w:rPr>
          <w:rFonts w:hint="eastAsia" w:ascii="Times New Roman"/>
          <w:b/>
          <w:sz w:val="84"/>
        </w:rPr>
      </w:pPr>
    </w:p>
    <w:p>
      <w:pPr>
        <w:rPr>
          <w:rFonts w:hint="eastAsia" w:ascii="Times New Roman"/>
          <w:b/>
          <w:sz w:val="84"/>
        </w:rPr>
      </w:pPr>
    </w:p>
    <w:p>
      <w:pPr>
        <w:ind w:firstLine="1687" w:firstLineChars="200"/>
        <w:jc w:val="both"/>
        <w:rPr>
          <w:rFonts w:hint="eastAsia" w:ascii="Times New Roman" w:hAnsi="Times New Roman"/>
          <w:b/>
          <w:sz w:val="84"/>
        </w:rPr>
      </w:pPr>
      <w:r>
        <w:rPr>
          <w:rFonts w:hint="eastAsia" w:ascii="Times New Roman"/>
          <w:b/>
          <w:sz w:val="84"/>
          <w:lang w:val="en-US" w:eastAsia="zh-CN"/>
        </w:rPr>
        <w:t xml:space="preserve"> </w:t>
      </w:r>
      <w:r>
        <w:rPr>
          <w:rFonts w:hint="eastAsia" w:ascii="Times New Roman"/>
          <w:b/>
          <w:sz w:val="84"/>
        </w:rPr>
        <w:t>检</w:t>
      </w:r>
      <w:r>
        <w:rPr>
          <w:rFonts w:hint="eastAsia" w:ascii="Times New Roman"/>
          <w:b/>
          <w:sz w:val="84"/>
          <w:lang w:val="en-US" w:eastAsia="zh-CN"/>
        </w:rPr>
        <w:t xml:space="preserve">  </w:t>
      </w:r>
      <w:r>
        <w:rPr>
          <w:rFonts w:hint="eastAsia" w:ascii="Times New Roman" w:hAnsi="Times New Roman"/>
          <w:b/>
          <w:sz w:val="84"/>
        </w:rPr>
        <w:t>测</w:t>
      </w:r>
      <w:r>
        <w:rPr>
          <w:rFonts w:hint="eastAsia" w:ascii="Times New Roman" w:hAnsi="Times New Roman"/>
          <w:b/>
          <w:sz w:val="84"/>
          <w:lang w:val="en-US" w:eastAsia="zh-CN"/>
        </w:rPr>
        <w:t xml:space="preserve">  </w:t>
      </w:r>
      <w:r>
        <w:rPr>
          <w:rFonts w:hint="eastAsia" w:ascii="Times New Roman" w:hAnsi="Times New Roman"/>
          <w:b/>
          <w:sz w:val="84"/>
        </w:rPr>
        <w:t>报</w:t>
      </w:r>
      <w:r>
        <w:rPr>
          <w:rFonts w:hint="eastAsia" w:ascii="Times New Roman" w:hAnsi="Times New Roman"/>
          <w:b/>
          <w:sz w:val="84"/>
          <w:lang w:val="en-US" w:eastAsia="zh-CN"/>
        </w:rPr>
        <w:t xml:space="preserve">  </w:t>
      </w:r>
      <w:r>
        <w:rPr>
          <w:rFonts w:hint="eastAsia" w:ascii="Times New Roman" w:hAnsi="Times New Roman"/>
          <w:b/>
          <w:sz w:val="84"/>
        </w:rPr>
        <w:t>告</w:t>
      </w:r>
    </w:p>
    <w:p>
      <w:pPr>
        <w:jc w:val="center"/>
        <w:rPr>
          <w:rFonts w:hint="default" w:ascii="Times New Roman" w:hAnsi="Times New Roman"/>
          <w:color w:val="000000"/>
          <w:sz w:val="32"/>
        </w:rPr>
      </w:pPr>
    </w:p>
    <w:p>
      <w:pPr>
        <w:pStyle w:val="2"/>
        <w:jc w:val="center"/>
        <w:rPr>
          <w:rFonts w:hint="default" w:eastAsia="仿宋_GB2312"/>
          <w:lang w:val="en-US" w:eastAsia="zh-CN"/>
        </w:rPr>
      </w:pPr>
      <w:r>
        <w:rPr>
          <w:rFonts w:hint="default" w:eastAsia="仿宋_GB2312"/>
          <w:lang w:val="en-US" w:eastAsia="zh-CN"/>
        </w:rPr>
        <w:drawing>
          <wp:inline distT="0" distB="0" distL="114300" distR="114300">
            <wp:extent cx="1691640" cy="1486535"/>
            <wp:effectExtent l="0" t="0" r="0" b="6985"/>
            <wp:docPr id="17" name="图片 17" descr="微信图片_202112201133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微信图片_2021122011331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91640" cy="1486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4"/>
        <w:tblpPr w:leftFromText="180" w:rightFromText="180" w:vertAnchor="text" w:horzAnchor="page" w:tblpXSpec="center" w:tblpY="582"/>
        <w:tblOverlap w:val="never"/>
        <w:tblW w:w="804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1"/>
        <w:gridCol w:w="632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7" w:hRule="atLeast"/>
          <w:jc w:val="center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both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宋体"/>
                <w:sz w:val="32"/>
                <w:szCs w:val="32"/>
                <w:lang w:val="en-US" w:eastAsia="zh-CN"/>
              </w:rPr>
              <w:t>受检</w:t>
            </w:r>
            <w:r>
              <w:rPr>
                <w:rFonts w:hint="eastAsia" w:ascii="Times New Roman" w:hAnsi="宋体"/>
                <w:sz w:val="32"/>
                <w:szCs w:val="32"/>
              </w:rPr>
              <w:t>单位：</w:t>
            </w:r>
          </w:p>
        </w:tc>
        <w:tc>
          <w:tcPr>
            <w:tcW w:w="6325" w:type="dxa"/>
            <w:tcBorders>
              <w:top w:val="nil"/>
              <w:left w:val="nil"/>
              <w:bottom w:val="single" w:color="auto" w:sz="8" w:space="0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32"/>
                <w:szCs w:val="32"/>
                <w:lang w:val="en-US" w:eastAsia="zh-CN"/>
              </w:rPr>
              <w:t>山东嘉乐电雕制版有限公司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宋体"/>
                <w:sz w:val="32"/>
                <w:szCs w:val="32"/>
              </w:rPr>
              <w:t>项目名称：</w:t>
            </w:r>
          </w:p>
        </w:tc>
        <w:tc>
          <w:tcPr>
            <w:tcW w:w="6325" w:type="dxa"/>
            <w:tcBorders>
              <w:top w:val="nil"/>
              <w:left w:val="nil"/>
              <w:bottom w:val="single" w:color="auto" w:sz="8" w:space="0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32"/>
                <w:szCs w:val="32"/>
                <w:lang w:val="en-US" w:eastAsia="zh-CN"/>
              </w:rPr>
              <w:t>废水、地下水、土壤检测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宋体"/>
                <w:sz w:val="32"/>
                <w:szCs w:val="32"/>
              </w:rPr>
              <w:t>监测性质：</w:t>
            </w:r>
          </w:p>
        </w:tc>
        <w:tc>
          <w:tcPr>
            <w:tcW w:w="6325" w:type="dxa"/>
            <w:tcBorders>
              <w:top w:val="single" w:color="auto" w:sz="8" w:space="0"/>
              <w:left w:val="nil"/>
              <w:bottom w:val="single" w:color="auto" w:sz="8" w:space="0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/>
                <w:sz w:val="32"/>
                <w:szCs w:val="32"/>
              </w:rPr>
            </w:pPr>
            <w:r>
              <w:rPr>
                <w:rFonts w:hint="eastAsia" w:ascii="Times New Roman" w:hAnsi="宋体"/>
                <w:sz w:val="32"/>
                <w:szCs w:val="32"/>
              </w:rPr>
              <w:t>委托检测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721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default" w:ascii="Times New Roman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宋体"/>
                <w:sz w:val="32"/>
                <w:szCs w:val="32"/>
                <w:lang w:val="en-US" w:eastAsia="zh-CN"/>
              </w:rPr>
              <w:t>报告日期：</w:t>
            </w:r>
          </w:p>
        </w:tc>
        <w:tc>
          <w:tcPr>
            <w:tcW w:w="6325" w:type="dxa"/>
            <w:tcBorders>
              <w:top w:val="single" w:color="auto" w:sz="8" w:space="0"/>
              <w:left w:val="nil"/>
              <w:bottom w:val="single" w:color="auto" w:sz="8" w:space="0"/>
              <w:right w:val="nil"/>
              <w:tl2br w:val="nil"/>
              <w:tr2bl w:val="nil"/>
            </w:tcBorders>
            <w:noWrap w:val="0"/>
            <w:vAlign w:val="bottom"/>
          </w:tcPr>
          <w:p>
            <w:pPr>
              <w:spacing w:line="400" w:lineRule="exact"/>
              <w:jc w:val="center"/>
              <w:outlineLvl w:val="0"/>
              <w:rPr>
                <w:rFonts w:hint="eastAsia" w:ascii="Times New Roman" w:hAnsi="宋体" w:eastAsia="宋体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二〇二</w:t>
            </w: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年</w:t>
            </w: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八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月</w:t>
            </w:r>
            <w:r>
              <w:rPr>
                <w:rFonts w:hint="eastAsia" w:ascii="宋体" w:hAnsi="宋体" w:cs="宋体"/>
                <w:b w:val="0"/>
                <w:bCs w:val="0"/>
                <w:sz w:val="32"/>
                <w:szCs w:val="32"/>
                <w:lang w:val="en-US" w:eastAsia="zh-CN"/>
              </w:rPr>
              <w:t>三十一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日</w:t>
            </w:r>
          </w:p>
        </w:tc>
      </w:tr>
    </w:tbl>
    <w:p>
      <w:pPr>
        <w:spacing w:beforeLines="50" w:afterLines="50" w:line="360" w:lineRule="auto"/>
        <w:jc w:val="center"/>
        <w:rPr>
          <w:rFonts w:hint="eastAsia" w:ascii="Times New Roman" w:hAnsi="Times New Roman"/>
          <w:color w:val="auto"/>
          <w:sz w:val="36"/>
          <w:lang w:val="en-US" w:eastAsia="zh-CN"/>
        </w:rPr>
      </w:pPr>
    </w:p>
    <w:p>
      <w:pPr>
        <w:spacing w:beforeLines="50" w:afterLines="50" w:line="360" w:lineRule="auto"/>
        <w:jc w:val="center"/>
        <w:rPr>
          <w:rFonts w:hint="eastAsia" w:ascii="Times New Roman" w:hAnsi="Times New Roman"/>
          <w:color w:val="auto"/>
          <w:sz w:val="36"/>
          <w:lang w:val="en-US" w:eastAsia="zh-CN"/>
        </w:rPr>
      </w:pPr>
    </w:p>
    <w:p>
      <w:pPr>
        <w:spacing w:beforeLines="50" w:afterLines="50" w:line="360" w:lineRule="auto"/>
        <w:jc w:val="center"/>
        <w:rPr>
          <w:rFonts w:hint="eastAsia" w:ascii="Times New Roman" w:hAnsi="Times New Roman"/>
          <w:color w:val="auto"/>
          <w:sz w:val="36"/>
          <w:lang w:val="en-US" w:eastAsia="zh-CN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>
      <w:pPr>
        <w:pStyle w:val="2"/>
      </w:pPr>
    </w:p>
    <w:p>
      <w:pPr>
        <w:spacing w:line="360" w:lineRule="auto"/>
        <w:jc w:val="center"/>
        <w:rPr>
          <w:rFonts w:hint="eastAsia" w:ascii="Times New Roman" w:hAnsi="Times New Roman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Times New Roman" w:hAnsi="Times New Roman"/>
          <w:b w:val="0"/>
          <w:bCs w:val="0"/>
          <w:sz w:val="36"/>
          <w:szCs w:val="36"/>
          <w:lang w:val="en-US" w:eastAsia="zh-CN"/>
        </w:rPr>
        <w:t xml:space="preserve"> </w:t>
      </w:r>
      <w: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1246505</wp:posOffset>
            </wp:positionH>
            <wp:positionV relativeFrom="paragraph">
              <wp:posOffset>4445</wp:posOffset>
            </wp:positionV>
            <wp:extent cx="834390" cy="899795"/>
            <wp:effectExtent l="0" t="0" r="3810" b="14605"/>
            <wp:wrapNone/>
            <wp:docPr id="9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/>
          <w:b w:val="0"/>
          <w:bCs w:val="0"/>
          <w:sz w:val="36"/>
          <w:szCs w:val="36"/>
          <w:lang w:val="en-US" w:eastAsia="zh-CN"/>
        </w:rPr>
        <w:t xml:space="preserve">       山东蓝天环境监测有限公司</w:t>
      </w:r>
    </w:p>
    <w:p>
      <w:pPr>
        <w:pStyle w:val="2"/>
        <w:rPr>
          <w:rFonts w:hint="default"/>
          <w:b w:val="0"/>
          <w:bCs w:val="0"/>
          <w:lang w:val="en-US"/>
        </w:rPr>
      </w:pPr>
      <w:r>
        <w:rPr>
          <w:rFonts w:hint="eastAsia" w:ascii="Times New Roman" w:hAnsi="Times New Roman"/>
          <w:b w:val="0"/>
          <w:bCs w:val="0"/>
          <w:sz w:val="44"/>
          <w:szCs w:val="4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 w:val="0"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（加盖检验检测专用章）</w:t>
      </w:r>
    </w:p>
    <w:p>
      <w:pPr>
        <w:spacing w:line="360" w:lineRule="auto"/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/>
          <w:b/>
          <w:bCs/>
          <w:sz w:val="44"/>
          <w:szCs w:val="44"/>
        </w:rPr>
        <w:t>注 意 事 项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1343025</wp:posOffset>
            </wp:positionH>
            <wp:positionV relativeFrom="paragraph">
              <wp:posOffset>89535</wp:posOffset>
            </wp:positionV>
            <wp:extent cx="619125" cy="333375"/>
            <wp:effectExtent l="0" t="0" r="9525" b="9525"/>
            <wp:wrapNone/>
            <wp:docPr id="1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1、报告无本公司       章、检测专用章及骑缝章、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编制</w:t>
      </w:r>
      <w:r>
        <w:rPr>
          <w:rFonts w:ascii="Times New Roman" w:hAnsi="Times New Roman"/>
          <w:sz w:val="28"/>
          <w:szCs w:val="28"/>
        </w:rPr>
        <w:t>、审核、批准人签字无效。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2、报告复印件未经我公司加盖“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检验</w:t>
      </w:r>
      <w:r>
        <w:rPr>
          <w:rFonts w:ascii="Times New Roman" w:hAnsi="Times New Roman"/>
          <w:sz w:val="28"/>
          <w:szCs w:val="28"/>
        </w:rPr>
        <w:t>检测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检测</w:t>
      </w:r>
      <w:r>
        <w:rPr>
          <w:rFonts w:ascii="Times New Roman" w:hAnsi="Times New Roman"/>
          <w:sz w:val="28"/>
          <w:szCs w:val="28"/>
        </w:rPr>
        <w:t>专用章”（红章）或有改动无效，部分报告复印无效。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3、</w:t>
      </w:r>
      <w:r>
        <w:rPr>
          <w:rFonts w:ascii="Times New Roman" w:hAnsi="Times New Roman"/>
          <w:snapToGrid w:val="0"/>
          <w:kern w:val="0"/>
          <w:sz w:val="28"/>
          <w:szCs w:val="28"/>
        </w:rPr>
        <w:t>由委托单位自行采集的样品，仅对送检样品检测数据负责，不对样品来源负责。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4、报告中除特别说明，检测均在我公司内进行。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5、对本报告若有异议，应于收到报告之日起十五日内向我公司提出逾期不予受理。样品取回后不受理异议。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6、样品备查期满（委托检测为收到报告之日起一个月）可领回，否则，我公司按规定处理。</w:t>
      </w:r>
    </w:p>
    <w:p>
      <w:pPr>
        <w:spacing w:line="60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7、</w:t>
      </w:r>
      <w:r>
        <w:rPr>
          <w:rFonts w:ascii="Times New Roman" w:hAnsi="Times New Roman"/>
          <w:snapToGrid w:val="0"/>
          <w:kern w:val="0"/>
          <w:sz w:val="28"/>
          <w:szCs w:val="28"/>
        </w:rPr>
        <w:t>本报告不得用于广告宣传。</w:t>
      </w:r>
    </w:p>
    <w:p>
      <w:pPr>
        <w:spacing w:line="600" w:lineRule="exact"/>
        <w:ind w:firstLine="537" w:firstLineChars="168"/>
        <w:rPr>
          <w:rFonts w:ascii="Times New Roman" w:hAnsi="Times New Roman"/>
          <w:sz w:val="32"/>
        </w:rPr>
      </w:pPr>
    </w:p>
    <w:p>
      <w:pPr>
        <w:spacing w:line="800" w:lineRule="exact"/>
        <w:ind w:firstLine="480" w:firstLineChars="150"/>
        <w:rPr>
          <w:rFonts w:ascii="Times New Roman" w:hAnsi="Times New Roman"/>
          <w:sz w:val="32"/>
        </w:rPr>
      </w:pPr>
    </w:p>
    <w:p>
      <w:pPr>
        <w:pStyle w:val="2"/>
        <w:ind w:left="0" w:leftChars="0" w:firstLine="0" w:firstLineChars="0"/>
      </w:pPr>
    </w:p>
    <w:p>
      <w:pPr>
        <w:spacing w:line="360" w:lineRule="auto"/>
        <w:ind w:firstLine="480" w:firstLineChars="150"/>
        <w:rPr>
          <w:rFonts w:ascii="Times New Roman" w:hAnsi="Times New Roman"/>
          <w:sz w:val="32"/>
        </w:rPr>
      </w:pPr>
    </w:p>
    <w:p>
      <w:pPr>
        <w:pStyle w:val="2"/>
      </w:pPr>
    </w:p>
    <w:p>
      <w:pPr>
        <w:spacing w:line="360" w:lineRule="auto"/>
        <w:rPr>
          <w:rFonts w:hint="default" w:ascii="Times New Roman" w:hAnsi="Times New Roman" w:eastAsia="宋体"/>
          <w:sz w:val="28"/>
          <w:szCs w:val="28"/>
          <w:lang w:val="en-US" w:eastAsia="zh-CN"/>
        </w:rPr>
      </w:pPr>
      <w:r>
        <w:rPr>
          <w:rFonts w:ascii="Times New Roman" w:hAnsi="Times New Roman"/>
          <w:sz w:val="28"/>
          <w:szCs w:val="28"/>
        </w:rPr>
        <w:t>地　　址：山东省临沂市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河东区九曲街道空港大街12号</w:t>
      </w:r>
    </w:p>
    <w:p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邮政编码：276000</w:t>
      </w:r>
    </w:p>
    <w:p>
      <w:pPr>
        <w:spacing w:line="360" w:lineRule="auto"/>
        <w:rPr>
          <w:rFonts w:hint="default" w:ascii="Times New Roman" w:hAnsi="Times New Roman" w:eastAsia="宋体"/>
          <w:sz w:val="28"/>
          <w:szCs w:val="28"/>
          <w:lang w:val="en-US" w:eastAsia="zh-CN"/>
        </w:rPr>
      </w:pPr>
      <w:r>
        <w:rPr>
          <w:rFonts w:ascii="Times New Roman" w:hAnsi="Times New Roman"/>
          <w:sz w:val="28"/>
          <w:szCs w:val="28"/>
        </w:rPr>
        <w:t>电　　话：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15563237758</w:t>
      </w:r>
    </w:p>
    <w:p>
      <w:pPr>
        <w:rPr>
          <w:rFonts w:hint="default"/>
        </w:rPr>
        <w:sectPr>
          <w:headerReference r:id="rId4" w:type="first"/>
          <w:headerReference r:id="rId3" w:type="default"/>
          <w:footerReference r:id="rId5" w:type="default"/>
          <w:pgSz w:w="11906" w:h="16838"/>
          <w:pgMar w:top="1440" w:right="1080" w:bottom="1440" w:left="108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lnNumType w:countBy="0" w:distance="360"/>
          <w:cols w:space="720" w:num="1"/>
          <w:titlePg/>
          <w:docGrid w:type="lines" w:linePitch="312" w:charSpace="0"/>
        </w:sectPr>
      </w:pPr>
    </w:p>
    <w:p>
      <w:pPr>
        <w:tabs>
          <w:tab w:val="left" w:pos="0"/>
        </w:tabs>
        <w:spacing w:line="360" w:lineRule="auto"/>
        <w:jc w:val="left"/>
        <w:rPr>
          <w:rFonts w:ascii="Times New Roman" w:hAnsi="Times New Roman"/>
          <w:b/>
          <w:bCs/>
          <w:color w:val="000000"/>
          <w:kern w:val="2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一</w:t>
      </w:r>
      <w:r>
        <w:rPr>
          <w:rFonts w:hint="eastAsia" w:ascii="Times New Roman"/>
          <w:b/>
          <w:bCs/>
          <w:color w:val="000000"/>
          <w:sz w:val="28"/>
          <w:szCs w:val="28"/>
          <w:lang w:eastAsia="zh-CN"/>
        </w:rPr>
        <w:t>、</w:t>
      </w:r>
      <w:r>
        <w:rPr>
          <w:rFonts w:ascii="Times New Roman" w:hAnsi="Times New Roman"/>
          <w:b/>
          <w:bCs/>
          <w:color w:val="000000"/>
          <w:kern w:val="2"/>
          <w:sz w:val="28"/>
          <w:szCs w:val="28"/>
        </w:rPr>
        <w:t>基本情况</w:t>
      </w:r>
    </w:p>
    <w:tbl>
      <w:tblPr>
        <w:tblStyle w:val="14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3255"/>
        <w:gridCol w:w="1620"/>
        <w:gridCol w:w="317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  <w:t>委托单位</w:t>
            </w:r>
          </w:p>
        </w:tc>
        <w:tc>
          <w:tcPr>
            <w:tcW w:w="8051" w:type="dxa"/>
            <w:gridSpan w:val="3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山东嘉乐电雕制版有限公司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  <w:t>委托单位地址</w:t>
            </w:r>
          </w:p>
        </w:tc>
        <w:tc>
          <w:tcPr>
            <w:tcW w:w="8051" w:type="dxa"/>
            <w:gridSpan w:val="3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临沂经济开发区沃尔沃路与合肥路交汇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  <w:t>联系人</w:t>
            </w:r>
          </w:p>
        </w:tc>
        <w:tc>
          <w:tcPr>
            <w:tcW w:w="3255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王</w:t>
            </w:r>
            <w:r>
              <w:rPr>
                <w:rFonts w:hint="eastAsia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总</w:t>
            </w:r>
          </w:p>
        </w:tc>
        <w:tc>
          <w:tcPr>
            <w:tcW w:w="1620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  <w:t>联系电话</w:t>
            </w:r>
          </w:p>
        </w:tc>
        <w:tc>
          <w:tcPr>
            <w:tcW w:w="317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15963996952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  <w:t>检测类别</w:t>
            </w:r>
          </w:p>
        </w:tc>
        <w:tc>
          <w:tcPr>
            <w:tcW w:w="3255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  <w:t>委托检测</w:t>
            </w:r>
          </w:p>
        </w:tc>
        <w:tc>
          <w:tcPr>
            <w:tcW w:w="1620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  <w:t>日期</w:t>
            </w:r>
          </w:p>
        </w:tc>
        <w:tc>
          <w:tcPr>
            <w:tcW w:w="3176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b w:val="0"/>
                <w:bCs w:val="0"/>
                <w:color w:val="000000"/>
                <w:kern w:val="2"/>
                <w:sz w:val="21"/>
                <w:szCs w:val="21"/>
                <w:lang w:val="en-US" w:eastAsia="zh-CN"/>
              </w:rPr>
              <w:t>2023-08-16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87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检测</w:t>
            </w:r>
            <w:r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</w:rPr>
              <w:t>人员</w:t>
            </w:r>
          </w:p>
        </w:tc>
        <w:tc>
          <w:tcPr>
            <w:tcW w:w="8051" w:type="dxa"/>
            <w:gridSpan w:val="3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黄新民、张志超、郭东晓</w:t>
            </w:r>
            <w:r>
              <w:rPr>
                <w:rFonts w:hint="eastAsia"/>
                <w:lang w:val="en-US" w:eastAsia="zh-CN"/>
              </w:rPr>
              <w:t>、徐洁、张佳鑫、李泽鹏</w:t>
            </w:r>
          </w:p>
        </w:tc>
      </w:tr>
    </w:tbl>
    <w:p>
      <w:pPr>
        <w:tabs>
          <w:tab w:val="left" w:pos="0"/>
        </w:tabs>
        <w:spacing w:line="360" w:lineRule="auto"/>
        <w:jc w:val="left"/>
        <w:rPr>
          <w:rFonts w:hint="default" w:ascii="Times New Roman" w:hAnsi="Times New Roman"/>
          <w:b/>
          <w:bCs/>
          <w:color w:val="000000"/>
          <w:sz w:val="28"/>
          <w:szCs w:val="28"/>
        </w:rPr>
      </w:pPr>
      <w:r>
        <w:rPr>
          <w:rFonts w:hint="eastAsia" w:ascii="Times New Roman" w:hAnsi="Times New Roman"/>
          <w:b/>
          <w:bCs/>
          <w:color w:val="000000"/>
          <w:sz w:val="28"/>
          <w:szCs w:val="28"/>
          <w:lang w:eastAsia="zh-CN"/>
        </w:rPr>
        <w:t>二、</w:t>
      </w:r>
      <w:r>
        <w:rPr>
          <w:rFonts w:hint="eastAsia" w:ascii="Times New Roman" w:hAnsi="Times New Roman"/>
          <w:b/>
          <w:bCs/>
          <w:color w:val="000000"/>
          <w:sz w:val="28"/>
          <w:szCs w:val="28"/>
        </w:rPr>
        <w:t>检测内容</w:t>
      </w:r>
    </w:p>
    <w:p>
      <w:pPr>
        <w:widowControl w:val="0"/>
        <w:tabs>
          <w:tab w:val="left" w:pos="0"/>
        </w:tabs>
        <w:spacing w:line="360" w:lineRule="auto"/>
        <w:jc w:val="left"/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eastAsia="zh-CN" w:bidi="ar-SA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  <w:t>2.1</w:t>
      </w:r>
      <w:r>
        <w:rPr>
          <w:rFonts w:hint="default" w:ascii="Calibri" w:hAnsi="Calibri" w:cs="Calibri" w:eastAsiaTheme="minorEastAsia"/>
          <w:color w:val="000000"/>
          <w:kern w:val="2"/>
          <w:sz w:val="24"/>
          <w:szCs w:val="24"/>
          <w:lang w:eastAsia="zh-CN" w:bidi="ar-SA"/>
        </w:rPr>
        <w:t>检测方案</w:t>
      </w:r>
    </w:p>
    <w:tbl>
      <w:tblPr>
        <w:tblStyle w:val="14"/>
        <w:tblW w:w="964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8"/>
        <w:gridCol w:w="1684"/>
        <w:gridCol w:w="5516"/>
        <w:gridCol w:w="127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16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项目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类别</w:t>
            </w:r>
          </w:p>
        </w:tc>
        <w:tc>
          <w:tcPr>
            <w:tcW w:w="16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检测点位</w:t>
            </w:r>
          </w:p>
        </w:tc>
        <w:tc>
          <w:tcPr>
            <w:tcW w:w="551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检测项目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检测频次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16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2"/>
                <w:sz w:val="21"/>
                <w:szCs w:val="21"/>
                <w:lang w:val="en-US" w:eastAsia="zh-CN"/>
              </w:rPr>
              <w:t>废水</w:t>
            </w:r>
          </w:p>
        </w:tc>
        <w:tc>
          <w:tcPr>
            <w:tcW w:w="16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废水总排口</w:t>
            </w:r>
          </w:p>
        </w:tc>
        <w:tc>
          <w:tcPr>
            <w:tcW w:w="551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lang w:eastAsia="zh-CN"/>
              </w:rPr>
              <w:t>pH</w:t>
            </w:r>
            <w:r>
              <w:rPr>
                <w:rFonts w:hint="eastAsia"/>
                <w:lang w:eastAsia="zh-CN"/>
              </w:rPr>
              <w:t>值、化学需氧量、总氮、氨氮、总磷、氟化物、石油类、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eastAsia"/>
                <w:lang w:val="en-US" w:eastAsia="zh-CN"/>
              </w:rPr>
              <w:t>总铜</w:t>
            </w:r>
          </w:p>
        </w:tc>
        <w:tc>
          <w:tcPr>
            <w:tcW w:w="12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3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次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/点位，共检测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16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废水2号排水口</w:t>
            </w:r>
          </w:p>
        </w:tc>
        <w:tc>
          <w:tcPr>
            <w:tcW w:w="551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总铜、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>总镍</w:t>
            </w:r>
          </w:p>
        </w:tc>
        <w:tc>
          <w:tcPr>
            <w:tcW w:w="12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16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废水3号排水口</w:t>
            </w:r>
          </w:p>
        </w:tc>
        <w:tc>
          <w:tcPr>
            <w:tcW w:w="551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lang w:val="en-US" w:eastAsia="zh-CN"/>
              </w:rPr>
              <w:t>总铬</w:t>
            </w:r>
          </w:p>
        </w:tc>
        <w:tc>
          <w:tcPr>
            <w:tcW w:w="12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16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地下水</w:t>
            </w:r>
          </w:p>
        </w:tc>
        <w:tc>
          <w:tcPr>
            <w:tcW w:w="16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>地下水厂区</w:t>
            </w:r>
          </w:p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>监测井</w:t>
            </w:r>
          </w:p>
        </w:tc>
        <w:tc>
          <w:tcPr>
            <w:tcW w:w="5516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色度、嗅和味、浑浊度、肉眼可见物、总硬度、溶解性总固体、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铁、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锰、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锌、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铝、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挥发酚、阴离子表面活性剂、氨氮、硫化物、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钠、总大肠菌群、菌落总数、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亚硝酸盐氮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硝酸盐氮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、氰化物、氟化物、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碘化物、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汞、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砷、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硒、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镉、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铅、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三氯甲烷、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四氯化碳、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苯、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甲苯、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总铬、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总镍、六价铬、pH值、耗氧量、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总铜、硫酸盐、氯化物</w:t>
            </w:r>
          </w:p>
        </w:tc>
        <w:tc>
          <w:tcPr>
            <w:tcW w:w="1272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eastAsia="zh-CN"/>
              </w:rPr>
              <w:t>次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/点位，共检测</w:t>
            </w:r>
            <w:r>
              <w:rPr>
                <w:rFonts w:hint="default" w:ascii="Times New Roman" w:hAnsi="Times New Roman" w:cs="Times New Roman" w:eastAsiaTheme="majorEastAsia"/>
                <w:sz w:val="21"/>
                <w:szCs w:val="21"/>
                <w:lang w:val="en-US" w:eastAsia="zh-CN"/>
              </w:rPr>
              <w:t>1</w:t>
            </w: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天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16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土壤</w:t>
            </w:r>
          </w:p>
        </w:tc>
        <w:tc>
          <w:tcPr>
            <w:tcW w:w="16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>1号</w:t>
            </w:r>
          </w:p>
        </w:tc>
        <w:tc>
          <w:tcPr>
            <w:tcW w:w="5516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40" w:lineRule="auto"/>
              <w:jc w:val="left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总铬、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镍、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六价铬、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pH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值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铜、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砷、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镉、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铅、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汞、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四氯化碳、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氯仿、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氯甲烷、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1,1-二氯乙烷、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1,2-二氯乙烷、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1,1-二氯乙烯、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顺-1,2-二氯乙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反-1,2-二氯乙烯、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二氯甲烷、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1,2-二氯丙烷、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1,1,1,2-四氯乙烷、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1,1,2,2-四氯乙烷、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四氯乙烯、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1,1,1-三氯乙烷、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1,1,2-三氯乙烷 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三氯乙烯、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1,2,3-三氯丙烷、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氯乙烯 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 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氯苯、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1,2-二氯苯 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1,4-二氯苯、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乙苯、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苯乙烯、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甲苯、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间二甲苯+对二甲苯、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邻二甲苯、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硝基苯、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苯胺、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2-氯酚、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苯并[a]蒽、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苯并[a]芘、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苯并[b]荧蒽、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苯并[k]荧蒽、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䓛、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二苯并[a, h]蒽、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茚并[1,2,3-cd]芘、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萘</w:t>
            </w:r>
          </w:p>
        </w:tc>
        <w:tc>
          <w:tcPr>
            <w:tcW w:w="12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16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>2号</w:t>
            </w:r>
          </w:p>
        </w:tc>
        <w:tc>
          <w:tcPr>
            <w:tcW w:w="5516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</w:tc>
        <w:tc>
          <w:tcPr>
            <w:tcW w:w="12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16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684" w:type="dxa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>3号</w:t>
            </w:r>
          </w:p>
        </w:tc>
        <w:tc>
          <w:tcPr>
            <w:tcW w:w="5516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/>
                <w:szCs w:val="21"/>
                <w:lang w:val="en-US" w:eastAsia="zh-CN"/>
              </w:rPr>
            </w:pPr>
          </w:p>
        </w:tc>
        <w:tc>
          <w:tcPr>
            <w:tcW w:w="1272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168" w:type="dxa"/>
            <w:vMerge w:val="restart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采样规范</w:t>
            </w:r>
          </w:p>
        </w:tc>
        <w:tc>
          <w:tcPr>
            <w:tcW w:w="847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HJ 91.1-2019</w:t>
            </w:r>
            <w:r>
              <w:rPr>
                <w:rFonts w:hint="default" w:ascii="Calibri" w:hAnsi="Calibri" w:eastAsia="宋体" w:cs="Calibri"/>
                <w:lang w:val="en-US" w:eastAsia="zh-CN"/>
              </w:rPr>
              <w:t xml:space="preserve"> 《污水监测技术规范》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16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47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HJ/T 164-2020《地下水环境监测技术规范》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168" w:type="dxa"/>
            <w:vMerge w:val="continue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847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HJ</w:t>
            </w:r>
            <w:r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/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T</w:t>
            </w:r>
            <w:r>
              <w:rPr>
                <w:rFonts w:hint="default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166-2004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土壤环境监测技术规范</w:t>
            </w:r>
            <w:r>
              <w:rPr>
                <w:rFonts w:hint="eastAsia" w:cs="Times New Roman"/>
                <w:sz w:val="21"/>
                <w:szCs w:val="21"/>
                <w:lang w:eastAsia="zh-CN"/>
              </w:rPr>
              <w:t>》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tblHeader/>
          <w:jc w:val="center"/>
        </w:trPr>
        <w:tc>
          <w:tcPr>
            <w:tcW w:w="1168" w:type="dxa"/>
            <w:tcBorders>
              <w:tl2br w:val="nil"/>
              <w:tr2bl w:val="nil"/>
            </w:tcBorders>
            <w:noWrap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8472" w:type="dxa"/>
            <w:gridSpan w:val="3"/>
            <w:tcBorders>
              <w:tl2br w:val="nil"/>
              <w:tr2bl w:val="nil"/>
            </w:tcBorders>
            <w:noWrap w:val="0"/>
            <w:vAlign w:val="center"/>
          </w:tcPr>
          <w:p>
            <w:pPr>
              <w:tabs>
                <w:tab w:val="left" w:pos="0"/>
              </w:tabs>
              <w:spacing w:line="240" w:lineRule="auto"/>
              <w:jc w:val="left"/>
              <w:rPr>
                <w:rFonts w:hint="eastAsia" w:ascii="Times New Roman" w:hAnsi="Times New Roman" w:cs="Times New Roman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本项目中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eastAsia"/>
                <w:highlight w:val="none"/>
                <w:lang w:val="en-US" w:eastAsia="zh-CN"/>
              </w:rPr>
              <w:t>总铜、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总镍、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铁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锰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锌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铝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挥发酚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碘化物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汞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砷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硒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镉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铅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三氯甲烷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四氯化碳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苯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甲苯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总铬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六价铬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eastAsia="宋体"/>
                <w:highlight w:val="none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pH</w:t>
            </w:r>
            <w:r>
              <w:rPr>
                <w:rFonts w:hint="eastAsia" w:ascii="Times New Roman" w:hAnsi="Times New Roman" w:cs="Times New Roman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氯仿、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氯甲烷、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1,1-二氯乙烷、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1,2-二氯乙烷、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1,1-二氯乙烯、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顺-1,2-二氯乙烯、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反-1,2-二氯乙烯、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二氯甲烷、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1,2-二氯丙烷、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1,1,1,2-四氯乙烷、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1,1,2,2-四氯乙烷、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四氯乙烯、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1,1,1-三氯乙烷、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1,1,2-三氯乙烷 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三氯乙烯、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1,2,3-三氯丙烷、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氯乙烯 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 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氯苯、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1,2-二氯苯 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1,4-二氯苯、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乙苯、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苯乙烯、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甲苯、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间二甲苯+对二甲苯、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邻二甲苯、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硝基苯、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苯胺、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2-氯酚、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苯并[a]蒽、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苯并[a]芘、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苯并[b]荧蒽、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苯并[k]荧蒽、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䓛、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二苯并[a, h]蒽、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茚并[1,2,3-cd]芘、</w:t>
            </w:r>
            <w:r>
              <w:rPr>
                <w:rFonts w:hint="eastAsia" w:eastAsia="宋体"/>
                <w:lang w:val="en-US" w:eastAsia="zh-CN"/>
              </w:rPr>
              <w:t>※</w:t>
            </w: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萘</w:t>
            </w:r>
            <w:r>
              <w:rPr>
                <w:rFonts w:hint="eastAsia"/>
                <w:highlight w:val="none"/>
                <w:lang w:eastAsia="zh-CN"/>
              </w:rPr>
              <w:t>分包给</w:t>
            </w:r>
            <w:r>
              <w:rPr>
                <w:rFonts w:hint="eastAsia"/>
                <w:highlight w:val="none"/>
                <w:lang w:val="en-US" w:eastAsia="zh-CN"/>
              </w:rPr>
              <w:t>山东精诚检测技术有限公司</w:t>
            </w:r>
            <w:r>
              <w:rPr>
                <w:rFonts w:hint="eastAsia" w:ascii="Times New Roman" w:hAnsi="Times New Roman" w:cs="Times New Roman"/>
                <w:color w:val="000000"/>
                <w:highlight w:val="none"/>
                <w:lang w:val="en-US" w:eastAsia="zh-CN"/>
              </w:rPr>
              <w:t>，该公司资质认定许可编号为2016150033U。</w:t>
            </w:r>
          </w:p>
        </w:tc>
      </w:tr>
    </w:tbl>
    <w:p>
      <w:pPr>
        <w:numPr>
          <w:ilvl w:val="0"/>
          <w:numId w:val="0"/>
        </w:numPr>
        <w:tabs>
          <w:tab w:val="left" w:pos="0"/>
        </w:tabs>
        <w:spacing w:line="36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hint="eastAsia" w:ascii="Times New Roman" w:hAnsi="Times New Roman"/>
          <w:b/>
          <w:bCs/>
          <w:color w:val="000000"/>
          <w:sz w:val="28"/>
          <w:szCs w:val="28"/>
          <w:lang w:val="en-US" w:eastAsia="zh-CN"/>
        </w:rPr>
        <w:t>三、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检测仪器信息及检测方法</w:t>
      </w:r>
    </w:p>
    <w:p>
      <w:pPr>
        <w:numPr>
          <w:ilvl w:val="0"/>
          <w:numId w:val="0"/>
        </w:numPr>
        <w:tabs>
          <w:tab w:val="left" w:pos="0"/>
        </w:tabs>
        <w:spacing w:line="360" w:lineRule="auto"/>
        <w:jc w:val="both"/>
        <w:rPr>
          <w:rFonts w:hint="eastAsia" w:ascii="Times New Roman" w:hAnsi="Times New Roman" w:eastAsiaTheme="minorEastAsia"/>
          <w:color w:val="000000"/>
          <w:kern w:val="2"/>
          <w:sz w:val="24"/>
          <w:szCs w:val="24"/>
          <w:lang w:eastAsia="zh-CN"/>
        </w:rPr>
      </w:pPr>
      <w:r>
        <w:rPr>
          <w:rFonts w:hint="eastAsia" w:ascii="Times New Roman" w:hAnsi="Times New Roman" w:eastAsiaTheme="minorEastAsia"/>
          <w:color w:val="000000"/>
          <w:kern w:val="2"/>
          <w:sz w:val="24"/>
          <w:szCs w:val="24"/>
          <w:lang w:val="en-US" w:eastAsia="zh-CN"/>
        </w:rPr>
        <w:t>3.1</w:t>
      </w:r>
      <w:r>
        <w:rPr>
          <w:rFonts w:hint="default" w:ascii="Calibri" w:hAnsi="Calibri" w:cs="Calibri" w:eastAsiaTheme="minorEastAsia"/>
          <w:color w:val="000000"/>
          <w:kern w:val="2"/>
          <w:sz w:val="24"/>
          <w:szCs w:val="24"/>
        </w:rPr>
        <w:t xml:space="preserve"> 检测</w:t>
      </w:r>
      <w:r>
        <w:rPr>
          <w:rFonts w:hint="default" w:ascii="Calibri" w:hAnsi="Calibri" w:cs="Calibri" w:eastAsiaTheme="minorEastAsia"/>
          <w:color w:val="000000"/>
          <w:kern w:val="2"/>
          <w:sz w:val="24"/>
          <w:szCs w:val="24"/>
          <w:lang w:val="en-US" w:eastAsia="zh-CN"/>
        </w:rPr>
        <w:t>仪器</w:t>
      </w:r>
    </w:p>
    <w:tbl>
      <w:tblPr>
        <w:tblStyle w:val="14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717"/>
        <w:gridCol w:w="2889"/>
        <w:gridCol w:w="303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482" w:hRule="atLeast"/>
          <w:jc w:val="center"/>
        </w:trPr>
        <w:tc>
          <w:tcPr>
            <w:tcW w:w="3717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仪器名称</w:t>
            </w:r>
          </w:p>
        </w:tc>
        <w:tc>
          <w:tcPr>
            <w:tcW w:w="2889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仪器型号</w:t>
            </w:r>
          </w:p>
        </w:tc>
        <w:tc>
          <w:tcPr>
            <w:tcW w:w="3032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仪器编号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717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  <w:highlight w:val="none"/>
              </w:rPr>
              <w:t>便携式多参数分析仪</w:t>
            </w:r>
          </w:p>
        </w:tc>
        <w:tc>
          <w:tcPr>
            <w:tcW w:w="2889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DZB-718</w:t>
            </w:r>
          </w:p>
        </w:tc>
        <w:tc>
          <w:tcPr>
            <w:tcW w:w="303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95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717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紫外可见分光光度计</w:t>
            </w:r>
          </w:p>
        </w:tc>
        <w:tc>
          <w:tcPr>
            <w:tcW w:w="2889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T6新世纪</w:t>
            </w:r>
          </w:p>
        </w:tc>
        <w:tc>
          <w:tcPr>
            <w:tcW w:w="303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LTJC-002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717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  <w:highlight w:val="none"/>
              </w:rPr>
              <w:t>红外光度测油仪</w:t>
            </w:r>
          </w:p>
        </w:tc>
        <w:tc>
          <w:tcPr>
            <w:tcW w:w="2889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F2000-IIS</w:t>
            </w:r>
          </w:p>
        </w:tc>
        <w:tc>
          <w:tcPr>
            <w:tcW w:w="303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  <w:t>LTJC-017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717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</w:rPr>
              <w:t>电子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分析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</w:rPr>
              <w:t>天平</w:t>
            </w:r>
          </w:p>
        </w:tc>
        <w:tc>
          <w:tcPr>
            <w:tcW w:w="2889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ES1035B</w:t>
            </w:r>
          </w:p>
        </w:tc>
        <w:tc>
          <w:tcPr>
            <w:tcW w:w="303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LTJC-007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717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生化（霉菌）培养箱</w:t>
            </w:r>
          </w:p>
        </w:tc>
        <w:tc>
          <w:tcPr>
            <w:tcW w:w="2889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SPX-150</w:t>
            </w:r>
          </w:p>
        </w:tc>
        <w:tc>
          <w:tcPr>
            <w:tcW w:w="303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LTJC-013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eastAsia="zh-CN"/>
              </w:rPr>
              <w:t>、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LTJC-0</w:t>
            </w: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90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3717" w:type="dxa"/>
            <w:shd w:val="clear" w:color="auto" w:fill="auto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Calibri" w:hAnsi="Calibri" w:cs="Calibri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pH计</w:t>
            </w:r>
          </w:p>
        </w:tc>
        <w:tc>
          <w:tcPr>
            <w:tcW w:w="2889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PHSJ-3CT</w:t>
            </w:r>
          </w:p>
        </w:tc>
        <w:tc>
          <w:tcPr>
            <w:tcW w:w="3032" w:type="dxa"/>
            <w:shd w:val="clear" w:color="auto" w:fill="auto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  <w:t>LTJC-010</w:t>
            </w:r>
          </w:p>
        </w:tc>
      </w:tr>
    </w:tbl>
    <w:p>
      <w:pPr>
        <w:tabs>
          <w:tab w:val="left" w:pos="0"/>
        </w:tabs>
        <w:spacing w:line="360" w:lineRule="auto"/>
        <w:jc w:val="both"/>
        <w:rPr>
          <w:rFonts w:hint="default" w:ascii="Times New Roman" w:hAnsi="Times New Roman" w:eastAsiaTheme="minorEastAsia"/>
          <w:color w:val="000000"/>
          <w:kern w:val="2"/>
          <w:sz w:val="24"/>
          <w:szCs w:val="24"/>
        </w:rPr>
      </w:pPr>
      <w:r>
        <w:rPr>
          <w:rFonts w:hint="eastAsia" w:ascii="Times New Roman" w:hAnsi="Times New Roman" w:eastAsiaTheme="minorEastAsia"/>
          <w:color w:val="000000"/>
          <w:kern w:val="2"/>
          <w:sz w:val="24"/>
          <w:szCs w:val="24"/>
          <w:lang w:val="en-US" w:eastAsia="zh-CN"/>
        </w:rPr>
        <w:t>3.2</w:t>
      </w:r>
      <w:r>
        <w:rPr>
          <w:rFonts w:hint="default" w:ascii="Times New Roman" w:hAnsi="Times New Roman" w:eastAsiaTheme="minorEastAsia"/>
          <w:color w:val="000000"/>
          <w:kern w:val="2"/>
          <w:sz w:val="24"/>
          <w:szCs w:val="24"/>
        </w:rPr>
        <w:t xml:space="preserve"> </w:t>
      </w:r>
      <w:r>
        <w:rPr>
          <w:rFonts w:hint="eastAsia" w:ascii="Times New Roman" w:hAnsi="Times New Roman" w:eastAsiaTheme="minorEastAsia"/>
          <w:color w:val="000000"/>
          <w:kern w:val="2"/>
          <w:sz w:val="24"/>
          <w:szCs w:val="24"/>
        </w:rPr>
        <w:t>检测方法</w:t>
      </w:r>
    </w:p>
    <w:tbl>
      <w:tblPr>
        <w:tblStyle w:val="14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40"/>
        <w:gridCol w:w="3793"/>
        <w:gridCol w:w="2422"/>
        <w:gridCol w:w="148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项目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检测方法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方法来源</w:t>
            </w:r>
          </w:p>
        </w:tc>
        <w:tc>
          <w:tcPr>
            <w:tcW w:w="148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检出限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/>
                <w:sz w:val="21"/>
              </w:rPr>
              <w:t>pH</w:t>
            </w:r>
            <w:r>
              <w:rPr>
                <w:rFonts w:hint="eastAsia" w:ascii="Times New Roman"/>
                <w:sz w:val="21"/>
              </w:rPr>
              <w:t>值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Cs w:val="21"/>
                <w:lang w:eastAsia="zh-CN"/>
              </w:rPr>
              <w:t xml:space="preserve">水质 </w:t>
            </w:r>
            <w:r>
              <w:rPr>
                <w:rFonts w:hint="default" w:ascii="Times New Roman" w:hAnsi="Times New Roman" w:cs="Times New Roman" w:eastAsiaTheme="minorEastAsia"/>
                <w:szCs w:val="21"/>
                <w:lang w:eastAsia="zh-CN"/>
              </w:rPr>
              <w:t>pH</w:t>
            </w:r>
            <w:r>
              <w:rPr>
                <w:rFonts w:hint="default" w:ascii="Calibri" w:hAnsi="Calibri" w:cs="Calibri" w:eastAsiaTheme="minorEastAsia"/>
                <w:szCs w:val="21"/>
                <w:lang w:eastAsia="zh-CN"/>
              </w:rPr>
              <w:t>值的测定 电极法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1"/>
                <w:lang w:eastAsia="zh-CN"/>
              </w:rPr>
              <w:t>HJ 1147-2020</w:t>
            </w:r>
          </w:p>
        </w:tc>
        <w:tc>
          <w:tcPr>
            <w:tcW w:w="1483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无量纲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化学需氧量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水质 化学需氧量的测定 重铬酸盐法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HJ 828-2017</w:t>
            </w:r>
          </w:p>
        </w:tc>
        <w:tc>
          <w:tcPr>
            <w:tcW w:w="148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4mg/L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u w:val="none"/>
                <w:lang w:val="en-US" w:eastAsia="zh-CN" w:bidi="ar-SA"/>
              </w:rPr>
              <w:t>总氮</w:t>
            </w:r>
          </w:p>
        </w:tc>
        <w:tc>
          <w:tcPr>
            <w:tcW w:w="3793" w:type="dxa"/>
            <w:vAlign w:val="center"/>
          </w:tcPr>
          <w:p>
            <w:pPr>
              <w:spacing w:line="240" w:lineRule="auto"/>
              <w:jc w:val="center"/>
              <w:rPr>
                <w:rFonts w:hint="default" w:eastAsiaTheme="minorEastAsia"/>
                <w:szCs w:val="21"/>
                <w:lang w:eastAsia="zh-CN"/>
              </w:rPr>
            </w:pPr>
            <w:r>
              <w:rPr>
                <w:rFonts w:hint="default" w:eastAsiaTheme="minorEastAsia"/>
                <w:szCs w:val="21"/>
                <w:lang w:eastAsia="zh-CN"/>
              </w:rPr>
              <w:t>水质 总氮的测定</w:t>
            </w:r>
          </w:p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eastAsiaTheme="minorEastAsia"/>
                <w:szCs w:val="21"/>
                <w:lang w:eastAsia="zh-CN"/>
              </w:rPr>
              <w:t xml:space="preserve"> 碱性过硫酸钾消解紫外分光光度法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HJ 636-2012</w:t>
            </w:r>
          </w:p>
        </w:tc>
        <w:tc>
          <w:tcPr>
            <w:tcW w:w="148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0.05mg/L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氨氮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水质 氨氮的测定 纳氏试剂分光光度法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HJ 535-2009</w:t>
            </w:r>
          </w:p>
        </w:tc>
        <w:tc>
          <w:tcPr>
            <w:tcW w:w="148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0.025mg/L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  <w:t>总磷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宋体" w:hAnsi="宋体" w:eastAsia="宋体" w:cs="宋体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 xml:space="preserve">水质 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eastAsia="zh-CN"/>
              </w:rPr>
              <w:t>总磷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的测定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 xml:space="preserve"> 钼酸铵分光光度法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GB 11893-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eastAsia="zh-CN"/>
              </w:rPr>
              <w:t>89</w:t>
            </w:r>
          </w:p>
        </w:tc>
        <w:tc>
          <w:tcPr>
            <w:tcW w:w="148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0.01mg/L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Calibri" w:hAnsi="Calibri" w:cs="Calibri" w:eastAsiaTheme="minorEastAsia"/>
                <w:i w:val="0"/>
                <w:iCs w:val="0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highlight w:val="none"/>
                <w:lang w:eastAsia="zh-CN"/>
              </w:rPr>
              <w:t>氟化物</w:t>
            </w:r>
          </w:p>
        </w:tc>
        <w:tc>
          <w:tcPr>
            <w:tcW w:w="379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Calibri" w:hAnsi="Calibri" w:cs="Calibri" w:eastAsiaTheme="minorEastAsia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Style w:val="17"/>
                <w:rFonts w:hint="eastAsia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</w:rPr>
              <w:t>水质氟化物的测定 离子选择电极法</w:t>
            </w:r>
          </w:p>
        </w:tc>
        <w:tc>
          <w:tcPr>
            <w:tcW w:w="242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i w:val="0"/>
                <w:iCs w:val="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Style w:val="17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</w:rPr>
              <w:t>GB</w:t>
            </w:r>
            <w:r>
              <w:rPr>
                <w:rStyle w:val="17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lang w:val="en-US" w:eastAsia="zh-CN"/>
              </w:rPr>
              <w:t>/</w:t>
            </w:r>
            <w:r>
              <w:rPr>
                <w:rStyle w:val="17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</w:rPr>
              <w:t>T</w:t>
            </w:r>
            <w:r>
              <w:rPr>
                <w:rStyle w:val="17"/>
                <w:rFonts w:hint="default" w:ascii="Times New Roman" w:hAnsi="Times New Roman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Style w:val="17"/>
                <w:rFonts w:hint="default" w:ascii="Times New Roman" w:hAnsi="Times New Roman" w:eastAsia="Segoe UI" w:cs="Times New Roman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1"/>
                <w:szCs w:val="21"/>
                <w:highlight w:val="none"/>
              </w:rPr>
              <w:t xml:space="preserve">7484-1987 </w:t>
            </w:r>
          </w:p>
        </w:tc>
        <w:tc>
          <w:tcPr>
            <w:tcW w:w="148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i w:val="0"/>
                <w:iCs w:val="0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kern w:val="2"/>
                <w:sz w:val="21"/>
                <w:highlight w:val="none"/>
                <w:lang w:val="en-US" w:eastAsia="zh-CN" w:bidi="ar-SA"/>
              </w:rPr>
              <w:t>0.05mg/L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cs="Calibri" w:eastAsiaTheme="minorEastAsia"/>
                <w:kern w:val="2"/>
                <w:sz w:val="21"/>
                <w:szCs w:val="21"/>
                <w:u w:val="none"/>
                <w:lang w:val="en-US" w:eastAsia="zh-CN" w:bidi="ar-SA"/>
              </w:rPr>
              <w:t>石</w:t>
            </w:r>
            <w:r>
              <w:rPr>
                <w:rFonts w:hint="default" w:ascii="Calibri" w:hAnsi="Calibri" w:cs="Calibri" w:eastAsiaTheme="minorEastAsia"/>
                <w:kern w:val="2"/>
                <w:sz w:val="21"/>
                <w:szCs w:val="21"/>
                <w:u w:val="none"/>
                <w:lang w:val="en-US" w:eastAsia="zh-CN" w:bidi="ar-SA"/>
              </w:rPr>
              <w:t>油类</w:t>
            </w:r>
          </w:p>
        </w:tc>
        <w:tc>
          <w:tcPr>
            <w:tcW w:w="379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Calibri" w:hAnsi="Calibri" w:cs="Calibri" w:eastAsiaTheme="minorEastAsia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szCs w:val="21"/>
                <w:lang w:eastAsia="zh-CN"/>
              </w:rPr>
              <w:t xml:space="preserve">水质 石油类和动植物油类的测定 </w:t>
            </w:r>
          </w:p>
          <w:p>
            <w:pPr>
              <w:widowControl w:val="0"/>
              <w:spacing w:line="240" w:lineRule="auto"/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Cs w:val="21"/>
                <w:lang w:eastAsia="zh-CN"/>
              </w:rPr>
              <w:t>红外分光光度法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HJ 637-2018</w:t>
            </w:r>
          </w:p>
        </w:tc>
        <w:tc>
          <w:tcPr>
            <w:tcW w:w="148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0.06 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总铬</w:t>
            </w:r>
          </w:p>
        </w:tc>
        <w:tc>
          <w:tcPr>
            <w:tcW w:w="379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水质 总铬的测定 第一篇 高锰酸钾氧化-二苯碳酰二肼分光光度法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GB 7466-87</w:t>
            </w:r>
          </w:p>
        </w:tc>
        <w:tc>
          <w:tcPr>
            <w:tcW w:w="148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0.004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  <w:t>色度</w:t>
            </w:r>
          </w:p>
        </w:tc>
        <w:tc>
          <w:tcPr>
            <w:tcW w:w="3793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2" w:afterAutospacing="0" w:line="1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生活饮用水标准检验方法 感官性状和物理指标（1.1 色度 铂-钴标准比色法）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GB/T 5750.4-2006</w:t>
            </w:r>
          </w:p>
        </w:tc>
        <w:tc>
          <w:tcPr>
            <w:tcW w:w="148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5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项目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检测方法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方法来源</w:t>
            </w:r>
          </w:p>
        </w:tc>
        <w:tc>
          <w:tcPr>
            <w:tcW w:w="148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检出限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嗅和味</w:t>
            </w:r>
          </w:p>
        </w:tc>
        <w:tc>
          <w:tcPr>
            <w:tcW w:w="3793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2" w:afterAutospacing="0" w:line="18" w:lineRule="atLeast"/>
              <w:ind w:left="0" w:leftChars="0" w:right="0" w:rightChars="0" w:firstLine="0" w:firstLineChars="0"/>
              <w:jc w:val="center"/>
              <w:rPr>
                <w:rFonts w:hint="default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生活饮用水标准检验方法 感官性状和物理指标(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3.1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臭和味 嗅气和尝味法）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GB/T</w:t>
            </w:r>
            <w:r>
              <w:rPr>
                <w:rFonts w:hint="eastAsia" w:ascii="Times New Roman" w:hAnsi="Times New Roman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5750.4-2006</w:t>
            </w:r>
          </w:p>
        </w:tc>
        <w:tc>
          <w:tcPr>
            <w:tcW w:w="148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浑浊度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生活饮用水标准检验方法 感官性状和物理指标（2.1 浑浊度 散射法）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GB/T 5750.4-2006</w:t>
            </w:r>
          </w:p>
        </w:tc>
        <w:tc>
          <w:tcPr>
            <w:tcW w:w="1483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0.5 NTU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肉眼可见物</w:t>
            </w:r>
          </w:p>
        </w:tc>
        <w:tc>
          <w:tcPr>
            <w:tcW w:w="3793" w:type="dxa"/>
            <w:vAlign w:val="center"/>
          </w:tcPr>
          <w:p>
            <w:pPr>
              <w:pStyle w:val="8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 w:fill="FFFFFF"/>
              <w:spacing w:before="0" w:beforeAutospacing="0" w:after="12" w:afterAutospacing="0" w:line="18" w:lineRule="atLeast"/>
              <w:ind w:left="0" w:leftChars="0" w:right="0" w:rightChars="0" w:firstLine="0" w:firstLineChars="0"/>
              <w:jc w:val="center"/>
              <w:rPr>
                <w:rFonts w:hint="default" w:ascii="Times New Roman" w:hAnsi="Times New Roman" w:cs="Times New Roman" w:eastAsiaTheme="minorEastAsia"/>
                <w:b/>
                <w:bCs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生活饮用水标准检验方法 感官性状和物理指标(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4.1</w:t>
            </w: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 xml:space="preserve"> 肉眼可见物 直接观察法）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GB/T 5750.4-2006</w:t>
            </w:r>
          </w:p>
        </w:tc>
        <w:tc>
          <w:tcPr>
            <w:tcW w:w="148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总硬度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水质 钙和镁总量的测定 EDTA滴定法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GB/T 7477-1987</w:t>
            </w:r>
          </w:p>
        </w:tc>
        <w:tc>
          <w:tcPr>
            <w:tcW w:w="148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5</w:t>
            </w: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highlight w:val="no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溶解性总固体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生活饮用水标准检验方法 感官性状和物理指标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GB/T 5750.4-2006</w:t>
            </w:r>
          </w:p>
        </w:tc>
        <w:tc>
          <w:tcPr>
            <w:tcW w:w="148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铁</w:t>
            </w:r>
          </w:p>
        </w:tc>
        <w:tc>
          <w:tcPr>
            <w:tcW w:w="379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水质 65种元素的测定 电感耦合等离子体质谱法</w:t>
            </w:r>
          </w:p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422" w:type="dxa"/>
            <w:vMerge w:val="restart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HJ 700-2014</w:t>
            </w:r>
          </w:p>
        </w:tc>
        <w:tc>
          <w:tcPr>
            <w:tcW w:w="148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0.82μg/L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锰</w:t>
            </w:r>
          </w:p>
        </w:tc>
        <w:tc>
          <w:tcPr>
            <w:tcW w:w="3793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42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60" w:lineRule="exact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0.12μg/L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铅</w:t>
            </w:r>
          </w:p>
        </w:tc>
        <w:tc>
          <w:tcPr>
            <w:tcW w:w="3793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42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60" w:lineRule="exact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</w:rPr>
              <w:t>镉</w:t>
            </w:r>
          </w:p>
        </w:tc>
        <w:tc>
          <w:tcPr>
            <w:tcW w:w="3793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42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60" w:lineRule="exact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砷</w:t>
            </w:r>
          </w:p>
        </w:tc>
        <w:tc>
          <w:tcPr>
            <w:tcW w:w="3793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42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>
            <w:pPr>
              <w:widowControl/>
              <w:spacing w:line="30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0.12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铜</w:t>
            </w:r>
          </w:p>
        </w:tc>
        <w:tc>
          <w:tcPr>
            <w:tcW w:w="3793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42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60" w:lineRule="exact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8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/>
              </w:rPr>
              <w:t>锌</w:t>
            </w:r>
          </w:p>
        </w:tc>
        <w:tc>
          <w:tcPr>
            <w:tcW w:w="3793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42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60" w:lineRule="exact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67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铝</w:t>
            </w:r>
          </w:p>
        </w:tc>
        <w:tc>
          <w:tcPr>
            <w:tcW w:w="3793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42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60" w:lineRule="exact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1.15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硒</w:t>
            </w:r>
          </w:p>
        </w:tc>
        <w:tc>
          <w:tcPr>
            <w:tcW w:w="3793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42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60" w:lineRule="exact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0.41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总镍</w:t>
            </w:r>
          </w:p>
        </w:tc>
        <w:tc>
          <w:tcPr>
            <w:tcW w:w="3793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42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60" w:lineRule="exact"/>
              <w:jc w:val="center"/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0.06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highlight w:val="none"/>
                <w:lang w:val="en-US" w:eastAsia="zh-CN"/>
              </w:rPr>
              <w:t>挥发酚</w:t>
            </w:r>
          </w:p>
        </w:tc>
        <w:tc>
          <w:tcPr>
            <w:tcW w:w="379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242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阴离子表面活性剂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水质 阴离子表面活性剂的测定 亚甲蓝分光光度法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GB 7494-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19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87</w:t>
            </w:r>
          </w:p>
        </w:tc>
        <w:tc>
          <w:tcPr>
            <w:tcW w:w="1483" w:type="dxa"/>
            <w:vAlign w:val="center"/>
          </w:tcPr>
          <w:p>
            <w:pPr>
              <w:widowControl w:val="0"/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0.05mg/L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硫化物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生活饮用水标准检验方法 无机非金属指标（6.1 硫化物  N,N－二乙基对苯二胺分光光度法）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GB/T 5750.5-2006</w:t>
            </w:r>
          </w:p>
        </w:tc>
        <w:tc>
          <w:tcPr>
            <w:tcW w:w="148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0.003</w:t>
            </w: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钠</w:t>
            </w:r>
          </w:p>
        </w:tc>
        <w:tc>
          <w:tcPr>
            <w:tcW w:w="379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水质 钾和钠的测定 火焰原子吸收分光光度法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GB/T 11904-1989</w:t>
            </w: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0.01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Calibri" w:hAnsi="Calibri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细菌总数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水质 细菌总数的测定 平皿计数法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HJ 1000-2018</w:t>
            </w:r>
          </w:p>
        </w:tc>
        <w:tc>
          <w:tcPr>
            <w:tcW w:w="148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sz w:val="21"/>
                <w:szCs w:val="21"/>
                <w:highlight w:val="none"/>
              </w:rPr>
              <w:t>总大肠菌群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</w:rPr>
              <w:t>生活饮用水标准检验方法 微生物指标</w:t>
            </w:r>
          </w:p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</w:rPr>
              <w:t>（2.1 总大肠菌群 多管发酵法）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GB/T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</w:rPr>
              <w:t>5750.12-2006</w:t>
            </w:r>
          </w:p>
        </w:tc>
        <w:tc>
          <w:tcPr>
            <w:tcW w:w="148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2MPN/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100m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项目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检测方法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方法来源</w:t>
            </w:r>
          </w:p>
        </w:tc>
        <w:tc>
          <w:tcPr>
            <w:tcW w:w="148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检出限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硝酸盐氮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水质 硝酸盐氮的测定 紫外分光光度法（试行）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</w:rPr>
              <w:t>HJ/T 346-2007</w:t>
            </w:r>
          </w:p>
        </w:tc>
        <w:tc>
          <w:tcPr>
            <w:tcW w:w="148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0.08mg/L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亚硝酸盐氮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生活饮用水标准检验方法 无机非金属指标（10.1 亚硝酸盐氮 重氮偶合分光光度法）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auto"/>
                <w:sz w:val="21"/>
                <w:szCs w:val="21"/>
                <w:lang w:val="en-US" w:eastAsia="zh-CN"/>
              </w:rPr>
              <w:t>GB/T 5750.5-2006</w:t>
            </w:r>
          </w:p>
        </w:tc>
        <w:tc>
          <w:tcPr>
            <w:tcW w:w="148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0.001mg/L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氰化物</w:t>
            </w:r>
          </w:p>
        </w:tc>
        <w:tc>
          <w:tcPr>
            <w:tcW w:w="37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生活饮用水标准检验法 无机非金属指标 4.2 氰化物 异烟酸-巴比妥酸分光光度法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282"/>
                <w:tab w:val="left" w:pos="432"/>
              </w:tabs>
              <w:spacing w:before="100" w:beforeAutospacing="1" w:after="100" w:afterAutospacing="1" w:line="240" w:lineRule="auto"/>
              <w:ind w:right="-21" w:rightChars="-10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  <w:t>GB/T 5750.5-2006</w:t>
            </w:r>
          </w:p>
        </w:tc>
        <w:tc>
          <w:tcPr>
            <w:tcW w:w="148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0.00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mg/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eastAsia="zh-CN"/>
              </w:rPr>
              <w:t>氟化物</w:t>
            </w:r>
          </w:p>
        </w:tc>
        <w:tc>
          <w:tcPr>
            <w:tcW w:w="3793" w:type="dxa"/>
            <w:vAlign w:val="center"/>
          </w:tcPr>
          <w:p>
            <w:pPr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Style w:val="17"/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>水质氟化物的测定 离子选择电极法</w:t>
            </w:r>
          </w:p>
        </w:tc>
        <w:tc>
          <w:tcPr>
            <w:tcW w:w="242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Style w:val="17"/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>GB</w:t>
            </w:r>
            <w:r>
              <w:rPr>
                <w:rStyle w:val="17"/>
                <w:rFonts w:hint="default" w:ascii="Times New Roman" w:hAnsi="Times New Roman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>/</w:t>
            </w:r>
            <w:r>
              <w:rPr>
                <w:rStyle w:val="17"/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>T</w:t>
            </w:r>
            <w:r>
              <w:rPr>
                <w:rStyle w:val="17"/>
                <w:rFonts w:hint="default" w:ascii="Times New Roman" w:hAnsi="Times New Roman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Style w:val="17"/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sz w:val="21"/>
                <w:szCs w:val="21"/>
              </w:rPr>
              <w:t xml:space="preserve">7484-1987 </w:t>
            </w:r>
          </w:p>
        </w:tc>
        <w:tc>
          <w:tcPr>
            <w:tcW w:w="148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eastAsia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yellow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szCs w:val="21"/>
                <w:lang w:val="en-US" w:eastAsia="zh-CN" w:bidi="ar-SA"/>
              </w:rPr>
              <w:t>0.05mg/L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highlight w:val="none"/>
                <w:lang w:val="en-US" w:eastAsia="zh-CN"/>
              </w:rPr>
              <w:t>碘化物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 xml:space="preserve">生活饮用水标准检验方法 无机非金属指标 （11.1）碘化物 硫酸铈催化分光光度法 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 xml:space="preserve"> GB/T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5750.5-2006</w:t>
            </w:r>
          </w:p>
        </w:tc>
        <w:tc>
          <w:tcPr>
            <w:tcW w:w="148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0.001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val="en-US" w:eastAsia="zh-CN"/>
              </w:rPr>
              <w:t>汞</w:t>
            </w:r>
          </w:p>
        </w:tc>
        <w:tc>
          <w:tcPr>
            <w:tcW w:w="37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right="0" w:rightChars="0"/>
              <w:jc w:val="center"/>
              <w:textAlignment w:val="auto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水质 汞、砷、硒、铋和锑的测定 原子荧光法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 xml:space="preserve">HJ </w:t>
            </w:r>
            <w:r>
              <w:rPr>
                <w:rFonts w:hint="eastAsia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694</w:t>
            </w: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  <w:lang w:val="en-US" w:eastAsia="zh-CN"/>
              </w:rPr>
              <w:t>-2014</w:t>
            </w: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0.04μg/L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三氯甲烷</w:t>
            </w:r>
          </w:p>
        </w:tc>
        <w:tc>
          <w:tcPr>
            <w:tcW w:w="3793" w:type="dxa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水质 挥发性有机物的测定 吹扫捕集/气相色谱-质谱法</w:t>
            </w:r>
          </w:p>
        </w:tc>
        <w:tc>
          <w:tcPr>
            <w:tcW w:w="2422" w:type="dxa"/>
            <w:vMerge w:val="restart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1"/>
                <w:szCs w:val="21"/>
                <w:highlight w:val="none"/>
                <w:lang w:val="en-US" w:eastAsia="zh-CN" w:bidi="ar"/>
              </w:rPr>
              <w:t>HJ 639-2012</w:t>
            </w: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四氯化碳</w:t>
            </w:r>
          </w:p>
        </w:tc>
        <w:tc>
          <w:tcPr>
            <w:tcW w:w="3793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242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1.5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苯</w:t>
            </w:r>
          </w:p>
        </w:tc>
        <w:tc>
          <w:tcPr>
            <w:tcW w:w="3793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2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甲苯</w:t>
            </w:r>
          </w:p>
        </w:tc>
        <w:tc>
          <w:tcPr>
            <w:tcW w:w="3793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2422" w:type="dxa"/>
            <w:vMerge w:val="continue"/>
            <w:vAlign w:val="center"/>
          </w:tcPr>
          <w:p>
            <w:pPr>
              <w:tabs>
                <w:tab w:val="left" w:pos="0"/>
              </w:tabs>
              <w:spacing w:line="288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483" w:type="dxa"/>
            <w:vAlign w:val="center"/>
          </w:tcPr>
          <w:p>
            <w:pPr>
              <w:pStyle w:val="13"/>
              <w:spacing w:line="260" w:lineRule="exact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  <w:highlight w:val="none"/>
                <w:lang w:val="en-US" w:eastAsia="zh-CN"/>
              </w:rPr>
              <w:t>1.4</w:t>
            </w: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六价铬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beforeLines="0" w:afterLines="0" w:line="240" w:lineRule="auto"/>
              <w:jc w:val="center"/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1"/>
                <w:szCs w:val="21"/>
                <w:highlight w:val="none"/>
                <w:lang w:val="en-US" w:eastAsia="zh-CN"/>
              </w:rPr>
              <w:t>生活饮用水标准检验方法 金属指标（10.1 铬（六价） 二苯碳酰二肼分光光度法）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lang w:val="en-US" w:eastAsia="zh-CN"/>
              </w:rPr>
              <w:t>GB/T 5750.6-2006</w:t>
            </w:r>
          </w:p>
        </w:tc>
        <w:tc>
          <w:tcPr>
            <w:tcW w:w="1483" w:type="dxa"/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0.004mg/L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1"/>
                <w:szCs w:val="21"/>
                <w:lang w:val="en-US" w:eastAsia="zh-CN"/>
              </w:rPr>
              <w:t>耗氧量</w:t>
            </w:r>
          </w:p>
        </w:tc>
        <w:tc>
          <w:tcPr>
            <w:tcW w:w="379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生活饮用水标准检验方法 有机物综合指标（1.1 耗氧量 酸性高锰酸钾滴定法）</w:t>
            </w:r>
          </w:p>
        </w:tc>
        <w:tc>
          <w:tcPr>
            <w:tcW w:w="2422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Segoe UI" w:cs="Times New Roman"/>
                <w:b w:val="0"/>
                <w:bCs w:val="0"/>
                <w:i w:val="0"/>
                <w:caps w:val="0"/>
                <w:color w:val="000000"/>
                <w:spacing w:val="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GB/T 5750.7-2006</w:t>
            </w:r>
          </w:p>
        </w:tc>
        <w:tc>
          <w:tcPr>
            <w:tcW w:w="148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0.05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szCs w:val="21"/>
                <w:lang w:val="en-US" w:eastAsia="zh-CN"/>
              </w:rPr>
              <w:t>硫酸盐</w:t>
            </w:r>
          </w:p>
        </w:tc>
        <w:tc>
          <w:tcPr>
            <w:tcW w:w="379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水质 硫酸盐的测定 铬酸钡分光光度法</w:t>
            </w:r>
          </w:p>
        </w:tc>
        <w:tc>
          <w:tcPr>
            <w:tcW w:w="2422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HJ/T 342-2007</w:t>
            </w:r>
          </w:p>
        </w:tc>
        <w:tc>
          <w:tcPr>
            <w:tcW w:w="148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highlight w:val="none"/>
                <w:lang w:val="en-US" w:eastAsia="zh-CN" w:bidi="ar-SA"/>
              </w:rPr>
              <w:t>8mg/L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氰化物</w:t>
            </w:r>
          </w:p>
        </w:tc>
        <w:tc>
          <w:tcPr>
            <w:tcW w:w="3793" w:type="dxa"/>
            <w:vAlign w:val="center"/>
          </w:tcPr>
          <w:p>
            <w:pPr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生活饮用水标准检验法 无机非金属指标 4.2 氰化物 异烟酸-巴比妥酸分光光度法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282"/>
                <w:tab w:val="left" w:pos="432"/>
              </w:tabs>
              <w:spacing w:before="100" w:beforeAutospacing="1" w:after="100" w:afterAutospacing="1" w:line="240" w:lineRule="auto"/>
              <w:ind w:right="-21" w:rightChars="-10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  <w:t>GB/T 5750.5-2006</w:t>
            </w:r>
          </w:p>
        </w:tc>
        <w:tc>
          <w:tcPr>
            <w:tcW w:w="1483" w:type="dxa"/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0.00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mg/</w:t>
            </w:r>
            <w:r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砷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汞、砷、硒、铋、锑的测定  微波消解/原子荧光法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680-2013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0.01mg/kg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镉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12种金属元素的测定 王水提取-电感耦合等离子体质谱法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803-2016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0.09mg/kg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铜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铜、锌、铅、镍、铬的测定 火焰原子吸收分光光度法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491-2019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铅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铜、锌、铅、镍、铬的测定 火焰原子吸收分光光度法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491-2019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10mg/kg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项目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检测方法</w:t>
            </w:r>
          </w:p>
        </w:tc>
        <w:tc>
          <w:tcPr>
            <w:tcW w:w="2422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方法来源</w:t>
            </w:r>
          </w:p>
        </w:tc>
        <w:tc>
          <w:tcPr>
            <w:tcW w:w="148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检出限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镍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铜、锌、铅、镍、铬的测定 火焰原子吸收分光光度法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491-2019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</w:rPr>
              <w:t>3mg/kg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硒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汞、砷、硒、铋、锑的测定  微波消解/原子荧光法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HJ 680-2013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0.01mg/kg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锌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铜、锌、铅、镍、铬的测定 火焰原子吸收分光光度法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HJ 491-2019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1mg/kg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1"/>
                <w:szCs w:val="21"/>
                <w:highlight w:val="none"/>
              </w:rPr>
              <w:t>铬（六价）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六价铬的测定 碱溶液提取-火焰原子吸收分光光度法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1082-2019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0.5mg/kg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汞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土壤和沉积物 汞、砷、硒、铋、锑的测定 微波消解/原子荧光法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HJ 680-2013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0.002mg/kg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硝基苯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半挥发性有机物的测定 气相色谱-质谱法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834-2017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0.09mg/kg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苯胺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半挥发性有机物的测定 气相色谱-质谱法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834-2017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0.02mg/kg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2-氯酚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半挥发性有机物的测定 气相色谱-质谱法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834-2017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0.06mg/kg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苯并[a]蒽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半挥发性有机物的测定 气相色谱-质谱法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834-2017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0.1mg/kg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苯并[a]芘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半挥发性有机物的测定 气相色谱-质谱法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834-2017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0.1mg/kg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苯并[b]荧蒽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土壤和沉积物 半挥发性有机物的测定 气相色谱-质谱法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HJ 834-2017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0.2mg/kg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苯并[k]荧蒽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半挥发性有机物的测定 气相色谱-质谱法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834-2017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0.1mg/kg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䓛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半挥发性有机物的测定 气相色谱-质谱法</w:t>
            </w:r>
          </w:p>
        </w:tc>
        <w:tc>
          <w:tcPr>
            <w:tcW w:w="2422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834-2017</w:t>
            </w:r>
          </w:p>
        </w:tc>
        <w:tc>
          <w:tcPr>
            <w:tcW w:w="148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0.1mg/kg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二苯并[a,h]蒽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半挥发性有机物的测定 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834-2017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0.1mg/kg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茚并[1,2,3-cd]芘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半挥发性有机物的测定 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834-2017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0.1mg/kg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萘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土壤和沉积物 半挥发性有机物的测定 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834-2017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0.09mg/kg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四氯化碳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2.1μg/kg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氯仿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1.5μg/kg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氯甲烷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736-2015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1,1-二氯乙烷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1.6μg/kg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项目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检测方法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方法来源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检出限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1,1-二氯乙烷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1.6μg/kg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1,2-二氯乙烷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1.3μg/kg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1,1-二氯乙烯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0.8μg/kg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顺-1,2-二氯乙烯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0.9μg/kg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反-1,2-二氯乙烯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0.9μg/kg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二氯甲烷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2.6μg/kg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1,2-二氯丙烷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1.9μg/kg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1,1,1,2-四氯乙烷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1,1,2,2-四氯乙烷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四氯乙烯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0.8μg/kg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1,1,1-三氯乙烷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1.1μg/kg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1,1,2-三氯乙烷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1.4μg/kg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三氯乙烯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0.9μg/kg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1,2,3-三氯丙烷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氯乙烯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1.5μg/kg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1.6μg/kg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氯苯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1.1μg/kg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1,2-二氯苯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1.0μg/kg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1,4-二氯苯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1.2μg/kg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乙苯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1.2μg/kg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项目</w:t>
            </w:r>
          </w:p>
        </w:tc>
        <w:tc>
          <w:tcPr>
            <w:tcW w:w="3793" w:type="dxa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检测方法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方法来源</w:t>
            </w:r>
          </w:p>
        </w:tc>
        <w:tc>
          <w:tcPr>
            <w:tcW w:w="0" w:type="auto"/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sz w:val="21"/>
                <w:szCs w:val="21"/>
              </w:rPr>
              <w:t>检出限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甲苯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2.0μg/kg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间,对-二甲苯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3.6μg/kg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邻-二甲苯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1.3μg/kg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  <w:jc w:val="center"/>
        </w:trPr>
        <w:tc>
          <w:tcPr>
            <w:tcW w:w="1940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highlight w:val="none"/>
              </w:rPr>
              <w:t>苯乙烯</w:t>
            </w:r>
          </w:p>
        </w:tc>
        <w:tc>
          <w:tcPr>
            <w:tcW w:w="379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土壤和沉积物 挥发性有机物的测定 顶空/气相色谱-质谱法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HJ 642-2013</w:t>
            </w:r>
          </w:p>
        </w:tc>
        <w:tc>
          <w:tcPr>
            <w:tcW w:w="0" w:type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1.6μg/kg</w:t>
            </w:r>
          </w:p>
        </w:tc>
      </w:tr>
    </w:tbl>
    <w:p>
      <w:pPr>
        <w:widowControl/>
        <w:numPr>
          <w:ilvl w:val="0"/>
          <w:numId w:val="0"/>
        </w:numPr>
        <w:spacing w:line="360" w:lineRule="auto"/>
        <w:jc w:val="left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hint="eastAsia" w:ascii="Times New Roman"/>
          <w:b/>
          <w:color w:val="000000"/>
          <w:sz w:val="28"/>
          <w:szCs w:val="28"/>
          <w:lang w:eastAsia="zh-CN"/>
        </w:rPr>
        <w:t>四、</w:t>
      </w:r>
      <w:r>
        <w:rPr>
          <w:rFonts w:ascii="Times New Roman" w:hAnsi="Times New Roman"/>
          <w:b/>
          <w:color w:val="000000"/>
          <w:sz w:val="28"/>
          <w:szCs w:val="28"/>
        </w:rPr>
        <w:t>检测的质量保证和质量控制</w:t>
      </w:r>
    </w:p>
    <w:p>
      <w:pPr>
        <w:tabs>
          <w:tab w:val="left" w:pos="0"/>
        </w:tabs>
        <w:spacing w:line="360" w:lineRule="auto"/>
        <w:ind w:firstLine="480" w:firstLineChars="20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 w:ascii="Times New Roman" w:hAnsi="Times New Roman" w:eastAsiaTheme="minorEastAsia"/>
          <w:color w:val="000000"/>
          <w:kern w:val="2"/>
          <w:sz w:val="24"/>
          <w:szCs w:val="24"/>
        </w:rPr>
        <w:t>调查检测、样品的采集、分析测定、数据处理等均按国家环境检测的有关标准、规定</w:t>
      </w:r>
      <w:r>
        <w:rPr>
          <w:rFonts w:ascii="Times New Roman" w:hAnsi="Times New Roman"/>
          <w:color w:val="000000"/>
          <w:sz w:val="24"/>
          <w:szCs w:val="24"/>
        </w:rPr>
        <w:t>、</w:t>
      </w:r>
      <w:r>
        <w:rPr>
          <w:rFonts w:hint="eastAsia" w:ascii="Times New Roman" w:hAnsi="Times New Roman" w:eastAsiaTheme="minorEastAsia"/>
          <w:color w:val="000000"/>
          <w:kern w:val="2"/>
          <w:sz w:val="24"/>
          <w:szCs w:val="24"/>
        </w:rPr>
        <w:t>规范执行；检测仪器使用时限在检定日期之内；检测人员持证上岗；检测数据实行三级审核。</w:t>
      </w:r>
      <w:r>
        <w:rPr>
          <w:rFonts w:hint="eastAsia" w:ascii="Times New Roman" w:cs="Times New Roman"/>
          <w:b/>
          <w:color w:val="000000"/>
          <w:sz w:val="28"/>
          <w:szCs w:val="28"/>
          <w:lang w:val="en-US" w:eastAsia="zh-CN"/>
        </w:rPr>
        <w:t>五、</w:t>
      </w:r>
      <w:r>
        <w:rPr>
          <w:rFonts w:hint="eastAsia" w:ascii="Times New Roman" w:cs="Times New Roman"/>
          <w:b/>
          <w:color w:val="000000"/>
          <w:sz w:val="28"/>
          <w:szCs w:val="28"/>
          <w:lang w:eastAsia="zh-CN"/>
        </w:rPr>
        <w:t>样品</w:t>
      </w:r>
      <w:r>
        <w:rPr>
          <w:rFonts w:hint="eastAsia" w:ascii="Times New Roman"/>
          <w:b/>
          <w:color w:val="000000"/>
          <w:sz w:val="28"/>
          <w:szCs w:val="28"/>
          <w:lang w:eastAsia="zh-CN"/>
        </w:rPr>
        <w:t>信息及</w:t>
      </w:r>
      <w:r>
        <w:rPr>
          <w:rFonts w:ascii="Times New Roman" w:hAnsi="Times New Roman"/>
          <w:b/>
          <w:color w:val="000000"/>
          <w:sz w:val="28"/>
          <w:szCs w:val="28"/>
        </w:rPr>
        <w:t>检测结果</w:t>
      </w:r>
    </w:p>
    <w:p>
      <w:pPr>
        <w:widowControl/>
        <w:spacing w:line="240" w:lineRule="auto"/>
        <w:jc w:val="left"/>
        <w:rPr>
          <w:rFonts w:hint="default" w:ascii="Times New Roman" w:hAnsi="Times New Roman" w:cs="Times New Roman" w:eastAsiaTheme="majorEastAsia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  <w:t>5.1</w:t>
      </w:r>
      <w:r>
        <w:rPr>
          <w:rFonts w:hint="default" w:ascii="Times New Roman" w:hAnsi="Times New Roman" w:cs="Times New Roman" w:eastAsiaTheme="minorEastAsia"/>
          <w:bCs/>
          <w:color w:val="000000"/>
          <w:sz w:val="24"/>
          <w:szCs w:val="24"/>
          <w:lang w:val="en-US" w:eastAsia="zh-CN"/>
        </w:rPr>
        <w:t xml:space="preserve"> 样品信息</w:t>
      </w:r>
    </w:p>
    <w:tbl>
      <w:tblPr>
        <w:tblStyle w:val="15"/>
        <w:tblpPr w:leftFromText="180" w:rightFromText="180" w:vertAnchor="text" w:tblpXSpec="center" w:tblpY="1"/>
        <w:tblOverlap w:val="never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3"/>
        <w:gridCol w:w="482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1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样品数量</w:t>
            </w:r>
          </w:p>
        </w:tc>
        <w:tc>
          <w:tcPr>
            <w:tcW w:w="4825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  <w:t>样品状态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813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吸收瓶×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26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棕色玻璃瓶×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30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无菌袋×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聚乙烯瓶×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15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、VOA瓶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3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棕色螺口玻璃瓶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、棕色磨口玻璃瓶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、聚乙烯袋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×</w:t>
            </w:r>
            <w:r>
              <w:rPr>
                <w:rFonts w:hint="eastAsia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6</w:t>
            </w: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个</w:t>
            </w:r>
          </w:p>
        </w:tc>
        <w:tc>
          <w:tcPr>
            <w:tcW w:w="4825" w:type="dxa"/>
            <w:tcBorders>
              <w:tl2br w:val="nil"/>
              <w:tr2bl w:val="nil"/>
            </w:tcBorders>
            <w:vAlign w:val="center"/>
          </w:tcPr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hint="default" w:ascii="Times New Roman" w:hAnsi="Times New Roman" w:cs="Times New Roman" w:eastAsiaTheme="minorEastAsia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液态、保存完好</w:t>
            </w:r>
          </w:p>
        </w:tc>
      </w:tr>
    </w:tbl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  <w:t>5.2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山东嘉乐电雕制版有限公司废水检测结果表</w:t>
      </w:r>
    </w:p>
    <w:tbl>
      <w:tblPr>
        <w:tblStyle w:val="14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4"/>
        <w:gridCol w:w="1670"/>
        <w:gridCol w:w="1546"/>
        <w:gridCol w:w="1043"/>
        <w:gridCol w:w="1043"/>
        <w:gridCol w:w="1043"/>
        <w:gridCol w:w="1043"/>
        <w:gridCol w:w="104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检测时间</w:t>
            </w:r>
          </w:p>
        </w:tc>
        <w:tc>
          <w:tcPr>
            <w:tcW w:w="167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</w:rPr>
              <w:t>检测点位</w:t>
            </w:r>
          </w:p>
        </w:tc>
        <w:tc>
          <w:tcPr>
            <w:tcW w:w="154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</w:rPr>
              <w:t>检测项目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  <w:t>第一次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  <w:t>第二次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  <w:t>第三次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均值</w:t>
            </w:r>
          </w:p>
          <w:p>
            <w:pPr>
              <w:tabs>
                <w:tab w:val="left" w:pos="0"/>
              </w:tabs>
              <w:jc w:val="both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（范围）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2023-08-16</w:t>
            </w:r>
          </w:p>
        </w:tc>
        <w:tc>
          <w:tcPr>
            <w:tcW w:w="16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废水总排口</w:t>
            </w:r>
          </w:p>
        </w:tc>
        <w:tc>
          <w:tcPr>
            <w:tcW w:w="154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/>
                <w:highlight w:val="none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pH值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6.7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6.6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6.6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6.6~6.7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无量纲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6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54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eastAsia="宋体"/>
                <w:sz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化学需氧量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54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总氮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3.91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3.78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4.08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3.92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54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氨氮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0.332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0.245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0.378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0.318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54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总磷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0.46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0.53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0.49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0.49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546" w:type="dxa"/>
            <w:tcBorders>
              <w:tl2br w:val="nil"/>
              <w:tr2bl w:val="nil"/>
            </w:tcBorders>
            <w:vAlign w:val="center"/>
          </w:tcPr>
          <w:p>
            <w:pPr>
              <w:spacing w:line="240" w:lineRule="auto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氟化物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0.11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0.16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0.13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54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宋体" w:hAnsi="宋体" w:eastAsia="宋体" w:cs="宋体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  <w:t>石油类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0.62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0.81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0.76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0.73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54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eastAsia" w:ascii="Calibri" w:hAnsi="Calibri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总铜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0.00198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0.00205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0.00200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0.00201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4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检测时间</w:t>
            </w:r>
          </w:p>
        </w:tc>
        <w:tc>
          <w:tcPr>
            <w:tcW w:w="167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</w:rPr>
              <w:t>检测点位</w:t>
            </w:r>
          </w:p>
        </w:tc>
        <w:tc>
          <w:tcPr>
            <w:tcW w:w="154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</w:rPr>
              <w:t>检测项目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  <w:t>第一次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  <w:t>第二次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val="en-US" w:eastAsia="zh-CN"/>
              </w:rPr>
              <w:t>第三次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均值</w:t>
            </w:r>
          </w:p>
          <w:p>
            <w:pPr>
              <w:tabs>
                <w:tab w:val="left" w:pos="0"/>
              </w:tabs>
              <w:jc w:val="both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（范围）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Calibri" w:hAnsi="Calibri" w:cs="Calibri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Calibri" w:hAnsi="Calibri" w:cs="Calibri" w:eastAsiaTheme="minorEastAsia"/>
                <w:color w:val="000000"/>
                <w:sz w:val="21"/>
                <w:szCs w:val="21"/>
                <w:lang w:eastAsia="zh-CN"/>
              </w:rPr>
              <w:t>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4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2023-08-16</w:t>
            </w:r>
          </w:p>
        </w:tc>
        <w:tc>
          <w:tcPr>
            <w:tcW w:w="16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  <w:t>废水2号排水口</w:t>
            </w:r>
          </w:p>
        </w:tc>
        <w:tc>
          <w:tcPr>
            <w:tcW w:w="154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总铜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0.439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0.459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0.450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0.449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</w:pPr>
          </w:p>
        </w:tc>
        <w:tc>
          <w:tcPr>
            <w:tcW w:w="154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总镍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0.0136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0.0136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0.0136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0.0136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04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7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szCs w:val="21"/>
                <w:lang w:val="en-US" w:eastAsia="zh-CN"/>
              </w:rPr>
              <w:t>废水3号排水口</w:t>
            </w:r>
          </w:p>
        </w:tc>
        <w:tc>
          <w:tcPr>
            <w:tcW w:w="1546" w:type="dxa"/>
            <w:tcBorders>
              <w:tl2br w:val="nil"/>
              <w:tr2bl w:val="nil"/>
            </w:tcBorders>
            <w:vAlign w:val="center"/>
          </w:tcPr>
          <w:p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总铬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0.004L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0.004L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0.004L</w:t>
            </w:r>
          </w:p>
        </w:tc>
        <w:tc>
          <w:tcPr>
            <w:tcW w:w="1043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0.004L</w:t>
            </w:r>
          </w:p>
        </w:tc>
        <w:tc>
          <w:tcPr>
            <w:tcW w:w="104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638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both"/>
              <w:rPr>
                <w:rFonts w:hint="default" w:ascii="Calibri" w:hAnsi="Calibri" w:cs="Calibri"/>
                <w:color w:val="000000"/>
                <w:szCs w:val="21"/>
                <w:lang w:eastAsia="zh-CN"/>
              </w:rPr>
            </w:pPr>
            <w:r>
              <w:rPr>
                <w:rFonts w:hint="default" w:ascii="Calibri" w:hAnsi="Calibri" w:cs="Calibri"/>
                <w:color w:val="000000"/>
                <w:szCs w:val="21"/>
                <w:lang w:eastAsia="zh-CN"/>
              </w:rPr>
              <w:t>备注：</w:t>
            </w:r>
            <w:r>
              <w:rPr>
                <w:rFonts w:hint="default" w:ascii="Calibri" w:hAnsi="Calibri" w:cs="Calibri" w:eastAsiaTheme="minor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检测结果仅对本次采样负责。</w:t>
            </w:r>
          </w:p>
        </w:tc>
      </w:tr>
    </w:tbl>
    <w:p>
      <w:pPr>
        <w:spacing w:line="360" w:lineRule="auto"/>
        <w:rPr>
          <w:rFonts w:hint="default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  <w:t>5.3</w:t>
      </w:r>
      <w:r>
        <w:rPr>
          <w:rFonts w:hint="eastAsia" w:ascii="宋体" w:hAnsi="宋体" w:eastAsia="宋体" w:cs="宋体"/>
          <w:color w:val="000000"/>
          <w:kern w:val="2"/>
          <w:sz w:val="24"/>
          <w:szCs w:val="24"/>
          <w:lang w:val="en-US" w:eastAsia="zh-CN" w:bidi="ar-SA"/>
        </w:rPr>
        <w:t>山东嘉乐电雕制版有限公司地下水检测结果表</w:t>
      </w:r>
    </w:p>
    <w:tbl>
      <w:tblPr>
        <w:tblStyle w:val="14"/>
        <w:tblW w:w="963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27"/>
        <w:gridCol w:w="1927"/>
        <w:gridCol w:w="1927"/>
        <w:gridCol w:w="1927"/>
        <w:gridCol w:w="19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检测时间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检测点位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spacing w:line="24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检测项目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实测值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2023-08-16</w:t>
            </w:r>
          </w:p>
        </w:tc>
        <w:tc>
          <w:tcPr>
            <w:tcW w:w="19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地下水厂区监测井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/>
                <w:sz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pH值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6.9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无量纲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Calibri" w:eastAsia="宋体" w:cs="Times New Roman"/>
                <w:kern w:val="2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/>
                <w:sz w:val="21"/>
                <w:highlight w:val="none"/>
                <w:lang w:val="en-US" w:eastAsia="zh-CN"/>
              </w:rPr>
              <w:t>色度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5L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（无色）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嗅和味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 w:hAnsi="Calibri" w:eastAsia="宋体" w:cs="Times New Roman"/>
                <w:kern w:val="2"/>
                <w:sz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浑浊度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</w:t>
            </w: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5L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NTU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 w:hAnsi="Calibri" w:eastAsia="宋体" w:cs="Times New Roman"/>
                <w:kern w:val="2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肉眼可见物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无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总硬度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212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highlight w:val="none"/>
                <w:lang w:val="en-US" w:eastAsia="zh-CN"/>
              </w:rPr>
              <w:t>溶解性总固体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365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Calibri" w:eastAsia="宋体" w:cs="Times New Roman"/>
                <w:kern w:val="2"/>
                <w:sz w:val="21"/>
                <w:highlight w:val="none"/>
                <w:lang w:val="en-US" w:eastAsia="zh-CN"/>
              </w:rPr>
            </w:pPr>
            <w:r>
              <w:rPr>
                <w:rFonts w:hint="eastAsia" w:ascii="Times New Roman" w:eastAsia="宋体" w:cs="Times New Roman"/>
                <w:kern w:val="2"/>
                <w:sz w:val="21"/>
                <w:highlight w:val="none"/>
                <w:lang w:val="en-US" w:eastAsia="zh-CN"/>
              </w:rPr>
              <w:t>挥发酚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0.0003L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Calibri" w:eastAsia="宋体" w:cs="Times New Roman"/>
                <w:kern w:val="2"/>
                <w:sz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阴离子表面活性剂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0.05L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Calibri" w:eastAsia="宋体" w:cs="Times New Roman"/>
                <w:kern w:val="2"/>
                <w:sz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氨氮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0.232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硫化物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0.003L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总大肠菌群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2L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MPN/</w:t>
            </w: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100m</w:t>
            </w:r>
            <w:r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  <w:t>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细菌总数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19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  <w:t>/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亚硝酸盐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0.001L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硝酸盐</w:t>
            </w: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1.79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氰化物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0.002L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Calibri" w:eastAsia="宋体" w:cs="Times New Roman"/>
                <w:kern w:val="2"/>
                <w:sz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氟化物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0.12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eastAsia="zh-CN"/>
              </w:rPr>
              <w:t>检测时间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检测点位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pStyle w:val="25"/>
              <w:spacing w:line="240" w:lineRule="auto"/>
              <w:ind w:firstLine="0" w:firstLineChars="0"/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val="en-US" w:eastAsia="zh-CN"/>
              </w:rPr>
              <w:t>检测项目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宋体" w:hAnsi="宋体" w:eastAsia="宋体" w:cs="宋体"/>
                <w:color w:val="auto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</w:rPr>
              <w:t>实测值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1"/>
                <w:szCs w:val="21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2023-08-16</w:t>
            </w:r>
          </w:p>
        </w:tc>
        <w:tc>
          <w:tcPr>
            <w:tcW w:w="192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地下水厂区监测井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magent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总铬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0.00130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六价铬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0.004L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kern w:val="2"/>
                <w:sz w:val="21"/>
                <w:highlight w:val="none"/>
                <w:lang w:val="en-US" w:eastAsia="zh-CN" w:bidi="ar-SA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耗氧量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0.74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硫酸盐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氯化物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27.5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1"/>
                <w:szCs w:val="21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铁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magenta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0.0932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锰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magenta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0.0644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锌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magenta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0.00178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铝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magenta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0.00442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钠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magenta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69.8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碘化物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0.031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汞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0.00004L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Calibri" w:hAnsi="Calibri" w:cs="Calibri" w:eastAsiaTheme="minorEastAsia"/>
                <w:kern w:val="2"/>
                <w:sz w:val="21"/>
                <w:szCs w:val="21"/>
                <w:highlight w:val="none"/>
                <w:u w:val="no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砷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magent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0.0003L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/>
                <w:sz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硒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magent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0.0004L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Theme="minorAscii" w:hAnsiTheme="minorAscii" w:eastAsiaTheme="minorEastAsia" w:cstheme="minorEastAsia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eastAsia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镉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magent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0.00005L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铅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magenta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0.00009L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eastAsia" w:eastAsiaTheme="minorEastAsia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三氯甲烷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1.1L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四氯化碳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0.8L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苯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0.8L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甲苯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1.0L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  <w:t>μ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总镍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0.00080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288" w:lineRule="auto"/>
              <w:jc w:val="center"/>
              <w:rPr>
                <w:rFonts w:hint="default" w:ascii="Times New Roman" w:hAnsi="Times New Roman" w:cs="Times New Roman" w:eastAsiaTheme="minorEastAsia"/>
                <w:color w:val="000000"/>
                <w:kern w:val="2"/>
                <w:sz w:val="21"/>
                <w:szCs w:val="21"/>
                <w:lang w:val="en-US" w:eastAsia="zh-CN"/>
              </w:rPr>
            </w:pP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beforeLines="0" w:afterLines="0"/>
              <w:jc w:val="center"/>
              <w:rPr>
                <w:rFonts w:hint="default" w:ascii="Times New Roman" w:hAnsi="Times New Roman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总铜</w:t>
            </w:r>
          </w:p>
        </w:tc>
        <w:tc>
          <w:tcPr>
            <w:tcW w:w="1927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2"/>
                <w:sz w:val="21"/>
                <w:szCs w:val="21"/>
                <w:highlight w:val="none"/>
                <w:lang w:val="en-US" w:eastAsia="zh-CN"/>
              </w:rPr>
              <w:t>0.00317</w:t>
            </w:r>
          </w:p>
        </w:tc>
        <w:tc>
          <w:tcPr>
            <w:tcW w:w="1930" w:type="dxa"/>
            <w:tcBorders>
              <w:tl2br w:val="nil"/>
              <w:tr2bl w:val="nil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sz w:val="21"/>
                <w:szCs w:val="21"/>
                <w:highlight w:val="none"/>
                <w:vertAlign w:val="baseline"/>
                <w:lang w:val="en-US" w:eastAsia="zh-CN"/>
              </w:rPr>
              <w:t>mg/L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9638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tabs>
                <w:tab w:val="left" w:pos="0"/>
              </w:tabs>
              <w:spacing w:line="240" w:lineRule="auto"/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备注</w:t>
            </w: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: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>检测结果仅对本次样品负责。</w:t>
            </w:r>
          </w:p>
        </w:tc>
      </w:tr>
    </w:tbl>
    <w:p>
      <w:pPr>
        <w:tabs>
          <w:tab w:val="left" w:pos="0"/>
        </w:tabs>
        <w:spacing w:line="360" w:lineRule="auto"/>
        <w:jc w:val="both"/>
        <w:rPr>
          <w:rFonts w:hint="default" w:ascii="Calibri" w:hAnsi="Calibri" w:cs="Calibri"/>
          <w:color w:val="000000"/>
          <w:sz w:val="24"/>
          <w:szCs w:val="24"/>
        </w:rPr>
        <w:sectPr>
          <w:headerReference r:id="rId6" w:type="default"/>
          <w:footerReference r:id="rId7" w:type="default"/>
          <w:pgSz w:w="11906" w:h="16838"/>
          <w:pgMar w:top="1440" w:right="1080" w:bottom="1440" w:left="1080" w:header="85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425" w:num="1"/>
          <w:docGrid w:type="lines" w:linePitch="312" w:charSpace="0"/>
        </w:sectPr>
      </w:pPr>
    </w:p>
    <w:p>
      <w:pPr>
        <w:spacing w:line="360" w:lineRule="auto"/>
        <w:jc w:val="left"/>
        <w:rPr>
          <w:rFonts w:hint="eastAsia" w:ascii="Times New Roman" w:hAnsi="Times New Roman" w:cs="Times New Roman" w:eastAsiaTheme="minorEastAsia"/>
          <w:color w:val="000000"/>
          <w:kern w:val="2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5.4</w:t>
      </w:r>
      <w:r>
        <w:rPr>
          <w:rFonts w:hint="eastAsia" w:ascii="Times New Roman" w:hAnsi="Times New Roman" w:cs="Times New Roman"/>
          <w:bCs/>
          <w:color w:val="000000"/>
          <w:sz w:val="24"/>
          <w:szCs w:val="28"/>
          <w:lang w:val="en-US" w:eastAsia="zh-CN"/>
        </w:rPr>
        <w:t>山东嘉乐电雕制版有限公司</w:t>
      </w:r>
      <w:r>
        <w:rPr>
          <w:rFonts w:hint="eastAsia" w:ascii="Times New Roman" w:hAnsi="Times New Roman" w:cs="Times New Roman"/>
          <w:color w:val="000000"/>
          <w:sz w:val="24"/>
          <w:szCs w:val="24"/>
          <w:lang w:val="en-US" w:eastAsia="zh-CN"/>
        </w:rPr>
        <w:t>土壤检测结果一览表</w:t>
      </w:r>
    </w:p>
    <w:tbl>
      <w:tblPr>
        <w:tblStyle w:val="14"/>
        <w:tblW w:w="1485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4053"/>
        <w:gridCol w:w="4053"/>
        <w:gridCol w:w="405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tblHeader/>
          <w:jc w:val="center"/>
        </w:trPr>
        <w:tc>
          <w:tcPr>
            <w:tcW w:w="269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</w:rPr>
              <w:t>检测项目</w:t>
            </w:r>
          </w:p>
        </w:tc>
        <w:tc>
          <w:tcPr>
            <w:tcW w:w="12161" w:type="dxa"/>
            <w:gridSpan w:val="3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</w:rPr>
              <w:t>检测结果（mg/kg，pH值无量纲）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tblHeader/>
          <w:jc w:val="center"/>
        </w:trPr>
        <w:tc>
          <w:tcPr>
            <w:tcW w:w="2694" w:type="dxa"/>
            <w:vMerge w:val="continue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1号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2号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highlight w:val="none"/>
                <w:lang w:val="en-US" w:eastAsia="zh-CN"/>
              </w:rPr>
              <w:t>3号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/>
                <w:color w:val="000000"/>
                <w:szCs w:val="21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highlight w:val="none"/>
                <w:lang w:val="en-US" w:eastAsia="zh-CN"/>
              </w:rPr>
              <w:t>总铬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40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pH值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000000"/>
                <w:szCs w:val="21"/>
                <w:lang w:val="en-US" w:eastAsia="zh-CN"/>
              </w:rPr>
              <w:t>7.35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Theme="minorEastAsia"/>
                <w:color w:val="000000"/>
                <w:szCs w:val="21"/>
                <w:lang w:val="en-US" w:eastAsia="zh-CN"/>
              </w:rPr>
              <w:t>7.28</w:t>
            </w:r>
          </w:p>
        </w:tc>
        <w:tc>
          <w:tcPr>
            <w:tcW w:w="40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7.41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砷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0.61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0.60 </w:t>
            </w:r>
          </w:p>
        </w:tc>
        <w:tc>
          <w:tcPr>
            <w:tcW w:w="40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0.48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镉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0.12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0.12</w:t>
            </w:r>
          </w:p>
        </w:tc>
        <w:tc>
          <w:tcPr>
            <w:tcW w:w="40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0.11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铜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</w:t>
            </w:r>
          </w:p>
        </w:tc>
        <w:tc>
          <w:tcPr>
            <w:tcW w:w="40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铅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40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42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/>
                <w:color w:val="000000"/>
                <w:szCs w:val="21"/>
                <w:highlight w:val="none"/>
              </w:rPr>
              <w:t>镍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40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kern w:val="0"/>
                <w:szCs w:val="21"/>
                <w:highlight w:val="none"/>
              </w:rPr>
              <w:t>铬（六价）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0.5L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0.5L</w:t>
            </w:r>
          </w:p>
        </w:tc>
        <w:tc>
          <w:tcPr>
            <w:tcW w:w="40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0.5L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kern w:val="0"/>
                <w:szCs w:val="21"/>
                <w:highlight w:val="none"/>
              </w:rPr>
            </w:pPr>
            <w:r>
              <w:rPr>
                <w:rFonts w:hint="eastAsia" w:ascii="Times New Roman" w:hAnsi="Times New Roman"/>
                <w:color w:val="000000"/>
                <w:szCs w:val="21"/>
                <w:highlight w:val="none"/>
                <w:lang w:val="en-US" w:eastAsia="zh-CN"/>
              </w:rPr>
              <w:t>汞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0.054</w:t>
            </w:r>
          </w:p>
        </w:tc>
        <w:tc>
          <w:tcPr>
            <w:tcW w:w="405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Theme="minorEastAsia"/>
                <w:color w:val="000000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0.050 </w:t>
            </w:r>
          </w:p>
        </w:tc>
        <w:tc>
          <w:tcPr>
            <w:tcW w:w="405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0.077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四氯化碳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氯仿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氯甲烷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1,1-二氯乙烷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1,2-二氯乙烷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1,1-二氯乙烯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顺-1,2-二氯乙烯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反-1,2-二氯乙烯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二氯甲烷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1,2-二氯丙烷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1,1,1,2-四氯乙烷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1,1,2,2-四氯乙烷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四氯乙烯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1,1,1-三氯乙烷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1,1,2-三氯乙烷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三氯乙烯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1,2,3-三氯丙烷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氯乙烯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氯苯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1,2-二氯苯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1,4-二氯苯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乙苯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甲苯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间,对-二甲苯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邻-二甲苯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苯乙烯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硝基苯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苯胺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2-氯酚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苯并[a]蒽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苯并[a]芘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苯并[b]荧蒽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苯并[k]荧蒽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䓛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二苯并[a,h]蒽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茚并[1,2,3-cd]芘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69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</w:pPr>
            <w:r>
              <w:rPr>
                <w:rFonts w:ascii="Times New Roman" w:hAnsi="Times New Roman" w:eastAsiaTheme="minorEastAsia"/>
                <w:color w:val="000000"/>
                <w:szCs w:val="21"/>
                <w:highlight w:val="none"/>
              </w:rPr>
              <w:t>萘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3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color w:val="000000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  <w:tc>
          <w:tcPr>
            <w:tcW w:w="4055" w:type="dxa"/>
            <w:vAlign w:val="center"/>
          </w:tcPr>
          <w:p>
            <w:pPr>
              <w:widowControl/>
              <w:jc w:val="center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ascii="Times New Roman" w:hAnsi="Times New Roman" w:eastAsiaTheme="minorEastAsia"/>
                <w:szCs w:val="21"/>
              </w:rPr>
              <w:t>未检出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855" w:type="dxa"/>
            <w:gridSpan w:val="4"/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Times New Roman" w:hAnsi="Times New Roman" w:eastAsiaTheme="minorEastAsia"/>
                <w:szCs w:val="21"/>
              </w:rPr>
            </w:pPr>
            <w:r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21"/>
                <w:szCs w:val="21"/>
                <w:lang w:val="en-US" w:eastAsia="zh-CN" w:bidi="ar-SA"/>
              </w:rPr>
              <w:t>备注：</w:t>
            </w:r>
            <w:r>
              <w:rPr>
                <w:rFonts w:hint="eastAsia" w:ascii="宋体" w:hAnsi="宋体" w:eastAsia="宋体" w:cs="宋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检测结果仅对本次采样负责。</w:t>
            </w:r>
          </w:p>
        </w:tc>
      </w:tr>
    </w:tbl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Times New Roman" w:hAnsi="Times New Roman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>编制人：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</w:t>
      </w:r>
      <w:r>
        <w:rPr>
          <w:rFonts w:hint="eastAsia" w:ascii="Times New Roman" w:hAnsi="Times New Roman"/>
          <w:color w:val="000000"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hint="eastAsia" w:ascii="Times New Roman" w:hAnsi="Times New Roman"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审核人：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</w:t>
      </w:r>
      <w:r>
        <w:rPr>
          <w:rFonts w:hint="eastAsia" w:ascii="Times New Roman" w:hAnsi="Times New Roman"/>
          <w:color w:val="000000"/>
          <w:sz w:val="24"/>
          <w:szCs w:val="24"/>
          <w:u w:val="single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hint="eastAsia" w:ascii="Times New Roman" w:hAnsi="Times New Roman"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批准人：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</w:t>
      </w:r>
      <w:r>
        <w:rPr>
          <w:rFonts w:hint="eastAsia" w:ascii="Times New Roman" w:hAnsi="Times New Roman"/>
          <w:color w:val="000000"/>
          <w:sz w:val="24"/>
          <w:szCs w:val="24"/>
          <w:u w:val="single"/>
        </w:rPr>
        <w:t xml:space="preserve">            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</w:t>
      </w:r>
    </w:p>
    <w:p>
      <w:pPr>
        <w:keepNext w:val="0"/>
        <w:keepLines w:val="0"/>
        <w:pageBreakBefore w:val="0"/>
        <w:widowControl/>
        <w:tabs>
          <w:tab w:val="left" w:pos="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Times New Roman" w:hAnsi="Times New Roman"/>
          <w:color w:val="000000"/>
          <w:sz w:val="24"/>
          <w:szCs w:val="24"/>
          <w:u w:val="single"/>
        </w:rPr>
      </w:pPr>
      <w:r>
        <w:rPr>
          <w:rFonts w:ascii="Times New Roman" w:hAnsi="Times New Roman"/>
          <w:color w:val="000000"/>
          <w:sz w:val="24"/>
          <w:szCs w:val="24"/>
        </w:rPr>
        <w:t>日  期：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Times New Roman" w:hAnsi="Times New Roman"/>
          <w:color w:val="000000"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</w:t>
      </w:r>
      <w:r>
        <w:rPr>
          <w:rFonts w:ascii="Times New Roman" w:hAnsi="Times New Roman"/>
          <w:color w:val="000000"/>
          <w:sz w:val="24"/>
          <w:szCs w:val="24"/>
        </w:rPr>
        <w:t xml:space="preserve">   </w:t>
      </w:r>
      <w:r>
        <w:rPr>
          <w:rFonts w:hint="eastAsia" w:ascii="Times New Roman" w:hAnsi="Times New Roman"/>
          <w:color w:val="000000"/>
          <w:sz w:val="24"/>
          <w:szCs w:val="24"/>
        </w:rPr>
        <w:t xml:space="preserve">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日  期：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</w:t>
      </w:r>
      <w:r>
        <w:rPr>
          <w:rFonts w:hint="eastAsia" w:ascii="Times New Roman" w:hAnsi="Times New Roman"/>
          <w:color w:val="000000"/>
          <w:sz w:val="24"/>
          <w:szCs w:val="24"/>
          <w:u w:val="single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hint="eastAsia" w:ascii="Times New Roman" w:hAnsi="Times New Roman"/>
          <w:color w:val="000000"/>
          <w:sz w:val="24"/>
          <w:szCs w:val="24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日  期：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</w:t>
      </w:r>
      <w:r>
        <w:rPr>
          <w:rFonts w:hint="eastAsia" w:ascii="Times New Roman" w:hAnsi="Times New Roman"/>
          <w:color w:val="000000"/>
          <w:sz w:val="24"/>
          <w:szCs w:val="24"/>
          <w:u w:val="single"/>
        </w:rPr>
        <w:t xml:space="preserve">         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 xml:space="preserve">         </w:t>
      </w:r>
    </w:p>
    <w:p>
      <w:pPr>
        <w:tabs>
          <w:tab w:val="left" w:pos="0"/>
          <w:tab w:val="center" w:pos="4819"/>
          <w:tab w:val="right" w:pos="9639"/>
        </w:tabs>
        <w:spacing w:line="36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hint="eastAsia" w:ascii="Times New Roman" w:hAnsi="Times New Roman"/>
          <w:color w:val="000000"/>
          <w:sz w:val="24"/>
          <w:szCs w:val="24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</w:rPr>
        <w:tab/>
      </w:r>
      <w:r>
        <w:rPr>
          <w:rFonts w:ascii="Times New Roman" w:hAnsi="Times New Roman"/>
          <w:color w:val="000000"/>
          <w:sz w:val="24"/>
          <w:szCs w:val="24"/>
        </w:rPr>
        <w:t>（加盖</w:t>
      </w:r>
      <w:r>
        <w:rPr>
          <w:rFonts w:hint="eastAsia" w:ascii="Times New Roman" w:hAnsi="Times New Roman"/>
          <w:color w:val="000000"/>
          <w:sz w:val="24"/>
          <w:szCs w:val="24"/>
          <w:lang w:val="en-US" w:eastAsia="zh-CN"/>
        </w:rPr>
        <w:t>检验检测</w:t>
      </w:r>
      <w:r>
        <w:rPr>
          <w:rFonts w:ascii="Times New Roman" w:hAnsi="Times New Roman"/>
          <w:color w:val="000000"/>
          <w:sz w:val="24"/>
          <w:szCs w:val="24"/>
        </w:rPr>
        <w:t>专用章）</w:t>
      </w:r>
    </w:p>
    <w:p>
      <w:pPr>
        <w:widowControl/>
        <w:spacing w:line="360" w:lineRule="auto"/>
        <w:jc w:val="center"/>
        <w:textAlignment w:val="bottom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 w:val="24"/>
          <w:szCs w:val="24"/>
        </w:rPr>
        <w:t>***报告结束***</w:t>
      </w:r>
    </w:p>
    <w:p>
      <w:pPr>
        <w:pStyle w:val="2"/>
        <w:ind w:left="0" w:leftChars="0" w:firstLine="0" w:firstLineChars="0"/>
        <w:rPr>
          <w:rFonts w:hint="default"/>
        </w:rPr>
        <w:sectPr>
          <w:headerReference r:id="rId8" w:type="default"/>
          <w:pgSz w:w="16838" w:h="11906" w:orient="landscape"/>
          <w:pgMar w:top="1080" w:right="1440" w:bottom="1080" w:left="1440" w:header="85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425" w:num="1"/>
          <w:docGrid w:type="lines" w:linePitch="312" w:charSpace="0"/>
        </w:sect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Times New Roman" w:hAnsi="宋体" w:eastAsia="宋体"/>
          <w:b/>
          <w:bCs/>
          <w:sz w:val="28"/>
        </w:rPr>
        <w:t>附</w:t>
      </w:r>
      <w:r>
        <w:rPr>
          <w:rFonts w:hint="eastAsia" w:ascii="Times New Roman" w:hAnsi="宋体" w:eastAsia="宋体"/>
          <w:b/>
          <w:bCs/>
          <w:sz w:val="28"/>
          <w:lang w:val="en-US" w:eastAsia="zh-CN"/>
        </w:rPr>
        <w:t>图：</w:t>
      </w:r>
      <w:r>
        <w:rPr>
          <w:rFonts w:hint="eastAsia" w:ascii="Times New Roman" w:hAnsi="Times New Roman" w:cs="Times New Roman" w:eastAsiaTheme="majorEastAsia"/>
          <w:sz w:val="24"/>
          <w:szCs w:val="24"/>
          <w:lang w:val="en-US" w:eastAsia="zh-CN"/>
        </w:rPr>
        <w:t>山东嘉乐电雕制版有限公司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</w:p>
    <w:p>
      <w:pPr>
        <w:bidi w:val="0"/>
        <w:jc w:val="left"/>
        <w:rPr>
          <w:rFonts w:hint="eastAsia" w:eastAsia="宋体"/>
          <w:lang w:val="en-US" w:eastAsia="zh-CN"/>
        </w:rPr>
      </w:pP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984375" cy="2879725"/>
            <wp:effectExtent l="0" t="0" r="15875" b="15875"/>
            <wp:docPr id="2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984375" cy="2879725"/>
            <wp:effectExtent l="0" t="0" r="15875" b="15875"/>
            <wp:docPr id="3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 w:cs="宋体"/>
          <w:sz w:val="24"/>
          <w:szCs w:val="24"/>
        </w:rPr>
        <w:drawing>
          <wp:inline distT="0" distB="0" distL="114300" distR="114300">
            <wp:extent cx="1984375" cy="2879725"/>
            <wp:effectExtent l="0" t="0" r="15875" b="15875"/>
            <wp:docPr id="4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84375" cy="2879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9" w:type="default"/>
      <w:footerReference r:id="rId10" w:type="default"/>
      <w:pgSz w:w="11906" w:h="16838"/>
      <w:pgMar w:top="1440" w:right="1080" w:bottom="1440" w:left="1080" w:header="850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Fonts w:hint="eastAsia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QIElW9IBAACi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Fonts w:hint="eastAsia"/>
        <w:sz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rPr>
                              <w:rFonts w:hint="eastAsia"/>
                              <w:lang w:val="en-US" w:eastAsia="zh-CN"/>
                            </w:rPr>
                            <w:t>13</w:t>
                          </w:r>
                          <w: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eXtc4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Hl7XO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rPr>
                        <w:rFonts w:hint="eastAsia"/>
                        <w:lang w:val="en-US" w:eastAsia="zh-CN"/>
                      </w:rPr>
                      <w:t>13</w:t>
                    </w:r>
                    <w: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etibotIBAACi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Fonts w:hint="eastAsia"/>
        <w:sz w:val="18"/>
      </w:rPr>
    </w:pPr>
    <w:r>
      <w:rPr>
        <w:rFonts w:hint="default"/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pStyle w:val="1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zSVju0AAAAAUBAAAPAAAAAAAAAAEAIAAAACIAAABkcnMv&#10;ZG93bnJldi54bWxQSwECFAAUAAAACACHTuJAGtbO3dIBAACkAwAADgAAAAAAAAABACAAAAAfAQAA&#10;ZHJzL2Uyb0RvYy54bWxQSwUGAAAAAAYABgBZAQAAY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  <w:jc w:val="both"/>
      <w:rPr>
        <w:rFonts w:hint="eastAsia"/>
        <w:sz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  <w:jc w:val="right"/>
      <w:rPr>
        <w:rFonts w:hint="default" w:eastAsia="宋体"/>
        <w:sz w:val="18"/>
        <w:szCs w:val="18"/>
        <w:lang w:val="en-US" w:eastAsia="zh-CN"/>
      </w:rPr>
    </w:pPr>
    <w:r>
      <w:rPr>
        <w:rFonts w:hint="eastAsia"/>
        <w:sz w:val="18"/>
        <w:szCs w:val="18"/>
      </w:rPr>
      <w:t>报告编号</w:t>
    </w:r>
    <w:r>
      <w:rPr>
        <w:rFonts w:hint="default" w:ascii="Times New Roman" w:hAnsi="Times New Roman" w:cs="Times New Roman"/>
        <w:sz w:val="18"/>
        <w:szCs w:val="18"/>
      </w:rPr>
      <w:t>No：</w:t>
    </w:r>
    <w:r>
      <w:rPr>
        <w:rFonts w:hint="eastAsia" w:cs="Times New Roman"/>
        <w:sz w:val="18"/>
        <w:szCs w:val="18"/>
        <w:lang w:val="en-US" w:eastAsia="zh-CN"/>
      </w:rPr>
      <w:t>LT2023080318</w:t>
    </w:r>
  </w:p>
  <w:p>
    <w:pPr>
      <w:pStyle w:val="11"/>
      <w:pBdr>
        <w:bottom w:val="none" w:color="auto" w:sz="0" w:space="0"/>
      </w:pBdr>
      <w:jc w:val="both"/>
      <w:rPr>
        <w:rFonts w:hint="eastAsia"/>
        <w:sz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  <w:jc w:val="right"/>
      <w:rPr>
        <w:rFonts w:hint="eastAsia" w:ascii="Times New Roman" w:hAnsi="Times New Roman" w:eastAsia="宋体"/>
        <w:lang w:eastAsia="zh-CN"/>
      </w:rPr>
    </w:pPr>
    <w:r>
      <w:rPr>
        <w:rFonts w:hint="eastAsia"/>
        <w:sz w:val="18"/>
        <w:szCs w:val="18"/>
      </w:rPr>
      <w:t>报告编号</w:t>
    </w:r>
    <w:r>
      <w:rPr>
        <w:rFonts w:hint="default" w:ascii="Times New Roman" w:hAnsi="Times New Roman" w:cs="Times New Roman"/>
        <w:sz w:val="18"/>
        <w:szCs w:val="18"/>
      </w:rPr>
      <w:t>No：</w:t>
    </w:r>
    <w:r>
      <w:rPr>
        <w:rFonts w:hint="eastAsia" w:ascii="Times New Roman" w:cs="Times New Roman"/>
        <w:sz w:val="18"/>
        <w:szCs w:val="18"/>
        <w:lang w:val="en-US" w:eastAsia="zh-CN"/>
      </w:rPr>
      <w:t>L2号023062509</w:t>
    </w:r>
    <w:r>
      <w:rPr>
        <w:rFonts w:hint="eastAsia" w:ascii="Times New Roman" w:hAnsi="Times New Roman" w:eastAsiaTheme="minorEastAsia"/>
      </w:rPr>
      <w:t xml:space="preserve">                         </w:t>
    </w:r>
    <w:r>
      <w:rPr>
        <w:rFonts w:ascii="Times New Roman" w:hAnsi="Times New Roman" w:eastAsiaTheme="minorEastAsia"/>
      </w:rPr>
      <w:t xml:space="preserve">                       </w:t>
    </w:r>
    <w:r>
      <w:rPr>
        <w:rFonts w:ascii="Times New Roman" w:hAnsi="Times New Roman"/>
      </w:rPr>
      <w:t xml:space="preserve">                         </w:t>
    </w:r>
    <w:r>
      <w:rPr>
        <w:rFonts w:hint="eastAsia" w:ascii="Times New Roman" w:hAnsi="Times New Roman"/>
      </w:rPr>
      <w:t xml:space="preserve">                                                       </w:t>
    </w:r>
    <w:r>
      <w:rPr>
        <w:rFonts w:ascii="Times New Roman" w:hAnsi="Times New Roman"/>
      </w:rPr>
      <w:t xml:space="preserve">  </w:t>
    </w:r>
    <w:r>
      <w:rPr>
        <w:rFonts w:hint="eastAsia" w:ascii="Times New Roman" w:hAnsi="Times New Roman"/>
      </w:rPr>
      <w:t xml:space="preserve">  </w:t>
    </w:r>
    <w:r>
      <w:rPr>
        <w:rFonts w:hint="eastAsia" w:ascii="Times New Roman" w:hAnsi="Times New Roman"/>
      </w:rPr>
      <w:object>
        <v:shape id="_x0000_i1025" o:spt="75" type="#_x0000_t75" style="height:687pt;width:491.25pt;" o:ole="t" filled="f" o:preferrelative="t" stroked="f" coordsize="21600,21600">
          <v:path/>
          <v:fill on="f" focussize="0,0"/>
          <v:stroke on="f"/>
          <v:imagedata r:id="rId2" o:title=""/>
          <o:lock v:ext="edit" aspectratio="t"/>
          <w10:wrap type="none"/>
          <w10:anchorlock/>
        </v:shape>
        <o:OLEObject Type="Embed" ProgID="Word.Document.8" ShapeID="_x0000_i1025" DrawAspect="Content" ObjectID="_1468075725" r:id="rId1">
          <o:LockedField>false</o:LockedField>
        </o:OLEObject>
      </w:object>
    </w:r>
    <w:r>
      <w:rPr>
        <w:rFonts w:hint="eastAsia" w:ascii="Times New Roman" w:hAnsi="Times New Roman"/>
      </w:rPr>
      <w:object>
        <v:shape id="_x0000_i1026" o:spt="75" type="#_x0000_t75" style="height:687pt;width:491.25pt;" o:ole="t" filled="f" o:preferrelative="t" stroked="f" coordsize="21600,21600">
          <v:path/>
          <v:fill on="f" focussize="0,0"/>
          <v:stroke on="f"/>
          <v:imagedata r:id="rId4" o:title=""/>
          <o:lock v:ext="edit" aspectratio="t"/>
          <w10:wrap type="none"/>
          <w10:anchorlock/>
        </v:shape>
        <o:OLEObject Type="Embed" ProgID="Word.Document.8" ShapeID="_x0000_i1026" DrawAspect="Content" ObjectID="_1468075726" r:id="rId3">
          <o:LockedField>false</o:LockedField>
        </o:OLEObject>
      </w:objec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  <w:jc w:val="both"/>
      <w:rPr>
        <w:rFonts w:hint="eastAsia"/>
        <w:sz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0MGNlZDVjOTg1OGMxNmY5NmQyZWQyZmI5NDc3YjgifQ=="/>
  </w:docVars>
  <w:rsids>
    <w:rsidRoot w:val="73184943"/>
    <w:rsid w:val="000750A0"/>
    <w:rsid w:val="013860E5"/>
    <w:rsid w:val="0167398B"/>
    <w:rsid w:val="01CE6890"/>
    <w:rsid w:val="02182D22"/>
    <w:rsid w:val="0264610B"/>
    <w:rsid w:val="02D60BBC"/>
    <w:rsid w:val="02ED7EC0"/>
    <w:rsid w:val="03363E53"/>
    <w:rsid w:val="03483348"/>
    <w:rsid w:val="037B54CB"/>
    <w:rsid w:val="03894218"/>
    <w:rsid w:val="03DB69F8"/>
    <w:rsid w:val="03E94B2B"/>
    <w:rsid w:val="0499612C"/>
    <w:rsid w:val="04C11604"/>
    <w:rsid w:val="04C17856"/>
    <w:rsid w:val="05B05294"/>
    <w:rsid w:val="063614F7"/>
    <w:rsid w:val="06954AF6"/>
    <w:rsid w:val="06C005C6"/>
    <w:rsid w:val="06C53156"/>
    <w:rsid w:val="07133C6D"/>
    <w:rsid w:val="0722773D"/>
    <w:rsid w:val="078F5594"/>
    <w:rsid w:val="08D15B8E"/>
    <w:rsid w:val="09510A7C"/>
    <w:rsid w:val="0A7C0016"/>
    <w:rsid w:val="0B231A00"/>
    <w:rsid w:val="0B4D3BCF"/>
    <w:rsid w:val="0BDB3DE2"/>
    <w:rsid w:val="0D10616A"/>
    <w:rsid w:val="0D735465"/>
    <w:rsid w:val="0DE322C5"/>
    <w:rsid w:val="0DEA7C17"/>
    <w:rsid w:val="0DF24816"/>
    <w:rsid w:val="0E576B35"/>
    <w:rsid w:val="0EA855E3"/>
    <w:rsid w:val="0F3E1841"/>
    <w:rsid w:val="0FC41FA8"/>
    <w:rsid w:val="0FD80EA6"/>
    <w:rsid w:val="10324E4E"/>
    <w:rsid w:val="108F6A5A"/>
    <w:rsid w:val="10B0216A"/>
    <w:rsid w:val="11AE1162"/>
    <w:rsid w:val="12DD1CFF"/>
    <w:rsid w:val="13540B2E"/>
    <w:rsid w:val="135B33B1"/>
    <w:rsid w:val="13961EAE"/>
    <w:rsid w:val="14C5725C"/>
    <w:rsid w:val="159348F7"/>
    <w:rsid w:val="15964C2E"/>
    <w:rsid w:val="15D078F9"/>
    <w:rsid w:val="15DA70DF"/>
    <w:rsid w:val="160E0421"/>
    <w:rsid w:val="163574A4"/>
    <w:rsid w:val="167700EF"/>
    <w:rsid w:val="167A7865"/>
    <w:rsid w:val="1740460A"/>
    <w:rsid w:val="17680005"/>
    <w:rsid w:val="18440740"/>
    <w:rsid w:val="18610CDC"/>
    <w:rsid w:val="187C78C4"/>
    <w:rsid w:val="188624F1"/>
    <w:rsid w:val="18C917BA"/>
    <w:rsid w:val="18FF698D"/>
    <w:rsid w:val="19474BFD"/>
    <w:rsid w:val="19C13ED0"/>
    <w:rsid w:val="19CC61E2"/>
    <w:rsid w:val="19D02F2B"/>
    <w:rsid w:val="19F93196"/>
    <w:rsid w:val="1A3C3EC9"/>
    <w:rsid w:val="1B140E9A"/>
    <w:rsid w:val="1B570223"/>
    <w:rsid w:val="1C251935"/>
    <w:rsid w:val="1C6A3ED7"/>
    <w:rsid w:val="1CBC074D"/>
    <w:rsid w:val="1CDA72AF"/>
    <w:rsid w:val="1D900910"/>
    <w:rsid w:val="1DB76734"/>
    <w:rsid w:val="1DF93765"/>
    <w:rsid w:val="1E195BB5"/>
    <w:rsid w:val="1ED00CCA"/>
    <w:rsid w:val="1F2064B9"/>
    <w:rsid w:val="1F563BE8"/>
    <w:rsid w:val="1FBC4A4A"/>
    <w:rsid w:val="20CD066B"/>
    <w:rsid w:val="2182606F"/>
    <w:rsid w:val="21A8461D"/>
    <w:rsid w:val="22951291"/>
    <w:rsid w:val="22F82BF3"/>
    <w:rsid w:val="23B73EA6"/>
    <w:rsid w:val="23C22599"/>
    <w:rsid w:val="23FB4B0C"/>
    <w:rsid w:val="23FE1AD5"/>
    <w:rsid w:val="24975A86"/>
    <w:rsid w:val="24A02B8C"/>
    <w:rsid w:val="24A93B72"/>
    <w:rsid w:val="24EE3B9C"/>
    <w:rsid w:val="255A0541"/>
    <w:rsid w:val="256C3B32"/>
    <w:rsid w:val="25A75033"/>
    <w:rsid w:val="25AE42F9"/>
    <w:rsid w:val="26213E64"/>
    <w:rsid w:val="266C2272"/>
    <w:rsid w:val="278D70D0"/>
    <w:rsid w:val="28D70DF8"/>
    <w:rsid w:val="29025E05"/>
    <w:rsid w:val="29FE092E"/>
    <w:rsid w:val="2AAF3B29"/>
    <w:rsid w:val="2BB807BB"/>
    <w:rsid w:val="2C015CF3"/>
    <w:rsid w:val="2C905DC2"/>
    <w:rsid w:val="2CBD42A0"/>
    <w:rsid w:val="2D0D1E31"/>
    <w:rsid w:val="2D314CC9"/>
    <w:rsid w:val="2D7A6E3D"/>
    <w:rsid w:val="2E071240"/>
    <w:rsid w:val="2E8B665B"/>
    <w:rsid w:val="2EE7031F"/>
    <w:rsid w:val="2F9533D5"/>
    <w:rsid w:val="30722FA5"/>
    <w:rsid w:val="307A3D10"/>
    <w:rsid w:val="308E5F8F"/>
    <w:rsid w:val="30F027A5"/>
    <w:rsid w:val="31137561"/>
    <w:rsid w:val="314077C6"/>
    <w:rsid w:val="31E97150"/>
    <w:rsid w:val="320745F4"/>
    <w:rsid w:val="322620EC"/>
    <w:rsid w:val="329A33B2"/>
    <w:rsid w:val="32DD02DF"/>
    <w:rsid w:val="32F522F5"/>
    <w:rsid w:val="33226E62"/>
    <w:rsid w:val="346D374E"/>
    <w:rsid w:val="3497512F"/>
    <w:rsid w:val="34BE0363"/>
    <w:rsid w:val="3573185A"/>
    <w:rsid w:val="36F81611"/>
    <w:rsid w:val="37117919"/>
    <w:rsid w:val="37180CA8"/>
    <w:rsid w:val="371F559F"/>
    <w:rsid w:val="37254B96"/>
    <w:rsid w:val="37277555"/>
    <w:rsid w:val="376E08C8"/>
    <w:rsid w:val="379522F8"/>
    <w:rsid w:val="37E37DDA"/>
    <w:rsid w:val="37FE0BB5"/>
    <w:rsid w:val="38096CB8"/>
    <w:rsid w:val="382E417F"/>
    <w:rsid w:val="383B7F23"/>
    <w:rsid w:val="38545D10"/>
    <w:rsid w:val="38F27A8B"/>
    <w:rsid w:val="394F57F3"/>
    <w:rsid w:val="395E0DA7"/>
    <w:rsid w:val="398851FE"/>
    <w:rsid w:val="39984590"/>
    <w:rsid w:val="3A2F7D22"/>
    <w:rsid w:val="3A7461F5"/>
    <w:rsid w:val="3B0A0908"/>
    <w:rsid w:val="3C394A07"/>
    <w:rsid w:val="3C495460"/>
    <w:rsid w:val="3CCD192F"/>
    <w:rsid w:val="3CD72A6B"/>
    <w:rsid w:val="3E5F0557"/>
    <w:rsid w:val="3E763AE1"/>
    <w:rsid w:val="3E78202C"/>
    <w:rsid w:val="3E856C2F"/>
    <w:rsid w:val="3F380C7B"/>
    <w:rsid w:val="3F757717"/>
    <w:rsid w:val="3F79605C"/>
    <w:rsid w:val="3F86080F"/>
    <w:rsid w:val="3FB11C9A"/>
    <w:rsid w:val="4024344A"/>
    <w:rsid w:val="402A7AAC"/>
    <w:rsid w:val="414C2A3D"/>
    <w:rsid w:val="41594397"/>
    <w:rsid w:val="41D93706"/>
    <w:rsid w:val="422C29DC"/>
    <w:rsid w:val="42E603C1"/>
    <w:rsid w:val="43192030"/>
    <w:rsid w:val="43664B49"/>
    <w:rsid w:val="43D218BE"/>
    <w:rsid w:val="44041E27"/>
    <w:rsid w:val="441566E1"/>
    <w:rsid w:val="4461078C"/>
    <w:rsid w:val="446503D3"/>
    <w:rsid w:val="44E74461"/>
    <w:rsid w:val="45BB1668"/>
    <w:rsid w:val="45F12DF0"/>
    <w:rsid w:val="4615442A"/>
    <w:rsid w:val="46410AC4"/>
    <w:rsid w:val="4657062D"/>
    <w:rsid w:val="46B82696"/>
    <w:rsid w:val="46E8250F"/>
    <w:rsid w:val="46EF1DDC"/>
    <w:rsid w:val="47743CD8"/>
    <w:rsid w:val="4787426E"/>
    <w:rsid w:val="47BB36B5"/>
    <w:rsid w:val="47DD166B"/>
    <w:rsid w:val="47E6594A"/>
    <w:rsid w:val="485458B8"/>
    <w:rsid w:val="4880375F"/>
    <w:rsid w:val="48A451A8"/>
    <w:rsid w:val="498637D0"/>
    <w:rsid w:val="49B77EAC"/>
    <w:rsid w:val="49DC1931"/>
    <w:rsid w:val="49E1048E"/>
    <w:rsid w:val="49F419B6"/>
    <w:rsid w:val="4A0D5D48"/>
    <w:rsid w:val="4A260ED2"/>
    <w:rsid w:val="4A2D6185"/>
    <w:rsid w:val="4A5D207C"/>
    <w:rsid w:val="4A823567"/>
    <w:rsid w:val="4B02784D"/>
    <w:rsid w:val="4B8D7117"/>
    <w:rsid w:val="4DD45D05"/>
    <w:rsid w:val="4EAA6232"/>
    <w:rsid w:val="4EB917F6"/>
    <w:rsid w:val="4EC14686"/>
    <w:rsid w:val="4ED95C18"/>
    <w:rsid w:val="4EF32F72"/>
    <w:rsid w:val="4F7B197C"/>
    <w:rsid w:val="4F894099"/>
    <w:rsid w:val="4FEE0154"/>
    <w:rsid w:val="50B415EA"/>
    <w:rsid w:val="50BA4D4F"/>
    <w:rsid w:val="51116BBD"/>
    <w:rsid w:val="51720BF4"/>
    <w:rsid w:val="51C64197"/>
    <w:rsid w:val="51F6353C"/>
    <w:rsid w:val="52B4142D"/>
    <w:rsid w:val="532E5683"/>
    <w:rsid w:val="535D49C3"/>
    <w:rsid w:val="537D51B8"/>
    <w:rsid w:val="53B613A0"/>
    <w:rsid w:val="540006A2"/>
    <w:rsid w:val="54774399"/>
    <w:rsid w:val="54995B23"/>
    <w:rsid w:val="549E2609"/>
    <w:rsid w:val="559C16B9"/>
    <w:rsid w:val="55BA75DB"/>
    <w:rsid w:val="55D02B29"/>
    <w:rsid w:val="55ED3C15"/>
    <w:rsid w:val="55FD30EB"/>
    <w:rsid w:val="56002BDB"/>
    <w:rsid w:val="56C458A5"/>
    <w:rsid w:val="56DF0A43"/>
    <w:rsid w:val="57460AC2"/>
    <w:rsid w:val="57930642"/>
    <w:rsid w:val="579E08FE"/>
    <w:rsid w:val="57C40364"/>
    <w:rsid w:val="58C25D35"/>
    <w:rsid w:val="58D46481"/>
    <w:rsid w:val="59575208"/>
    <w:rsid w:val="59851D75"/>
    <w:rsid w:val="5A026F22"/>
    <w:rsid w:val="5A5B4884"/>
    <w:rsid w:val="5A7A2193"/>
    <w:rsid w:val="5A9D30EE"/>
    <w:rsid w:val="5ACF21F0"/>
    <w:rsid w:val="5ADA6FEE"/>
    <w:rsid w:val="5AFF16B3"/>
    <w:rsid w:val="5BA504AD"/>
    <w:rsid w:val="5C4840B6"/>
    <w:rsid w:val="5C4F0418"/>
    <w:rsid w:val="5CAA31C5"/>
    <w:rsid w:val="5CD03307"/>
    <w:rsid w:val="5DBE5114"/>
    <w:rsid w:val="5EAA210D"/>
    <w:rsid w:val="5F45577E"/>
    <w:rsid w:val="5F7D71BF"/>
    <w:rsid w:val="5FAD3566"/>
    <w:rsid w:val="5FC27D3A"/>
    <w:rsid w:val="60002155"/>
    <w:rsid w:val="60322D36"/>
    <w:rsid w:val="61251748"/>
    <w:rsid w:val="613B6887"/>
    <w:rsid w:val="620007EB"/>
    <w:rsid w:val="62B73EAA"/>
    <w:rsid w:val="63360671"/>
    <w:rsid w:val="64116FDB"/>
    <w:rsid w:val="642E5110"/>
    <w:rsid w:val="64FF6CA8"/>
    <w:rsid w:val="651B0980"/>
    <w:rsid w:val="65470DC0"/>
    <w:rsid w:val="65822024"/>
    <w:rsid w:val="65876D60"/>
    <w:rsid w:val="664A3946"/>
    <w:rsid w:val="66993876"/>
    <w:rsid w:val="66E44936"/>
    <w:rsid w:val="67723A7B"/>
    <w:rsid w:val="67746F85"/>
    <w:rsid w:val="67902796"/>
    <w:rsid w:val="681E1391"/>
    <w:rsid w:val="68442DFB"/>
    <w:rsid w:val="68662D72"/>
    <w:rsid w:val="68E07E17"/>
    <w:rsid w:val="69C33672"/>
    <w:rsid w:val="6A0C7B82"/>
    <w:rsid w:val="6AD355DC"/>
    <w:rsid w:val="6AE461D0"/>
    <w:rsid w:val="6B1271E1"/>
    <w:rsid w:val="6B346418"/>
    <w:rsid w:val="6B4528F4"/>
    <w:rsid w:val="6BBA6B44"/>
    <w:rsid w:val="6C0504C6"/>
    <w:rsid w:val="6C1853BB"/>
    <w:rsid w:val="6D076ED3"/>
    <w:rsid w:val="6D32743F"/>
    <w:rsid w:val="6D8E1520"/>
    <w:rsid w:val="6DCC0E7C"/>
    <w:rsid w:val="6DDD5884"/>
    <w:rsid w:val="6DE047E5"/>
    <w:rsid w:val="6E287196"/>
    <w:rsid w:val="6F4D4C8B"/>
    <w:rsid w:val="6FB42615"/>
    <w:rsid w:val="6FFE072D"/>
    <w:rsid w:val="70567B70"/>
    <w:rsid w:val="7074267A"/>
    <w:rsid w:val="709A7A5C"/>
    <w:rsid w:val="70A92C36"/>
    <w:rsid w:val="716658E4"/>
    <w:rsid w:val="719546A7"/>
    <w:rsid w:val="71B21D92"/>
    <w:rsid w:val="71E66454"/>
    <w:rsid w:val="723637B5"/>
    <w:rsid w:val="73184943"/>
    <w:rsid w:val="7328231C"/>
    <w:rsid w:val="734C0DB6"/>
    <w:rsid w:val="739F65FC"/>
    <w:rsid w:val="73A3231E"/>
    <w:rsid w:val="73EF02F2"/>
    <w:rsid w:val="74BC79F6"/>
    <w:rsid w:val="751B0A84"/>
    <w:rsid w:val="75367A12"/>
    <w:rsid w:val="75FE6CDF"/>
    <w:rsid w:val="76277FE4"/>
    <w:rsid w:val="76BC0F36"/>
    <w:rsid w:val="77C3377A"/>
    <w:rsid w:val="78731559"/>
    <w:rsid w:val="78FE2B52"/>
    <w:rsid w:val="79193D2D"/>
    <w:rsid w:val="794C5FB4"/>
    <w:rsid w:val="79905EA0"/>
    <w:rsid w:val="7A6335B5"/>
    <w:rsid w:val="7A807CC3"/>
    <w:rsid w:val="7AC320F4"/>
    <w:rsid w:val="7B98728E"/>
    <w:rsid w:val="7C034544"/>
    <w:rsid w:val="7C491881"/>
    <w:rsid w:val="7CAF0680"/>
    <w:rsid w:val="7CDC186A"/>
    <w:rsid w:val="7D311748"/>
    <w:rsid w:val="7D893333"/>
    <w:rsid w:val="7DD115C5"/>
    <w:rsid w:val="7DF1162F"/>
    <w:rsid w:val="7E0C59E5"/>
    <w:rsid w:val="7EF377C6"/>
    <w:rsid w:val="7F005876"/>
    <w:rsid w:val="7F2654F4"/>
    <w:rsid w:val="7FAC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nhideWhenUsed/>
    <w:qFormat/>
    <w:uiPriority w:val="0"/>
    <w:pPr>
      <w:jc w:val="both"/>
    </w:pPr>
    <w:rPr>
      <w:rFonts w:hint="eastAsia" w:ascii="Calibri" w:hAnsi="Calibri" w:eastAsia="宋体" w:cs="Times New Roman"/>
      <w:kern w:val="2"/>
      <w:sz w:val="21"/>
      <w:lang w:val="en-US" w:eastAsia="zh-CN"/>
    </w:rPr>
  </w:style>
  <w:style w:type="paragraph" w:styleId="6">
    <w:name w:val="heading 1"/>
    <w:basedOn w:val="1"/>
    <w:next w:val="1"/>
    <w:qFormat/>
    <w:uiPriority w:val="0"/>
    <w:pPr>
      <w:keepNext/>
      <w:tabs>
        <w:tab w:val="left" w:pos="72"/>
      </w:tabs>
      <w:ind w:right="-107" w:rightChars="-51" w:firstLine="255"/>
      <w:jc w:val="center"/>
      <w:outlineLvl w:val="0"/>
    </w:pPr>
    <w:rPr>
      <w:sz w:val="30"/>
    </w:rPr>
  </w:style>
  <w:style w:type="paragraph" w:styleId="7">
    <w:name w:val="heading 2"/>
    <w:basedOn w:val="1"/>
    <w:next w:val="1"/>
    <w:qFormat/>
    <w:uiPriority w:val="0"/>
    <w:pPr>
      <w:keepNext/>
      <w:tabs>
        <w:tab w:val="left" w:pos="72"/>
      </w:tabs>
      <w:ind w:left="-106" w:leftChars="-51" w:right="-107" w:rightChars="-51" w:hanging="1"/>
      <w:jc w:val="center"/>
      <w:outlineLvl w:val="1"/>
    </w:pPr>
    <w:rPr>
      <w:sz w:val="30"/>
    </w:rPr>
  </w:style>
  <w:style w:type="paragraph" w:styleId="8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spacing w:after="120"/>
      <w:ind w:left="420" w:leftChars="200" w:firstLine="420" w:firstLineChars="200"/>
    </w:pPr>
    <w:rPr>
      <w:rFonts w:hint="eastAsia" w:eastAsia="仿宋_GB2312"/>
      <w:color w:val="000000"/>
      <w:sz w:val="28"/>
    </w:rPr>
  </w:style>
  <w:style w:type="paragraph" w:styleId="3">
    <w:name w:val="Body Text Indent"/>
    <w:basedOn w:val="1"/>
    <w:next w:val="4"/>
    <w:semiHidden/>
    <w:unhideWhenUsed/>
    <w:qFormat/>
    <w:uiPriority w:val="99"/>
    <w:pPr>
      <w:ind w:firstLine="540" w:firstLineChars="225"/>
    </w:pPr>
    <w:rPr>
      <w:sz w:val="24"/>
    </w:rPr>
  </w:style>
  <w:style w:type="paragraph" w:customStyle="1" w:styleId="4">
    <w:name w:val="样式 正文文本缩进 + 行距: 1.5 倍行距"/>
    <w:basedOn w:val="5"/>
    <w:next w:val="1"/>
    <w:qFormat/>
    <w:uiPriority w:val="0"/>
    <w:pPr>
      <w:spacing w:after="120" w:line="360" w:lineRule="auto"/>
      <w:ind w:left="90" w:leftChars="32" w:firstLine="560" w:firstLineChars="200"/>
    </w:pPr>
    <w:rPr>
      <w:rFonts w:ascii="宋体" w:cs="宋体"/>
      <w:color w:val="000000"/>
      <w:kern w:val="0"/>
      <w:sz w:val="24"/>
    </w:rPr>
  </w:style>
  <w:style w:type="paragraph" w:customStyle="1" w:styleId="5">
    <w:name w:val="正文文本缩进1"/>
    <w:basedOn w:val="1"/>
    <w:next w:val="4"/>
    <w:qFormat/>
    <w:uiPriority w:val="0"/>
    <w:pPr>
      <w:spacing w:after="120"/>
      <w:ind w:left="420" w:leftChars="200"/>
    </w:pPr>
    <w:rPr>
      <w:rFonts w:ascii="Times New Roman" w:hAnsi="Times New Roman" w:eastAsia="宋体"/>
      <w:sz w:val="24"/>
    </w:rPr>
  </w:style>
  <w:style w:type="paragraph" w:styleId="9">
    <w:name w:val="Normal Indent"/>
    <w:basedOn w:val="1"/>
    <w:unhideWhenUsed/>
    <w:qFormat/>
    <w:uiPriority w:val="99"/>
    <w:pPr>
      <w:ind w:firstLine="420"/>
    </w:pPr>
    <w:rPr>
      <w:rFonts w:hint="eastAsia" w:hAnsi="Times New Roman"/>
      <w:sz w:val="20"/>
    </w:r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hint="eastAsia"/>
      <w:sz w:val="18"/>
    </w:rPr>
  </w:style>
  <w:style w:type="paragraph" w:styleId="11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hint="eastAsia"/>
      <w:sz w:val="18"/>
    </w:rPr>
  </w:style>
  <w:style w:type="paragraph" w:styleId="12">
    <w:name w:val="Body Text 2"/>
    <w:basedOn w:val="1"/>
    <w:unhideWhenUsed/>
    <w:qFormat/>
    <w:uiPriority w:val="99"/>
    <w:rPr>
      <w:rFonts w:hint="eastAsia"/>
      <w:sz w:val="32"/>
    </w:rPr>
  </w:style>
  <w:style w:type="paragraph" w:styleId="13">
    <w:name w:val="Title"/>
    <w:basedOn w:val="1"/>
    <w:qFormat/>
    <w:uiPriority w:val="0"/>
    <w:pPr>
      <w:spacing w:beforeLines="0" w:beforeAutospacing="0" w:afterLines="0" w:afterAutospacing="0"/>
      <w:jc w:val="left"/>
      <w:outlineLvl w:val="0"/>
    </w:pPr>
    <w:rPr>
      <w:rFonts w:ascii="Arial" w:hAnsi="Arial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FollowedHyperlink"/>
    <w:basedOn w:val="16"/>
    <w:qFormat/>
    <w:uiPriority w:val="0"/>
    <w:rPr>
      <w:color w:val="1890FF"/>
      <w:u w:val="none"/>
    </w:rPr>
  </w:style>
  <w:style w:type="character" w:styleId="19">
    <w:name w:val="HTML Definition"/>
    <w:basedOn w:val="16"/>
    <w:qFormat/>
    <w:uiPriority w:val="0"/>
    <w:rPr>
      <w:i/>
      <w:iCs/>
    </w:rPr>
  </w:style>
  <w:style w:type="character" w:styleId="20">
    <w:name w:val="Hyperlink"/>
    <w:basedOn w:val="16"/>
    <w:qFormat/>
    <w:uiPriority w:val="0"/>
    <w:rPr>
      <w:color w:val="0000FF"/>
      <w:u w:val="single"/>
    </w:rPr>
  </w:style>
  <w:style w:type="character" w:styleId="21">
    <w:name w:val="HTML Code"/>
    <w:basedOn w:val="16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styleId="22">
    <w:name w:val="HTML Keyboard"/>
    <w:basedOn w:val="16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styleId="23">
    <w:name w:val="HTML Sample"/>
    <w:basedOn w:val="16"/>
    <w:qFormat/>
    <w:uiPriority w:val="0"/>
    <w:rPr>
      <w:rFonts w:ascii="Consolas" w:hAnsi="Consolas" w:eastAsia="Consolas" w:cs="Consolas"/>
      <w:sz w:val="21"/>
      <w:szCs w:val="21"/>
    </w:rPr>
  </w:style>
  <w:style w:type="paragraph" w:customStyle="1" w:styleId="24">
    <w:name w:val="列出段落2"/>
    <w:basedOn w:val="1"/>
    <w:qFormat/>
    <w:uiPriority w:val="99"/>
    <w:pPr>
      <w:widowControl w:val="0"/>
      <w:ind w:firstLine="420" w:firstLineChars="200"/>
      <w:jc w:val="both"/>
    </w:pPr>
    <w:rPr>
      <w:rFonts w:ascii="Calibri" w:hAnsi="Calibri" w:cs="Times New Roman"/>
      <w:kern w:val="2"/>
      <w:sz w:val="21"/>
      <w:szCs w:val="22"/>
    </w:rPr>
  </w:style>
  <w:style w:type="paragraph" w:customStyle="1" w:styleId="25">
    <w:name w:val="表格式"/>
    <w:basedOn w:val="1"/>
    <w:qFormat/>
    <w:uiPriority w:val="0"/>
    <w:pPr>
      <w:spacing w:line="240" w:lineRule="auto"/>
      <w:ind w:firstLine="0" w:firstLineChars="0"/>
      <w:jc w:val="center"/>
    </w:pPr>
    <w:rPr>
      <w:sz w:val="21"/>
      <w:szCs w:val="21"/>
    </w:rPr>
  </w:style>
  <w:style w:type="character" w:customStyle="1" w:styleId="26">
    <w:name w:val="ant-tree-switcher"/>
    <w:basedOn w:val="16"/>
    <w:qFormat/>
    <w:uiPriority w:val="0"/>
  </w:style>
  <w:style w:type="character" w:customStyle="1" w:styleId="27">
    <w:name w:val="ant-select-tree-iconele"/>
    <w:basedOn w:val="16"/>
    <w:qFormat/>
    <w:uiPriority w:val="0"/>
  </w:style>
  <w:style w:type="character" w:customStyle="1" w:styleId="28">
    <w:name w:val="active[data-v-639781fc]"/>
    <w:basedOn w:val="16"/>
    <w:qFormat/>
    <w:uiPriority w:val="0"/>
    <w:rPr>
      <w:color w:val="FFFFFF"/>
      <w:shd w:val="clear" w:fill="314659"/>
    </w:rPr>
  </w:style>
  <w:style w:type="character" w:customStyle="1" w:styleId="29">
    <w:name w:val="ant-select-tree-switcher"/>
    <w:basedOn w:val="16"/>
    <w:qFormat/>
    <w:uiPriority w:val="0"/>
  </w:style>
  <w:style w:type="character" w:customStyle="1" w:styleId="30">
    <w:name w:val="ant-tree-checkbox"/>
    <w:basedOn w:val="16"/>
    <w:qFormat/>
    <w:uiPriority w:val="0"/>
  </w:style>
  <w:style w:type="character" w:customStyle="1" w:styleId="31">
    <w:name w:val="ant-tree-iconele"/>
    <w:basedOn w:val="16"/>
    <w:qFormat/>
    <w:uiPriority w:val="0"/>
  </w:style>
  <w:style w:type="character" w:customStyle="1" w:styleId="32">
    <w:name w:val="ant-radio+*"/>
    <w:basedOn w:val="16"/>
    <w:qFormat/>
    <w:uiPriority w:val="0"/>
  </w:style>
  <w:style w:type="character" w:customStyle="1" w:styleId="33">
    <w:name w:val="ant-select-tree-checkbox2"/>
    <w:basedOn w:val="16"/>
    <w:qFormat/>
    <w:uiPriority w:val="0"/>
  </w:style>
  <w:style w:type="character" w:customStyle="1" w:styleId="34">
    <w:name w:val="ant-tree-checkbox2"/>
    <w:basedOn w:val="16"/>
    <w:qFormat/>
    <w:uiPriority w:val="0"/>
  </w:style>
  <w:style w:type="character" w:customStyle="1" w:styleId="35">
    <w:name w:val="ant-select-tree-checkbox"/>
    <w:basedOn w:val="16"/>
    <w:qFormat/>
    <w:uiPriority w:val="0"/>
  </w:style>
  <w:style w:type="character" w:customStyle="1" w:styleId="36">
    <w:name w:val="ant-select-tree-iconele2"/>
    <w:basedOn w:val="16"/>
    <w:qFormat/>
    <w:uiPriority w:val="0"/>
  </w:style>
  <w:style w:type="character" w:customStyle="1" w:styleId="37">
    <w:name w:val="font21"/>
    <w:basedOn w:val="16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38">
    <w:name w:val="font11"/>
    <w:basedOn w:val="1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9">
    <w:name w:val="font3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5.xml"/><Relationship Id="rId8" Type="http://schemas.openxmlformats.org/officeDocument/2006/relationships/header" Target="header4.xml"/><Relationship Id="rId7" Type="http://schemas.openxmlformats.org/officeDocument/2006/relationships/footer" Target="footer2.xml"/><Relationship Id="rId6" Type="http://schemas.openxmlformats.org/officeDocument/2006/relationships/header" Target="header3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jpeg"/><Relationship Id="rId17" Type="http://schemas.openxmlformats.org/officeDocument/2006/relationships/image" Target="media/image8.jpeg"/><Relationship Id="rId16" Type="http://schemas.openxmlformats.org/officeDocument/2006/relationships/image" Target="media/image7.jpe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header4.xml.rels><?xml version="1.0" encoding="UTF-8" standalone="yes"?>
<Relationships xmlns="http://schemas.openxmlformats.org/package/2006/relationships"><Relationship Id="rId4" Type="http://schemas.openxmlformats.org/officeDocument/2006/relationships/image" Target="media/image2.emf"/><Relationship Id="rId3" Type="http://schemas.openxmlformats.org/officeDocument/2006/relationships/oleObject" Target="embeddings/oleObject2.bin"/><Relationship Id="rId2" Type="http://schemas.openxmlformats.org/officeDocument/2006/relationships/image" Target="media/image1.emf"/><Relationship Id="rId1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5357</Words>
  <Characters>7756</Characters>
  <Lines>0</Lines>
  <Paragraphs>0</Paragraphs>
  <TotalTime>20</TotalTime>
  <ScaleCrop>false</ScaleCrop>
  <LinksUpToDate>false</LinksUpToDate>
  <CharactersWithSpaces>8394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2019-12-20T11:57:00Z</dcterms:created>
  <dc:creator>。</dc:creator>
  <cp:lastModifiedBy>^O^</cp:lastModifiedBy>
  <cp:lastPrinted>2023-06-09T07:41:00Z</cp:lastPrinted>
  <dcterms:modified xsi:type="dcterms:W3CDTF">2023-09-22T02:31:57Z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B294AE710DF84F2CAE4AF1DE6220DA9C_13</vt:lpwstr>
  </property>
  <property fmtid="{D5CDD505-2E9C-101B-9397-08002B2CF9AE}" pid="4" name="commondata">
    <vt:lpwstr>eyJoZGlkIjoiNDgyMDc1ZDdjZjc3NThhNjA5NjMyNTk0M2IyYTU3NjEifQ==</vt:lpwstr>
  </property>
</Properties>
</file>