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color w:val="FF000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cs="Times New Roman"/>
          <w:b/>
          <w:bCs/>
          <w:sz w:val="24"/>
          <w:szCs w:val="24"/>
          <w:lang w:eastAsia="zh-CN"/>
        </w:rPr>
      </w:pPr>
      <w:r>
        <w:rPr>
          <w:rFonts w:hint="eastAsia" w:ascii="Times New Roman" w:hAnsi="Times New Roman" w:cs="Times New Roman"/>
          <w:b/>
          <w:bCs/>
          <w:sz w:val="24"/>
          <w:szCs w:val="24"/>
          <w:lang w:eastAsia="zh-CN"/>
        </w:rPr>
        <w:t>宜春市袁州区百世腾畜牧养殖有限公司</w:t>
      </w:r>
      <w:r>
        <w:rPr>
          <w:rFonts w:hint="eastAsia" w:ascii="Times New Roman" w:hAnsi="Times New Roman" w:cs="Times New Roman"/>
          <w:b/>
          <w:bCs/>
          <w:sz w:val="24"/>
          <w:szCs w:val="24"/>
          <w:lang w:val="zh-TW" w:eastAsia="zh-CN"/>
        </w:rPr>
        <w:t>突发环境事件应急预案</w:t>
      </w:r>
      <w:r>
        <w:rPr>
          <w:rFonts w:hint="eastAsia" w:ascii="Times New Roman" w:hAnsi="Times New Roman" w:cs="Times New Roman"/>
          <w:b/>
          <w:bCs/>
          <w:sz w:val="24"/>
          <w:szCs w:val="24"/>
          <w:lang w:eastAsia="zh-CN"/>
        </w:rPr>
        <w:t>审查</w:t>
      </w:r>
      <w:r>
        <w:rPr>
          <w:rFonts w:hint="default" w:ascii="Times New Roman" w:hAnsi="Times New Roman" w:cs="Times New Roman"/>
          <w:b/>
          <w:bCs/>
          <w:sz w:val="24"/>
          <w:szCs w:val="24"/>
          <w:lang w:eastAsia="zh-CN"/>
        </w:rPr>
        <w:t>意见</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eastAsia="zh-CN"/>
        </w:rPr>
        <w:t>修改完善的内容</w:t>
      </w:r>
    </w:p>
    <w:tbl>
      <w:tblPr>
        <w:tblStyle w:val="1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40"/>
        <w:gridCol w:w="3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0"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Fonts w:hint="default" w:ascii="Times New Roman" w:hAnsi="Times New Roman" w:eastAsia="宋体" w:cs="Times New Roman"/>
                <w:b/>
                <w:bCs/>
                <w:sz w:val="22"/>
                <w:szCs w:val="22"/>
                <w:vertAlign w:val="baseline"/>
                <w:lang w:eastAsia="zh-CN"/>
              </w:rPr>
            </w:pPr>
            <w:r>
              <w:rPr>
                <w:rFonts w:hint="default" w:ascii="Times New Roman" w:hAnsi="Times New Roman" w:eastAsia="宋体" w:cs="Times New Roman"/>
                <w:b/>
                <w:bCs/>
                <w:sz w:val="22"/>
                <w:szCs w:val="22"/>
                <w:lang w:eastAsia="zh-CN"/>
              </w:rPr>
              <w:t>专家意见</w:t>
            </w:r>
          </w:p>
        </w:tc>
        <w:tc>
          <w:tcPr>
            <w:tcW w:w="3582"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Fonts w:hint="default" w:ascii="Times New Roman" w:hAnsi="Times New Roman" w:eastAsia="宋体" w:cs="Times New Roman"/>
                <w:b/>
                <w:bCs/>
                <w:sz w:val="22"/>
                <w:szCs w:val="22"/>
                <w:vertAlign w:val="baseline"/>
                <w:lang w:eastAsia="zh-CN"/>
              </w:rPr>
            </w:pPr>
            <w:r>
              <w:rPr>
                <w:rFonts w:hint="default" w:ascii="Times New Roman" w:hAnsi="Times New Roman" w:eastAsia="宋体" w:cs="Times New Roman"/>
                <w:b/>
                <w:bCs/>
                <w:sz w:val="22"/>
                <w:szCs w:val="22"/>
                <w:vertAlign w:val="baseline"/>
                <w:lang w:eastAsia="zh-CN"/>
              </w:rPr>
              <w:t>修改情况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0" w:type="dxa"/>
            <w:vAlign w:val="center"/>
          </w:tcPr>
          <w:p>
            <w:pPr>
              <w:keepNext w:val="0"/>
              <w:keepLines w:val="0"/>
              <w:widowControl/>
              <w:suppressLineNumbers w:val="0"/>
              <w:jc w:val="left"/>
              <w:rPr>
                <w:rFonts w:hint="default" w:hAnsi="Times New Roman" w:asciiTheme="minorHAnsi" w:eastAsiaTheme="minorEastAsia" w:cstheme="minorBidi"/>
                <w:color w:val="auto"/>
                <w:kern w:val="2"/>
                <w:sz w:val="21"/>
                <w:szCs w:val="24"/>
                <w:lang w:val="en-US" w:eastAsia="zh-CN" w:bidi="ar-SA"/>
              </w:rPr>
            </w:pPr>
            <w:r>
              <w:rPr>
                <w:rFonts w:hint="eastAsia" w:hAnsi="Times New Roman" w:asciiTheme="minorHAnsi" w:eastAsiaTheme="minorEastAsia" w:cstheme="minorBidi"/>
                <w:color w:val="auto"/>
                <w:kern w:val="2"/>
                <w:sz w:val="21"/>
                <w:szCs w:val="24"/>
                <w:lang w:val="en-US" w:eastAsia="zh-CN" w:bidi="ar-SA"/>
              </w:rPr>
              <w:t>1、P10《危险化学品目录（2018 版）》已调整为 2022 版；P11 项 目依据还需有项目批复文件；</w:t>
            </w:r>
          </w:p>
        </w:tc>
        <w:tc>
          <w:tcPr>
            <w:tcW w:w="3582"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auto"/>
                <w:sz w:val="22"/>
                <w:szCs w:val="22"/>
                <w:lang w:val="en-US" w:eastAsia="zh-CN"/>
              </w:rPr>
            </w:pPr>
            <w:r>
              <w:rPr>
                <w:rFonts w:hint="eastAsia" w:ascii="宋体" w:hAnsi="Times New Roman" w:eastAsia="宋体" w:cs="宋体"/>
                <w:lang w:val="en-US" w:eastAsia="zh-CN"/>
              </w:rPr>
              <w:t>P10-11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0" w:type="dxa"/>
            <w:vAlign w:val="center"/>
          </w:tcPr>
          <w:p>
            <w:pPr>
              <w:keepNext w:val="0"/>
              <w:keepLines w:val="0"/>
              <w:widowControl/>
              <w:suppressLineNumbers w:val="0"/>
              <w:jc w:val="left"/>
              <w:rPr>
                <w:rFonts w:hint="eastAsia" w:hAnsi="Times New Roman" w:asciiTheme="minorHAnsi" w:eastAsiaTheme="minorEastAsia" w:cstheme="minorBidi"/>
                <w:color w:val="auto"/>
                <w:kern w:val="2"/>
                <w:sz w:val="21"/>
                <w:szCs w:val="24"/>
                <w:lang w:val="en-US" w:eastAsia="zh-CN" w:bidi="ar-SA"/>
              </w:rPr>
            </w:pPr>
            <w:r>
              <w:rPr>
                <w:rFonts w:hint="eastAsia" w:hAnsi="Times New Roman" w:asciiTheme="minorHAnsi" w:eastAsiaTheme="minorEastAsia" w:cstheme="minorBidi"/>
                <w:color w:val="auto"/>
                <w:kern w:val="2"/>
                <w:sz w:val="21"/>
                <w:szCs w:val="24"/>
                <w:lang w:val="en-US" w:eastAsia="zh-CN" w:bidi="ar-SA"/>
              </w:rPr>
              <w:t>2、补充本预案与企业生产安全事故预案及与地方人民政府环境应急预案的衔接关系的应急预案体系图；</w:t>
            </w:r>
          </w:p>
        </w:tc>
        <w:tc>
          <w:tcPr>
            <w:tcW w:w="3582"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textAlignment w:val="auto"/>
              <w:rPr>
                <w:rFonts w:hint="default" w:hAnsi="Times New Roman" w:asciiTheme="minorHAnsi" w:eastAsiaTheme="minorEastAsia" w:cstheme="minorBidi"/>
                <w:color w:val="auto"/>
                <w:kern w:val="2"/>
                <w:sz w:val="21"/>
                <w:szCs w:val="24"/>
                <w:lang w:val="en-US" w:eastAsia="zh-CN" w:bidi="ar-SA"/>
              </w:rPr>
            </w:pPr>
            <w:r>
              <w:rPr>
                <w:rFonts w:hint="eastAsia" w:asciiTheme="minorHAnsi" w:eastAsiaTheme="minorEastAsia" w:cstheme="minorBidi"/>
                <w:color w:val="auto"/>
                <w:kern w:val="2"/>
                <w:sz w:val="21"/>
                <w:szCs w:val="24"/>
                <w:lang w:val="en-US" w:eastAsia="zh-CN" w:bidi="ar-SA"/>
              </w:rPr>
              <w:t>P16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40" w:type="dxa"/>
            <w:vAlign w:val="center"/>
          </w:tcPr>
          <w:p>
            <w:pPr>
              <w:keepNext w:val="0"/>
              <w:keepLines w:val="0"/>
              <w:widowControl/>
              <w:suppressLineNumbers w:val="0"/>
              <w:jc w:val="left"/>
              <w:rPr>
                <w:rFonts w:hint="default" w:hAnsi="Times New Roman"/>
                <w:lang w:val="en-US" w:eastAsia="zh-CN"/>
              </w:rPr>
            </w:pPr>
            <w:r>
              <w:rPr>
                <w:rFonts w:hint="eastAsia" w:hAnsi="Times New Roman" w:asciiTheme="minorHAnsi" w:eastAsiaTheme="minorEastAsia" w:cstheme="minorBidi"/>
                <w:color w:val="auto"/>
                <w:kern w:val="2"/>
                <w:sz w:val="21"/>
                <w:szCs w:val="24"/>
                <w:lang w:val="en-US" w:eastAsia="zh-CN" w:bidi="ar-SA"/>
              </w:rPr>
              <w:t>3、P17 补充原辅料理化特性；</w:t>
            </w:r>
          </w:p>
        </w:tc>
        <w:tc>
          <w:tcPr>
            <w:tcW w:w="3582"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default" w:ascii="宋体" w:hAnsi="宋体" w:cs="Times New Roman"/>
                <w:b w:val="0"/>
                <w:bCs w:val="0"/>
                <w:kern w:val="2"/>
                <w:sz w:val="21"/>
                <w:szCs w:val="21"/>
                <w:lang w:val="en-US" w:eastAsia="zh-CN" w:bidi="ar-SA"/>
              </w:rPr>
            </w:pPr>
            <w:r>
              <w:rPr>
                <w:rFonts w:hint="eastAsia" w:ascii="宋体" w:hAnsi="宋体" w:cs="Times New Roman"/>
                <w:b w:val="0"/>
                <w:bCs w:val="0"/>
                <w:kern w:val="2"/>
                <w:sz w:val="21"/>
                <w:szCs w:val="21"/>
                <w:lang w:val="en-US" w:eastAsia="zh-CN" w:bidi="ar-SA"/>
              </w:rPr>
              <w:t>P18-19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0" w:type="dxa"/>
            <w:vAlign w:val="center"/>
          </w:tcPr>
          <w:p>
            <w:pPr>
              <w:keepNext w:val="0"/>
              <w:keepLines w:val="0"/>
              <w:widowControl/>
              <w:suppressLineNumbers w:val="0"/>
              <w:jc w:val="left"/>
              <w:rPr>
                <w:rFonts w:hint="default" w:hAnsi="Times New Roman"/>
                <w:lang w:val="en-US" w:eastAsia="zh-CN"/>
              </w:rPr>
            </w:pPr>
            <w:r>
              <w:rPr>
                <w:rFonts w:hint="eastAsia" w:hAnsi="Times New Roman"/>
                <w:lang w:val="en-US" w:eastAsia="zh-CN"/>
              </w:rPr>
              <w:t>4、</w:t>
            </w:r>
            <w:r>
              <w:rPr>
                <w:rFonts w:hint="eastAsia" w:hAnsi="Times New Roman" w:asciiTheme="minorHAnsi" w:eastAsiaTheme="minorEastAsia" w:cstheme="minorBidi"/>
                <w:color w:val="auto"/>
                <w:kern w:val="2"/>
                <w:sz w:val="21"/>
                <w:szCs w:val="24"/>
                <w:lang w:val="en-US" w:eastAsia="zh-CN" w:bidi="ar-SA"/>
              </w:rPr>
              <w:t>P22 补充项目废水处理工艺流程；</w:t>
            </w:r>
          </w:p>
        </w:tc>
        <w:tc>
          <w:tcPr>
            <w:tcW w:w="3582"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default" w:hAnsi="Times New Roman"/>
                <w:lang w:val="en-US" w:eastAsia="zh-CN"/>
              </w:rPr>
            </w:pPr>
            <w:r>
              <w:rPr>
                <w:rFonts w:hint="eastAsia" w:hAnsi="Times New Roman"/>
                <w:lang w:val="en-US" w:eastAsia="zh-CN"/>
              </w:rPr>
              <w:t>P23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0"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textAlignment w:val="auto"/>
              <w:rPr>
                <w:rFonts w:hint="default" w:ascii="宋体" w:hAnsi="宋体" w:cs="Times New Roman"/>
                <w:b w:val="0"/>
                <w:bCs w:val="0"/>
                <w:kern w:val="2"/>
                <w:sz w:val="21"/>
                <w:szCs w:val="21"/>
                <w:lang w:val="en-US" w:eastAsia="zh-CN" w:bidi="ar-SA"/>
              </w:rPr>
            </w:pPr>
            <w:r>
              <w:rPr>
                <w:rFonts w:hint="eastAsia" w:hAnsi="Times New Roman" w:asciiTheme="minorHAnsi" w:eastAsiaTheme="minorEastAsia" w:cstheme="minorBidi"/>
                <w:color w:val="auto"/>
                <w:kern w:val="2"/>
                <w:sz w:val="21"/>
                <w:szCs w:val="24"/>
                <w:lang w:val="en-US" w:eastAsia="zh-CN" w:bidi="ar-SA"/>
              </w:rPr>
              <w:t>5、表1.4-1 公司突发环境事件分级表中分级标准、警示颜色应与企业事件分级相对应，补充废水事故排放情形；补充企业</w:t>
            </w:r>
            <w:r>
              <w:rPr>
                <w:rFonts w:hint="default" w:hAnsi="Times New Roman" w:asciiTheme="minorHAnsi" w:eastAsiaTheme="minorEastAsia" w:cstheme="minorBidi"/>
                <w:color w:val="auto"/>
                <w:kern w:val="2"/>
                <w:sz w:val="21"/>
                <w:szCs w:val="24"/>
                <w:lang w:val="en-US" w:eastAsia="zh-CN" w:bidi="ar-SA"/>
              </w:rPr>
              <w:t>应急预案体系</w:t>
            </w:r>
            <w:r>
              <w:rPr>
                <w:rFonts w:hint="eastAsia" w:hAnsi="Times New Roman" w:asciiTheme="minorHAnsi" w:eastAsiaTheme="minorEastAsia" w:cstheme="minorBidi"/>
                <w:color w:val="auto"/>
                <w:kern w:val="2"/>
                <w:sz w:val="21"/>
                <w:szCs w:val="24"/>
                <w:lang w:val="en-US" w:eastAsia="zh-CN" w:bidi="ar-SA"/>
              </w:rPr>
              <w:t>图；补充企业</w:t>
            </w:r>
            <w:r>
              <w:rPr>
                <w:rFonts w:hint="default" w:hAnsi="Times New Roman" w:asciiTheme="minorHAnsi" w:eastAsiaTheme="minorEastAsia" w:cstheme="minorBidi"/>
                <w:color w:val="auto"/>
                <w:kern w:val="2"/>
                <w:sz w:val="21"/>
                <w:szCs w:val="24"/>
                <w:lang w:val="en-US" w:eastAsia="zh-CN" w:bidi="ar-SA"/>
              </w:rPr>
              <w:t>分级响应机制对照表</w:t>
            </w:r>
            <w:r>
              <w:rPr>
                <w:rFonts w:hint="eastAsia" w:hAnsi="Times New Roman" w:asciiTheme="minorHAnsi" w:eastAsiaTheme="minorEastAsia" w:cstheme="minorBidi"/>
                <w:color w:val="auto"/>
                <w:kern w:val="2"/>
                <w:sz w:val="21"/>
                <w:szCs w:val="24"/>
                <w:lang w:val="en-US" w:eastAsia="zh-CN" w:bidi="ar-SA"/>
              </w:rPr>
              <w:t>；补充与上级预案、公司内部预案、安全预案的衔接；补充</w:t>
            </w:r>
            <w:r>
              <w:rPr>
                <w:rFonts w:hint="eastAsia" w:hAnsi="Times New Roman" w:asciiTheme="minorHAnsi" w:eastAsiaTheme="minorEastAsia" w:cstheme="minorBidi"/>
                <w:color w:val="auto"/>
                <w:kern w:val="2"/>
                <w:sz w:val="21"/>
                <w:szCs w:val="24"/>
                <w:lang w:val="zh-CN" w:eastAsia="zh-CN" w:bidi="ar-SA"/>
              </w:rPr>
              <w:t>企业突发环境事件应急救援流程图</w:t>
            </w:r>
            <w:r>
              <w:rPr>
                <w:rFonts w:hint="eastAsia" w:hAnsi="Times New Roman" w:asciiTheme="minorHAnsi" w:eastAsiaTheme="minorEastAsia" w:cstheme="minorBidi"/>
                <w:color w:val="auto"/>
                <w:kern w:val="2"/>
                <w:sz w:val="21"/>
                <w:szCs w:val="24"/>
                <w:lang w:val="en-US" w:eastAsia="zh-CN" w:bidi="ar-SA"/>
              </w:rPr>
              <w:t>、事故处置基本程序图等；</w:t>
            </w:r>
          </w:p>
        </w:tc>
        <w:tc>
          <w:tcPr>
            <w:tcW w:w="3582"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default" w:ascii="宋体" w:hAnsi="宋体" w:cs="Times New Roman"/>
                <w:b w:val="0"/>
                <w:bCs w:val="0"/>
                <w:kern w:val="2"/>
                <w:sz w:val="21"/>
                <w:szCs w:val="21"/>
                <w:lang w:val="en-US" w:eastAsia="zh-CN" w:bidi="ar-SA"/>
              </w:rPr>
            </w:pPr>
            <w:r>
              <w:rPr>
                <w:rFonts w:hint="eastAsia" w:ascii="宋体" w:hAnsi="宋体" w:cs="Times New Roman"/>
                <w:b w:val="0"/>
                <w:bCs w:val="0"/>
                <w:kern w:val="2"/>
                <w:sz w:val="21"/>
                <w:szCs w:val="21"/>
                <w:lang w:val="en-US" w:eastAsia="zh-CN" w:bidi="ar-SA"/>
              </w:rPr>
              <w:t>已修改完善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0"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textAlignment w:val="auto"/>
              <w:rPr>
                <w:rFonts w:hint="default" w:hAnsi="Times New Roman"/>
                <w:lang w:val="en-US" w:eastAsia="zh-CN"/>
              </w:rPr>
            </w:pPr>
            <w:r>
              <w:rPr>
                <w:rFonts w:hint="eastAsia" w:hAnsi="Times New Roman"/>
                <w:lang w:val="en-US" w:eastAsia="zh-CN"/>
              </w:rPr>
              <w:t>6、</w:t>
            </w:r>
            <w:r>
              <w:rPr>
                <w:rFonts w:hint="eastAsia" w:hAnsi="Times New Roman" w:asciiTheme="minorHAnsi" w:eastAsiaTheme="minorEastAsia" w:cstheme="minorBidi"/>
                <w:color w:val="auto"/>
                <w:kern w:val="2"/>
                <w:sz w:val="21"/>
                <w:szCs w:val="24"/>
                <w:lang w:val="en-US" w:eastAsia="zh-CN" w:bidi="ar-SA"/>
              </w:rPr>
              <w:t>2.1基本情况中核实工作时间及工作天数；</w:t>
            </w:r>
            <w:r>
              <w:rPr>
                <w:rFonts w:hint="default" w:hAnsi="Times New Roman" w:asciiTheme="minorHAnsi" w:eastAsiaTheme="minorEastAsia" w:cstheme="minorBidi"/>
                <w:color w:val="auto"/>
                <w:kern w:val="2"/>
                <w:sz w:val="21"/>
                <w:szCs w:val="24"/>
                <w:lang w:val="en-US" w:eastAsia="zh-CN" w:bidi="ar-SA"/>
              </w:rPr>
              <w:t>表2.1-2主要</w:t>
            </w:r>
            <w:r>
              <w:rPr>
                <w:rFonts w:hint="eastAsia" w:hAnsi="Times New Roman" w:asciiTheme="minorHAnsi" w:eastAsiaTheme="minorEastAsia" w:cstheme="minorBidi"/>
                <w:color w:val="auto"/>
                <w:kern w:val="2"/>
                <w:sz w:val="21"/>
                <w:szCs w:val="24"/>
                <w:lang w:val="en-US" w:eastAsia="zh-CN" w:bidi="ar-SA"/>
              </w:rPr>
              <w:t>建设工程</w:t>
            </w:r>
            <w:r>
              <w:rPr>
                <w:rFonts w:hint="default" w:hAnsi="Times New Roman" w:asciiTheme="minorHAnsi" w:eastAsiaTheme="minorEastAsia" w:cstheme="minorBidi"/>
                <w:color w:val="auto"/>
                <w:kern w:val="2"/>
                <w:sz w:val="21"/>
                <w:szCs w:val="24"/>
                <w:lang w:val="en-US" w:eastAsia="zh-CN" w:bidi="ar-SA"/>
              </w:rPr>
              <w:t>一览表</w:t>
            </w:r>
            <w:r>
              <w:rPr>
                <w:rFonts w:hint="eastAsia" w:hAnsi="Times New Roman" w:asciiTheme="minorHAnsi" w:eastAsiaTheme="minorEastAsia" w:cstheme="minorBidi"/>
                <w:color w:val="auto"/>
                <w:kern w:val="2"/>
                <w:sz w:val="21"/>
                <w:szCs w:val="24"/>
                <w:lang w:val="en-US" w:eastAsia="zh-CN" w:bidi="ar-SA"/>
              </w:rPr>
              <w:t>补充固废、危废仓库；表2.1-3中核实设备全热交换器2042台；</w:t>
            </w:r>
            <w:r>
              <w:rPr>
                <w:rFonts w:hint="default" w:hAnsi="Times New Roman" w:asciiTheme="minorHAnsi" w:eastAsiaTheme="minorEastAsia" w:cstheme="minorBidi"/>
                <w:color w:val="auto"/>
                <w:kern w:val="2"/>
                <w:sz w:val="21"/>
                <w:szCs w:val="24"/>
                <w:lang w:val="en-US" w:eastAsia="zh-CN" w:bidi="ar-SA"/>
              </w:rPr>
              <w:t>表3.1-</w:t>
            </w:r>
            <w:r>
              <w:rPr>
                <w:rFonts w:hint="eastAsia" w:hAnsi="Times New Roman" w:asciiTheme="minorHAnsi" w:eastAsiaTheme="minorEastAsia" w:cstheme="minorBidi"/>
                <w:color w:val="auto"/>
                <w:kern w:val="2"/>
                <w:sz w:val="21"/>
                <w:szCs w:val="24"/>
                <w:lang w:val="en-US" w:eastAsia="zh-CN" w:bidi="ar-SA"/>
              </w:rPr>
              <w:t>2应补足</w:t>
            </w:r>
            <w:r>
              <w:rPr>
                <w:rFonts w:hint="default" w:hAnsi="Times New Roman" w:asciiTheme="minorHAnsi" w:eastAsiaTheme="minorEastAsia" w:cstheme="minorBidi"/>
                <w:color w:val="auto"/>
                <w:kern w:val="2"/>
                <w:sz w:val="21"/>
                <w:szCs w:val="24"/>
                <w:lang w:val="en-US" w:eastAsia="zh-CN" w:bidi="ar-SA"/>
              </w:rPr>
              <w:t>应急物资和装备</w:t>
            </w:r>
            <w:r>
              <w:rPr>
                <w:rFonts w:hint="eastAsia" w:hAnsi="Times New Roman" w:asciiTheme="minorHAnsi" w:eastAsiaTheme="minorEastAsia" w:cstheme="minorBidi"/>
                <w:color w:val="auto"/>
                <w:kern w:val="2"/>
                <w:sz w:val="21"/>
                <w:szCs w:val="24"/>
                <w:lang w:val="en-US" w:eastAsia="zh-CN" w:bidi="ar-SA"/>
              </w:rPr>
              <w:t>应与从企业实际考虑配备必要的物资；补充环境风险源及环境物质的识别与分析；</w:t>
            </w:r>
          </w:p>
        </w:tc>
        <w:tc>
          <w:tcPr>
            <w:tcW w:w="3582" w:type="dxa"/>
            <w:vAlign w:val="center"/>
          </w:tcPr>
          <w:p>
            <w:pPr>
              <w:spacing w:before="0" w:after="0" w:line="240" w:lineRule="auto"/>
              <w:ind w:right="0"/>
              <w:jc w:val="left"/>
              <w:rPr>
                <w:rFonts w:hint="default" w:hAnsi="Times New Roman"/>
                <w:lang w:val="en-US" w:eastAsia="zh-CN"/>
              </w:rPr>
            </w:pPr>
            <w:r>
              <w:rPr>
                <w:rFonts w:hint="eastAsia" w:ascii="宋体" w:hAnsi="宋体" w:cs="Times New Roman"/>
                <w:b w:val="0"/>
                <w:bCs w:val="0"/>
                <w:kern w:val="2"/>
                <w:sz w:val="21"/>
                <w:szCs w:val="21"/>
                <w:lang w:val="en-US" w:eastAsia="zh-CN" w:bidi="ar-SA"/>
              </w:rPr>
              <w:t>已修改完善，P28-32已补充风险源识别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0" w:type="dxa"/>
            <w:vAlign w:val="center"/>
          </w:tcPr>
          <w:p>
            <w:pPr>
              <w:keepNext w:val="0"/>
              <w:keepLines w:val="0"/>
              <w:widowControl/>
              <w:suppressLineNumbers w:val="0"/>
              <w:jc w:val="left"/>
              <w:rPr>
                <w:rFonts w:hint="default" w:ascii="宋体" w:hAnsi="宋体" w:cs="Times New Roman"/>
                <w:b w:val="0"/>
                <w:bCs w:val="0"/>
                <w:kern w:val="2"/>
                <w:sz w:val="21"/>
                <w:szCs w:val="21"/>
                <w:lang w:val="en-US" w:eastAsia="zh-CN" w:bidi="ar-SA"/>
              </w:rPr>
            </w:pPr>
            <w:r>
              <w:rPr>
                <w:rFonts w:hint="eastAsia" w:ascii="宋体" w:hAnsi="宋体" w:cs="Times New Roman"/>
                <w:b w:val="0"/>
                <w:bCs w:val="0"/>
                <w:kern w:val="2"/>
                <w:sz w:val="21"/>
                <w:szCs w:val="21"/>
                <w:lang w:val="en-US" w:eastAsia="zh-CN" w:bidi="ar-SA"/>
              </w:rPr>
              <w:t>7</w:t>
            </w:r>
            <w:r>
              <w:rPr>
                <w:rFonts w:hint="eastAsia" w:hAnsi="Times New Roman" w:asciiTheme="minorHAnsi" w:eastAsiaTheme="minorEastAsia" w:cstheme="minorBidi"/>
                <w:color w:val="auto"/>
                <w:kern w:val="2"/>
                <w:sz w:val="21"/>
                <w:szCs w:val="24"/>
                <w:lang w:val="en-US" w:eastAsia="zh-CN" w:bidi="ar-SA"/>
              </w:rPr>
              <w:t>、4.1中企业人员较少，没有必要成立这么多应急小组，部分小组可以合并；</w:t>
            </w:r>
            <w:bookmarkStart w:id="0" w:name="_Toc22241"/>
            <w:bookmarkStart w:id="1" w:name="_Toc7350"/>
            <w:bookmarkStart w:id="2" w:name="_Toc19863"/>
            <w:bookmarkStart w:id="3" w:name="_Toc7945"/>
            <w:r>
              <w:rPr>
                <w:rFonts w:hint="default" w:hAnsi="Times New Roman" w:asciiTheme="minorHAnsi" w:eastAsiaTheme="minorEastAsia" w:cstheme="minorBidi"/>
                <w:color w:val="auto"/>
                <w:kern w:val="2"/>
                <w:sz w:val="21"/>
                <w:szCs w:val="24"/>
                <w:lang w:val="en-US" w:eastAsia="zh-CN" w:bidi="ar-SA"/>
              </w:rPr>
              <w:t>4.2指挥机构组成及职责</w:t>
            </w:r>
            <w:bookmarkEnd w:id="0"/>
            <w:bookmarkEnd w:id="1"/>
            <w:bookmarkEnd w:id="2"/>
            <w:bookmarkEnd w:id="3"/>
            <w:r>
              <w:rPr>
                <w:rFonts w:hint="eastAsia" w:hAnsi="Times New Roman" w:asciiTheme="minorHAnsi" w:eastAsiaTheme="minorEastAsia" w:cstheme="minorBidi"/>
                <w:color w:val="auto"/>
                <w:kern w:val="2"/>
                <w:sz w:val="21"/>
                <w:szCs w:val="24"/>
                <w:lang w:val="en-US" w:eastAsia="zh-CN" w:bidi="ar-SA"/>
              </w:rPr>
              <w:t>补充各小组成员姓名；建议补充善后处置小组；</w:t>
            </w:r>
            <w:bookmarkStart w:id="4" w:name="_Toc29164"/>
            <w:bookmarkStart w:id="5" w:name="_Toc27980"/>
            <w:bookmarkStart w:id="6" w:name="_Toc22883"/>
            <w:r>
              <w:rPr>
                <w:rFonts w:hint="eastAsia" w:hAnsi="Times New Roman" w:asciiTheme="minorHAnsi" w:eastAsiaTheme="minorEastAsia" w:cstheme="minorBidi"/>
                <w:color w:val="auto"/>
                <w:kern w:val="2"/>
                <w:sz w:val="21"/>
                <w:szCs w:val="24"/>
                <w:lang w:val="en-US" w:eastAsia="zh-CN" w:bidi="ar-SA"/>
              </w:rPr>
              <w:t>5.2.6</w:t>
            </w:r>
            <w:bookmarkEnd w:id="4"/>
            <w:bookmarkEnd w:id="5"/>
            <w:bookmarkEnd w:id="6"/>
            <w:r>
              <w:rPr>
                <w:rFonts w:hint="eastAsia" w:hAnsi="Times New Roman" w:asciiTheme="minorHAnsi" w:eastAsiaTheme="minorEastAsia" w:cstheme="minorBidi"/>
                <w:color w:val="auto"/>
                <w:kern w:val="2"/>
                <w:sz w:val="21"/>
                <w:szCs w:val="24"/>
                <w:lang w:val="zh-CN" w:eastAsia="zh-CN" w:bidi="ar-SA"/>
              </w:rPr>
              <w:t>《危险废物贮存污染控制标准》（GB18597-2023）不要</w:t>
            </w:r>
            <w:r>
              <w:rPr>
                <w:rFonts w:hint="eastAsia" w:hAnsi="Times New Roman" w:asciiTheme="minorHAnsi" w:eastAsiaTheme="minorEastAsia" w:cstheme="minorBidi"/>
                <w:color w:val="auto"/>
                <w:kern w:val="2"/>
                <w:sz w:val="21"/>
                <w:szCs w:val="24"/>
                <w:lang w:val="en-US" w:eastAsia="zh-CN" w:bidi="ar-SA"/>
              </w:rPr>
              <w:t>2013年修订；5.2增加对猪栏清洗废水的管理，防止废水未处理直接排放；表5.5-1</w:t>
            </w:r>
            <w:r>
              <w:rPr>
                <w:rFonts w:hint="eastAsia" w:hAnsi="Times New Roman" w:asciiTheme="minorHAnsi" w:eastAsiaTheme="minorEastAsia" w:cstheme="minorBidi"/>
                <w:color w:val="auto"/>
                <w:kern w:val="2"/>
                <w:sz w:val="21"/>
                <w:szCs w:val="24"/>
                <w:lang w:val="en-US" w:eastAsia="zh-CN" w:bidi="ar-SA"/>
              </w:rPr>
              <w:tab/>
            </w:r>
            <w:r>
              <w:rPr>
                <w:rFonts w:hint="eastAsia" w:hAnsi="Times New Roman" w:asciiTheme="minorHAnsi" w:eastAsiaTheme="minorEastAsia" w:cstheme="minorBidi"/>
                <w:color w:val="auto"/>
                <w:kern w:val="2"/>
                <w:sz w:val="21"/>
                <w:szCs w:val="24"/>
                <w:lang w:val="en-US" w:eastAsia="zh-CN" w:bidi="ar-SA"/>
              </w:rPr>
              <w:t>预警级别表按前面修改，红色预警为特别重大，</w:t>
            </w:r>
            <w:bookmarkStart w:id="7" w:name="_GoBack"/>
            <w:bookmarkEnd w:id="7"/>
            <w:r>
              <w:rPr>
                <w:rFonts w:hint="eastAsia" w:hAnsi="Times New Roman" w:asciiTheme="minorHAnsi" w:eastAsiaTheme="minorEastAsia" w:cstheme="minorBidi"/>
                <w:color w:val="auto"/>
                <w:kern w:val="2"/>
                <w:sz w:val="21"/>
                <w:szCs w:val="24"/>
                <w:lang w:val="en-US" w:eastAsia="zh-CN" w:bidi="ar-SA"/>
              </w:rPr>
              <w:t>橙色表中未见说明；5.6.2</w:t>
            </w:r>
            <w:r>
              <w:rPr>
                <w:rFonts w:hint="default" w:hAnsi="Times New Roman" w:asciiTheme="minorHAnsi" w:eastAsiaTheme="minorEastAsia" w:cstheme="minorBidi"/>
                <w:color w:val="auto"/>
                <w:kern w:val="2"/>
                <w:sz w:val="21"/>
                <w:szCs w:val="24"/>
                <w:lang w:val="en-US" w:eastAsia="zh-CN" w:bidi="ar-SA"/>
              </w:rPr>
              <w:t>发生I级突发环境预警事件，应在1小时之内</w:t>
            </w:r>
            <w:r>
              <w:rPr>
                <w:rFonts w:hint="eastAsia" w:hAnsi="Times New Roman" w:asciiTheme="minorHAnsi" w:eastAsiaTheme="minorEastAsia" w:cstheme="minorBidi"/>
                <w:color w:val="auto"/>
                <w:kern w:val="2"/>
                <w:sz w:val="21"/>
                <w:szCs w:val="24"/>
                <w:lang w:val="en-US" w:eastAsia="zh-CN" w:bidi="ar-SA"/>
              </w:rPr>
              <w:t>，与P15页在半小时内通知不一致，请统一；</w:t>
            </w:r>
            <w:r>
              <w:rPr>
                <w:rFonts w:hint="default" w:hAnsi="Times New Roman" w:asciiTheme="minorHAnsi" w:eastAsiaTheme="minorEastAsia" w:cstheme="minorBidi"/>
                <w:color w:val="auto"/>
                <w:kern w:val="2"/>
                <w:sz w:val="21"/>
                <w:szCs w:val="24"/>
                <w:lang w:val="en-US" w:eastAsia="zh-CN" w:bidi="ar-SA"/>
              </w:rPr>
              <w:t>表5.</w:t>
            </w:r>
            <w:r>
              <w:rPr>
                <w:rFonts w:hint="eastAsia" w:hAnsi="Times New Roman" w:asciiTheme="minorHAnsi" w:eastAsiaTheme="minorEastAsia" w:cstheme="minorBidi"/>
                <w:color w:val="auto"/>
                <w:kern w:val="2"/>
                <w:sz w:val="21"/>
                <w:szCs w:val="24"/>
                <w:lang w:val="en-US" w:eastAsia="zh-CN" w:bidi="ar-SA"/>
              </w:rPr>
              <w:t>6</w:t>
            </w:r>
            <w:r>
              <w:rPr>
                <w:rFonts w:hint="default" w:hAnsi="Times New Roman" w:asciiTheme="minorHAnsi" w:eastAsiaTheme="minorEastAsia" w:cstheme="minorBidi"/>
                <w:color w:val="auto"/>
                <w:kern w:val="2"/>
                <w:sz w:val="21"/>
                <w:szCs w:val="24"/>
                <w:lang w:val="en-US" w:eastAsia="zh-CN" w:bidi="ar-SA"/>
              </w:rPr>
              <w:t>-1 I级突发环境事件发生后请求支援单位的联系电话一览表</w:t>
            </w:r>
            <w:r>
              <w:rPr>
                <w:rFonts w:hint="eastAsia" w:hAnsi="Times New Roman" w:asciiTheme="minorHAnsi" w:eastAsiaTheme="minorEastAsia" w:cstheme="minorBidi"/>
                <w:color w:val="auto"/>
                <w:kern w:val="2"/>
                <w:sz w:val="21"/>
                <w:szCs w:val="24"/>
                <w:lang w:val="en-US" w:eastAsia="zh-CN" w:bidi="ar-SA"/>
              </w:rPr>
              <w:t>中江西省、宜春市等单位电话可以不要，宜春市人民医院和北院是同一个单位；补充新坊乡政府的联系电话；补充单位地址；</w:t>
            </w:r>
          </w:p>
        </w:tc>
        <w:tc>
          <w:tcPr>
            <w:tcW w:w="3582"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000000" w:themeColor="text1"/>
                <w:sz w:val="22"/>
                <w:szCs w:val="22"/>
                <w:lang w:val="en-US" w:eastAsia="zh-CN"/>
                <w14:textFill>
                  <w14:solidFill>
                    <w14:schemeClr w14:val="tx1"/>
                  </w14:solidFill>
                </w14:textFill>
              </w:rPr>
            </w:pPr>
            <w:r>
              <w:rPr>
                <w:rFonts w:hint="eastAsia" w:ascii="Times New Roman" w:hAnsi="Times New Roman" w:eastAsia="宋体" w:cs="Times New Roman"/>
                <w:color w:val="000000" w:themeColor="text1"/>
                <w:sz w:val="22"/>
                <w:szCs w:val="22"/>
                <w:lang w:val="en-US" w:eastAsia="zh-CN"/>
                <w14:textFill>
                  <w14:solidFill>
                    <w14:schemeClr w14:val="tx1"/>
                  </w14:solidFill>
                </w14:textFill>
              </w:rPr>
              <w:t>已完善 5.2.3已补充废水污染防控措施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0" w:type="dxa"/>
            <w:vAlign w:val="center"/>
          </w:tcPr>
          <w:p>
            <w:pPr>
              <w:keepNext w:val="0"/>
              <w:keepLines w:val="0"/>
              <w:widowControl/>
              <w:suppressLineNumbers w:val="0"/>
              <w:jc w:val="left"/>
              <w:rPr>
                <w:rFonts w:hint="default" w:ascii="宋体" w:hAnsi="宋体" w:cs="Times New Roman"/>
                <w:b w:val="0"/>
                <w:bCs w:val="0"/>
                <w:kern w:val="2"/>
                <w:sz w:val="21"/>
                <w:szCs w:val="21"/>
                <w:lang w:val="en-US" w:eastAsia="zh-CN" w:bidi="ar-SA"/>
              </w:rPr>
            </w:pPr>
            <w:r>
              <w:rPr>
                <w:rFonts w:hint="eastAsia" w:ascii="宋体" w:hAnsi="宋体" w:cs="Times New Roman"/>
                <w:b w:val="0"/>
                <w:bCs w:val="0"/>
                <w:kern w:val="2"/>
                <w:sz w:val="21"/>
                <w:szCs w:val="21"/>
                <w:lang w:val="en-US" w:eastAsia="zh-CN" w:bidi="ar-SA"/>
              </w:rPr>
              <w:t>8、</w:t>
            </w:r>
            <w:r>
              <w:rPr>
                <w:rFonts w:hint="default" w:hAnsi="Times New Roman" w:asciiTheme="minorHAnsi" w:eastAsiaTheme="minorEastAsia" w:cstheme="minorBidi"/>
                <w:color w:val="auto"/>
                <w:kern w:val="2"/>
                <w:sz w:val="21"/>
                <w:szCs w:val="24"/>
                <w:lang w:val="en-US" w:eastAsia="zh-CN" w:bidi="ar-SA"/>
              </w:rPr>
              <w:t xml:space="preserve">P38 预防措施：应根据项目实情采取预防措施，例如沼气易燃 </w:t>
            </w:r>
            <w:r>
              <w:rPr>
                <w:rFonts w:hint="eastAsia" w:hAnsi="Times New Roman" w:asciiTheme="minorHAnsi" w:eastAsiaTheme="minorEastAsia" w:cstheme="minorBidi"/>
                <w:color w:val="auto"/>
                <w:kern w:val="2"/>
                <w:sz w:val="21"/>
                <w:szCs w:val="24"/>
                <w:lang w:val="en-US" w:eastAsia="zh-CN" w:bidi="ar-SA"/>
              </w:rPr>
              <w:t>易爆的预防、废水满溢如何预防等；</w:t>
            </w:r>
          </w:p>
        </w:tc>
        <w:tc>
          <w:tcPr>
            <w:tcW w:w="3582"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000000" w:themeColor="text1"/>
                <w:sz w:val="22"/>
                <w:szCs w:val="22"/>
                <w:lang w:val="en-US" w:eastAsia="zh-CN"/>
                <w14:textFill>
                  <w14:solidFill>
                    <w14:schemeClr w14:val="tx1"/>
                  </w14:solidFill>
                </w14:textFill>
              </w:rPr>
              <w:t>P45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0" w:type="dxa"/>
            <w:vAlign w:val="center"/>
          </w:tcPr>
          <w:p>
            <w:pPr>
              <w:keepNext w:val="0"/>
              <w:keepLines w:val="0"/>
              <w:widowControl/>
              <w:suppressLineNumbers w:val="0"/>
              <w:jc w:val="left"/>
              <w:rPr>
                <w:rFonts w:hint="default" w:ascii="宋体" w:hAnsi="宋体" w:cs="Times New Roman"/>
                <w:b w:val="0"/>
                <w:bCs w:val="0"/>
                <w:kern w:val="2"/>
                <w:sz w:val="21"/>
                <w:szCs w:val="21"/>
                <w:lang w:val="en-US" w:eastAsia="zh-CN" w:bidi="ar-SA"/>
              </w:rPr>
            </w:pPr>
            <w:r>
              <w:rPr>
                <w:rFonts w:hint="eastAsia" w:ascii="宋体" w:hAnsi="宋体" w:cs="Times New Roman"/>
                <w:b w:val="0"/>
                <w:bCs w:val="0"/>
                <w:kern w:val="2"/>
                <w:sz w:val="21"/>
                <w:szCs w:val="21"/>
                <w:lang w:val="en-US" w:eastAsia="zh-CN" w:bidi="ar-SA"/>
              </w:rPr>
              <w:t>9</w:t>
            </w:r>
            <w:r>
              <w:rPr>
                <w:rFonts w:hint="eastAsia" w:hAnsi="Times New Roman" w:asciiTheme="minorHAnsi" w:eastAsiaTheme="minorEastAsia" w:cstheme="minorBidi"/>
                <w:color w:val="auto"/>
                <w:kern w:val="2"/>
                <w:sz w:val="21"/>
                <w:szCs w:val="24"/>
                <w:lang w:val="en-US" w:eastAsia="zh-CN" w:bidi="ar-SA"/>
              </w:rPr>
              <w:t>、</w:t>
            </w:r>
            <w:r>
              <w:rPr>
                <w:rFonts w:hint="default" w:hAnsi="Times New Roman" w:asciiTheme="minorHAnsi" w:eastAsiaTheme="minorEastAsia" w:cstheme="minorBidi"/>
                <w:color w:val="auto"/>
                <w:kern w:val="2"/>
                <w:sz w:val="21"/>
                <w:szCs w:val="24"/>
                <w:lang w:val="en-US" w:eastAsia="zh-CN" w:bidi="ar-SA"/>
              </w:rPr>
              <w:t>P45 表 5.6-1 还有新坊镇政府与新坊镇卫生院，并列明支持方</w:t>
            </w:r>
            <w:r>
              <w:rPr>
                <w:rFonts w:hint="eastAsia" w:hAnsi="Times New Roman" w:asciiTheme="minorHAnsi" w:eastAsiaTheme="minorEastAsia" w:cstheme="minorBidi"/>
                <w:color w:val="auto"/>
                <w:kern w:val="2"/>
                <w:sz w:val="21"/>
                <w:szCs w:val="24"/>
                <w:lang w:val="en-US" w:eastAsia="zh-CN" w:bidi="ar-SA"/>
              </w:rPr>
              <w:t>式或能力；</w:t>
            </w:r>
          </w:p>
        </w:tc>
        <w:tc>
          <w:tcPr>
            <w:tcW w:w="3582"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000000" w:themeColor="text1"/>
                <w:sz w:val="22"/>
                <w:szCs w:val="22"/>
                <w:lang w:val="en-US" w:eastAsia="zh-CN"/>
                <w14:textFill>
                  <w14:solidFill>
                    <w14:schemeClr w14:val="tx1"/>
                  </w14:solidFill>
                </w14:textFill>
              </w:rPr>
            </w:pPr>
            <w:r>
              <w:rPr>
                <w:rFonts w:hint="eastAsia" w:ascii="宋体" w:hAnsi="宋体" w:eastAsia="宋体"/>
                <w:sz w:val="21"/>
                <w:szCs w:val="21"/>
                <w:lang w:val="en-US" w:eastAsia="zh-CN"/>
              </w:rPr>
              <w:t>P51-52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0" w:type="dxa"/>
            <w:vAlign w:val="center"/>
          </w:tcPr>
          <w:p>
            <w:pPr>
              <w:spacing w:before="0" w:after="0" w:line="240" w:lineRule="auto"/>
              <w:ind w:right="0"/>
              <w:jc w:val="left"/>
              <w:rPr>
                <w:rFonts w:hint="eastAsia" w:ascii="Times New Roman" w:hAnsi="Times New Roman" w:cs="Times New Roman" w:eastAsiaTheme="minorEastAsia"/>
                <w:color w:val="000000" w:themeColor="text1"/>
                <w:sz w:val="22"/>
                <w:szCs w:val="22"/>
                <w:lang w:val="en-US" w:eastAsia="zh-CN"/>
                <w14:textFill>
                  <w14:solidFill>
                    <w14:schemeClr w14:val="tx1"/>
                  </w14:solidFill>
                </w14:textFill>
              </w:rPr>
            </w:pPr>
            <w:r>
              <w:rPr>
                <w:rFonts w:hint="eastAsia" w:ascii="宋体" w:hAnsi="宋体" w:cs="Times New Roman"/>
                <w:b w:val="0"/>
                <w:bCs w:val="0"/>
                <w:kern w:val="2"/>
                <w:sz w:val="21"/>
                <w:szCs w:val="21"/>
                <w:lang w:val="en-US" w:eastAsia="zh-CN" w:bidi="ar-SA"/>
              </w:rPr>
              <w:t>10</w:t>
            </w:r>
            <w:r>
              <w:rPr>
                <w:rFonts w:hint="eastAsia" w:hAnsi="Times New Roman" w:asciiTheme="minorHAnsi" w:eastAsiaTheme="minorEastAsia" w:cstheme="minorBidi"/>
                <w:color w:val="auto"/>
                <w:kern w:val="2"/>
                <w:sz w:val="21"/>
                <w:szCs w:val="24"/>
                <w:lang w:val="en-US" w:eastAsia="zh-CN" w:bidi="ar-SA"/>
              </w:rPr>
              <w:t>、P45</w:t>
            </w:r>
            <w:r>
              <w:rPr>
                <w:rFonts w:hint="default" w:hAnsi="Times New Roman" w:asciiTheme="minorHAnsi" w:eastAsiaTheme="minorEastAsia" w:cstheme="minorBidi"/>
                <w:color w:val="auto"/>
                <w:kern w:val="2"/>
                <w:sz w:val="21"/>
                <w:szCs w:val="24"/>
                <w:lang w:val="en-US" w:eastAsia="zh-CN" w:bidi="ar-SA"/>
              </w:rPr>
              <w:t>表5.</w:t>
            </w:r>
            <w:r>
              <w:rPr>
                <w:rFonts w:hint="eastAsia" w:hAnsi="Times New Roman" w:asciiTheme="minorHAnsi" w:eastAsiaTheme="minorEastAsia" w:cstheme="minorBidi"/>
                <w:color w:val="auto"/>
                <w:kern w:val="2"/>
                <w:sz w:val="21"/>
                <w:szCs w:val="24"/>
                <w:lang w:val="en-US" w:eastAsia="zh-CN" w:bidi="ar-SA"/>
              </w:rPr>
              <w:t>6</w:t>
            </w:r>
            <w:r>
              <w:rPr>
                <w:rFonts w:hint="default" w:hAnsi="Times New Roman" w:asciiTheme="minorHAnsi" w:eastAsiaTheme="minorEastAsia" w:cstheme="minorBidi"/>
                <w:color w:val="auto"/>
                <w:kern w:val="2"/>
                <w:sz w:val="21"/>
                <w:szCs w:val="24"/>
                <w:lang w:val="en-US" w:eastAsia="zh-CN" w:bidi="ar-SA"/>
              </w:rPr>
              <w:t>-1 I级突发环境事件发生后请求支援单位</w:t>
            </w:r>
            <w:r>
              <w:rPr>
                <w:rFonts w:hint="eastAsia" w:hAnsi="Times New Roman" w:asciiTheme="minorHAnsi" w:eastAsiaTheme="minorEastAsia" w:cstheme="minorBidi"/>
                <w:color w:val="auto"/>
                <w:kern w:val="2"/>
                <w:sz w:val="21"/>
                <w:szCs w:val="24"/>
                <w:lang w:val="en-US" w:eastAsia="zh-CN" w:bidi="ar-SA"/>
              </w:rPr>
              <w:t>中增加宜春市生态环境局。请补充；</w:t>
            </w:r>
          </w:p>
        </w:tc>
        <w:tc>
          <w:tcPr>
            <w:tcW w:w="3582"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000000" w:themeColor="text1"/>
                <w:sz w:val="22"/>
                <w:szCs w:val="22"/>
                <w:lang w:val="en-US" w:eastAsia="zh-CN"/>
                <w14:textFill>
                  <w14:solidFill>
                    <w14:schemeClr w14:val="tx1"/>
                  </w14:solidFill>
                </w14:textFill>
              </w:rPr>
            </w:pPr>
            <w:r>
              <w:rPr>
                <w:rFonts w:hint="eastAsia" w:ascii="宋体" w:hAnsi="宋体" w:eastAsia="宋体"/>
                <w:sz w:val="21"/>
                <w:szCs w:val="21"/>
                <w:lang w:val="en-US" w:eastAsia="zh-CN"/>
              </w:rPr>
              <w:t>P51-52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0" w:type="dxa"/>
            <w:vAlign w:val="center"/>
          </w:tcPr>
          <w:p>
            <w:pPr>
              <w:keepNext w:val="0"/>
              <w:keepLines w:val="0"/>
              <w:widowControl/>
              <w:suppressLineNumbers w:val="0"/>
              <w:jc w:val="left"/>
              <w:rPr>
                <w:rFonts w:hint="default" w:cs="Calibri" w:asciiTheme="minorEastAsia" w:hAnsiTheme="minorEastAsia" w:eastAsiaTheme="minorEastAsia"/>
                <w:b w:val="0"/>
                <w:bCs w:val="0"/>
                <w:sz w:val="21"/>
                <w:szCs w:val="21"/>
                <w:lang w:val="en-US" w:eastAsia="zh-CN"/>
              </w:rPr>
            </w:pPr>
            <w:r>
              <w:rPr>
                <w:rFonts w:hint="eastAsia" w:cs="Calibri" w:asciiTheme="minorEastAsia" w:hAnsiTheme="minorEastAsia" w:eastAsiaTheme="minorEastAsia"/>
                <w:b w:val="0"/>
                <w:bCs w:val="0"/>
                <w:sz w:val="21"/>
                <w:szCs w:val="21"/>
                <w:lang w:val="en-US" w:eastAsia="zh-CN"/>
              </w:rPr>
              <w:t>1</w:t>
            </w:r>
            <w:r>
              <w:rPr>
                <w:rFonts w:hint="eastAsia" w:cs="Calibri" w:asciiTheme="minorEastAsia" w:hAnsiTheme="minorEastAsia"/>
                <w:b w:val="0"/>
                <w:bCs w:val="0"/>
                <w:sz w:val="21"/>
                <w:szCs w:val="21"/>
                <w:lang w:val="en-US" w:eastAsia="zh-CN"/>
              </w:rPr>
              <w:t>1</w:t>
            </w:r>
            <w:r>
              <w:rPr>
                <w:rFonts w:hint="eastAsia" w:ascii="宋体" w:hAnsi="宋体" w:eastAsia="宋体" w:cs="宋体"/>
                <w:color w:val="000000"/>
                <w:sz w:val="21"/>
                <w:szCs w:val="21"/>
                <w:lang w:val="en-US" w:eastAsia="zh-CN"/>
              </w:rPr>
              <w:t>、</w:t>
            </w:r>
            <w:r>
              <w:rPr>
                <w:rFonts w:hint="default" w:hAnsi="Times New Roman" w:asciiTheme="minorHAnsi" w:eastAsiaTheme="minorEastAsia" w:cstheme="minorBidi"/>
                <w:color w:val="auto"/>
                <w:kern w:val="2"/>
                <w:sz w:val="21"/>
                <w:szCs w:val="24"/>
                <w:lang w:val="en-US" w:eastAsia="zh-CN" w:bidi="ar-SA"/>
              </w:rPr>
              <w:t>P63 表 7.4-2 和 P73 表 7.5-1 雨水口监测因子增加氯化物；P65</w:t>
            </w:r>
            <w:r>
              <w:rPr>
                <w:rFonts w:hint="eastAsia" w:hAnsi="Times New Roman" w:asciiTheme="minorHAnsi" w:eastAsiaTheme="minorEastAsia" w:cstheme="minorBidi"/>
                <w:color w:val="auto"/>
                <w:kern w:val="2"/>
                <w:sz w:val="21"/>
                <w:szCs w:val="24"/>
                <w:lang w:val="en-US" w:eastAsia="zh-CN" w:bidi="ar-SA"/>
              </w:rPr>
              <w:t>完善表 7.4-4 监测方法与监测布点；</w:t>
            </w:r>
          </w:p>
        </w:tc>
        <w:tc>
          <w:tcPr>
            <w:tcW w:w="3582" w:type="dxa"/>
            <w:vAlign w:val="center"/>
          </w:tcPr>
          <w:p>
            <w:pPr>
              <w:keepNext w:val="0"/>
              <w:keepLines w:val="0"/>
              <w:widowControl/>
              <w:suppressLineNumbers w:val="0"/>
              <w:jc w:val="left"/>
              <w:rPr>
                <w:rFonts w:hint="default" w:cs="Calibri" w:asciiTheme="minorEastAsia" w:hAnsiTheme="minorEastAsia" w:eastAsiaTheme="minorEastAsia"/>
                <w:b w:val="0"/>
                <w:bCs w:val="0"/>
                <w:sz w:val="21"/>
                <w:szCs w:val="21"/>
                <w:lang w:val="en-US" w:eastAsia="zh-CN"/>
              </w:rPr>
            </w:pPr>
            <w:r>
              <w:rPr>
                <w:rFonts w:hint="eastAsia" w:cs="Calibri" w:asciiTheme="minorEastAsia" w:hAnsiTheme="minorEastAsia"/>
                <w:b w:val="0"/>
                <w:bCs w:val="0"/>
                <w:sz w:val="21"/>
                <w:szCs w:val="21"/>
                <w:lang w:val="en-US" w:eastAsia="zh-CN"/>
              </w:rPr>
              <w:t>已完善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0" w:type="dxa"/>
            <w:vAlign w:val="center"/>
          </w:tcPr>
          <w:p>
            <w:pPr>
              <w:keepNext w:val="0"/>
              <w:keepLines w:val="0"/>
              <w:widowControl/>
              <w:suppressLineNumbers w:val="0"/>
              <w:jc w:val="left"/>
              <w:rPr>
                <w:rFonts w:hint="default" w:hAnsi="Times New Roman" w:asciiTheme="minorHAnsi" w:eastAsiaTheme="minorEastAsia" w:cstheme="minorBidi"/>
                <w:color w:val="auto"/>
                <w:kern w:val="2"/>
                <w:sz w:val="21"/>
                <w:szCs w:val="24"/>
                <w:lang w:val="en-US" w:eastAsia="zh-CN" w:bidi="ar-SA"/>
              </w:rPr>
            </w:pPr>
            <w:r>
              <w:rPr>
                <w:rFonts w:hint="eastAsia" w:hAnsi="Times New Roman" w:asciiTheme="minorHAnsi" w:eastAsiaTheme="minorEastAsia" w:cstheme="minorBidi"/>
                <w:color w:val="auto"/>
                <w:kern w:val="2"/>
                <w:sz w:val="21"/>
                <w:szCs w:val="24"/>
                <w:lang w:val="en-US" w:eastAsia="zh-CN" w:bidi="ar-SA"/>
              </w:rPr>
              <w:t xml:space="preserve">12、7.1 </w:t>
            </w:r>
            <w:r>
              <w:rPr>
                <w:rFonts w:hint="default" w:hAnsi="Times New Roman" w:asciiTheme="minorHAnsi" w:eastAsiaTheme="minorEastAsia" w:cstheme="minorBidi"/>
                <w:color w:val="auto"/>
                <w:kern w:val="2"/>
                <w:sz w:val="21"/>
                <w:szCs w:val="24"/>
                <w:lang w:val="en-US" w:eastAsia="zh-CN" w:bidi="ar-SA"/>
              </w:rPr>
              <w:t>II级响应发布橙色预警</w:t>
            </w:r>
            <w:r>
              <w:rPr>
                <w:rFonts w:hint="eastAsia" w:hAnsi="Times New Roman" w:asciiTheme="minorHAnsi" w:eastAsiaTheme="minorEastAsia" w:cstheme="minorBidi"/>
                <w:color w:val="auto"/>
                <w:kern w:val="2"/>
                <w:sz w:val="21"/>
                <w:szCs w:val="24"/>
                <w:lang w:val="en-US" w:eastAsia="zh-CN" w:bidi="ar-SA"/>
              </w:rPr>
              <w:t>，与前面不一致，请核实；P55页7.3宜春市袁州区应急管理局</w:t>
            </w:r>
            <w:r>
              <w:rPr>
                <w:rFonts w:hint="default" w:hAnsi="Times New Roman" w:asciiTheme="minorHAnsi" w:eastAsiaTheme="minorEastAsia" w:cstheme="minorBidi"/>
                <w:color w:val="auto"/>
                <w:kern w:val="2"/>
                <w:sz w:val="21"/>
                <w:szCs w:val="24"/>
                <w:lang w:val="en-US" w:eastAsia="zh-CN" w:bidi="ar-SA"/>
              </w:rPr>
              <w:t>进行紧急动员</w:t>
            </w:r>
            <w:r>
              <w:rPr>
                <w:rFonts w:hint="eastAsia" w:hAnsi="Times New Roman" w:asciiTheme="minorHAnsi" w:eastAsiaTheme="minorEastAsia" w:cstheme="minorBidi"/>
                <w:color w:val="auto"/>
                <w:kern w:val="2"/>
                <w:sz w:val="21"/>
                <w:szCs w:val="24"/>
                <w:lang w:val="en-US" w:eastAsia="zh-CN" w:bidi="ar-SA"/>
              </w:rPr>
              <w:t>，应为生态环境局；P56页</w:t>
            </w:r>
            <w:r>
              <w:rPr>
                <w:rFonts w:hint="default" w:hAnsi="Times New Roman" w:asciiTheme="minorHAnsi" w:eastAsiaTheme="minorEastAsia" w:cstheme="minorBidi"/>
                <w:color w:val="auto"/>
                <w:kern w:val="2"/>
                <w:sz w:val="21"/>
                <w:szCs w:val="24"/>
                <w:lang w:val="en-US" w:eastAsia="zh-CN" w:bidi="ar-SA"/>
              </w:rPr>
              <w:t>还应积极配合</w:t>
            </w:r>
            <w:r>
              <w:rPr>
                <w:rFonts w:hint="eastAsia" w:hAnsi="Times New Roman" w:asciiTheme="minorHAnsi" w:eastAsiaTheme="minorEastAsia" w:cstheme="minorBidi"/>
                <w:color w:val="auto"/>
                <w:kern w:val="2"/>
                <w:sz w:val="21"/>
                <w:szCs w:val="24"/>
                <w:lang w:val="en-US" w:eastAsia="zh-CN" w:bidi="ar-SA"/>
              </w:rPr>
              <w:t>宜春经济技术开发区管理委员会，</w:t>
            </w:r>
            <w:r>
              <w:rPr>
                <w:rFonts w:hint="default" w:hAnsi="Times New Roman" w:asciiTheme="minorHAnsi" w:eastAsiaTheme="minorEastAsia" w:cstheme="minorBidi"/>
                <w:color w:val="auto"/>
                <w:kern w:val="2"/>
                <w:sz w:val="21"/>
                <w:szCs w:val="24"/>
                <w:lang w:val="en-US" w:eastAsia="zh-CN" w:bidi="ar-SA"/>
              </w:rPr>
              <w:t>应加强与周边公众和</w:t>
            </w:r>
            <w:r>
              <w:rPr>
                <w:rFonts w:hint="eastAsia" w:hAnsi="Times New Roman" w:asciiTheme="minorHAnsi" w:eastAsiaTheme="minorEastAsia" w:cstheme="minorBidi"/>
                <w:color w:val="auto"/>
                <w:kern w:val="2"/>
                <w:sz w:val="21"/>
                <w:szCs w:val="24"/>
                <w:lang w:val="en-US" w:eastAsia="zh-CN" w:bidi="ar-SA"/>
              </w:rPr>
              <w:t>宜春经济技术开发区管理委员会等，都改为袁州区；P57页</w:t>
            </w:r>
            <w:r>
              <w:rPr>
                <w:rFonts w:hint="default" w:hAnsi="Times New Roman" w:asciiTheme="minorHAnsi" w:eastAsiaTheme="minorEastAsia" w:cstheme="minorBidi"/>
                <w:color w:val="auto"/>
                <w:kern w:val="2"/>
                <w:sz w:val="21"/>
                <w:szCs w:val="24"/>
                <w:lang w:val="en-US" w:eastAsia="zh-CN" w:bidi="ar-SA"/>
              </w:rPr>
              <w:t>还</w:t>
            </w:r>
            <w:r>
              <w:rPr>
                <w:rFonts w:hint="eastAsia" w:hAnsi="Times New Roman" w:asciiTheme="minorHAnsi" w:eastAsiaTheme="minorEastAsia" w:cstheme="minorBidi"/>
                <w:color w:val="auto"/>
                <w:kern w:val="2"/>
                <w:sz w:val="21"/>
                <w:szCs w:val="24"/>
                <w:lang w:val="en-US" w:eastAsia="zh-CN" w:bidi="ar-SA"/>
              </w:rPr>
              <w:t>应上报宜春经济技术开发区管理委员会</w:t>
            </w:r>
            <w:r>
              <w:rPr>
                <w:rFonts w:hint="default" w:hAnsi="Times New Roman" w:asciiTheme="minorHAnsi" w:eastAsiaTheme="minorEastAsia" w:cstheme="minorBidi"/>
                <w:color w:val="auto"/>
                <w:kern w:val="2"/>
                <w:sz w:val="21"/>
                <w:szCs w:val="24"/>
                <w:lang w:val="en-US" w:eastAsia="zh-CN" w:bidi="ar-SA"/>
              </w:rPr>
              <w:t>等政府部门</w:t>
            </w:r>
            <w:r>
              <w:rPr>
                <w:rFonts w:hint="eastAsia" w:hAnsi="Times New Roman" w:asciiTheme="minorHAnsi" w:eastAsiaTheme="minorEastAsia" w:cstheme="minorBidi"/>
                <w:color w:val="auto"/>
                <w:kern w:val="2"/>
                <w:sz w:val="21"/>
                <w:szCs w:val="24"/>
                <w:lang w:val="en-US" w:eastAsia="zh-CN" w:bidi="ar-SA"/>
              </w:rPr>
              <w:t>，都改为袁州区；</w:t>
            </w:r>
          </w:p>
        </w:tc>
        <w:tc>
          <w:tcPr>
            <w:tcW w:w="3582" w:type="dxa"/>
            <w:vAlign w:val="center"/>
          </w:tcPr>
          <w:p>
            <w:pPr>
              <w:keepNext w:val="0"/>
              <w:keepLines w:val="0"/>
              <w:widowControl/>
              <w:suppressLineNumbers w:val="0"/>
              <w:jc w:val="left"/>
              <w:rPr>
                <w:rFonts w:hint="default" w:cs="Calibri" w:asciiTheme="minorEastAsia" w:hAnsiTheme="minorEastAsia"/>
                <w:b w:val="0"/>
                <w:bCs w:val="0"/>
                <w:sz w:val="21"/>
                <w:szCs w:val="21"/>
                <w:lang w:val="en-US" w:eastAsia="zh-CN"/>
              </w:rPr>
            </w:pPr>
            <w:r>
              <w:rPr>
                <w:rFonts w:hint="eastAsia" w:cs="Calibri" w:asciiTheme="minorEastAsia" w:hAnsiTheme="minorEastAsia"/>
                <w:b w:val="0"/>
                <w:bCs w:val="0"/>
                <w:sz w:val="21"/>
                <w:szCs w:val="21"/>
                <w:lang w:val="en-US" w:eastAsia="zh-CN"/>
              </w:rPr>
              <w:t>已修改完善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0"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textAlignment w:val="auto"/>
              <w:rPr>
                <w:rFonts w:hint="default" w:hAnsi="Times New Roman" w:asciiTheme="minorHAnsi" w:eastAsiaTheme="minorEastAsia" w:cstheme="minorBidi"/>
                <w:color w:val="auto"/>
                <w:kern w:val="2"/>
                <w:sz w:val="21"/>
                <w:szCs w:val="24"/>
                <w:lang w:val="en-US" w:eastAsia="zh-CN" w:bidi="ar-SA"/>
              </w:rPr>
            </w:pPr>
            <w:r>
              <w:rPr>
                <w:rFonts w:hint="eastAsia" w:hAnsi="Times New Roman" w:asciiTheme="minorHAnsi" w:eastAsiaTheme="minorEastAsia" w:cstheme="minorBidi"/>
                <w:color w:val="auto"/>
                <w:kern w:val="2"/>
                <w:sz w:val="21"/>
                <w:szCs w:val="24"/>
                <w:lang w:val="en-US" w:eastAsia="zh-CN" w:bidi="ar-SA"/>
              </w:rPr>
              <w:t>13、7.4.2突发事件的处置措施应与企业实际相关，应有针对性和实用性；表7.4-2火灾爆炸污染事故应急处置卡补充甲烷引起火灾爆炸事故的处置措施；火灾爆炸处置过程中为什么要监测雨水口；企业最有可能发生的废水泄漏事故，清洗猪栏废水未经处理直接排放事故，应补充废水泄漏的应急处置卡；</w:t>
            </w:r>
          </w:p>
        </w:tc>
        <w:tc>
          <w:tcPr>
            <w:tcW w:w="3582" w:type="dxa"/>
            <w:vAlign w:val="center"/>
          </w:tcPr>
          <w:p>
            <w:pPr>
              <w:keepNext w:val="0"/>
              <w:keepLines w:val="0"/>
              <w:widowControl/>
              <w:suppressLineNumbers w:val="0"/>
              <w:jc w:val="left"/>
              <w:rPr>
                <w:rFonts w:hint="default" w:cs="Calibri" w:asciiTheme="minorEastAsia" w:hAnsiTheme="minorEastAsia"/>
                <w:b w:val="0"/>
                <w:bCs w:val="0"/>
                <w:sz w:val="21"/>
                <w:szCs w:val="21"/>
                <w:lang w:val="en-US" w:eastAsia="zh-CN"/>
              </w:rPr>
            </w:pPr>
            <w:r>
              <w:rPr>
                <w:rFonts w:hint="eastAsia" w:cs="Calibri" w:asciiTheme="minorEastAsia" w:hAnsiTheme="minorEastAsia"/>
                <w:b w:val="0"/>
                <w:bCs w:val="0"/>
                <w:sz w:val="21"/>
                <w:szCs w:val="21"/>
                <w:lang w:val="en-US" w:eastAsia="zh-CN"/>
              </w:rPr>
              <w:t>已修改完善 P74-75已补充废水泄漏处理卡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0" w:type="dxa"/>
            <w:vAlign w:val="center"/>
          </w:tcPr>
          <w:p>
            <w:pPr>
              <w:keepNext w:val="0"/>
              <w:keepLines w:val="0"/>
              <w:widowControl/>
              <w:suppressLineNumbers w:val="0"/>
              <w:jc w:val="left"/>
              <w:rPr>
                <w:rFonts w:hint="default" w:hAnsi="Times New Roman" w:asciiTheme="minorHAnsi" w:eastAsiaTheme="minorEastAsia" w:cstheme="minorBidi"/>
                <w:color w:val="auto"/>
                <w:kern w:val="2"/>
                <w:sz w:val="21"/>
                <w:szCs w:val="24"/>
                <w:lang w:val="en-US" w:eastAsia="zh-CN" w:bidi="ar-SA"/>
              </w:rPr>
            </w:pPr>
            <w:r>
              <w:rPr>
                <w:rFonts w:hint="eastAsia" w:hAnsi="Times New Roman" w:asciiTheme="minorHAnsi" w:eastAsiaTheme="minorEastAsia" w:cstheme="minorBidi"/>
                <w:color w:val="auto"/>
                <w:kern w:val="2"/>
                <w:sz w:val="21"/>
                <w:szCs w:val="24"/>
                <w:lang w:val="en-US" w:eastAsia="zh-CN" w:bidi="ar-SA"/>
              </w:rPr>
              <w:t>评估报告</w:t>
            </w:r>
          </w:p>
        </w:tc>
        <w:tc>
          <w:tcPr>
            <w:tcW w:w="3582"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both"/>
              <w:textAlignment w:val="auto"/>
              <w:outlineLvl w:val="9"/>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940" w:type="dxa"/>
            <w:vAlign w:val="center"/>
          </w:tcPr>
          <w:p>
            <w:pPr>
              <w:keepNext w:val="0"/>
              <w:keepLines w:val="0"/>
              <w:widowControl/>
              <w:suppressLineNumbers w:val="0"/>
              <w:jc w:val="left"/>
              <w:rPr>
                <w:rFonts w:hint="default" w:hAnsi="Times New Roman" w:asciiTheme="minorHAnsi" w:eastAsiaTheme="minorEastAsia" w:cstheme="minorBidi"/>
                <w:color w:val="auto"/>
                <w:kern w:val="2"/>
                <w:sz w:val="21"/>
                <w:szCs w:val="24"/>
                <w:lang w:val="en-US" w:eastAsia="zh-CN" w:bidi="ar-SA"/>
              </w:rPr>
            </w:pPr>
            <w:r>
              <w:rPr>
                <w:rFonts w:hint="eastAsia" w:hAnsi="Times New Roman" w:asciiTheme="minorHAnsi" w:eastAsiaTheme="minorEastAsia" w:cstheme="minorBidi"/>
                <w:color w:val="auto"/>
                <w:kern w:val="2"/>
                <w:sz w:val="21"/>
                <w:szCs w:val="24"/>
                <w:lang w:val="en-US" w:eastAsia="zh-CN" w:bidi="ar-SA"/>
              </w:rPr>
              <w:t>14、3.5环境风险识别补充污水处理池中的硫化氢；表3.5-1  生产过程中潜在的环境风险事故类型一览表补充污水处理池；补充堵漏的应急物资；表5.3-1  环境应急资源落实情况表中企业还需配备必要的物资；P127页必要时需要请求宜春经济技术开发区管理委员会的协助，都改为袁州区</w:t>
            </w:r>
          </w:p>
        </w:tc>
        <w:tc>
          <w:tcPr>
            <w:tcW w:w="3582" w:type="dxa"/>
            <w:vAlign w:val="center"/>
          </w:tcPr>
          <w:p>
            <w:pPr>
              <w:keepNext w:val="0"/>
              <w:keepLines w:val="0"/>
              <w:widowControl/>
              <w:suppressLineNumbers w:val="0"/>
              <w:jc w:val="left"/>
              <w:rPr>
                <w:rFonts w:hint="default" w:cs="Calibri" w:asciiTheme="minorEastAsia" w:hAnsiTheme="minorEastAsia" w:eastAsiaTheme="minorEastAsia"/>
                <w:b w:val="0"/>
                <w:bCs w:val="0"/>
                <w:sz w:val="21"/>
                <w:szCs w:val="21"/>
                <w:lang w:val="en-US" w:eastAsia="zh-CN"/>
              </w:rPr>
            </w:pPr>
            <w:r>
              <w:rPr>
                <w:rFonts w:hint="eastAsia" w:cs="Calibri" w:asciiTheme="minorEastAsia" w:hAnsiTheme="minorEastAsia"/>
                <w:b w:val="0"/>
                <w:bCs w:val="0"/>
                <w:sz w:val="21"/>
                <w:szCs w:val="21"/>
                <w:lang w:val="en-US" w:eastAsia="zh-CN"/>
              </w:rPr>
              <w:t>已完善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jc w:val="center"/>
        </w:trPr>
        <w:tc>
          <w:tcPr>
            <w:tcW w:w="4940" w:type="dxa"/>
            <w:vAlign w:val="center"/>
          </w:tcPr>
          <w:p>
            <w:pPr>
              <w:pStyle w:val="5"/>
              <w:numPr>
                <w:ilvl w:val="0"/>
                <w:numId w:val="0"/>
              </w:numPr>
              <w:spacing w:line="360" w:lineRule="auto"/>
              <w:rPr>
                <w:rFonts w:hint="default" w:hAnsi="Times New Roman" w:asciiTheme="minorHAnsi" w:eastAsiaTheme="minorEastAsia" w:cstheme="minorBidi"/>
                <w:b w:val="0"/>
                <w:bCs w:val="0"/>
                <w:color w:val="auto"/>
                <w:kern w:val="2"/>
                <w:sz w:val="21"/>
                <w:szCs w:val="24"/>
                <w:lang w:val="en-US" w:eastAsia="zh-CN" w:bidi="ar-SA"/>
              </w:rPr>
            </w:pPr>
            <w:r>
              <w:rPr>
                <w:rFonts w:hint="eastAsia" w:hAnsi="Times New Roman" w:asciiTheme="minorHAnsi" w:eastAsiaTheme="minorEastAsia" w:cstheme="minorBidi"/>
                <w:b w:val="0"/>
                <w:bCs w:val="0"/>
                <w:color w:val="auto"/>
                <w:kern w:val="2"/>
                <w:sz w:val="21"/>
                <w:szCs w:val="24"/>
                <w:lang w:val="en-US" w:eastAsia="zh-CN" w:bidi="ar-SA"/>
              </w:rPr>
              <w:t>15、企业的突发环境事件环境风险等级补充沼气存储量，补充对Q值计算，对涉水涉气应分别计算，并核实环境风险等级内容；</w:t>
            </w:r>
          </w:p>
        </w:tc>
        <w:tc>
          <w:tcPr>
            <w:tcW w:w="3582" w:type="dxa"/>
            <w:vAlign w:val="center"/>
          </w:tcPr>
          <w:p>
            <w:pPr>
              <w:keepNext w:val="0"/>
              <w:keepLines w:val="0"/>
              <w:widowControl/>
              <w:suppressLineNumbers w:val="0"/>
              <w:ind w:firstLine="210" w:firstLineChars="100"/>
              <w:jc w:val="left"/>
              <w:rPr>
                <w:rFonts w:hint="default" w:cs="Calibri" w:asciiTheme="minorEastAsia" w:hAnsiTheme="minorEastAsia"/>
                <w:b w:val="0"/>
                <w:bCs w:val="0"/>
                <w:sz w:val="21"/>
                <w:szCs w:val="21"/>
                <w:lang w:val="en-US" w:eastAsia="zh-CN"/>
              </w:rPr>
            </w:pPr>
            <w:r>
              <w:rPr>
                <w:rFonts w:hint="eastAsia" w:cs="Calibri" w:asciiTheme="minorEastAsia" w:hAnsiTheme="minorEastAsia"/>
                <w:b w:val="0"/>
                <w:bCs w:val="0"/>
                <w:sz w:val="21"/>
                <w:szCs w:val="21"/>
                <w:lang w:val="en-US" w:eastAsia="zh-CN"/>
              </w:rPr>
              <w:t>已修改 P116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940" w:type="dxa"/>
            <w:vAlign w:val="center"/>
          </w:tcPr>
          <w:p>
            <w:pPr>
              <w:keepNext w:val="0"/>
              <w:keepLines w:val="0"/>
              <w:widowControl/>
              <w:suppressLineNumbers w:val="0"/>
              <w:jc w:val="left"/>
              <w:rPr>
                <w:rFonts w:hint="default" w:ascii="宋体" w:hAnsi="宋体" w:eastAsia="宋体" w:cs="宋体"/>
                <w:color w:val="000000"/>
                <w:sz w:val="21"/>
                <w:szCs w:val="21"/>
                <w:lang w:val="en-US" w:eastAsia="zh-CN"/>
              </w:rPr>
            </w:pPr>
            <w:r>
              <w:rPr>
                <w:rFonts w:hint="eastAsia" w:hAnsi="Times New Roman" w:asciiTheme="minorHAnsi" w:eastAsiaTheme="minorEastAsia" w:cstheme="minorBidi"/>
                <w:color w:val="auto"/>
                <w:kern w:val="2"/>
                <w:sz w:val="21"/>
                <w:szCs w:val="24"/>
                <w:lang w:val="en-US" w:eastAsia="zh-CN" w:bidi="ar-SA"/>
              </w:rPr>
              <w:t>16、应急物资还需增加毛毡、防毒面具、警戒线、消防服等；</w:t>
            </w:r>
          </w:p>
        </w:tc>
        <w:tc>
          <w:tcPr>
            <w:tcW w:w="3582" w:type="dxa"/>
            <w:vAlign w:val="center"/>
          </w:tcPr>
          <w:p>
            <w:pPr>
              <w:keepNext w:val="0"/>
              <w:keepLines w:val="0"/>
              <w:widowControl/>
              <w:suppressLineNumbers w:val="0"/>
              <w:jc w:val="left"/>
              <w:rPr>
                <w:rFonts w:hint="default" w:cs="Calibri" w:asciiTheme="minorEastAsia" w:hAnsiTheme="minorEastAsia" w:eastAsiaTheme="minorEastAsia"/>
                <w:b w:val="0"/>
                <w:bCs w:val="0"/>
                <w:sz w:val="21"/>
                <w:szCs w:val="21"/>
                <w:lang w:val="en-US" w:eastAsia="zh-CN"/>
              </w:rPr>
            </w:pPr>
            <w:r>
              <w:rPr>
                <w:rFonts w:hint="eastAsia" w:cs="Calibri" w:asciiTheme="minorEastAsia" w:hAnsiTheme="minorEastAsia"/>
                <w:b w:val="0"/>
                <w:bCs w:val="0"/>
                <w:sz w:val="21"/>
                <w:szCs w:val="21"/>
                <w:lang w:val="en-US" w:eastAsia="zh-CN"/>
              </w:rPr>
              <w:t>已完善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940" w:type="dxa"/>
            <w:vAlign w:val="center"/>
          </w:tcPr>
          <w:p>
            <w:pPr>
              <w:keepNext w:val="0"/>
              <w:keepLines w:val="0"/>
              <w:widowControl/>
              <w:suppressLineNumbers w:val="0"/>
              <w:jc w:val="left"/>
              <w:rPr>
                <w:rFonts w:hint="default" w:hAnsi="Times New Roman" w:asciiTheme="minorHAnsi" w:eastAsiaTheme="minorEastAsia" w:cstheme="minorBidi"/>
                <w:color w:val="auto"/>
                <w:kern w:val="2"/>
                <w:sz w:val="21"/>
                <w:szCs w:val="24"/>
                <w:lang w:val="en-US" w:eastAsia="zh-CN" w:bidi="ar-SA"/>
              </w:rPr>
            </w:pPr>
            <w:r>
              <w:rPr>
                <w:rFonts w:hint="eastAsia" w:hAnsi="Times New Roman" w:asciiTheme="minorHAnsi" w:eastAsiaTheme="minorEastAsia" w:cstheme="minorBidi"/>
                <w:color w:val="auto"/>
                <w:kern w:val="2"/>
                <w:sz w:val="21"/>
                <w:szCs w:val="24"/>
                <w:lang w:val="en-US" w:eastAsia="zh-CN" w:bidi="ar-SA"/>
              </w:rPr>
              <w:t>17、P108环境风险物质应该将项目产生的废水纳入其中。请补充完善；</w:t>
            </w:r>
          </w:p>
        </w:tc>
        <w:tc>
          <w:tcPr>
            <w:tcW w:w="3582" w:type="dxa"/>
            <w:vAlign w:val="center"/>
          </w:tcPr>
          <w:p>
            <w:pPr>
              <w:keepNext w:val="0"/>
              <w:keepLines w:val="0"/>
              <w:widowControl/>
              <w:suppressLineNumbers w:val="0"/>
              <w:jc w:val="left"/>
              <w:rPr>
                <w:rFonts w:hint="default" w:cs="Calibri" w:asciiTheme="minorEastAsia" w:hAnsiTheme="minorEastAsia" w:eastAsiaTheme="minorEastAsia"/>
                <w:b w:val="0"/>
                <w:bCs w:val="0"/>
                <w:sz w:val="21"/>
                <w:szCs w:val="21"/>
                <w:lang w:val="en-US" w:eastAsia="zh-CN"/>
              </w:rPr>
            </w:pPr>
            <w:r>
              <w:rPr>
                <w:rFonts w:hint="eastAsia" w:hAnsi="Times New Roman" w:asciiTheme="minorHAnsi" w:eastAsiaTheme="minorEastAsia" w:cstheme="minorBidi"/>
                <w:color w:val="auto"/>
                <w:kern w:val="2"/>
                <w:sz w:val="21"/>
                <w:szCs w:val="24"/>
                <w:lang w:val="en-US" w:eastAsia="zh-CN" w:bidi="ar-SA"/>
              </w:rPr>
              <w:t>经查阅该项目环评报告书，养殖废水NH3-N浓度低于2000mg/L、CODcr浓度低于10000mg/L，不属于环境风险物质。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0" w:type="dxa"/>
            <w:vAlign w:val="center"/>
          </w:tcPr>
          <w:p>
            <w:pPr>
              <w:keepNext w:val="0"/>
              <w:keepLines w:val="0"/>
              <w:widowControl/>
              <w:suppressLineNumbers w:val="0"/>
              <w:jc w:val="left"/>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sz w:val="22"/>
                <w:szCs w:val="22"/>
                <w:lang w:val="en-US" w:eastAsia="zh-CN"/>
              </w:rPr>
              <w:t>18、</w:t>
            </w:r>
            <w:r>
              <w:rPr>
                <w:rFonts w:hint="eastAsia" w:ascii="宋体" w:hAnsi="Times New Roman" w:eastAsia="宋体" w:cs="宋体"/>
                <w:lang w:val="en-US" w:eastAsia="zh-CN"/>
              </w:rPr>
              <w:t>补充项目</w:t>
            </w:r>
            <w:r>
              <w:rPr>
                <w:rFonts w:hint="eastAsia" w:cs="宋体"/>
                <w:lang w:val="en-US" w:eastAsia="zh-CN"/>
              </w:rPr>
              <w:t>相关附图附件。如</w:t>
            </w:r>
            <w:r>
              <w:rPr>
                <w:rFonts w:hint="eastAsia" w:ascii="宋体" w:hAnsi="Times New Roman" w:eastAsia="宋体" w:cs="宋体"/>
                <w:lang w:val="en-US" w:eastAsia="zh-CN"/>
              </w:rPr>
              <w:t>雨污分流图、平面布置图等。</w:t>
            </w:r>
          </w:p>
        </w:tc>
        <w:tc>
          <w:tcPr>
            <w:tcW w:w="3582"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auto"/>
                <w:kern w:val="2"/>
                <w:sz w:val="22"/>
                <w:szCs w:val="22"/>
                <w:lang w:val="en-US" w:eastAsia="zh-CN" w:bidi="ar-SA"/>
              </w:rPr>
            </w:pPr>
            <w:r>
              <w:rPr>
                <w:rFonts w:hint="eastAsia" w:cs="Calibri" w:asciiTheme="minorEastAsia" w:hAnsiTheme="minorEastAsia" w:eastAsiaTheme="minorEastAsia"/>
                <w:b w:val="0"/>
                <w:bCs w:val="0"/>
                <w:sz w:val="21"/>
                <w:szCs w:val="21"/>
                <w:lang w:val="en-US" w:eastAsia="zh-CN"/>
              </w:rPr>
              <w:t>见</w:t>
            </w:r>
            <w:r>
              <w:rPr>
                <w:rFonts w:hint="eastAsia" w:cs="Calibri" w:asciiTheme="minorEastAsia" w:hAnsiTheme="minorEastAsia"/>
                <w:b w:val="0"/>
                <w:bCs w:val="0"/>
                <w:sz w:val="21"/>
                <w:szCs w:val="21"/>
                <w:lang w:val="en-US" w:eastAsia="zh-CN"/>
              </w:rPr>
              <w:t>评估报告</w:t>
            </w:r>
            <w:r>
              <w:rPr>
                <w:rFonts w:hint="eastAsia" w:cs="Calibri" w:asciiTheme="minorEastAsia" w:hAnsiTheme="minorEastAsia" w:eastAsiaTheme="minorEastAsia"/>
                <w:b w:val="0"/>
                <w:bCs w:val="0"/>
                <w:sz w:val="21"/>
                <w:szCs w:val="21"/>
                <w:lang w:val="en-US" w:eastAsia="zh-CN"/>
              </w:rPr>
              <w:t>里面的附图</w:t>
            </w:r>
          </w:p>
        </w:tc>
      </w:tr>
    </w:tbl>
    <w:p>
      <w:pPr>
        <w:jc w:val="right"/>
        <w:rPr>
          <w:rFonts w:hint="eastAsia"/>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创艺简楷体">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BE51B9"/>
    <w:multiLevelType w:val="multilevel"/>
    <w:tmpl w:val="57BE51B9"/>
    <w:lvl w:ilvl="0" w:tentative="0">
      <w:start w:val="1"/>
      <w:numFmt w:val="upperRoman"/>
      <w:lvlText w:val="第 %1 条"/>
      <w:lvlJc w:val="left"/>
      <w:pPr>
        <w:tabs>
          <w:tab w:val="left" w:pos="1080"/>
        </w:tabs>
        <w:ind w:left="0" w:firstLine="0"/>
      </w:pPr>
    </w:lvl>
    <w:lvl w:ilvl="1" w:tentative="0">
      <w:start w:val="1"/>
      <w:numFmt w:val="decimalZero"/>
      <w:isLgl/>
      <w:lvlText w:val="节 %1.%2"/>
      <w:lvlJc w:val="left"/>
      <w:pPr>
        <w:tabs>
          <w:tab w:val="left" w:pos="720"/>
        </w:tabs>
        <w:ind w:left="0" w:firstLine="0"/>
      </w:pPr>
    </w:lvl>
    <w:lvl w:ilvl="2" w:tentative="0">
      <w:start w:val="1"/>
      <w:numFmt w:val="lowerLetter"/>
      <w:pStyle w:val="6"/>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lYmY4OThlNWM3MTk5NTMzODQyZjg0YTg4OTdmYTQifQ=="/>
  </w:docVars>
  <w:rsids>
    <w:rsidRoot w:val="013F6F3F"/>
    <w:rsid w:val="00743D2C"/>
    <w:rsid w:val="008B1170"/>
    <w:rsid w:val="013F6F3F"/>
    <w:rsid w:val="019855D4"/>
    <w:rsid w:val="02070D52"/>
    <w:rsid w:val="03EF4DB6"/>
    <w:rsid w:val="03F82FC0"/>
    <w:rsid w:val="05DB4947"/>
    <w:rsid w:val="07D91F65"/>
    <w:rsid w:val="07F67816"/>
    <w:rsid w:val="07FE0ED4"/>
    <w:rsid w:val="09DD0B8C"/>
    <w:rsid w:val="0A3B54D8"/>
    <w:rsid w:val="0A8A58A0"/>
    <w:rsid w:val="0DBA352D"/>
    <w:rsid w:val="0E3C7F4D"/>
    <w:rsid w:val="10AA5642"/>
    <w:rsid w:val="129B73AF"/>
    <w:rsid w:val="13204770"/>
    <w:rsid w:val="13A26AA4"/>
    <w:rsid w:val="14931B2D"/>
    <w:rsid w:val="1BC42F01"/>
    <w:rsid w:val="1BF80778"/>
    <w:rsid w:val="1D823482"/>
    <w:rsid w:val="202A3C7E"/>
    <w:rsid w:val="213571AA"/>
    <w:rsid w:val="21F726B1"/>
    <w:rsid w:val="232124A0"/>
    <w:rsid w:val="24663BDC"/>
    <w:rsid w:val="254E56F0"/>
    <w:rsid w:val="26642477"/>
    <w:rsid w:val="28BF0B5B"/>
    <w:rsid w:val="290064DF"/>
    <w:rsid w:val="2AD75645"/>
    <w:rsid w:val="2E5F13C2"/>
    <w:rsid w:val="30595BEB"/>
    <w:rsid w:val="321815E6"/>
    <w:rsid w:val="338A56D7"/>
    <w:rsid w:val="36782841"/>
    <w:rsid w:val="384852C0"/>
    <w:rsid w:val="39952392"/>
    <w:rsid w:val="39F6674A"/>
    <w:rsid w:val="3AD35612"/>
    <w:rsid w:val="3C7C3F9E"/>
    <w:rsid w:val="3D006940"/>
    <w:rsid w:val="3DEB5656"/>
    <w:rsid w:val="3F1364C9"/>
    <w:rsid w:val="3FEB18D8"/>
    <w:rsid w:val="42701998"/>
    <w:rsid w:val="436112E1"/>
    <w:rsid w:val="46DB709A"/>
    <w:rsid w:val="47287810"/>
    <w:rsid w:val="48510A04"/>
    <w:rsid w:val="48EF060E"/>
    <w:rsid w:val="48F967D0"/>
    <w:rsid w:val="49D96075"/>
    <w:rsid w:val="49D97E23"/>
    <w:rsid w:val="4AB55994"/>
    <w:rsid w:val="4AE72B77"/>
    <w:rsid w:val="4B434DED"/>
    <w:rsid w:val="4CB60B32"/>
    <w:rsid w:val="4CF3569F"/>
    <w:rsid w:val="4DF80174"/>
    <w:rsid w:val="4E217EEF"/>
    <w:rsid w:val="4E460EA4"/>
    <w:rsid w:val="4F1D4C56"/>
    <w:rsid w:val="4F3A3BFC"/>
    <w:rsid w:val="4F455F5A"/>
    <w:rsid w:val="4F4760BE"/>
    <w:rsid w:val="51533D0B"/>
    <w:rsid w:val="521E71D4"/>
    <w:rsid w:val="52C86B19"/>
    <w:rsid w:val="52D93E52"/>
    <w:rsid w:val="534B2C48"/>
    <w:rsid w:val="53591FD4"/>
    <w:rsid w:val="53BF0089"/>
    <w:rsid w:val="53E57E06"/>
    <w:rsid w:val="55763B84"/>
    <w:rsid w:val="5727541B"/>
    <w:rsid w:val="576A5104"/>
    <w:rsid w:val="57A2413A"/>
    <w:rsid w:val="58882D18"/>
    <w:rsid w:val="5C3551AC"/>
    <w:rsid w:val="5C3C1418"/>
    <w:rsid w:val="5CBC39E5"/>
    <w:rsid w:val="5D733B2A"/>
    <w:rsid w:val="5D9A572E"/>
    <w:rsid w:val="60402BAB"/>
    <w:rsid w:val="607E0AEB"/>
    <w:rsid w:val="61BD395C"/>
    <w:rsid w:val="620E13C2"/>
    <w:rsid w:val="620E2CF7"/>
    <w:rsid w:val="639629E4"/>
    <w:rsid w:val="63F510A4"/>
    <w:rsid w:val="63F57812"/>
    <w:rsid w:val="6453537C"/>
    <w:rsid w:val="64596B4E"/>
    <w:rsid w:val="66E63727"/>
    <w:rsid w:val="694B6D3C"/>
    <w:rsid w:val="6988625B"/>
    <w:rsid w:val="6DE54739"/>
    <w:rsid w:val="6EFC7F8C"/>
    <w:rsid w:val="6F916D68"/>
    <w:rsid w:val="70F8159E"/>
    <w:rsid w:val="7295759B"/>
    <w:rsid w:val="74284FBB"/>
    <w:rsid w:val="76265767"/>
    <w:rsid w:val="764951A6"/>
    <w:rsid w:val="774307F8"/>
    <w:rsid w:val="77553CF0"/>
    <w:rsid w:val="78547CED"/>
    <w:rsid w:val="78A666F3"/>
    <w:rsid w:val="78E8667F"/>
    <w:rsid w:val="79183C9F"/>
    <w:rsid w:val="7A107108"/>
    <w:rsid w:val="7BF14C75"/>
    <w:rsid w:val="7CCF6CE0"/>
    <w:rsid w:val="7D0F3580"/>
    <w:rsid w:val="7F5A7AF5"/>
    <w:rsid w:val="7F877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1"/>
    <w:pPr>
      <w:spacing w:before="49"/>
      <w:ind w:right="1"/>
      <w:jc w:val="center"/>
      <w:outlineLvl w:val="0"/>
    </w:pPr>
    <w:rPr>
      <w:rFonts w:ascii="宋体" w:hAnsi="宋体" w:eastAsia="宋体" w:cs="宋体"/>
      <w:b/>
      <w:bCs/>
      <w:sz w:val="36"/>
      <w:szCs w:val="36"/>
      <w:lang w:val="zh-CN" w:eastAsia="zh-CN" w:bidi="zh-CN"/>
    </w:rPr>
  </w:style>
  <w:style w:type="paragraph" w:styleId="5">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Cs w:val="32"/>
    </w:rPr>
  </w:style>
  <w:style w:type="paragraph" w:styleId="6">
    <w:name w:val="heading 3"/>
    <w:basedOn w:val="1"/>
    <w:next w:val="1"/>
    <w:qFormat/>
    <w:uiPriority w:val="0"/>
    <w:pPr>
      <w:keepNext/>
      <w:keepLines/>
      <w:numPr>
        <w:ilvl w:val="2"/>
        <w:numId w:val="1"/>
      </w:numPr>
      <w:spacing w:line="360" w:lineRule="auto"/>
      <w:outlineLvl w:val="2"/>
    </w:pPr>
    <w:rPr>
      <w:b/>
      <w:bCs/>
      <w:sz w:val="24"/>
      <w:szCs w:val="32"/>
    </w:rPr>
  </w:style>
  <w:style w:type="paragraph" w:styleId="7">
    <w:name w:val="heading 4"/>
    <w:basedOn w:val="1"/>
    <w:next w:val="1"/>
    <w:qFormat/>
    <w:uiPriority w:val="0"/>
    <w:pPr>
      <w:keepNext/>
      <w:keepLines/>
      <w:adjustRightInd w:val="0"/>
      <w:spacing w:before="280" w:after="290" w:line="376" w:lineRule="atLeast"/>
      <w:jc w:val="left"/>
      <w:textAlignment w:val="baseline"/>
      <w:outlineLvl w:val="3"/>
    </w:pPr>
    <w:rPr>
      <w:rFonts w:ascii="Arial" w:hAnsi="Arial" w:eastAsia="黑体"/>
      <w:b/>
      <w:kern w:val="0"/>
      <w:sz w:val="28"/>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Default1"/>
    <w:basedOn w:val="3"/>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List"/>
    <w:basedOn w:val="1"/>
    <w:qFormat/>
    <w:uiPriority w:val="0"/>
    <w:pPr>
      <w:spacing w:line="360" w:lineRule="auto"/>
    </w:pPr>
    <w:rPr>
      <w:sz w:val="24"/>
    </w:rPr>
  </w:style>
  <w:style w:type="paragraph" w:styleId="8">
    <w:name w:val="Body Text"/>
    <w:basedOn w:val="1"/>
    <w:next w:val="1"/>
    <w:qFormat/>
    <w:uiPriority w:val="0"/>
    <w:pPr>
      <w:spacing w:after="120" w:line="240" w:lineRule="auto"/>
      <w:ind w:firstLine="0"/>
    </w:pPr>
    <w:rPr>
      <w:rFonts w:eastAsia="宋体"/>
      <w:sz w:val="21"/>
    </w:rPr>
  </w:style>
  <w:style w:type="paragraph" w:styleId="9">
    <w:name w:val="Body Text Indent"/>
    <w:basedOn w:val="1"/>
    <w:next w:val="1"/>
    <w:qFormat/>
    <w:uiPriority w:val="0"/>
    <w:pPr>
      <w:spacing w:line="500" w:lineRule="exact"/>
      <w:ind w:firstLine="437"/>
    </w:pPr>
    <w:rPr>
      <w:rFonts w:eastAsia="创艺简楷体"/>
      <w:sz w:val="24"/>
    </w:rPr>
  </w:style>
  <w:style w:type="paragraph" w:styleId="10">
    <w:name w:val="Block Text"/>
    <w:basedOn w:val="1"/>
    <w:qFormat/>
    <w:uiPriority w:val="0"/>
    <w:pPr>
      <w:adjustRightInd w:val="0"/>
      <w:spacing w:before="120" w:line="440" w:lineRule="exact"/>
      <w:ind w:left="284" w:right="284" w:firstLine="567"/>
      <w:textAlignment w:val="baseline"/>
    </w:pPr>
    <w:rPr>
      <w:rFonts w:ascii="楷体_GB2312" w:eastAsia="楷体_GB2312"/>
      <w:spacing w:val="-2"/>
      <w:kern w:val="0"/>
      <w:sz w:val="28"/>
      <w:szCs w:val="20"/>
    </w:rPr>
  </w:style>
  <w:style w:type="paragraph" w:styleId="11">
    <w:name w:val="Body Text First Indent"/>
    <w:basedOn w:val="8"/>
    <w:next w:val="1"/>
    <w:qFormat/>
    <w:uiPriority w:val="0"/>
    <w:pPr>
      <w:ind w:firstLine="100" w:firstLineChars="100"/>
    </w:pPr>
  </w:style>
  <w:style w:type="paragraph" w:styleId="12">
    <w:name w:val="Body Text First Indent 2"/>
    <w:basedOn w:val="9"/>
    <w:next w:val="11"/>
    <w:unhideWhenUsed/>
    <w:qFormat/>
    <w:uiPriority w:val="99"/>
    <w:pPr>
      <w:ind w:firstLine="42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正文首行缩进 21"/>
    <w:qFormat/>
    <w:uiPriority w:val="2457"/>
    <w:pPr>
      <w:widowControl/>
      <w:suppressAutoHyphens w:val="0"/>
      <w:bidi w:val="0"/>
      <w:ind w:left="0" w:right="0" w:firstLine="420"/>
    </w:pPr>
    <w:rPr>
      <w:rFonts w:ascii="Times New Roman" w:hAnsi="Times New Roman" w:eastAsia="Times New Roman" w:cs="Times New Roman"/>
      <w:color w:val="auto"/>
      <w:sz w:val="20"/>
      <w:szCs w:val="20"/>
      <w:lang w:val="en-US" w:eastAsia="zh-CN" w:bidi="hi-IN"/>
    </w:rPr>
  </w:style>
  <w:style w:type="paragraph" w:customStyle="1" w:styleId="17">
    <w:name w:val="样式 正文文本缩进 + 行距: 1.5 倍行距"/>
    <w:basedOn w:val="1"/>
    <w:qFormat/>
    <w:uiPriority w:val="0"/>
    <w:pPr>
      <w:spacing w:after="120" w:line="360" w:lineRule="auto"/>
      <w:ind w:left="90" w:leftChars="32" w:firstLine="560" w:firstLineChars="200"/>
    </w:pPr>
    <w:rPr>
      <w:rFonts w:cs="宋体"/>
      <w:sz w:val="24"/>
    </w:rPr>
  </w:style>
  <w:style w:type="paragraph" w:customStyle="1" w:styleId="18">
    <w:name w:val="Default"/>
    <w:basedOn w:val="19"/>
    <w:next w:val="12"/>
    <w:qFormat/>
    <w:uiPriority w:val="0"/>
    <w:pPr>
      <w:widowControl w:val="0"/>
      <w:autoSpaceDE w:val="0"/>
      <w:autoSpaceDN w:val="0"/>
      <w:adjustRightInd w:val="0"/>
    </w:pPr>
    <w:rPr>
      <w:rFonts w:ascii="宋体" w:hAnsi="Calibri" w:cs="宋体"/>
      <w:color w:val="000000"/>
      <w:sz w:val="24"/>
      <w:szCs w:val="24"/>
      <w:lang w:val="en-US" w:eastAsia="zh-CN" w:bidi="ar-SA"/>
    </w:rPr>
  </w:style>
  <w:style w:type="paragraph" w:customStyle="1" w:styleId="19">
    <w:name w:val="批注文字1"/>
    <w:qFormat/>
    <w:uiPriority w:val="0"/>
    <w:pPr>
      <w:widowControl w:val="0"/>
    </w:pPr>
    <w:rPr>
      <w:rFonts w:ascii="Times New Roman" w:hAnsi="Times New Roman" w:eastAsia="Times New Roman" w:cs="Times New Roman"/>
      <w:color w:val="000000"/>
      <w:kern w:val="2"/>
      <w:sz w:val="21"/>
      <w:szCs w:val="24"/>
      <w:lang w:val="en-US" w:eastAsia="zh-CN" w:bidi="ar-SA"/>
    </w:rPr>
  </w:style>
  <w:style w:type="paragraph" w:customStyle="1" w:styleId="20">
    <w:name w:val="Normal_14_0"/>
    <w:qFormat/>
    <w:uiPriority w:val="0"/>
    <w:pPr>
      <w:spacing w:before="120" w:after="240"/>
      <w:jc w:val="both"/>
    </w:pPr>
    <w:rPr>
      <w:rFonts w:ascii="Calibri" w:hAnsi="Calibri" w:eastAsia="Calibri" w:cs="Times New Roman"/>
      <w:sz w:val="22"/>
      <w:szCs w:val="22"/>
      <w:lang w:val="ru-RU"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1706</Words>
  <Characters>1942</Characters>
  <Lines>0</Lines>
  <Paragraphs>0</Paragraphs>
  <TotalTime>0</TotalTime>
  <ScaleCrop>false</ScaleCrop>
  <LinksUpToDate>false</LinksUpToDate>
  <CharactersWithSpaces>1959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2020-05-24T12:50:00Z</dcterms:created>
  <dc:creator>Administrator</dc:creator>
  <cp:lastModifiedBy>仙人掌</cp:lastModifiedBy>
  <dcterms:modified xsi:type="dcterms:W3CDTF">2023-10-13T07:15:37Z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CF203C98FFA045FFB4D46E095DB56ACA_13</vt:lpwstr>
  </property>
</Properties>
</file>