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方正小标宋_GBK" w:hAnsi="华文中宋" w:eastAsia="方正小标宋_GBK" w:cs="Times New Roman"/>
          <w:b/>
          <w:bCs/>
          <w:sz w:val="38"/>
          <w:szCs w:val="38"/>
          <w:lang w:val="zh-TW" w:eastAsia="zh-CN"/>
        </w:rPr>
      </w:pPr>
      <w:r>
        <w:rPr>
          <w:rFonts w:hint="eastAsia" w:ascii="方正小标宋_GBK" w:hAnsi="华文中宋" w:eastAsia="方正小标宋_GBK" w:cs="Times New Roman"/>
          <w:b/>
          <w:bCs/>
          <w:sz w:val="38"/>
          <w:szCs w:val="38"/>
          <w:lang w:val="zh-TW" w:eastAsia="zh-CN"/>
        </w:rPr>
        <w:t>宜春市袁州区百世腾畜牧养殖有限公司</w:t>
      </w:r>
    </w:p>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方正小标宋_GBK" w:hAnsi="华文中宋" w:eastAsia="方正小标宋_GBK" w:cs="Times New Roman"/>
          <w:b/>
          <w:bCs/>
          <w:sz w:val="38"/>
          <w:szCs w:val="38"/>
          <w:lang w:val="zh-TW" w:eastAsia="zh-CN"/>
        </w:rPr>
      </w:pPr>
      <w:r>
        <w:rPr>
          <w:rFonts w:hint="eastAsia" w:ascii="方正小标宋_GBK" w:hAnsi="华文中宋" w:eastAsia="方正小标宋_GBK" w:cs="Times New Roman"/>
          <w:b/>
          <w:bCs/>
          <w:sz w:val="38"/>
          <w:szCs w:val="38"/>
          <w:lang w:val="zh-TW" w:eastAsia="zh-CN"/>
        </w:rPr>
        <w:t>突发环境事件应急预案评审意见表</w:t>
      </w:r>
    </w:p>
    <w:tbl>
      <w:tblPr>
        <w:tblStyle w:val="19"/>
        <w:tblW w:w="0" w:type="auto"/>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91" w:type="dxa"/>
            <w:vAlign w:val="center"/>
          </w:tcPr>
          <w:p>
            <w:pPr>
              <w:adjustRightInd w:val="0"/>
              <w:snapToGrid w:val="0"/>
              <w:jc w:val="left"/>
              <w:rPr>
                <w:rFonts w:ascii="宋体" w:hAnsi="宋体" w:eastAsia="宋体"/>
                <w:sz w:val="24"/>
                <w:szCs w:val="24"/>
                <w:u w:val="single"/>
              </w:rPr>
            </w:pPr>
            <w:r>
              <w:rPr>
                <w:rFonts w:hint="eastAsia" w:ascii="宋体" w:hAnsi="宋体" w:eastAsia="宋体"/>
                <w:sz w:val="24"/>
                <w:szCs w:val="24"/>
              </w:rPr>
              <w:t>评审时间</w:t>
            </w:r>
            <w:r>
              <w:rPr>
                <w:rFonts w:hint="eastAsia" w:ascii="宋体" w:hAnsi="宋体" w:eastAsia="宋体"/>
                <w:sz w:val="24"/>
                <w:szCs w:val="24"/>
                <w:u w:val="single"/>
              </w:rPr>
              <w:t>：</w:t>
            </w:r>
            <w:r>
              <w:rPr>
                <w:rFonts w:ascii="宋体" w:hAnsi="宋体" w:eastAsia="宋体"/>
                <w:sz w:val="24"/>
                <w:szCs w:val="24"/>
                <w:u w:val="single"/>
              </w:rPr>
              <w:t xml:space="preserve"> </w:t>
            </w:r>
            <w:r>
              <w:rPr>
                <w:rFonts w:hint="eastAsia" w:ascii="宋体" w:hAnsi="宋体" w:eastAsia="宋体"/>
                <w:sz w:val="24"/>
                <w:szCs w:val="24"/>
                <w:u w:val="single"/>
              </w:rPr>
              <w:t xml:space="preserve">  202</w:t>
            </w:r>
            <w:r>
              <w:rPr>
                <w:rFonts w:hint="eastAsia" w:ascii="宋体" w:hAnsi="宋体" w:eastAsia="宋体"/>
                <w:sz w:val="24"/>
                <w:szCs w:val="24"/>
                <w:u w:val="single"/>
                <w:lang w:val="en-US" w:eastAsia="zh-CN"/>
              </w:rPr>
              <w:t>3</w:t>
            </w:r>
            <w:r>
              <w:rPr>
                <w:rFonts w:hint="eastAsia" w:ascii="宋体" w:hAnsi="宋体" w:eastAsia="宋体"/>
                <w:sz w:val="24"/>
                <w:szCs w:val="24"/>
                <w:u w:val="single"/>
              </w:rPr>
              <w:t>年</w:t>
            </w:r>
            <w:r>
              <w:rPr>
                <w:rFonts w:hint="eastAsia" w:ascii="宋体" w:hAnsi="宋体" w:eastAsia="宋体"/>
                <w:sz w:val="24"/>
                <w:szCs w:val="24"/>
                <w:u w:val="single"/>
                <w:lang w:val="en-US" w:eastAsia="zh-CN"/>
              </w:rPr>
              <w:t>10月9日</w:t>
            </w:r>
            <w:r>
              <w:rPr>
                <w:rFonts w:ascii="宋体" w:hAnsi="宋体" w:eastAsia="宋体"/>
                <w:sz w:val="24"/>
                <w:szCs w:val="24"/>
                <w:u w:val="single"/>
              </w:rPr>
              <w:t xml:space="preserve">          </w:t>
            </w:r>
            <w:r>
              <w:rPr>
                <w:rFonts w:hint="eastAsia" w:ascii="宋体" w:hAnsi="宋体" w:eastAsia="宋体"/>
                <w:sz w:val="24"/>
                <w:szCs w:val="24"/>
              </w:rPr>
              <w:t>地点：</w:t>
            </w:r>
            <w:r>
              <w:rPr>
                <w:rFonts w:hint="eastAsia" w:ascii="宋体" w:hAnsi="宋体" w:eastAsia="宋体"/>
                <w:sz w:val="24"/>
                <w:szCs w:val="24"/>
                <w:u w:val="single"/>
              </w:rPr>
              <w:t xml:space="preserve"> </w:t>
            </w:r>
            <w:r>
              <w:rPr>
                <w:rFonts w:hint="eastAsia" w:ascii="宋体" w:hAnsi="宋体" w:eastAsia="宋体"/>
                <w:sz w:val="24"/>
                <w:szCs w:val="24"/>
                <w:u w:val="single"/>
                <w:lang w:eastAsia="zh-CN"/>
              </w:rPr>
              <w:t>宜春市</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91" w:type="dxa"/>
            <w:vAlign w:val="center"/>
          </w:tcPr>
          <w:p>
            <w:pPr>
              <w:adjustRightInd w:val="0"/>
              <w:snapToGrid w:val="0"/>
              <w:rPr>
                <w:rFonts w:ascii="宋体" w:hAnsi="宋体" w:eastAsia="宋体"/>
                <w:sz w:val="24"/>
                <w:szCs w:val="24"/>
              </w:rPr>
            </w:pPr>
            <w:r>
              <w:rPr>
                <w:rFonts w:hint="eastAsia" w:ascii="宋体" w:hAnsi="宋体" w:eastAsia="宋体"/>
                <w:sz w:val="24"/>
                <w:szCs w:val="24"/>
              </w:rPr>
              <w:t>评审方式：</w:t>
            </w:r>
            <w:r>
              <w:rPr>
                <w:rFonts w:hint="eastAsia" w:ascii="宋体" w:hAnsi="宋体" w:eastAsia="宋体"/>
                <w:sz w:val="24"/>
                <w:szCs w:val="24"/>
                <w:lang w:eastAsia="zh-CN"/>
              </w:rPr>
              <w:t>☑</w:t>
            </w:r>
            <w:r>
              <w:rPr>
                <w:rFonts w:hint="eastAsia" w:ascii="宋体" w:hAnsi="宋体" w:eastAsia="宋体"/>
                <w:sz w:val="24"/>
                <w:szCs w:val="24"/>
              </w:rPr>
              <w:t>函审，</w:t>
            </w:r>
            <w:r>
              <w:rPr>
                <w:rFonts w:hint="eastAsia" w:ascii="宋体" w:hAnsi="宋体" w:eastAsia="宋体"/>
                <w:sz w:val="24"/>
                <w:szCs w:val="24"/>
                <w:lang w:eastAsia="zh-CN"/>
              </w:rPr>
              <w:t>□</w:t>
            </w:r>
            <w:r>
              <w:rPr>
                <w:rFonts w:hint="eastAsia" w:ascii="宋体" w:hAnsi="宋体" w:eastAsia="宋体"/>
                <w:sz w:val="24"/>
                <w:szCs w:val="24"/>
              </w:rPr>
              <w:t>会议评审，□函审、会议评审结合，□其他</w:t>
            </w:r>
            <w:r>
              <w:rPr>
                <w:rFonts w:ascii="宋体" w:hAnsi="宋体" w:eastAsia="宋体"/>
                <w:sz w:val="24"/>
                <w:szCs w:val="24"/>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91" w:type="dxa"/>
            <w:vAlign w:val="center"/>
          </w:tcPr>
          <w:p>
            <w:pPr>
              <w:adjustRightInd w:val="0"/>
              <w:snapToGrid w:val="0"/>
              <w:rPr>
                <w:rFonts w:ascii="宋体" w:hAnsi="宋体" w:eastAsia="宋体"/>
                <w:sz w:val="24"/>
                <w:szCs w:val="24"/>
              </w:rPr>
            </w:pPr>
            <w:r>
              <w:rPr>
                <w:rFonts w:hint="eastAsia" w:ascii="宋体" w:hAnsi="宋体" w:eastAsia="宋体"/>
                <w:sz w:val="24"/>
                <w:szCs w:val="24"/>
              </w:rPr>
              <w:t>评审结论：</w:t>
            </w:r>
            <w:r>
              <w:rPr>
                <w:rFonts w:hint="eastAsia" w:ascii="宋体" w:hAnsi="宋体" w:eastAsia="宋体"/>
                <w:sz w:val="24"/>
                <w:szCs w:val="24"/>
                <w:lang w:eastAsia="zh-CN"/>
              </w:rPr>
              <w:t>□</w:t>
            </w:r>
            <w:r>
              <w:rPr>
                <w:rFonts w:hint="eastAsia" w:ascii="宋体" w:hAnsi="宋体" w:eastAsia="宋体"/>
                <w:sz w:val="24"/>
                <w:szCs w:val="24"/>
              </w:rPr>
              <w:t>通过评审，</w:t>
            </w:r>
            <w:r>
              <w:rPr>
                <w:rFonts w:hint="eastAsia" w:ascii="宋体" w:hAnsi="宋体" w:eastAsia="宋体"/>
                <w:sz w:val="24"/>
                <w:szCs w:val="24"/>
                <w:lang w:eastAsia="zh-CN"/>
              </w:rPr>
              <w:sym w:font="Wingdings 2" w:char="0052"/>
            </w:r>
            <w:r>
              <w:rPr>
                <w:rFonts w:hint="eastAsia" w:ascii="宋体" w:hAnsi="宋体" w:eastAsia="宋体"/>
                <w:sz w:val="24"/>
                <w:szCs w:val="24"/>
              </w:rPr>
              <w:t>原则通过但需进行修改复核，</w:t>
            </w:r>
            <w:r>
              <w:rPr>
                <w:rFonts w:hint="eastAsia" w:ascii="宋体" w:hAnsi="宋体" w:eastAsia="宋体"/>
                <w:sz w:val="24"/>
                <w:szCs w:val="24"/>
                <w:lang w:eastAsia="zh-CN"/>
              </w:rPr>
              <w:t>□</w:t>
            </w:r>
            <w:r>
              <w:rPr>
                <w:rFonts w:hint="eastAsia" w:ascii="宋体" w:hAnsi="宋体" w:eastAsia="宋体"/>
                <w:sz w:val="24"/>
                <w:szCs w:val="24"/>
              </w:rPr>
              <w:t>未通过评审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12" w:hRule="atLeast"/>
        </w:trPr>
        <w:tc>
          <w:tcPr>
            <w:tcW w:w="9091" w:type="dxa"/>
          </w:tcPr>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textAlignment w:val="auto"/>
              <w:rPr>
                <w:rFonts w:hint="eastAsia"/>
                <w:lang w:val="en-US" w:eastAsia="zh-CN"/>
              </w:rPr>
            </w:pPr>
            <w:r>
              <w:rPr>
                <w:rFonts w:hint="eastAsia"/>
                <w:lang w:val="en-US" w:eastAsia="zh-CN"/>
              </w:rPr>
              <w:t>问题清单：</w:t>
            </w:r>
          </w:p>
          <w:p>
            <w:pPr>
              <w:pStyle w:val="2"/>
              <w:keepNext w:val="0"/>
              <w:keepLines w:val="0"/>
              <w:pageBreakBefore w:val="0"/>
              <w:widowControl w:val="0"/>
              <w:numPr>
                <w:ilvl w:val="0"/>
                <w:numId w:val="2"/>
              </w:numPr>
              <w:kinsoku/>
              <w:wordWrap/>
              <w:overflowPunct/>
              <w:topLinePunct w:val="0"/>
              <w:autoSpaceDE/>
              <w:autoSpaceDN/>
              <w:bidi w:val="0"/>
              <w:adjustRightInd w:val="0"/>
              <w:snapToGrid/>
              <w:spacing w:before="0" w:after="0" w:line="380" w:lineRule="exact"/>
              <w:ind w:firstLine="480" w:firstLineChars="200"/>
              <w:textAlignment w:val="auto"/>
              <w:rPr>
                <w:rFonts w:hint="eastAsia" w:cs="宋体"/>
                <w:color w:val="000000"/>
                <w:kern w:val="0"/>
                <w:sz w:val="24"/>
                <w:szCs w:val="24"/>
                <w:lang w:val="en-US" w:eastAsia="zh-CN" w:bidi="ar-SA"/>
              </w:rPr>
            </w:pPr>
            <w:r>
              <w:rPr>
                <w:rFonts w:hint="eastAsia" w:cs="宋体"/>
                <w:color w:val="000000"/>
                <w:kern w:val="0"/>
                <w:sz w:val="24"/>
                <w:szCs w:val="24"/>
                <w:lang w:val="en-US" w:eastAsia="zh-CN" w:bidi="ar-SA"/>
              </w:rPr>
              <w:t>编制说明</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default"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1、</w:t>
            </w:r>
            <w:r>
              <w:rPr>
                <w:rFonts w:hint="eastAsia" w:ascii="Times New Roman" w:hAnsi="Times New Roman" w:eastAsia="宋体" w:cs="Times New Roman"/>
                <w:color w:val="000000"/>
                <w:sz w:val="24"/>
              </w:rPr>
              <w:t>本企业结合</w:t>
            </w:r>
            <w:r>
              <w:rPr>
                <w:rFonts w:hint="eastAsia" w:ascii="Times New Roman" w:hAnsi="Times New Roman" w:eastAsia="宋体" w:cs="Times New Roman"/>
                <w:color w:val="000000"/>
                <w:sz w:val="24"/>
                <w:lang w:val="en-US" w:eastAsia="zh-CN"/>
              </w:rPr>
              <w:t>宜春</w:t>
            </w:r>
            <w:r>
              <w:rPr>
                <w:rFonts w:hint="eastAsia" w:ascii="Times New Roman" w:hAnsi="Times New Roman" w:eastAsia="宋体" w:cs="Times New Roman"/>
                <w:color w:val="000000"/>
                <w:sz w:val="24"/>
                <w:lang w:eastAsia="zh-CN"/>
              </w:rPr>
              <w:t>市</w:t>
            </w:r>
            <w:r>
              <w:rPr>
                <w:rFonts w:hint="eastAsia" w:ascii="Times New Roman" w:hAnsi="Times New Roman" w:eastAsia="宋体" w:cs="Times New Roman"/>
                <w:color w:val="000000"/>
                <w:sz w:val="24"/>
              </w:rPr>
              <w:t>应急管理要求</w:t>
            </w:r>
            <w:r>
              <w:rPr>
                <w:rFonts w:hint="eastAsia" w:ascii="Times New Roman" w:hAnsi="Times New Roman" w:eastAsia="宋体" w:cs="Times New Roman"/>
                <w:color w:val="000000"/>
                <w:sz w:val="24"/>
                <w:lang w:eastAsia="zh-CN"/>
              </w:rPr>
              <w:t>应改为袁州区突发环境事件管理要求；</w:t>
            </w:r>
            <w:r>
              <w:rPr>
                <w:rFonts w:hint="eastAsia" w:ascii="宋体" w:hAnsi="Times New Roman" w:eastAsia="宋体" w:cs="宋体"/>
                <w:color w:val="000000"/>
                <w:kern w:val="0"/>
                <w:sz w:val="24"/>
                <w:szCs w:val="24"/>
                <w:lang w:val="en-US" w:eastAsia="zh-CN" w:bidi="ar-SA"/>
              </w:rPr>
              <w:t>编制过程概述中</w:t>
            </w:r>
            <w:r>
              <w:rPr>
                <w:rFonts w:hint="eastAsia" w:cs="宋体"/>
                <w:color w:val="000000"/>
                <w:kern w:val="0"/>
                <w:sz w:val="24"/>
                <w:szCs w:val="24"/>
                <w:lang w:val="en-US" w:eastAsia="zh-CN" w:bidi="ar-SA"/>
              </w:rPr>
              <w:t>应列出</w:t>
            </w:r>
            <w:r>
              <w:rPr>
                <w:rFonts w:hint="eastAsia" w:ascii="宋体" w:hAnsi="Times New Roman" w:eastAsia="宋体" w:cs="宋体"/>
                <w:color w:val="000000"/>
                <w:kern w:val="0"/>
                <w:sz w:val="24"/>
                <w:szCs w:val="24"/>
                <w:lang w:val="en-US" w:eastAsia="zh-CN" w:bidi="ar-SA"/>
              </w:rPr>
              <w:t>预案编制小组</w:t>
            </w:r>
            <w:r>
              <w:rPr>
                <w:rFonts w:hint="eastAsia" w:cs="宋体"/>
                <w:color w:val="000000"/>
                <w:kern w:val="0"/>
                <w:sz w:val="24"/>
                <w:szCs w:val="24"/>
                <w:lang w:val="en-US" w:eastAsia="zh-CN" w:bidi="ar-SA"/>
              </w:rPr>
              <w:t>成员</w:t>
            </w:r>
            <w:r>
              <w:rPr>
                <w:rFonts w:hint="eastAsia" w:ascii="宋体" w:hAnsi="Times New Roman" w:eastAsia="宋体" w:cs="宋体"/>
                <w:color w:val="000000"/>
                <w:kern w:val="0"/>
                <w:sz w:val="24"/>
                <w:szCs w:val="24"/>
                <w:lang w:val="en-US" w:eastAsia="zh-CN" w:bidi="ar-SA"/>
              </w:rPr>
              <w:t>姓名；</w:t>
            </w:r>
            <w:r>
              <w:rPr>
                <w:rFonts w:hint="eastAsia" w:cs="宋体"/>
                <w:color w:val="000000"/>
                <w:kern w:val="0"/>
                <w:sz w:val="24"/>
                <w:szCs w:val="24"/>
                <w:lang w:val="en-US" w:eastAsia="zh-CN" w:bidi="ar-SA"/>
              </w:rPr>
              <w:t>补充</w:t>
            </w:r>
            <w:r>
              <w:rPr>
                <w:rFonts w:hint="eastAsia" w:ascii="宋体" w:hAnsi="Times New Roman" w:eastAsia="宋体" w:cs="宋体"/>
                <w:color w:val="000000"/>
                <w:kern w:val="0"/>
                <w:sz w:val="24"/>
                <w:szCs w:val="24"/>
                <w:lang w:val="en-US" w:eastAsia="zh-CN" w:bidi="ar-SA"/>
              </w:rPr>
              <w:t>应急预案体系内容；</w:t>
            </w:r>
          </w:p>
          <w:p>
            <w:pPr>
              <w:pStyle w:val="2"/>
              <w:keepNext w:val="0"/>
              <w:keepLines w:val="0"/>
              <w:pageBreakBefore w:val="0"/>
              <w:widowControl w:val="0"/>
              <w:numPr>
                <w:ilvl w:val="0"/>
                <w:numId w:val="2"/>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应急预案</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1、封面补充预案编号、版本号；</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2、1.2.1中《安全生产法》尽量放在前面；《宜春市突发事件总体应急预案》</w:t>
            </w:r>
            <w:r>
              <w:rPr>
                <w:rFonts w:hint="default" w:ascii="宋体" w:hAnsi="Times New Roman" w:eastAsia="宋体" w:cs="宋体"/>
                <w:color w:val="000000"/>
                <w:kern w:val="0"/>
                <w:sz w:val="24"/>
                <w:szCs w:val="24"/>
                <w:lang w:val="en-US" w:eastAsia="zh-CN" w:bidi="ar-SA"/>
              </w:rPr>
              <w:t>2021年12月16日</w:t>
            </w:r>
            <w:r>
              <w:rPr>
                <w:rFonts w:hint="eastAsia" w:ascii="宋体" w:hAnsi="Times New Roman" w:eastAsia="宋体" w:cs="宋体"/>
                <w:color w:val="000000"/>
                <w:kern w:val="0"/>
                <w:sz w:val="24"/>
                <w:szCs w:val="24"/>
                <w:lang w:val="en-US" w:eastAsia="zh-CN" w:bidi="ar-SA"/>
              </w:rPr>
              <w:t>修订；</w:t>
            </w:r>
            <w:r>
              <w:rPr>
                <w:rFonts w:hint="default" w:ascii="宋体" w:hAnsi="Times New Roman" w:eastAsia="宋体" w:cs="宋体"/>
                <w:color w:val="000000"/>
                <w:kern w:val="0"/>
                <w:sz w:val="24"/>
                <w:szCs w:val="24"/>
                <w:lang w:val="en-US" w:eastAsia="zh-CN" w:bidi="ar-SA"/>
              </w:rPr>
              <w:t>《危险化学品</w:t>
            </w:r>
            <w:r>
              <w:rPr>
                <w:rFonts w:hint="eastAsia" w:ascii="宋体" w:hAnsi="Times New Roman" w:eastAsia="宋体" w:cs="宋体"/>
                <w:color w:val="000000"/>
                <w:kern w:val="0"/>
                <w:sz w:val="24"/>
                <w:szCs w:val="24"/>
                <w:lang w:val="en-US" w:eastAsia="zh-CN" w:bidi="ar-SA"/>
              </w:rPr>
              <w:t>目</w:t>
            </w:r>
            <w:r>
              <w:rPr>
                <w:rFonts w:hint="default" w:ascii="宋体" w:hAnsi="Times New Roman" w:eastAsia="宋体" w:cs="宋体"/>
                <w:color w:val="000000"/>
                <w:kern w:val="0"/>
                <w:sz w:val="24"/>
                <w:szCs w:val="24"/>
                <w:lang w:val="en-US" w:eastAsia="zh-CN" w:bidi="ar-SA"/>
              </w:rPr>
              <w:t>录》</w:t>
            </w:r>
            <w:r>
              <w:rPr>
                <w:rFonts w:hint="eastAsia" w:ascii="宋体" w:hAnsi="Times New Roman" w:eastAsia="宋体" w:cs="宋体"/>
                <w:color w:val="000000"/>
                <w:kern w:val="0"/>
                <w:sz w:val="24"/>
                <w:szCs w:val="24"/>
                <w:lang w:val="en-US" w:eastAsia="zh-CN" w:bidi="ar-SA"/>
              </w:rPr>
              <w:t>为2022年调整版；《突发环境事件应急监测技术规范》应为（HJ 589-2021）；</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3、表1.4-1 公司突发环境事件分级表中分级标准、警示颜色应与企业事件分级相对应，补充废水事故排放情形；补充企业</w:t>
            </w:r>
            <w:r>
              <w:rPr>
                <w:rFonts w:hint="default" w:ascii="宋体" w:hAnsi="Times New Roman" w:eastAsia="宋体" w:cs="宋体"/>
                <w:color w:val="000000"/>
                <w:kern w:val="0"/>
                <w:sz w:val="24"/>
                <w:szCs w:val="24"/>
                <w:lang w:val="en-US" w:eastAsia="zh-CN" w:bidi="ar-SA"/>
              </w:rPr>
              <w:t>应急预案体系</w:t>
            </w:r>
            <w:r>
              <w:rPr>
                <w:rFonts w:hint="eastAsia" w:ascii="宋体" w:hAnsi="Times New Roman" w:eastAsia="宋体" w:cs="宋体"/>
                <w:color w:val="000000"/>
                <w:kern w:val="0"/>
                <w:sz w:val="24"/>
                <w:szCs w:val="24"/>
                <w:lang w:val="en-US" w:eastAsia="zh-CN" w:bidi="ar-SA"/>
              </w:rPr>
              <w:t>图；补充企业</w:t>
            </w:r>
            <w:r>
              <w:rPr>
                <w:rFonts w:hint="default" w:ascii="宋体" w:hAnsi="Times New Roman" w:eastAsia="宋体" w:cs="宋体"/>
                <w:color w:val="000000"/>
                <w:kern w:val="0"/>
                <w:sz w:val="24"/>
                <w:szCs w:val="24"/>
                <w:lang w:val="en-US" w:eastAsia="zh-CN" w:bidi="ar-SA"/>
              </w:rPr>
              <w:t>分级响应机制对照表</w:t>
            </w:r>
            <w:r>
              <w:rPr>
                <w:rFonts w:hint="eastAsia" w:ascii="宋体" w:hAnsi="Times New Roman" w:eastAsia="宋体" w:cs="宋体"/>
                <w:color w:val="000000"/>
                <w:kern w:val="0"/>
                <w:sz w:val="24"/>
                <w:szCs w:val="24"/>
                <w:lang w:val="en-US" w:eastAsia="zh-CN" w:bidi="ar-SA"/>
              </w:rPr>
              <w:t>；补充与上级预案、公司内部预案、安全预案的衔接；补充</w:t>
            </w:r>
            <w:r>
              <w:rPr>
                <w:rFonts w:hint="eastAsia" w:ascii="宋体" w:hAnsi="Times New Roman" w:eastAsia="宋体" w:cs="宋体"/>
                <w:color w:val="000000"/>
                <w:kern w:val="0"/>
                <w:sz w:val="24"/>
                <w:szCs w:val="24"/>
                <w:lang w:val="zh-CN" w:eastAsia="zh-CN" w:bidi="ar-SA"/>
              </w:rPr>
              <w:t>企业突发环境事件应急救援流程图</w:t>
            </w:r>
            <w:r>
              <w:rPr>
                <w:rFonts w:hint="eastAsia" w:ascii="宋体" w:hAnsi="Times New Roman" w:eastAsia="宋体" w:cs="宋体"/>
                <w:color w:val="000000"/>
                <w:kern w:val="0"/>
                <w:sz w:val="24"/>
                <w:szCs w:val="24"/>
                <w:lang w:val="en-US" w:eastAsia="zh-CN" w:bidi="ar-SA"/>
              </w:rPr>
              <w:t>、事故处置基本程序图等；</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4、2.1基本情况中核实工作时间及工作天数；</w:t>
            </w:r>
            <w:r>
              <w:rPr>
                <w:rFonts w:hint="default" w:ascii="宋体" w:hAnsi="Times New Roman" w:eastAsia="宋体" w:cs="宋体"/>
                <w:color w:val="000000"/>
                <w:kern w:val="0"/>
                <w:sz w:val="24"/>
                <w:szCs w:val="24"/>
                <w:lang w:val="en-US" w:eastAsia="zh-CN" w:bidi="ar-SA"/>
              </w:rPr>
              <w:t>表2.1-2主要</w:t>
            </w:r>
            <w:r>
              <w:rPr>
                <w:rFonts w:hint="eastAsia" w:ascii="宋体" w:hAnsi="Times New Roman" w:eastAsia="宋体" w:cs="宋体"/>
                <w:color w:val="000000"/>
                <w:kern w:val="0"/>
                <w:sz w:val="24"/>
                <w:szCs w:val="24"/>
                <w:lang w:val="en-US" w:eastAsia="zh-CN" w:bidi="ar-SA"/>
              </w:rPr>
              <w:t>建设工程</w:t>
            </w:r>
            <w:r>
              <w:rPr>
                <w:rFonts w:hint="default" w:ascii="宋体" w:hAnsi="Times New Roman" w:eastAsia="宋体" w:cs="宋体"/>
                <w:color w:val="000000"/>
                <w:kern w:val="0"/>
                <w:sz w:val="24"/>
                <w:szCs w:val="24"/>
                <w:lang w:val="en-US" w:eastAsia="zh-CN" w:bidi="ar-SA"/>
              </w:rPr>
              <w:t>一览表</w:t>
            </w:r>
            <w:r>
              <w:rPr>
                <w:rFonts w:hint="eastAsia" w:ascii="宋体" w:hAnsi="Times New Roman" w:eastAsia="宋体" w:cs="宋体"/>
                <w:color w:val="000000"/>
                <w:kern w:val="0"/>
                <w:sz w:val="24"/>
                <w:szCs w:val="24"/>
                <w:lang w:val="en-US" w:eastAsia="zh-CN" w:bidi="ar-SA"/>
              </w:rPr>
              <w:t>补充固废、危废仓库；表2.1-3中核实设备全热交换器2042台；</w:t>
            </w:r>
            <w:r>
              <w:rPr>
                <w:rFonts w:hint="default" w:ascii="宋体" w:hAnsi="Times New Roman" w:eastAsia="宋体" w:cs="宋体"/>
                <w:color w:val="000000"/>
                <w:kern w:val="0"/>
                <w:sz w:val="24"/>
                <w:szCs w:val="24"/>
                <w:lang w:val="en-US" w:eastAsia="zh-CN" w:bidi="ar-SA"/>
              </w:rPr>
              <w:t>表3.1-</w:t>
            </w:r>
            <w:r>
              <w:rPr>
                <w:rFonts w:hint="eastAsia" w:ascii="宋体" w:hAnsi="Times New Roman" w:eastAsia="宋体" w:cs="宋体"/>
                <w:color w:val="000000"/>
                <w:kern w:val="0"/>
                <w:sz w:val="24"/>
                <w:szCs w:val="24"/>
                <w:lang w:val="en-US" w:eastAsia="zh-CN" w:bidi="ar-SA"/>
              </w:rPr>
              <w:t>2应补足</w:t>
            </w:r>
            <w:r>
              <w:rPr>
                <w:rFonts w:hint="default" w:ascii="宋体" w:hAnsi="Times New Roman" w:eastAsia="宋体" w:cs="宋体"/>
                <w:color w:val="000000"/>
                <w:kern w:val="0"/>
                <w:sz w:val="24"/>
                <w:szCs w:val="24"/>
                <w:lang w:val="en-US" w:eastAsia="zh-CN" w:bidi="ar-SA"/>
              </w:rPr>
              <w:t>应急物资和装备</w:t>
            </w:r>
            <w:r>
              <w:rPr>
                <w:rFonts w:hint="eastAsia" w:ascii="宋体" w:hAnsi="Times New Roman" w:eastAsia="宋体" w:cs="宋体"/>
                <w:color w:val="000000"/>
                <w:kern w:val="0"/>
                <w:sz w:val="24"/>
                <w:szCs w:val="24"/>
                <w:lang w:val="en-US" w:eastAsia="zh-CN" w:bidi="ar-SA"/>
              </w:rPr>
              <w:t>应与从企业实际考虑配备必要的物资；补充环境风险源及环境物质的识别与分析；</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5、4.1中企业人员较少，没有必要成立这么多应急小组，部分小组可以合并；</w:t>
            </w:r>
            <w:bookmarkStart w:id="0" w:name="_Toc22241"/>
            <w:bookmarkStart w:id="1" w:name="_Toc19863"/>
            <w:bookmarkStart w:id="2" w:name="_Toc7350"/>
            <w:bookmarkStart w:id="3" w:name="_Toc7945"/>
            <w:r>
              <w:rPr>
                <w:rFonts w:hint="default" w:ascii="宋体" w:hAnsi="Times New Roman" w:eastAsia="宋体" w:cs="宋体"/>
                <w:color w:val="000000"/>
                <w:kern w:val="0"/>
                <w:sz w:val="24"/>
                <w:szCs w:val="24"/>
                <w:lang w:val="en-US" w:eastAsia="zh-CN" w:bidi="ar-SA"/>
              </w:rPr>
              <w:t>4.2指挥机构组成及职责</w:t>
            </w:r>
            <w:bookmarkEnd w:id="0"/>
            <w:bookmarkEnd w:id="1"/>
            <w:bookmarkEnd w:id="2"/>
            <w:bookmarkEnd w:id="3"/>
            <w:r>
              <w:rPr>
                <w:rFonts w:hint="eastAsia" w:ascii="宋体" w:hAnsi="Times New Roman" w:eastAsia="宋体" w:cs="宋体"/>
                <w:color w:val="000000"/>
                <w:kern w:val="0"/>
                <w:sz w:val="24"/>
                <w:szCs w:val="24"/>
                <w:lang w:val="en-US" w:eastAsia="zh-CN" w:bidi="ar-SA"/>
              </w:rPr>
              <w:t>补充各小组成员姓名；建议补充善后处置小组；</w:t>
            </w:r>
            <w:bookmarkStart w:id="4" w:name="_Toc27980"/>
            <w:bookmarkStart w:id="5" w:name="_Toc29164"/>
            <w:bookmarkStart w:id="6" w:name="_Toc22883"/>
            <w:r>
              <w:rPr>
                <w:rFonts w:hint="eastAsia" w:ascii="宋体" w:hAnsi="Times New Roman" w:eastAsia="宋体" w:cs="宋体"/>
                <w:color w:val="000000"/>
                <w:kern w:val="0"/>
                <w:sz w:val="24"/>
                <w:szCs w:val="24"/>
                <w:lang w:val="en-US" w:eastAsia="zh-CN" w:bidi="ar-SA"/>
              </w:rPr>
              <w:t>5.2.6</w:t>
            </w:r>
            <w:bookmarkEnd w:id="4"/>
            <w:bookmarkEnd w:id="5"/>
            <w:bookmarkEnd w:id="6"/>
            <w:r>
              <w:rPr>
                <w:rFonts w:hint="eastAsia" w:ascii="宋体" w:hAnsi="Times New Roman" w:eastAsia="宋体" w:cs="宋体"/>
                <w:color w:val="000000"/>
                <w:kern w:val="0"/>
                <w:sz w:val="24"/>
                <w:szCs w:val="24"/>
                <w:lang w:val="zh-CN" w:eastAsia="zh-CN" w:bidi="ar-SA"/>
              </w:rPr>
              <w:t>《危险废物贮存污染控制标准》（GB18597-2023）不要</w:t>
            </w:r>
            <w:r>
              <w:rPr>
                <w:rFonts w:hint="eastAsia" w:ascii="宋体" w:hAnsi="Times New Roman" w:eastAsia="宋体" w:cs="宋体"/>
                <w:color w:val="000000"/>
                <w:kern w:val="0"/>
                <w:sz w:val="24"/>
                <w:szCs w:val="24"/>
                <w:lang w:val="en-US" w:eastAsia="zh-CN" w:bidi="ar-SA"/>
              </w:rPr>
              <w:t>2013年修订；5.2增加对猪栏清洗废水的管理，防止废水未处理直接排放；表5.5-1</w:t>
            </w:r>
            <w:r>
              <w:rPr>
                <w:rFonts w:hint="eastAsia" w:ascii="宋体" w:hAnsi="Times New Roman" w:eastAsia="宋体" w:cs="宋体"/>
                <w:color w:val="000000"/>
                <w:kern w:val="0"/>
                <w:sz w:val="24"/>
                <w:szCs w:val="24"/>
                <w:lang w:val="en-US" w:eastAsia="zh-CN" w:bidi="ar-SA"/>
              </w:rPr>
              <w:tab/>
            </w:r>
            <w:r>
              <w:rPr>
                <w:rFonts w:hint="eastAsia" w:ascii="宋体" w:hAnsi="Times New Roman" w:eastAsia="宋体" w:cs="宋体"/>
                <w:color w:val="000000"/>
                <w:kern w:val="0"/>
                <w:sz w:val="24"/>
                <w:szCs w:val="24"/>
                <w:lang w:val="en-US" w:eastAsia="zh-CN" w:bidi="ar-SA"/>
              </w:rPr>
              <w:t xml:space="preserve"> 预警级别表按前面修改，红色预警为特别重大，橙色表中未见说明；5.6.2</w:t>
            </w:r>
            <w:r>
              <w:rPr>
                <w:rFonts w:hint="default" w:ascii="宋体" w:hAnsi="Times New Roman" w:eastAsia="宋体" w:cs="宋体"/>
                <w:color w:val="000000"/>
                <w:kern w:val="0"/>
                <w:sz w:val="24"/>
                <w:szCs w:val="24"/>
                <w:lang w:val="en-US" w:eastAsia="zh-CN" w:bidi="ar-SA"/>
              </w:rPr>
              <w:t>发生I级突发环境预警事件，应在1小时之内</w:t>
            </w:r>
            <w:r>
              <w:rPr>
                <w:rFonts w:hint="eastAsia" w:ascii="宋体" w:hAnsi="Times New Roman" w:eastAsia="宋体" w:cs="宋体"/>
                <w:color w:val="000000"/>
                <w:kern w:val="0"/>
                <w:sz w:val="24"/>
                <w:szCs w:val="24"/>
                <w:lang w:val="en-US" w:eastAsia="zh-CN" w:bidi="ar-SA"/>
              </w:rPr>
              <w:t>，与P15页在半小时内通知不一致，请统一；</w:t>
            </w:r>
            <w:r>
              <w:rPr>
                <w:rFonts w:hint="default" w:ascii="宋体" w:hAnsi="Times New Roman" w:eastAsia="宋体" w:cs="宋体"/>
                <w:color w:val="000000"/>
                <w:kern w:val="0"/>
                <w:sz w:val="24"/>
                <w:szCs w:val="24"/>
                <w:lang w:val="en-US" w:eastAsia="zh-CN" w:bidi="ar-SA"/>
              </w:rPr>
              <w:t>表5.</w:t>
            </w:r>
            <w:r>
              <w:rPr>
                <w:rFonts w:hint="eastAsia" w:ascii="宋体" w:hAnsi="Times New Roman" w:eastAsia="宋体" w:cs="宋体"/>
                <w:color w:val="000000"/>
                <w:kern w:val="0"/>
                <w:sz w:val="24"/>
                <w:szCs w:val="24"/>
                <w:lang w:val="en-US" w:eastAsia="zh-CN" w:bidi="ar-SA"/>
              </w:rPr>
              <w:t>6</w:t>
            </w:r>
            <w:r>
              <w:rPr>
                <w:rFonts w:hint="default" w:ascii="宋体" w:hAnsi="Times New Roman" w:eastAsia="宋体" w:cs="宋体"/>
                <w:color w:val="000000"/>
                <w:kern w:val="0"/>
                <w:sz w:val="24"/>
                <w:szCs w:val="24"/>
                <w:lang w:val="en-US" w:eastAsia="zh-CN" w:bidi="ar-SA"/>
              </w:rPr>
              <w:t>-1 I级突发环境事件发生后请求支援单位的联系电话一览表</w:t>
            </w:r>
            <w:r>
              <w:rPr>
                <w:rFonts w:hint="eastAsia" w:ascii="宋体" w:hAnsi="Times New Roman" w:eastAsia="宋体" w:cs="宋体"/>
                <w:color w:val="000000"/>
                <w:kern w:val="0"/>
                <w:sz w:val="24"/>
                <w:szCs w:val="24"/>
                <w:lang w:val="en-US" w:eastAsia="zh-CN" w:bidi="ar-SA"/>
              </w:rPr>
              <w:t>中江西省、宜春市等单位电话可以不要，宜春市人民医院和北院是同一个单位；补充新坊乡政府的联系电话；补充单位地址；</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 xml:space="preserve">6、7.1 </w:t>
            </w:r>
            <w:r>
              <w:rPr>
                <w:rFonts w:hint="default" w:ascii="宋体" w:hAnsi="Times New Roman" w:eastAsia="宋体" w:cs="宋体"/>
                <w:color w:val="000000"/>
                <w:kern w:val="0"/>
                <w:sz w:val="24"/>
                <w:szCs w:val="24"/>
                <w:lang w:val="en-US" w:eastAsia="zh-CN" w:bidi="ar-SA"/>
              </w:rPr>
              <w:t>II级响应发布橙色预警</w:t>
            </w:r>
            <w:r>
              <w:rPr>
                <w:rFonts w:hint="eastAsia" w:ascii="宋体" w:hAnsi="Times New Roman" w:eastAsia="宋体" w:cs="宋体"/>
                <w:color w:val="000000"/>
                <w:kern w:val="0"/>
                <w:sz w:val="24"/>
                <w:szCs w:val="24"/>
                <w:lang w:val="en-US" w:eastAsia="zh-CN" w:bidi="ar-SA"/>
              </w:rPr>
              <w:t>，与前面不一致，请核实；P55页7.3宜春市袁州区应急管理局</w:t>
            </w:r>
            <w:r>
              <w:rPr>
                <w:rFonts w:hint="default" w:ascii="宋体" w:hAnsi="Times New Roman" w:eastAsia="宋体" w:cs="宋体"/>
                <w:color w:val="000000"/>
                <w:kern w:val="0"/>
                <w:sz w:val="24"/>
                <w:szCs w:val="24"/>
                <w:lang w:val="en-US" w:eastAsia="zh-CN" w:bidi="ar-SA"/>
              </w:rPr>
              <w:t>进行紧急动员</w:t>
            </w:r>
            <w:r>
              <w:rPr>
                <w:rFonts w:hint="eastAsia" w:ascii="宋体" w:hAnsi="Times New Roman" w:eastAsia="宋体" w:cs="宋体"/>
                <w:color w:val="000000"/>
                <w:kern w:val="0"/>
                <w:sz w:val="24"/>
                <w:szCs w:val="24"/>
                <w:lang w:val="en-US" w:eastAsia="zh-CN" w:bidi="ar-SA"/>
              </w:rPr>
              <w:t>，应为生态环境局；P56页</w:t>
            </w:r>
            <w:r>
              <w:rPr>
                <w:rFonts w:hint="default" w:ascii="宋体" w:hAnsi="Times New Roman" w:eastAsia="宋体" w:cs="宋体"/>
                <w:color w:val="000000"/>
                <w:kern w:val="0"/>
                <w:sz w:val="24"/>
                <w:szCs w:val="24"/>
                <w:lang w:val="en-US" w:eastAsia="zh-CN" w:bidi="ar-SA"/>
              </w:rPr>
              <w:t>还应积极配合</w:t>
            </w:r>
            <w:r>
              <w:rPr>
                <w:rFonts w:hint="eastAsia" w:ascii="宋体" w:hAnsi="Times New Roman" w:eastAsia="宋体" w:cs="宋体"/>
                <w:color w:val="000000"/>
                <w:kern w:val="0"/>
                <w:sz w:val="24"/>
                <w:szCs w:val="24"/>
                <w:lang w:val="en-US" w:eastAsia="zh-CN" w:bidi="ar-SA"/>
              </w:rPr>
              <w:t>宜春经济技术开发区管理委员会，</w:t>
            </w:r>
            <w:r>
              <w:rPr>
                <w:rFonts w:hint="default" w:ascii="宋体" w:hAnsi="Times New Roman" w:eastAsia="宋体" w:cs="宋体"/>
                <w:color w:val="000000"/>
                <w:kern w:val="0"/>
                <w:sz w:val="24"/>
                <w:szCs w:val="24"/>
                <w:lang w:val="en-US" w:eastAsia="zh-CN" w:bidi="ar-SA"/>
              </w:rPr>
              <w:t>应加强与周边公众和</w:t>
            </w:r>
            <w:r>
              <w:rPr>
                <w:rFonts w:hint="eastAsia" w:ascii="宋体" w:hAnsi="Times New Roman" w:eastAsia="宋体" w:cs="宋体"/>
                <w:color w:val="000000"/>
                <w:kern w:val="0"/>
                <w:sz w:val="24"/>
                <w:szCs w:val="24"/>
                <w:lang w:val="en-US" w:eastAsia="zh-CN" w:bidi="ar-SA"/>
              </w:rPr>
              <w:t>宜春经济技术开发区管理委员会等，都改为袁州区；P57页</w:t>
            </w:r>
            <w:r>
              <w:rPr>
                <w:rFonts w:hint="default" w:ascii="宋体" w:hAnsi="Times New Roman" w:eastAsia="宋体" w:cs="宋体"/>
                <w:color w:val="000000"/>
                <w:kern w:val="0"/>
                <w:sz w:val="24"/>
                <w:szCs w:val="24"/>
                <w:lang w:val="en-US" w:eastAsia="zh-CN" w:bidi="ar-SA"/>
              </w:rPr>
              <w:t>还</w:t>
            </w:r>
            <w:r>
              <w:rPr>
                <w:rFonts w:hint="eastAsia" w:ascii="宋体" w:hAnsi="Times New Roman" w:eastAsia="宋体" w:cs="宋体"/>
                <w:color w:val="000000"/>
                <w:kern w:val="0"/>
                <w:sz w:val="24"/>
                <w:szCs w:val="24"/>
                <w:lang w:val="en-US" w:eastAsia="zh-CN" w:bidi="ar-SA"/>
              </w:rPr>
              <w:t>应上报宜春经济技术开发区管理委员会</w:t>
            </w:r>
            <w:r>
              <w:rPr>
                <w:rFonts w:hint="default" w:ascii="宋体" w:hAnsi="Times New Roman" w:eastAsia="宋体" w:cs="宋体"/>
                <w:color w:val="000000"/>
                <w:kern w:val="0"/>
                <w:sz w:val="24"/>
                <w:szCs w:val="24"/>
                <w:lang w:val="en-US" w:eastAsia="zh-CN" w:bidi="ar-SA"/>
              </w:rPr>
              <w:t>等政府部门</w:t>
            </w:r>
            <w:r>
              <w:rPr>
                <w:rFonts w:hint="eastAsia" w:ascii="宋体" w:hAnsi="Times New Roman" w:eastAsia="宋体" w:cs="宋体"/>
                <w:color w:val="000000"/>
                <w:kern w:val="0"/>
                <w:sz w:val="24"/>
                <w:szCs w:val="24"/>
                <w:lang w:val="en-US" w:eastAsia="zh-CN" w:bidi="ar-SA"/>
              </w:rPr>
              <w:t>，都改为袁州区；</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7、7.4.2突发事件的处置措施应与企业实际相关，应有针对性和实用性；表7.4-2火灾爆炸污染事故应急处置卡补充甲烷引起火灾爆炸事故的处置措施；火灾爆炸处置过程中为什么要监测雨水口；企业最有可能发生的废水泄漏事故，清洗猪栏废水未经处理直接排放事故，应补充废水泄漏的应急处置卡；</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8、7.6如果委托有</w:t>
            </w:r>
            <w:r>
              <w:rPr>
                <w:rFonts w:hint="default" w:ascii="宋体" w:hAnsi="Times New Roman" w:eastAsia="宋体" w:cs="宋体"/>
                <w:color w:val="000000"/>
                <w:kern w:val="0"/>
                <w:sz w:val="24"/>
                <w:szCs w:val="24"/>
                <w:lang w:val="en-US" w:eastAsia="zh-CN" w:bidi="ar-SA"/>
              </w:rPr>
              <w:t>第三方公司进行应急监测</w:t>
            </w:r>
            <w:r>
              <w:rPr>
                <w:rFonts w:hint="eastAsia" w:ascii="宋体" w:hAnsi="Times New Roman" w:eastAsia="宋体" w:cs="宋体"/>
                <w:color w:val="000000"/>
                <w:kern w:val="0"/>
                <w:sz w:val="24"/>
                <w:szCs w:val="24"/>
                <w:lang w:val="en-US" w:eastAsia="zh-CN" w:bidi="ar-SA"/>
              </w:rPr>
              <w:t>，请补充监测协议；7.6.1补充监测频次；补充事故应急池大小；补充环境应急物资保障装备；13.1《危险化学品名录》应改为《危险化学品日录》；</w:t>
            </w:r>
          </w:p>
          <w:p>
            <w:pPr>
              <w:pStyle w:val="2"/>
              <w:keepNext w:val="0"/>
              <w:keepLines w:val="0"/>
              <w:pageBreakBefore w:val="0"/>
              <w:widowControl w:val="0"/>
              <w:numPr>
                <w:ilvl w:val="0"/>
                <w:numId w:val="2"/>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评估报告</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1、与应急预案相同的情况进行完善；</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2、3.5环境风险识别补充污水处理池中的硫化氢；表3.5-1  生产过程中潜在的环境风险事故类型一览表补充污水处理池；补充堵漏的应急物资；表5.3-1  环境应急资源落实情况表中企业还需配备必要的物资；P127页</w:t>
            </w:r>
            <w:r>
              <w:rPr>
                <w:rFonts w:hint="eastAsia" w:ascii="宋体" w:hAnsi="宋体" w:eastAsia="宋体" w:cs="宋体"/>
                <w:sz w:val="24"/>
                <w:szCs w:val="24"/>
              </w:rPr>
              <w:t>必要时需要请求</w:t>
            </w:r>
            <w:r>
              <w:rPr>
                <w:rFonts w:hint="eastAsia" w:ascii="宋体" w:hAnsi="宋体" w:eastAsia="宋体" w:cs="宋体"/>
                <w:sz w:val="24"/>
                <w:szCs w:val="24"/>
                <w:lang w:eastAsia="zh-CN"/>
              </w:rPr>
              <w:t>宜春经济技术开发区管理委员会</w:t>
            </w:r>
            <w:r>
              <w:rPr>
                <w:rFonts w:hint="eastAsia" w:ascii="宋体" w:hAnsi="宋体" w:eastAsia="宋体" w:cs="宋体"/>
                <w:sz w:val="24"/>
                <w:szCs w:val="24"/>
              </w:rPr>
              <w:t>的协助</w:t>
            </w:r>
            <w:r>
              <w:rPr>
                <w:rFonts w:hint="eastAsia" w:ascii="宋体" w:hAnsi="宋体" w:eastAsia="宋体" w:cs="宋体"/>
                <w:sz w:val="24"/>
                <w:szCs w:val="24"/>
                <w:lang w:eastAsia="zh-CN"/>
              </w:rPr>
              <w:t>，</w:t>
            </w:r>
            <w:r>
              <w:rPr>
                <w:rFonts w:hint="eastAsia" w:ascii="宋体" w:hAnsi="Times New Roman" w:eastAsia="宋体" w:cs="宋体"/>
                <w:color w:val="000000"/>
                <w:kern w:val="0"/>
                <w:sz w:val="24"/>
                <w:szCs w:val="24"/>
                <w:lang w:val="en-US" w:eastAsia="zh-CN" w:bidi="ar-SA"/>
              </w:rPr>
              <w:t>都改为袁州区；</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3、企业的突发环境事件环境风险等级补充沼气存储量，补充对Q值计算，对涉水涉气应分别计算，并核实环境风险等级内容；</w:t>
            </w:r>
          </w:p>
          <w:p>
            <w:pPr>
              <w:pStyle w:val="2"/>
              <w:keepNext w:val="0"/>
              <w:keepLines w:val="0"/>
              <w:pageBreakBefore w:val="0"/>
              <w:widowControl w:val="0"/>
              <w:numPr>
                <w:ilvl w:val="0"/>
                <w:numId w:val="2"/>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应急资源调查</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1、与应急预案相同的情况进行完善；</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2、补充环境应急资源情况建议增加堵漏物资等；补充周边村委会应急救援物资表；</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五、附件</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after="0" w:line="380" w:lineRule="exact"/>
              <w:ind w:firstLine="480" w:firstLineChars="200"/>
              <w:textAlignment w:val="auto"/>
              <w:rPr>
                <w:rFonts w:hint="eastAsia"/>
                <w:lang w:val="en-US" w:eastAsia="zh-CN"/>
              </w:rPr>
            </w:pPr>
            <w:r>
              <w:rPr>
                <w:rFonts w:hint="eastAsia" w:ascii="宋体" w:hAnsi="Times New Roman" w:eastAsia="宋体" w:cs="宋体"/>
                <w:color w:val="000000"/>
                <w:kern w:val="0"/>
                <w:sz w:val="24"/>
                <w:szCs w:val="24"/>
                <w:lang w:val="en-US" w:eastAsia="zh-CN" w:bidi="ar-SA"/>
              </w:rPr>
              <w:t>1、补充项目卫生防护距离包络图和环境保护目标图；补充周边敏感目标分布图、项目监测布点图等。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9091" w:type="dxa"/>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Times New Roman" w:eastAsia="宋体" w:cs="宋体"/>
                <w:color w:val="000000"/>
                <w:kern w:val="0"/>
                <w:sz w:val="24"/>
                <w:szCs w:val="24"/>
                <w:lang w:val="en-US" w:eastAsia="zh-CN" w:bidi="ar-SA"/>
              </w:rPr>
            </w:pPr>
            <w:r>
              <w:rPr>
                <w:rFonts w:hint="eastAsia" w:ascii="宋体" w:hAnsi="Times New Roman" w:eastAsia="宋体" w:cs="宋体"/>
                <w:color w:val="000000"/>
                <w:kern w:val="0"/>
                <w:sz w:val="24"/>
                <w:szCs w:val="24"/>
                <w:lang w:val="en-US" w:eastAsia="zh-CN" w:bidi="ar-SA"/>
              </w:rPr>
              <w:t>修改意见和建议：</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sz w:val="24"/>
                <w:szCs w:val="24"/>
              </w:rPr>
            </w:pPr>
            <w:r>
              <w:rPr>
                <w:rFonts w:hint="eastAsia" w:ascii="宋体" w:hAnsi="Times New Roman" w:eastAsia="宋体" w:cs="宋体"/>
                <w:color w:val="000000"/>
                <w:kern w:val="0"/>
                <w:sz w:val="24"/>
                <w:szCs w:val="24"/>
                <w:lang w:val="en-US" w:eastAsia="zh-CN" w:bidi="ar-SA"/>
              </w:rPr>
              <w:t>依据《突发环境事件应急管理办法》、《企业突发环境事件风险评估指南（试行）》等相关法律法规文件要求，结合公司实际，完善《突发环境事件应急预案》、《环境风险评估报告》、《环境应急资源调查报告》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9091" w:type="dxa"/>
            <w:vAlign w:val="center"/>
          </w:tcPr>
          <w:p>
            <w:pPr>
              <w:tabs>
                <w:tab w:val="left" w:pos="2570"/>
              </w:tabs>
              <w:adjustRightInd w:val="0"/>
              <w:snapToGrid w:val="0"/>
              <w:spacing w:line="240" w:lineRule="auto"/>
              <w:rPr>
                <w:rFonts w:hint="eastAsia" w:ascii="宋体" w:hAnsi="宋体" w:eastAsia="宋体"/>
                <w:sz w:val="24"/>
                <w:szCs w:val="24"/>
              </w:rPr>
            </w:pPr>
          </w:p>
          <w:p>
            <w:pPr>
              <w:tabs>
                <w:tab w:val="left" w:pos="2570"/>
              </w:tabs>
              <w:adjustRightInd w:val="0"/>
              <w:snapToGrid w:val="0"/>
              <w:spacing w:line="240" w:lineRule="auto"/>
              <w:rPr>
                <w:rFonts w:hint="eastAsia" w:ascii="宋体" w:hAnsi="宋体" w:eastAsia="宋体"/>
                <w:sz w:val="24"/>
                <w:szCs w:val="24"/>
              </w:rPr>
            </w:pPr>
            <w:bookmarkStart w:id="7" w:name="_GoBack"/>
            <w:bookmarkEnd w:id="7"/>
          </w:p>
          <w:p>
            <w:pPr>
              <w:tabs>
                <w:tab w:val="left" w:pos="2570"/>
              </w:tabs>
              <w:adjustRightInd w:val="0"/>
              <w:snapToGrid w:val="0"/>
              <w:spacing w:line="240" w:lineRule="auto"/>
              <w:rPr>
                <w:rFonts w:hint="eastAsia" w:ascii="宋体" w:hAnsi="宋体" w:eastAsia="宋体"/>
                <w:sz w:val="24"/>
                <w:szCs w:val="24"/>
                <w:lang w:eastAsia="zh-CN"/>
              </w:rPr>
            </w:pPr>
            <w:r>
              <w:rPr>
                <w:rFonts w:hint="eastAsia" w:ascii="宋体" w:hAnsi="宋体" w:eastAsia="宋体"/>
                <w:sz w:val="24"/>
                <w:szCs w:val="24"/>
              </w:rPr>
              <w:t>评审人员签字：</w:t>
            </w:r>
            <w:r>
              <w:rPr>
                <w:rFonts w:hint="eastAsia" w:ascii="宋体" w:hAnsi="宋体" w:eastAsia="宋体"/>
                <w:sz w:val="24"/>
                <w:szCs w:val="24"/>
                <w:lang w:eastAsia="zh-CN"/>
              </w:rPr>
              <w:tab/>
            </w:r>
          </w:p>
          <w:p>
            <w:pPr>
              <w:adjustRightInd w:val="0"/>
              <w:snapToGrid w:val="0"/>
              <w:spacing w:line="240" w:lineRule="auto"/>
              <w:ind w:firstLine="960" w:firstLineChars="400"/>
              <w:jc w:val="both"/>
              <w:rPr>
                <w:rFonts w:hint="eastAsia" w:ascii="宋体" w:hAnsi="宋体" w:eastAsia="宋体"/>
                <w:sz w:val="24"/>
                <w:szCs w:val="24"/>
                <w:u w:val="none"/>
                <w:lang w:val="en-US" w:eastAsia="zh-CN"/>
              </w:rPr>
            </w:pPr>
            <w:r>
              <w:rPr>
                <w:rFonts w:hint="eastAsia" w:ascii="宋体" w:hAnsi="宋体" w:eastAsia="宋体"/>
                <w:sz w:val="24"/>
                <w:szCs w:val="24"/>
                <w:u w:val="none"/>
                <w:lang w:val="en-US" w:eastAsia="zh-CN"/>
              </w:rPr>
              <w:t xml:space="preserve">       </w:t>
            </w:r>
            <w:r>
              <w:rPr>
                <w:rFonts w:hint="eastAsia" w:ascii="宋体" w:hAnsi="宋体" w:eastAsia="宋体"/>
                <w:sz w:val="24"/>
                <w:szCs w:val="24"/>
                <w:u w:val="none"/>
              </w:rPr>
              <w:t xml:space="preserve"> </w:t>
            </w:r>
            <w:r>
              <w:rPr>
                <w:rFonts w:hint="eastAsia" w:ascii="宋体" w:hAnsi="宋体" w:eastAsia="宋体"/>
                <w:sz w:val="24"/>
                <w:szCs w:val="24"/>
                <w:u w:val="none"/>
                <w:lang w:val="en-US" w:eastAsia="zh-CN"/>
              </w:rPr>
              <w:t xml:space="preserve">           </w:t>
            </w:r>
          </w:p>
          <w:p>
            <w:pPr>
              <w:adjustRightInd w:val="0"/>
              <w:snapToGrid w:val="0"/>
              <w:spacing w:line="240" w:lineRule="auto"/>
              <w:ind w:firstLine="960" w:firstLineChars="400"/>
              <w:jc w:val="right"/>
              <w:rPr>
                <w:rFonts w:ascii="宋体" w:hAnsi="宋体" w:eastAsia="宋体"/>
                <w:sz w:val="24"/>
                <w:szCs w:val="24"/>
              </w:rPr>
            </w:pPr>
            <w:r>
              <w:rPr>
                <w:rFonts w:hint="eastAsia" w:ascii="宋体" w:hAnsi="宋体" w:eastAsia="宋体"/>
                <w:sz w:val="24"/>
                <w:szCs w:val="24"/>
                <w:u w:val="none"/>
              </w:rPr>
              <w:t>202</w:t>
            </w:r>
            <w:r>
              <w:rPr>
                <w:rFonts w:hint="eastAsia" w:ascii="宋体" w:hAnsi="宋体" w:eastAsia="宋体"/>
                <w:sz w:val="24"/>
                <w:szCs w:val="24"/>
                <w:u w:val="none"/>
                <w:lang w:val="en-US" w:eastAsia="zh-CN"/>
              </w:rPr>
              <w:t>3</w:t>
            </w:r>
            <w:r>
              <w:rPr>
                <w:rFonts w:hint="eastAsia" w:ascii="宋体" w:hAnsi="宋体" w:eastAsia="宋体"/>
                <w:sz w:val="24"/>
                <w:szCs w:val="24"/>
                <w:u w:val="none"/>
              </w:rPr>
              <w:t>年</w:t>
            </w:r>
            <w:r>
              <w:rPr>
                <w:rFonts w:hint="eastAsia" w:ascii="宋体" w:hAnsi="宋体" w:eastAsia="宋体"/>
                <w:sz w:val="24"/>
                <w:szCs w:val="24"/>
                <w:u w:val="none"/>
                <w:lang w:val="en-US" w:eastAsia="zh-CN"/>
              </w:rPr>
              <w:t>10月9日</w:t>
            </w:r>
          </w:p>
        </w:tc>
      </w:tr>
    </w:tbl>
    <w:p>
      <w:pPr>
        <w:adjustRightInd w:val="0"/>
        <w:snapToGrid w:val="0"/>
        <w:spacing w:beforeLines="50"/>
      </w:pPr>
      <w:r>
        <w:rPr>
          <w:rFonts w:ascii="黑体" w:hAnsi="Times New Roman" w:eastAsia="黑体"/>
          <w:kern w:val="0"/>
        </w:rPr>
        <w:t xml:space="preserve"> </w:t>
      </w:r>
    </w:p>
    <w:sectPr>
      <w:footerReference r:id="rId3" w:type="default"/>
      <w:pgSz w:w="11906" w:h="16838"/>
      <w:pgMar w:top="1701" w:right="1531" w:bottom="1701" w:left="1531" w:header="851" w:footer="107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Noto Sans CJK JP Regular">
    <w:altName w:val="Segoe Print"/>
    <w:panose1 w:val="00000000000000000000"/>
    <w:charset w:val="00"/>
    <w:family w:val="swiss"/>
    <w:pitch w:val="default"/>
    <w:sig w:usb0="00000000"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altName w:val="GENISO"/>
    <w:panose1 w:val="00000000000000000000"/>
    <w:charset w:val="00"/>
    <w:family w:val="auto"/>
    <w:pitch w:val="default"/>
    <w:sig w:usb0="00000000" w:usb1="00000000" w:usb2="00000000" w:usb3="00000000" w:csb0="00000000" w:csb1="00000000"/>
  </w:font>
  <w:font w:name="GENISO">
    <w:panose1 w:val="02000400000000000000"/>
    <w:charset w:val="00"/>
    <w:family w:val="auto"/>
    <w:pitch w:val="default"/>
    <w:sig w:usb0="00000003" w:usb1="00000000" w:usb2="0000004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rPr>
        <w:rStyle w:val="21"/>
        <w:rFonts w:ascii="宋体" w:hAnsi="宋体" w:eastAsia="宋体"/>
        <w:sz w:val="28"/>
        <w:szCs w:val="28"/>
      </w:rPr>
    </w:pPr>
  </w:p>
  <w:p>
    <w:pPr>
      <w:pStyle w:val="14"/>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D2153F"/>
    <w:multiLevelType w:val="singleLevel"/>
    <w:tmpl w:val="D2D2153F"/>
    <w:lvl w:ilvl="0" w:tentative="0">
      <w:start w:val="1"/>
      <w:numFmt w:val="chineseCounting"/>
      <w:suff w:val="nothing"/>
      <w:lvlText w:val="%1、"/>
      <w:lvlJc w:val="left"/>
      <w:rPr>
        <w:rFonts w:hint="eastAsia"/>
      </w:rPr>
    </w:lvl>
  </w:abstractNum>
  <w:abstractNum w:abstractNumId="1">
    <w:nsid w:val="FFFFFFFB"/>
    <w:multiLevelType w:val="multilevel"/>
    <w:tmpl w:val="FFFFFFFB"/>
    <w:lvl w:ilvl="0" w:tentative="0">
      <w:start w:val="1"/>
      <w:numFmt w:val="decimal"/>
      <w:lvlText w:val="%1."/>
      <w:legacy w:legacy="1" w:legacySpace="144" w:legacyIndent="0"/>
      <w:lvlJc w:val="left"/>
      <w:pPr>
        <w:ind w:left="0" w:firstLine="0"/>
      </w:pPr>
    </w:lvl>
    <w:lvl w:ilvl="1" w:tentative="0">
      <w:start w:val="1"/>
      <w:numFmt w:val="decimal"/>
      <w:lvlText w:val="%1.%2"/>
      <w:legacy w:legacy="1" w:legacySpace="144" w:legacyIndent="0"/>
      <w:lvlJc w:val="left"/>
      <w:pPr>
        <w:ind w:left="0" w:firstLine="0"/>
      </w:pPr>
    </w:lvl>
    <w:lvl w:ilvl="2" w:tentative="0">
      <w:start w:val="1"/>
      <w:numFmt w:val="decimal"/>
      <w:lvlText w:val="%1.%2.%3"/>
      <w:legacy w:legacy="1" w:legacySpace="144" w:legacyIndent="0"/>
      <w:lvlJc w:val="left"/>
      <w:pPr>
        <w:ind w:left="0" w:firstLine="0"/>
      </w:pPr>
    </w:lvl>
    <w:lvl w:ilvl="3" w:tentative="0">
      <w:start w:val="1"/>
      <w:numFmt w:val="decimal"/>
      <w:pStyle w:val="7"/>
      <w:lvlText w:val="%1.%2.%3.%4"/>
      <w:legacy w:legacy="1" w:legacySpace="144" w:legacyIndent="0"/>
      <w:lvlJc w:val="left"/>
      <w:pPr>
        <w:ind w:left="0" w:firstLine="0"/>
      </w:pPr>
    </w:lvl>
    <w:lvl w:ilvl="4" w:tentative="0">
      <w:start w:val="1"/>
      <w:numFmt w:val="decimal"/>
      <w:lvlText w:val="%1.%2.%3.%4.%5"/>
      <w:legacy w:legacy="1" w:legacySpace="144" w:legacyIndent="0"/>
      <w:lvlJc w:val="left"/>
      <w:pPr>
        <w:ind w:left="0" w:firstLine="0"/>
      </w:pPr>
    </w:lvl>
    <w:lvl w:ilvl="5" w:tentative="0">
      <w:start w:val="1"/>
      <w:numFmt w:val="decimal"/>
      <w:lvlText w:val="%1.%2.%3.%4.%5.%6"/>
      <w:legacy w:legacy="1" w:legacySpace="144" w:legacyIndent="0"/>
      <w:lvlJc w:val="left"/>
      <w:pPr>
        <w:ind w:left="0" w:firstLine="0"/>
      </w:pPr>
    </w:lvl>
    <w:lvl w:ilvl="6" w:tentative="0">
      <w:start w:val="1"/>
      <w:numFmt w:val="decimal"/>
      <w:lvlText w:val="%1.%2.%3.%4.%5.%6.%7"/>
      <w:legacy w:legacy="1" w:legacySpace="144" w:legacyIndent="0"/>
      <w:lvlJc w:val="left"/>
      <w:pPr>
        <w:ind w:left="0" w:firstLine="0"/>
      </w:pPr>
    </w:lvl>
    <w:lvl w:ilvl="7" w:tentative="0">
      <w:start w:val="1"/>
      <w:numFmt w:val="decimal"/>
      <w:lvlText w:val="%1.%2.%3.%4.%5.%6.%7.%8"/>
      <w:legacy w:legacy="1" w:legacySpace="144" w:legacyIndent="0"/>
      <w:lvlJc w:val="left"/>
      <w:pPr>
        <w:ind w:left="0" w:firstLine="0"/>
      </w:pPr>
    </w:lvl>
    <w:lvl w:ilvl="8" w:tentative="0">
      <w:start w:val="1"/>
      <w:numFmt w:val="decimal"/>
      <w:lvlText w:val="%1.%2.%3.%4.%5.%6.%7.%8.%9"/>
      <w:legacy w:legacy="1" w:legacySpace="144" w:legacyIndent="0"/>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Q2N2MwMzZjMTQ2OTQxNmJlM2MyZTE0Nzc0ODExMmQifQ=="/>
  </w:docVars>
  <w:rsids>
    <w:rsidRoot w:val="006014FC"/>
    <w:rsid w:val="000477DD"/>
    <w:rsid w:val="000F0C19"/>
    <w:rsid w:val="001368C4"/>
    <w:rsid w:val="001750E8"/>
    <w:rsid w:val="001E15AF"/>
    <w:rsid w:val="00414777"/>
    <w:rsid w:val="004D6E3B"/>
    <w:rsid w:val="0051301E"/>
    <w:rsid w:val="005402F5"/>
    <w:rsid w:val="005C62A4"/>
    <w:rsid w:val="006014FC"/>
    <w:rsid w:val="00650F98"/>
    <w:rsid w:val="006E1ECD"/>
    <w:rsid w:val="0074768D"/>
    <w:rsid w:val="007702FE"/>
    <w:rsid w:val="007D749C"/>
    <w:rsid w:val="008C3E29"/>
    <w:rsid w:val="008D138C"/>
    <w:rsid w:val="009D33EF"/>
    <w:rsid w:val="00AF7641"/>
    <w:rsid w:val="00CC5389"/>
    <w:rsid w:val="00D43CCB"/>
    <w:rsid w:val="00DC3498"/>
    <w:rsid w:val="00EF0E08"/>
    <w:rsid w:val="00F8348D"/>
    <w:rsid w:val="00FD794C"/>
    <w:rsid w:val="01AA53CD"/>
    <w:rsid w:val="01F80A87"/>
    <w:rsid w:val="02395177"/>
    <w:rsid w:val="02AD361F"/>
    <w:rsid w:val="02CD4D19"/>
    <w:rsid w:val="033C52FB"/>
    <w:rsid w:val="035C7074"/>
    <w:rsid w:val="03911ADA"/>
    <w:rsid w:val="04171340"/>
    <w:rsid w:val="043654D9"/>
    <w:rsid w:val="046248DD"/>
    <w:rsid w:val="049031F8"/>
    <w:rsid w:val="04B36040"/>
    <w:rsid w:val="051734DA"/>
    <w:rsid w:val="057C19CF"/>
    <w:rsid w:val="05AC22B4"/>
    <w:rsid w:val="05C70E9C"/>
    <w:rsid w:val="07043D3F"/>
    <w:rsid w:val="07212DDD"/>
    <w:rsid w:val="07552726"/>
    <w:rsid w:val="076D3A81"/>
    <w:rsid w:val="08124D2B"/>
    <w:rsid w:val="08470072"/>
    <w:rsid w:val="08737DB9"/>
    <w:rsid w:val="088E5AA1"/>
    <w:rsid w:val="08AC212E"/>
    <w:rsid w:val="08DC4EB8"/>
    <w:rsid w:val="08F83E8D"/>
    <w:rsid w:val="09052CD0"/>
    <w:rsid w:val="09AA4D5C"/>
    <w:rsid w:val="0A0A4451"/>
    <w:rsid w:val="0AA27093"/>
    <w:rsid w:val="0B207881"/>
    <w:rsid w:val="0B3C625B"/>
    <w:rsid w:val="0B4667E0"/>
    <w:rsid w:val="0B663B61"/>
    <w:rsid w:val="0C476893"/>
    <w:rsid w:val="0C4D7C21"/>
    <w:rsid w:val="0CB9764D"/>
    <w:rsid w:val="0D4728C2"/>
    <w:rsid w:val="0D7960B4"/>
    <w:rsid w:val="0D9F625A"/>
    <w:rsid w:val="0DB31D06"/>
    <w:rsid w:val="0E2B091A"/>
    <w:rsid w:val="0ECC12D1"/>
    <w:rsid w:val="0ED6779A"/>
    <w:rsid w:val="104D01F0"/>
    <w:rsid w:val="10AE35A2"/>
    <w:rsid w:val="10C85EC9"/>
    <w:rsid w:val="10CB4F66"/>
    <w:rsid w:val="10F41086"/>
    <w:rsid w:val="111D089C"/>
    <w:rsid w:val="1139307F"/>
    <w:rsid w:val="127F389E"/>
    <w:rsid w:val="13815D2A"/>
    <w:rsid w:val="13AD2810"/>
    <w:rsid w:val="14663D78"/>
    <w:rsid w:val="14AF1479"/>
    <w:rsid w:val="158B4EE7"/>
    <w:rsid w:val="15970463"/>
    <w:rsid w:val="15C91BB0"/>
    <w:rsid w:val="164F0622"/>
    <w:rsid w:val="16C27253"/>
    <w:rsid w:val="170C7244"/>
    <w:rsid w:val="18001D1C"/>
    <w:rsid w:val="182E0811"/>
    <w:rsid w:val="1A2C531A"/>
    <w:rsid w:val="1A327A57"/>
    <w:rsid w:val="1A8844E0"/>
    <w:rsid w:val="1B1D2D9C"/>
    <w:rsid w:val="1B543F7D"/>
    <w:rsid w:val="1BB11E05"/>
    <w:rsid w:val="1C5841A4"/>
    <w:rsid w:val="1C5E4627"/>
    <w:rsid w:val="1CE42CFC"/>
    <w:rsid w:val="1E276F51"/>
    <w:rsid w:val="20211BEC"/>
    <w:rsid w:val="213342C3"/>
    <w:rsid w:val="216F4724"/>
    <w:rsid w:val="21D85A36"/>
    <w:rsid w:val="22A751D6"/>
    <w:rsid w:val="22D93163"/>
    <w:rsid w:val="231004BD"/>
    <w:rsid w:val="234B0620"/>
    <w:rsid w:val="243A57FA"/>
    <w:rsid w:val="244B23EF"/>
    <w:rsid w:val="24BD373E"/>
    <w:rsid w:val="25072C0B"/>
    <w:rsid w:val="25B80E7F"/>
    <w:rsid w:val="25E37D4D"/>
    <w:rsid w:val="25F47CA3"/>
    <w:rsid w:val="261B53F1"/>
    <w:rsid w:val="26202AAD"/>
    <w:rsid w:val="26840EC7"/>
    <w:rsid w:val="26B21FC7"/>
    <w:rsid w:val="271C5E55"/>
    <w:rsid w:val="27B474A6"/>
    <w:rsid w:val="28065931"/>
    <w:rsid w:val="282163EE"/>
    <w:rsid w:val="282B09BF"/>
    <w:rsid w:val="285D4D96"/>
    <w:rsid w:val="28E45616"/>
    <w:rsid w:val="29BE1E14"/>
    <w:rsid w:val="29CA383F"/>
    <w:rsid w:val="2A1C2CB5"/>
    <w:rsid w:val="2B4A75CB"/>
    <w:rsid w:val="2BFB5B18"/>
    <w:rsid w:val="2C790C3F"/>
    <w:rsid w:val="2C9A771E"/>
    <w:rsid w:val="2E792813"/>
    <w:rsid w:val="2EE34571"/>
    <w:rsid w:val="2F8310E0"/>
    <w:rsid w:val="2FFF0208"/>
    <w:rsid w:val="30386CF2"/>
    <w:rsid w:val="30BD1F4D"/>
    <w:rsid w:val="30E3437E"/>
    <w:rsid w:val="30EB2C86"/>
    <w:rsid w:val="31000106"/>
    <w:rsid w:val="31143902"/>
    <w:rsid w:val="313D1229"/>
    <w:rsid w:val="32780CA4"/>
    <w:rsid w:val="327C097E"/>
    <w:rsid w:val="32AF5D7F"/>
    <w:rsid w:val="32BE0088"/>
    <w:rsid w:val="33B8655F"/>
    <w:rsid w:val="33F26834"/>
    <w:rsid w:val="34325184"/>
    <w:rsid w:val="343E729D"/>
    <w:rsid w:val="34694FD0"/>
    <w:rsid w:val="34972936"/>
    <w:rsid w:val="34AE3693"/>
    <w:rsid w:val="350B7F41"/>
    <w:rsid w:val="35881FB4"/>
    <w:rsid w:val="361E6007"/>
    <w:rsid w:val="36651A2A"/>
    <w:rsid w:val="368C4322"/>
    <w:rsid w:val="37187417"/>
    <w:rsid w:val="3730006C"/>
    <w:rsid w:val="3763636B"/>
    <w:rsid w:val="37702892"/>
    <w:rsid w:val="37912200"/>
    <w:rsid w:val="37AA7343"/>
    <w:rsid w:val="38107BD1"/>
    <w:rsid w:val="38390ED6"/>
    <w:rsid w:val="386B10CD"/>
    <w:rsid w:val="3A087723"/>
    <w:rsid w:val="3A2D6818"/>
    <w:rsid w:val="3A5133C8"/>
    <w:rsid w:val="3A7E1EA4"/>
    <w:rsid w:val="3AA54601"/>
    <w:rsid w:val="3AC91083"/>
    <w:rsid w:val="3ACC6055"/>
    <w:rsid w:val="3B630B58"/>
    <w:rsid w:val="3BEA6706"/>
    <w:rsid w:val="3CAB0685"/>
    <w:rsid w:val="3DC04A1D"/>
    <w:rsid w:val="3E640E90"/>
    <w:rsid w:val="3FD61700"/>
    <w:rsid w:val="402A2161"/>
    <w:rsid w:val="403A688F"/>
    <w:rsid w:val="405805AB"/>
    <w:rsid w:val="40707630"/>
    <w:rsid w:val="40E165AE"/>
    <w:rsid w:val="4116259D"/>
    <w:rsid w:val="41630D72"/>
    <w:rsid w:val="41885477"/>
    <w:rsid w:val="41DC1398"/>
    <w:rsid w:val="41FB2309"/>
    <w:rsid w:val="429B28DE"/>
    <w:rsid w:val="42E776BB"/>
    <w:rsid w:val="43214448"/>
    <w:rsid w:val="43416B84"/>
    <w:rsid w:val="438D657A"/>
    <w:rsid w:val="439F57A4"/>
    <w:rsid w:val="44AB453E"/>
    <w:rsid w:val="45B933A3"/>
    <w:rsid w:val="46D5626E"/>
    <w:rsid w:val="46E94032"/>
    <w:rsid w:val="471D016A"/>
    <w:rsid w:val="47617B01"/>
    <w:rsid w:val="476E311E"/>
    <w:rsid w:val="49064FA2"/>
    <w:rsid w:val="49332F04"/>
    <w:rsid w:val="49494CF1"/>
    <w:rsid w:val="49A932E9"/>
    <w:rsid w:val="49FD16AD"/>
    <w:rsid w:val="4A6641F5"/>
    <w:rsid w:val="4A855151"/>
    <w:rsid w:val="4B01576F"/>
    <w:rsid w:val="4B1F0583"/>
    <w:rsid w:val="4B636BA2"/>
    <w:rsid w:val="4C4F6AC2"/>
    <w:rsid w:val="4C6F4A6E"/>
    <w:rsid w:val="4C7D53DD"/>
    <w:rsid w:val="4D5F3B5F"/>
    <w:rsid w:val="4DA44B90"/>
    <w:rsid w:val="4E054226"/>
    <w:rsid w:val="4E906A8F"/>
    <w:rsid w:val="4EA2287D"/>
    <w:rsid w:val="4EA65E1B"/>
    <w:rsid w:val="4EEF1E97"/>
    <w:rsid w:val="4F29184C"/>
    <w:rsid w:val="4F7336A7"/>
    <w:rsid w:val="4F733A63"/>
    <w:rsid w:val="4F7F04FB"/>
    <w:rsid w:val="4FBA005F"/>
    <w:rsid w:val="50B74101"/>
    <w:rsid w:val="50D47596"/>
    <w:rsid w:val="51323DE6"/>
    <w:rsid w:val="516816BA"/>
    <w:rsid w:val="517C1CD0"/>
    <w:rsid w:val="51914390"/>
    <w:rsid w:val="51C642C6"/>
    <w:rsid w:val="51FB094B"/>
    <w:rsid w:val="524B2937"/>
    <w:rsid w:val="52923447"/>
    <w:rsid w:val="52D46A51"/>
    <w:rsid w:val="53887BE2"/>
    <w:rsid w:val="53A669F8"/>
    <w:rsid w:val="53BE23A8"/>
    <w:rsid w:val="54D20740"/>
    <w:rsid w:val="553A6556"/>
    <w:rsid w:val="55AC6D33"/>
    <w:rsid w:val="56A416CE"/>
    <w:rsid w:val="56A76407"/>
    <w:rsid w:val="56F049FE"/>
    <w:rsid w:val="56F269C8"/>
    <w:rsid w:val="57183C95"/>
    <w:rsid w:val="573A5A2F"/>
    <w:rsid w:val="57DF495C"/>
    <w:rsid w:val="58A4265B"/>
    <w:rsid w:val="59253514"/>
    <w:rsid w:val="5AB03B93"/>
    <w:rsid w:val="5B5C4EAA"/>
    <w:rsid w:val="5BBD3A7B"/>
    <w:rsid w:val="5C734111"/>
    <w:rsid w:val="5C936557"/>
    <w:rsid w:val="5D013F78"/>
    <w:rsid w:val="5D123920"/>
    <w:rsid w:val="5D1642BC"/>
    <w:rsid w:val="5D1E0517"/>
    <w:rsid w:val="5DA02A58"/>
    <w:rsid w:val="5DFC3227"/>
    <w:rsid w:val="5E417C09"/>
    <w:rsid w:val="5E5341F0"/>
    <w:rsid w:val="5E712E65"/>
    <w:rsid w:val="5ECB6F2D"/>
    <w:rsid w:val="5EDB05A3"/>
    <w:rsid w:val="5F0D0D5C"/>
    <w:rsid w:val="5F446A72"/>
    <w:rsid w:val="602025AC"/>
    <w:rsid w:val="605F57BD"/>
    <w:rsid w:val="60A8771C"/>
    <w:rsid w:val="60C5488B"/>
    <w:rsid w:val="60E57724"/>
    <w:rsid w:val="611D1A4C"/>
    <w:rsid w:val="61B9080E"/>
    <w:rsid w:val="62402855"/>
    <w:rsid w:val="62546364"/>
    <w:rsid w:val="62A07F3E"/>
    <w:rsid w:val="639332E1"/>
    <w:rsid w:val="63E705DE"/>
    <w:rsid w:val="63E7447D"/>
    <w:rsid w:val="63F2026A"/>
    <w:rsid w:val="64387AFA"/>
    <w:rsid w:val="64410F8F"/>
    <w:rsid w:val="644921E7"/>
    <w:rsid w:val="647336F0"/>
    <w:rsid w:val="656C48C9"/>
    <w:rsid w:val="65725ACE"/>
    <w:rsid w:val="659A4D1F"/>
    <w:rsid w:val="66EE7FF0"/>
    <w:rsid w:val="670E7902"/>
    <w:rsid w:val="67896ED4"/>
    <w:rsid w:val="67BC1058"/>
    <w:rsid w:val="67ED7A99"/>
    <w:rsid w:val="683B74A5"/>
    <w:rsid w:val="688431F8"/>
    <w:rsid w:val="68EF4054"/>
    <w:rsid w:val="6906280D"/>
    <w:rsid w:val="69185DB3"/>
    <w:rsid w:val="692F7608"/>
    <w:rsid w:val="69E026B9"/>
    <w:rsid w:val="6B8974A3"/>
    <w:rsid w:val="6BEC0863"/>
    <w:rsid w:val="6C057731"/>
    <w:rsid w:val="6C1672C1"/>
    <w:rsid w:val="6C1E523A"/>
    <w:rsid w:val="6C223454"/>
    <w:rsid w:val="6C2E3ECC"/>
    <w:rsid w:val="6C864FC7"/>
    <w:rsid w:val="6CAC766A"/>
    <w:rsid w:val="6CD22E63"/>
    <w:rsid w:val="6D377783"/>
    <w:rsid w:val="6D475D9B"/>
    <w:rsid w:val="6D992BE2"/>
    <w:rsid w:val="6DD679D8"/>
    <w:rsid w:val="6E293701"/>
    <w:rsid w:val="6E2E60E0"/>
    <w:rsid w:val="6E8825D4"/>
    <w:rsid w:val="708C115F"/>
    <w:rsid w:val="71522C29"/>
    <w:rsid w:val="7169175D"/>
    <w:rsid w:val="717C3606"/>
    <w:rsid w:val="725A5932"/>
    <w:rsid w:val="726F7089"/>
    <w:rsid w:val="72DE56EC"/>
    <w:rsid w:val="73146EFC"/>
    <w:rsid w:val="735E5441"/>
    <w:rsid w:val="73866EC6"/>
    <w:rsid w:val="73B5187B"/>
    <w:rsid w:val="74100036"/>
    <w:rsid w:val="745F539E"/>
    <w:rsid w:val="74B25489"/>
    <w:rsid w:val="74FB41FC"/>
    <w:rsid w:val="753D4ECA"/>
    <w:rsid w:val="76897ADF"/>
    <w:rsid w:val="7701399A"/>
    <w:rsid w:val="770F3635"/>
    <w:rsid w:val="77571073"/>
    <w:rsid w:val="781F4CEB"/>
    <w:rsid w:val="786D0C54"/>
    <w:rsid w:val="78764386"/>
    <w:rsid w:val="79615FB4"/>
    <w:rsid w:val="79DA3F75"/>
    <w:rsid w:val="7ABA3C6D"/>
    <w:rsid w:val="7B573621"/>
    <w:rsid w:val="7BD302C6"/>
    <w:rsid w:val="7C665499"/>
    <w:rsid w:val="7EF74BC5"/>
    <w:rsid w:val="7F3E7D3D"/>
    <w:rsid w:val="7F5B6882"/>
    <w:rsid w:val="7F7D2A23"/>
    <w:rsid w:val="7F8B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paragraph" w:styleId="4">
    <w:name w:val="heading 1"/>
    <w:basedOn w:val="1"/>
    <w:next w:val="1"/>
    <w:link w:val="32"/>
    <w:qFormat/>
    <w:uiPriority w:val="9"/>
    <w:pPr>
      <w:keepNext/>
      <w:keepLines/>
      <w:spacing w:before="340" w:after="330" w:line="578" w:lineRule="auto"/>
      <w:outlineLvl w:val="0"/>
    </w:pPr>
    <w:rPr>
      <w:rFonts w:ascii="Times New Roman" w:hAnsi="Times New Roman" w:eastAsia="宋体" w:cstheme="minorBidi"/>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6">
    <w:name w:val="heading 3"/>
    <w:basedOn w:val="1"/>
    <w:next w:val="1"/>
    <w:link w:val="22"/>
    <w:semiHidden/>
    <w:unhideWhenUsed/>
    <w:qFormat/>
    <w:uiPriority w:val="9"/>
    <w:pPr>
      <w:keepNext/>
      <w:keepLines/>
      <w:spacing w:before="260" w:after="260" w:line="416" w:lineRule="auto"/>
      <w:outlineLvl w:val="2"/>
    </w:pPr>
    <w:rPr>
      <w:rFonts w:ascii="Times New Roman" w:hAnsi="Times New Roman" w:eastAsia="宋体" w:cstheme="minorBidi"/>
      <w:b/>
      <w:bCs/>
      <w:szCs w:val="32"/>
    </w:rPr>
  </w:style>
  <w:style w:type="paragraph" w:styleId="7">
    <w:name w:val="heading 4"/>
    <w:basedOn w:val="1"/>
    <w:next w:val="1"/>
    <w:qFormat/>
    <w:uiPriority w:val="0"/>
    <w:pPr>
      <w:numPr>
        <w:ilvl w:val="3"/>
        <w:numId w:val="1"/>
      </w:numPr>
      <w:adjustRightInd w:val="0"/>
      <w:spacing w:line="460" w:lineRule="exact"/>
      <w:jc w:val="left"/>
      <w:textAlignment w:val="baseline"/>
      <w:outlineLvl w:val="3"/>
    </w:pPr>
    <w:rPr>
      <w:kern w:val="0"/>
      <w:sz w:val="24"/>
      <w:szCs w:val="20"/>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1"/>
    <w:basedOn w:val="3"/>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List"/>
    <w:basedOn w:val="1"/>
    <w:qFormat/>
    <w:uiPriority w:val="0"/>
    <w:pPr>
      <w:spacing w:line="360" w:lineRule="auto"/>
    </w:pPr>
    <w:rPr>
      <w:sz w:val="24"/>
    </w:rPr>
  </w:style>
  <w:style w:type="paragraph" w:styleId="8">
    <w:name w:val="Body Text"/>
    <w:basedOn w:val="1"/>
    <w:qFormat/>
    <w:uiPriority w:val="99"/>
    <w:pPr>
      <w:ind w:left="220"/>
    </w:pPr>
    <w:rPr>
      <w:rFonts w:ascii="Noto Sans CJK JP Regular" w:hAnsi="Noto Sans CJK JP Regular" w:cs="Noto Sans CJK JP Regular"/>
      <w:sz w:val="24"/>
      <w:lang w:val="zh-CN"/>
    </w:rPr>
  </w:style>
  <w:style w:type="paragraph" w:styleId="9">
    <w:name w:val="Body Text Indent"/>
    <w:basedOn w:val="1"/>
    <w:next w:val="10"/>
    <w:qFormat/>
    <w:uiPriority w:val="0"/>
    <w:pPr>
      <w:autoSpaceDE w:val="0"/>
      <w:autoSpaceDN w:val="0"/>
      <w:adjustRightInd w:val="0"/>
      <w:spacing w:line="470" w:lineRule="atLeast"/>
      <w:ind w:firstLine="359"/>
    </w:pPr>
    <w:rPr>
      <w:rFonts w:ascii="宋体" w:hAnsi="宋体"/>
      <w:color w:val="000000"/>
      <w:sz w:val="24"/>
      <w:szCs w:val="21"/>
      <w:lang w:val="zh-CN"/>
    </w:rPr>
  </w:style>
  <w:style w:type="paragraph" w:customStyle="1" w:styleId="10">
    <w:name w:val="样式 正文文本缩进 + 行距: 1.5 倍行距"/>
    <w:basedOn w:val="1"/>
    <w:qFormat/>
    <w:uiPriority w:val="0"/>
    <w:pPr>
      <w:spacing w:after="120" w:line="360" w:lineRule="auto"/>
      <w:ind w:left="90" w:leftChars="32" w:firstLine="560" w:firstLineChars="200"/>
    </w:pPr>
    <w:rPr>
      <w:rFonts w:cs="宋体"/>
      <w:sz w:val="24"/>
    </w:rPr>
  </w:style>
  <w:style w:type="paragraph" w:styleId="11">
    <w:name w:val="Body Text Indent 2"/>
    <w:basedOn w:val="1"/>
    <w:next w:val="12"/>
    <w:qFormat/>
    <w:uiPriority w:val="0"/>
    <w:pPr>
      <w:spacing w:line="360" w:lineRule="auto"/>
      <w:ind w:firstLine="480" w:firstLineChars="200"/>
    </w:pPr>
    <w:rPr>
      <w:sz w:val="24"/>
    </w:rPr>
  </w:style>
  <w:style w:type="paragraph" w:styleId="12">
    <w:name w:val="Body Text First Indent 2"/>
    <w:basedOn w:val="9"/>
    <w:next w:val="1"/>
    <w:qFormat/>
    <w:uiPriority w:val="0"/>
    <w:pPr>
      <w:spacing w:after="0" w:afterLines="0"/>
      <w:ind w:left="0" w:leftChars="0" w:firstLine="420"/>
    </w:pPr>
  </w:style>
  <w:style w:type="paragraph" w:styleId="13">
    <w:name w:val="Balloon Text"/>
    <w:basedOn w:val="1"/>
    <w:link w:val="48"/>
    <w:semiHidden/>
    <w:unhideWhenUsed/>
    <w:qFormat/>
    <w:uiPriority w:val="99"/>
    <w:rPr>
      <w:sz w:val="18"/>
      <w:szCs w:val="18"/>
    </w:rPr>
  </w:style>
  <w:style w:type="paragraph" w:styleId="14">
    <w:name w:val="footer"/>
    <w:basedOn w:val="1"/>
    <w:link w:val="46"/>
    <w:qFormat/>
    <w:uiPriority w:val="0"/>
    <w:pPr>
      <w:tabs>
        <w:tab w:val="center" w:pos="4153"/>
        <w:tab w:val="right" w:pos="8306"/>
      </w:tabs>
      <w:snapToGrid w:val="0"/>
      <w:jc w:val="left"/>
    </w:pPr>
    <w:rPr>
      <w:rFonts w:eastAsiaTheme="minorEastAsia" w:cstheme="minorBidi"/>
      <w:sz w:val="18"/>
      <w:szCs w:val="18"/>
    </w:rPr>
  </w:style>
  <w:style w:type="paragraph" w:styleId="15">
    <w:name w:val="header"/>
    <w:basedOn w:val="1"/>
    <w:next w:val="16"/>
    <w:link w:val="4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6">
    <w:name w:val="样式5"/>
    <w:basedOn w:val="17"/>
    <w:semiHidden/>
    <w:qFormat/>
    <w:uiPriority w:val="0"/>
    <w:pPr>
      <w:numPr>
        <w:ilvl w:val="0"/>
        <w:numId w:val="0"/>
      </w:numPr>
      <w:tabs>
        <w:tab w:val="left" w:pos="709"/>
        <w:tab w:val="left" w:pos="1589"/>
        <w:tab w:val="left" w:pos="2160"/>
      </w:tabs>
      <w:adjustRightInd w:val="0"/>
      <w:snapToGrid w:val="0"/>
      <w:spacing w:before="260" w:beforeLines="50" w:after="260" w:line="312" w:lineRule="auto"/>
      <w:ind w:left="1589" w:hanging="1021"/>
    </w:pPr>
    <w:rPr>
      <w:rFonts w:ascii="仿宋_GB2312" w:eastAsia="仿宋_GB2312"/>
      <w:snapToGrid w:val="0"/>
      <w:color w:val="FF0000"/>
      <w:szCs w:val="32"/>
    </w:rPr>
  </w:style>
  <w:style w:type="paragraph" w:customStyle="1" w:styleId="17">
    <w:name w:val="正文1"/>
    <w:basedOn w:val="1"/>
    <w:next w:val="1"/>
    <w:semiHidden/>
    <w:qFormat/>
    <w:uiPriority w:val="0"/>
    <w:pPr>
      <w:autoSpaceDE w:val="0"/>
      <w:autoSpaceDN w:val="0"/>
      <w:spacing w:line="360" w:lineRule="auto"/>
      <w:ind w:firstLine="200" w:firstLineChars="200"/>
      <w:jc w:val="left"/>
      <w:textAlignment w:val="baseline"/>
    </w:pPr>
    <w:rPr>
      <w:snapToGrid w:val="0"/>
      <w:kern w:val="0"/>
      <w:sz w:val="24"/>
      <w:szCs w:val="20"/>
    </w:rPr>
  </w:style>
  <w:style w:type="paragraph" w:styleId="18">
    <w:name w:val="Title"/>
    <w:basedOn w:val="1"/>
    <w:qFormat/>
    <w:uiPriority w:val="0"/>
    <w:pPr>
      <w:spacing w:before="240" w:after="60"/>
      <w:jc w:val="center"/>
      <w:outlineLvl w:val="0"/>
    </w:pPr>
    <w:rPr>
      <w:rFonts w:ascii="Arial" w:hAnsi="Arial"/>
      <w:b/>
      <w:bCs/>
      <w:sz w:val="44"/>
      <w:szCs w:val="32"/>
    </w:rPr>
  </w:style>
  <w:style w:type="character" w:styleId="21">
    <w:name w:val="page number"/>
    <w:basedOn w:val="20"/>
    <w:qFormat/>
    <w:uiPriority w:val="0"/>
  </w:style>
  <w:style w:type="character" w:customStyle="1" w:styleId="22">
    <w:name w:val="标题 3 Char"/>
    <w:basedOn w:val="20"/>
    <w:link w:val="6"/>
    <w:semiHidden/>
    <w:qFormat/>
    <w:uiPriority w:val="9"/>
    <w:rPr>
      <w:rFonts w:ascii="Times New Roman" w:hAnsi="Times New Roman" w:eastAsia="宋体"/>
      <w:b/>
      <w:bCs/>
      <w:sz w:val="32"/>
      <w:szCs w:val="32"/>
    </w:rPr>
  </w:style>
  <w:style w:type="paragraph" w:customStyle="1" w:styleId="23">
    <w:name w:val="Normal_14_0"/>
    <w:qFormat/>
    <w:uiPriority w:val="0"/>
    <w:pPr>
      <w:spacing w:before="120" w:after="240"/>
      <w:jc w:val="both"/>
    </w:pPr>
    <w:rPr>
      <w:rFonts w:ascii="Calibri" w:hAnsi="Calibri" w:eastAsia="Calibri" w:cs="Times New Roman"/>
      <w:sz w:val="22"/>
      <w:szCs w:val="22"/>
      <w:lang w:val="ru-RU" w:eastAsia="en-US" w:bidi="ar-SA"/>
    </w:rPr>
  </w:style>
  <w:style w:type="paragraph" w:customStyle="1" w:styleId="24">
    <w:name w:val="正文首行缩进 21"/>
    <w:qFormat/>
    <w:uiPriority w:val="2457"/>
    <w:pPr>
      <w:widowControl/>
      <w:suppressAutoHyphens w:val="0"/>
      <w:bidi w:val="0"/>
      <w:ind w:left="0" w:right="0" w:firstLine="420"/>
    </w:pPr>
    <w:rPr>
      <w:rFonts w:ascii="Times New Roman" w:hAnsi="Times New Roman" w:eastAsia="Times New Roman" w:cs="Times New Roman"/>
      <w:color w:val="auto"/>
      <w:sz w:val="20"/>
      <w:szCs w:val="20"/>
      <w:lang w:val="en-US" w:eastAsia="zh-CN" w:bidi="hi-IN"/>
    </w:rPr>
  </w:style>
  <w:style w:type="paragraph" w:customStyle="1" w:styleId="25">
    <w:name w:val="正文2"/>
    <w:basedOn w:val="1"/>
    <w:qFormat/>
    <w:uiPriority w:val="0"/>
    <w:pPr>
      <w:adjustRightInd w:val="0"/>
      <w:snapToGrid w:val="0"/>
      <w:spacing w:line="440" w:lineRule="atLeast"/>
      <w:ind w:firstLine="567"/>
    </w:pPr>
    <w:rPr>
      <w:sz w:val="24"/>
      <w:szCs w:val="20"/>
    </w:rPr>
  </w:style>
  <w:style w:type="paragraph" w:customStyle="1" w:styleId="26">
    <w:name w:val="Default"/>
    <w:basedOn w:val="27"/>
    <w:next w:val="12"/>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 w:type="paragraph" w:customStyle="1" w:styleId="28">
    <w:name w:val="样式 标题 2"/>
    <w:basedOn w:val="6"/>
    <w:next w:val="2"/>
    <w:qFormat/>
    <w:uiPriority w:val="0"/>
    <w:pPr>
      <w:numPr>
        <w:ilvl w:val="0"/>
        <w:numId w:val="0"/>
      </w:numPr>
      <w:tabs>
        <w:tab w:val="left" w:pos="0"/>
        <w:tab w:val="left" w:pos="720"/>
        <w:tab w:val="left" w:pos="1146"/>
      </w:tabs>
    </w:pPr>
    <w:rPr>
      <w:rFonts w:ascii="仿宋_GB2312" w:hAnsi="仿宋_GB2312" w:eastAsia="仿宋_GB2312" w:cs="宋体"/>
      <w:b w:val="0"/>
      <w:bCs w:val="0"/>
      <w:kern w:val="21"/>
      <w:sz w:val="28"/>
      <w:szCs w:val="20"/>
    </w:rPr>
  </w:style>
  <w:style w:type="paragraph" w:customStyle="1" w:styleId="29">
    <w:name w:val="样式35"/>
    <w:basedOn w:val="1"/>
    <w:next w:val="1"/>
    <w:qFormat/>
    <w:uiPriority w:val="0"/>
    <w:pPr>
      <w:spacing w:line="312" w:lineRule="auto"/>
      <w:ind w:firstLine="567"/>
    </w:pPr>
    <w:rPr>
      <w:rFonts w:ascii="宋体"/>
      <w:sz w:val="28"/>
    </w:rPr>
  </w:style>
  <w:style w:type="paragraph" w:customStyle="1" w:styleId="30">
    <w:name w:val="A0正文"/>
    <w:basedOn w:val="1"/>
    <w:qFormat/>
    <w:uiPriority w:val="0"/>
    <w:pPr>
      <w:spacing w:line="560" w:lineRule="exact"/>
      <w:ind w:firstLine="200" w:firstLineChars="200"/>
    </w:pPr>
    <w:rPr>
      <w:rFonts w:ascii="Times New Roman" w:hAnsi="Times New Roman" w:eastAsia="宋体" w:cs="宋体"/>
      <w:sz w:val="24"/>
      <w:lang w:val="zh-CN"/>
    </w:rPr>
  </w:style>
  <w:style w:type="paragraph" w:customStyle="1" w:styleId="31">
    <w:name w:val="A标题1级"/>
    <w:basedOn w:val="4"/>
    <w:qFormat/>
    <w:uiPriority w:val="0"/>
    <w:pPr>
      <w:pageBreakBefore/>
      <w:spacing w:before="0" w:afterLines="100" w:line="500" w:lineRule="exact"/>
      <w:jc w:val="center"/>
    </w:pPr>
    <w:rPr>
      <w:rFonts w:eastAsia="黑体" w:cs="宋体"/>
      <w:kern w:val="2"/>
      <w:sz w:val="32"/>
      <w:szCs w:val="20"/>
    </w:rPr>
  </w:style>
  <w:style w:type="character" w:customStyle="1" w:styleId="32">
    <w:name w:val="标题 1 Char"/>
    <w:basedOn w:val="20"/>
    <w:link w:val="4"/>
    <w:qFormat/>
    <w:uiPriority w:val="9"/>
    <w:rPr>
      <w:rFonts w:ascii="Times New Roman" w:hAnsi="Times New Roman" w:eastAsia="宋体"/>
      <w:b/>
      <w:bCs/>
      <w:kern w:val="44"/>
      <w:sz w:val="44"/>
      <w:szCs w:val="44"/>
    </w:rPr>
  </w:style>
  <w:style w:type="paragraph" w:customStyle="1" w:styleId="33">
    <w:name w:val="A标题2级"/>
    <w:basedOn w:val="5"/>
    <w:qFormat/>
    <w:uiPriority w:val="0"/>
    <w:pPr>
      <w:spacing w:before="240" w:after="0" w:line="500" w:lineRule="exact"/>
    </w:pPr>
    <w:rPr>
      <w:rFonts w:ascii="Times New Roman" w:hAnsi="Times New Roman" w:eastAsia="黑体" w:cs="宋体"/>
      <w:b w:val="0"/>
      <w:bCs w:val="0"/>
      <w:sz w:val="28"/>
      <w:szCs w:val="20"/>
    </w:rPr>
  </w:style>
  <w:style w:type="character" w:customStyle="1" w:styleId="34">
    <w:name w:val="标题 2 Char"/>
    <w:basedOn w:val="20"/>
    <w:link w:val="5"/>
    <w:semiHidden/>
    <w:qFormat/>
    <w:uiPriority w:val="9"/>
    <w:rPr>
      <w:rFonts w:asciiTheme="majorHAnsi" w:hAnsiTheme="majorHAnsi" w:eastAsiaTheme="majorEastAsia" w:cstheme="majorBidi"/>
      <w:b/>
      <w:bCs/>
      <w:sz w:val="32"/>
      <w:szCs w:val="32"/>
    </w:rPr>
  </w:style>
  <w:style w:type="paragraph" w:customStyle="1" w:styleId="35">
    <w:name w:val="A标题3级"/>
    <w:basedOn w:val="6"/>
    <w:qFormat/>
    <w:uiPriority w:val="0"/>
    <w:pPr>
      <w:spacing w:before="0" w:after="0" w:line="500" w:lineRule="exact"/>
    </w:pPr>
    <w:rPr>
      <w:rFonts w:eastAsia="黑体" w:cs="宋体"/>
      <w:b w:val="0"/>
      <w:spacing w:val="6"/>
      <w:kern w:val="0"/>
      <w:sz w:val="24"/>
      <w:szCs w:val="20"/>
    </w:rPr>
  </w:style>
  <w:style w:type="paragraph" w:customStyle="1" w:styleId="36">
    <w:name w:val="A标题4级"/>
    <w:basedOn w:val="35"/>
    <w:qFormat/>
    <w:uiPriority w:val="0"/>
    <w:pPr>
      <w:outlineLvl w:val="3"/>
    </w:pPr>
  </w:style>
  <w:style w:type="paragraph" w:customStyle="1" w:styleId="37">
    <w:name w:val="A标题5级"/>
    <w:basedOn w:val="36"/>
    <w:qFormat/>
    <w:uiPriority w:val="0"/>
    <w:pPr>
      <w:outlineLvl w:val="4"/>
    </w:pPr>
  </w:style>
  <w:style w:type="table" w:customStyle="1" w:styleId="38">
    <w:name w:val="A表格样式"/>
    <w:basedOn w:val="19"/>
    <w:qFormat/>
    <w:uiPriority w:val="0"/>
    <w:pPr>
      <w:widowControl w:val="0"/>
      <w:jc w:val="center"/>
    </w:pPr>
    <w:tblPr>
      <w:tblBorders>
        <w:top w:val="single" w:color="000000" w:sz="12" w:space="0"/>
        <w:bottom w:val="single" w:color="000000" w:sz="12" w:space="0"/>
        <w:insideH w:val="single" w:color="auto" w:sz="4" w:space="0"/>
        <w:insideV w:val="single" w:color="auto" w:sz="4" w:space="0"/>
      </w:tblBorders>
      <w:tblCellMar>
        <w:top w:w="0" w:type="dxa"/>
        <w:left w:w="0" w:type="dxa"/>
        <w:bottom w:w="0" w:type="dxa"/>
        <w:right w:w="0" w:type="dxa"/>
      </w:tblCellMar>
    </w:tblPr>
    <w:tcPr>
      <w:vAlign w:val="center"/>
    </w:tcPr>
    <w:tblStylePr w:type="firstRow">
      <w:rPr>
        <w:b/>
      </w:rPr>
    </w:tblStylePr>
  </w:style>
  <w:style w:type="table" w:customStyle="1" w:styleId="39">
    <w:name w:val="A表格样式1"/>
    <w:basedOn w:val="19"/>
    <w:qFormat/>
    <w:uiPriority w:val="0"/>
    <w:pPr>
      <w:widowControl w:val="0"/>
      <w:jc w:val="center"/>
    </w:pPr>
    <w:tblPr>
      <w:tblBorders>
        <w:top w:val="single" w:color="000000" w:sz="12" w:space="0"/>
        <w:bottom w:val="single" w:color="000000" w:sz="12" w:space="0"/>
        <w:insideH w:val="single" w:color="auto" w:sz="4" w:space="0"/>
        <w:insideV w:val="single" w:color="auto" w:sz="4" w:space="0"/>
      </w:tblBorders>
      <w:tblCellMar>
        <w:top w:w="0" w:type="dxa"/>
        <w:left w:w="108" w:type="dxa"/>
        <w:bottom w:w="0" w:type="dxa"/>
        <w:right w:w="108" w:type="dxa"/>
      </w:tblCellMar>
    </w:tblPr>
    <w:tcPr>
      <w:vAlign w:val="center"/>
    </w:tcPr>
  </w:style>
  <w:style w:type="paragraph" w:customStyle="1" w:styleId="40">
    <w:name w:val="A表内"/>
    <w:basedOn w:val="1"/>
    <w:qFormat/>
    <w:uiPriority w:val="0"/>
    <w:pPr>
      <w:spacing w:line="0" w:lineRule="atLeast"/>
      <w:jc w:val="center"/>
    </w:pPr>
    <w:rPr>
      <w:rFonts w:ascii="Times New Roman" w:hAnsi="Times New Roman" w:eastAsia="宋体" w:cs="宋体"/>
      <w:sz w:val="21"/>
    </w:rPr>
  </w:style>
  <w:style w:type="paragraph" w:customStyle="1" w:styleId="41">
    <w:name w:val="A表头"/>
    <w:basedOn w:val="1"/>
    <w:qFormat/>
    <w:uiPriority w:val="0"/>
    <w:pPr>
      <w:spacing w:beforeLines="50" w:line="240" w:lineRule="atLeast"/>
      <w:jc w:val="left"/>
    </w:pPr>
    <w:rPr>
      <w:rFonts w:ascii="Times New Roman" w:hAnsi="Times New Roman" w:eastAsia="黑体" w:cs="宋体"/>
      <w:sz w:val="22"/>
    </w:rPr>
  </w:style>
  <w:style w:type="table" w:customStyle="1" w:styleId="42">
    <w:name w:val="A表样式1"/>
    <w:basedOn w:val="19"/>
    <w:qFormat/>
    <w:uiPriority w:val="99"/>
    <w:pPr>
      <w:widowControl w:val="0"/>
      <w:jc w:val="center"/>
    </w:pPr>
    <w:tblPr>
      <w:tblBorders>
        <w:top w:val="single" w:color="auto" w:sz="4" w:space="0"/>
        <w:bottom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tcPr>
        <w:tcBorders>
          <w:top w:val="single" w:color="auto" w:sz="12" w:space="0"/>
          <w:left w:val="nil"/>
          <w:bottom w:val="nil"/>
          <w:right w:val="nil"/>
          <w:insideH w:val="nil"/>
          <w:insideV w:val="nil"/>
          <w:tl2br w:val="nil"/>
          <w:tr2bl w:val="nil"/>
        </w:tcBorders>
        <w:shd w:val="clear" w:color="auto" w:fill="auto"/>
      </w:tcPr>
    </w:tblStylePr>
    <w:tblStylePr w:type="lastRow">
      <w:tcPr>
        <w:tcBorders>
          <w:top w:val="single" w:color="008000" w:sz="6" w:space="0"/>
          <w:bottom w:val="single" w:color="auto" w:sz="4" w:space="0"/>
          <w:tl2br w:val="nil"/>
          <w:tr2bl w:val="nil"/>
        </w:tcBorders>
        <w:shd w:val="clear" w:color="auto" w:fill="auto"/>
      </w:tcPr>
    </w:tblStylePr>
  </w:style>
  <w:style w:type="paragraph" w:customStyle="1" w:styleId="43">
    <w:name w:val="A图名"/>
    <w:basedOn w:val="41"/>
    <w:qFormat/>
    <w:uiPriority w:val="0"/>
    <w:pPr>
      <w:spacing w:beforeLines="0" w:afterLines="50"/>
      <w:jc w:val="center"/>
    </w:pPr>
  </w:style>
  <w:style w:type="paragraph" w:customStyle="1" w:styleId="44">
    <w:name w:val="A图片"/>
    <w:basedOn w:val="43"/>
    <w:qFormat/>
    <w:uiPriority w:val="0"/>
    <w:pPr>
      <w:spacing w:afterLines="0"/>
    </w:pPr>
  </w:style>
  <w:style w:type="paragraph" w:customStyle="1" w:styleId="45">
    <w:name w:val="A注明"/>
    <w:basedOn w:val="1"/>
    <w:qFormat/>
    <w:uiPriority w:val="0"/>
    <w:rPr>
      <w:rFonts w:ascii="Times New Roman" w:hAnsi="Times New Roman" w:eastAsia="宋体"/>
      <w:color w:val="000000"/>
      <w:sz w:val="18"/>
      <w:szCs w:val="18"/>
    </w:rPr>
  </w:style>
  <w:style w:type="character" w:customStyle="1" w:styleId="46">
    <w:name w:val="页脚 Char"/>
    <w:link w:val="14"/>
    <w:qFormat/>
    <w:uiPriority w:val="0"/>
    <w:rPr>
      <w:rFonts w:ascii="Calibri" w:hAnsi="Calibri"/>
      <w:sz w:val="18"/>
      <w:szCs w:val="18"/>
    </w:rPr>
  </w:style>
  <w:style w:type="character" w:customStyle="1" w:styleId="47">
    <w:name w:val="页脚 字符1"/>
    <w:basedOn w:val="20"/>
    <w:semiHidden/>
    <w:qFormat/>
    <w:uiPriority w:val="99"/>
    <w:rPr>
      <w:rFonts w:ascii="Calibri" w:hAnsi="Calibri" w:eastAsia="仿宋_GB2312" w:cs="Times New Roman"/>
      <w:sz w:val="18"/>
      <w:szCs w:val="18"/>
    </w:rPr>
  </w:style>
  <w:style w:type="character" w:customStyle="1" w:styleId="48">
    <w:name w:val="批注框文本 Char"/>
    <w:basedOn w:val="20"/>
    <w:link w:val="13"/>
    <w:semiHidden/>
    <w:qFormat/>
    <w:uiPriority w:val="99"/>
    <w:rPr>
      <w:rFonts w:ascii="Calibri" w:hAnsi="Calibri" w:eastAsia="仿宋_GB2312" w:cs="Times New Roman"/>
      <w:sz w:val="18"/>
      <w:szCs w:val="18"/>
    </w:rPr>
  </w:style>
  <w:style w:type="character" w:customStyle="1" w:styleId="49">
    <w:name w:val="页眉 Char"/>
    <w:basedOn w:val="20"/>
    <w:link w:val="15"/>
    <w:semiHidden/>
    <w:qFormat/>
    <w:uiPriority w:val="99"/>
    <w:rPr>
      <w:rFonts w:ascii="Calibri" w:hAnsi="Calibri" w:eastAsia="仿宋_GB2312"/>
      <w:kern w:val="2"/>
      <w:sz w:val="18"/>
      <w:szCs w:val="18"/>
    </w:rPr>
  </w:style>
  <w:style w:type="paragraph" w:customStyle="1" w:styleId="50">
    <w:name w:val="标题2"/>
    <w:next w:val="1"/>
    <w:qFormat/>
    <w:uiPriority w:val="99"/>
    <w:pPr>
      <w:spacing w:beforeLines="50" w:afterLines="50" w:line="360" w:lineRule="auto"/>
      <w:outlineLvl w:val="1"/>
    </w:pPr>
    <w:rPr>
      <w:rFonts w:ascii="Times New Roman" w:hAnsi="Times New Roman" w:eastAsia="宋体" w:cs="Times New Roman"/>
      <w:b/>
      <w:bCs/>
      <w:kern w:val="2"/>
      <w:sz w:val="30"/>
      <w:szCs w:val="30"/>
      <w:lang w:val="en-US" w:eastAsia="zh-CN" w:bidi="ar-SA"/>
    </w:rPr>
  </w:style>
  <w:style w:type="paragraph" w:customStyle="1" w:styleId="51">
    <w:name w:val="aa正文"/>
    <w:basedOn w:val="1"/>
    <w:qFormat/>
    <w:uiPriority w:val="0"/>
    <w:pPr>
      <w:spacing w:line="360" w:lineRule="auto"/>
      <w:ind w:firstLine="200" w:firstLineChars="200"/>
    </w:pPr>
    <w:rPr>
      <w:sz w:val="24"/>
    </w:rPr>
  </w:style>
  <w:style w:type="paragraph" w:customStyle="1" w:styleId="52">
    <w:name w:val="Table Paragraph"/>
    <w:basedOn w:val="1"/>
    <w:unhideWhenUsed/>
    <w:qFormat/>
    <w:uiPriority w:val="1"/>
    <w:pPr>
      <w:spacing w:beforeLines="0" w:afterLines="0"/>
    </w:pPr>
    <w:rPr>
      <w:rFonts w:hint="default"/>
      <w:sz w:val="24"/>
    </w:rPr>
  </w:style>
  <w:style w:type="paragraph" w:customStyle="1" w:styleId="53">
    <w:name w:val="图片和表格"/>
    <w:basedOn w:val="1"/>
    <w:qFormat/>
    <w:uiPriority w:val="0"/>
    <w:pPr>
      <w:spacing w:line="300" w:lineRule="auto"/>
      <w:ind w:firstLine="0" w:firstLineChars="0"/>
      <w:jc w:val="center"/>
    </w:pPr>
    <w:rPr>
      <w:b/>
    </w:rPr>
  </w:style>
  <w:style w:type="paragraph" w:customStyle="1" w:styleId="54">
    <w:name w:val="_Style 8"/>
    <w:qFormat/>
    <w:uiPriority w:val="0"/>
    <w:pPr>
      <w:widowControl w:val="0"/>
      <w:spacing w:beforeLines="50"/>
      <w:jc w:val="center"/>
    </w:pPr>
    <w:rPr>
      <w:rFonts w:ascii="Times New Roman" w:hAnsi="Times New Roman" w:eastAsia="仿宋" w:cs="Times New Roman"/>
      <w:b/>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1562</Words>
  <Characters>1690</Characters>
  <Lines>12</Lines>
  <Paragraphs>3</Paragraphs>
  <TotalTime>3</TotalTime>
  <ScaleCrop>false</ScaleCrop>
  <LinksUpToDate>false</LinksUpToDate>
  <CharactersWithSpaces>1785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2019-08-08T01:55:00Z</dcterms:created>
  <dc:creator>leon</dc:creator>
  <cp:lastModifiedBy>Administrator</cp:lastModifiedBy>
  <cp:lastPrinted>2019-08-08T01:56:00Z</cp:lastPrinted>
  <dcterms:modified xsi:type="dcterms:W3CDTF">2023-10-09T02:57:54Z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9891EC5CAE75425CAFFC58B0CF731A78_13</vt:lpwstr>
  </property>
</Properties>
</file>