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482"/>
        <w:jc w:val="center"/>
        <w:textAlignment w:val="auto"/>
        <w:rPr>
          <w:rFonts w:ascii="宋体" w:hAnsi="宋体" w:eastAsia="宋体" w:cs="宋体"/>
          <w:b/>
          <w:bCs/>
          <w:color w:val="000000"/>
          <w:spacing w:val="0"/>
          <w:position w:val="0"/>
          <w:sz w:val="36"/>
          <w:szCs w:val="36"/>
          <w:shd w:val="clear" w:fill="auto"/>
        </w:rPr>
      </w:pPr>
      <w:r>
        <w:rPr>
          <w:rFonts w:hint="eastAsia" w:ascii="宋体" w:hAnsi="宋体" w:eastAsia="宋体" w:cs="宋体"/>
          <w:b/>
          <w:bCs/>
          <w:color w:val="000000"/>
          <w:spacing w:val="0"/>
          <w:position w:val="0"/>
          <w:sz w:val="36"/>
          <w:szCs w:val="36"/>
          <w:shd w:val="clear" w:fill="auto"/>
          <w:lang w:eastAsia="zh-CN"/>
        </w:rPr>
        <w:t>宜春市袁州区百世腾畜牧养殖有限公司</w:t>
      </w:r>
    </w:p>
    <w:p>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482"/>
        <w:jc w:val="center"/>
        <w:textAlignment w:val="auto"/>
        <w:rPr>
          <w:rFonts w:ascii="宋体" w:hAnsi="宋体" w:eastAsia="宋体" w:cs="宋体"/>
          <w:b/>
          <w:bCs/>
          <w:color w:val="000000"/>
          <w:spacing w:val="0"/>
          <w:position w:val="0"/>
          <w:sz w:val="36"/>
          <w:szCs w:val="36"/>
          <w:shd w:val="clear" w:fill="auto"/>
        </w:rPr>
      </w:pPr>
      <w:r>
        <w:rPr>
          <w:rFonts w:ascii="宋体" w:hAnsi="宋体" w:eastAsia="宋体" w:cs="宋体"/>
          <w:b/>
          <w:bCs/>
          <w:color w:val="000000"/>
          <w:spacing w:val="0"/>
          <w:position w:val="0"/>
          <w:sz w:val="36"/>
          <w:szCs w:val="36"/>
          <w:shd w:val="clear" w:fill="auto"/>
        </w:rPr>
        <w:t>突发环境事件应急预案评审意见表</w:t>
      </w:r>
    </w:p>
    <w:tbl>
      <w:tblPr>
        <w:tblStyle w:val="11"/>
        <w:tblW w:w="0" w:type="auto"/>
        <w:tblInd w:w="0" w:type="dxa"/>
        <w:tblLayout w:type="autofit"/>
        <w:tblCellMar>
          <w:top w:w="0" w:type="dxa"/>
          <w:left w:w="10" w:type="dxa"/>
          <w:bottom w:w="0" w:type="dxa"/>
          <w:right w:w="10" w:type="dxa"/>
        </w:tblCellMar>
      </w:tblPr>
      <w:tblGrid>
        <w:gridCol w:w="8522"/>
      </w:tblGrid>
      <w:tr>
        <w:tblPrEx>
          <w:tblCellMar>
            <w:top w:w="0" w:type="dxa"/>
            <w:left w:w="10" w:type="dxa"/>
            <w:bottom w:w="0" w:type="dxa"/>
            <w:right w:w="10" w:type="dxa"/>
          </w:tblCellMar>
        </w:tblPrEx>
        <w:trPr>
          <w:trHeight w:val="461" w:hRule="atLeast"/>
        </w:trPr>
        <w:tc>
          <w:tcPr>
            <w:tcW w:w="9091" w:type="dxa"/>
            <w:tcBorders>
              <w:top w:val="single" w:color="000000" w:sz="8" w:space="0"/>
              <w:left w:val="single" w:color="000000" w:sz="8" w:space="0"/>
              <w:bottom w:val="single" w:color="000000" w:sz="8" w:space="0"/>
              <w:right w:val="single" w:color="000000" w:sz="8" w:space="0"/>
            </w:tcBorders>
            <w:shd w:val="clear" w:color="000000" w:fill="FFFFFF"/>
            <w:tcMar>
              <w:left w:w="108" w:type="dxa"/>
              <w:right w:w="108" w:type="dxa"/>
            </w:tcMar>
            <w:vAlign w:val="center"/>
          </w:tcPr>
          <w:p>
            <w:pPr>
              <w:spacing w:before="0" w:after="0" w:line="240" w:lineRule="auto"/>
              <w:ind w:left="0" w:right="0" w:firstLine="0"/>
              <w:jc w:val="left"/>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评审时间</w:t>
            </w:r>
            <w:r>
              <w:rPr>
                <w:rFonts w:ascii="宋体" w:hAnsi="宋体" w:eastAsia="宋体" w:cs="宋体"/>
                <w:color w:val="auto"/>
                <w:spacing w:val="0"/>
                <w:position w:val="0"/>
                <w:sz w:val="24"/>
                <w:u w:val="single"/>
                <w:shd w:val="clear" w:fill="auto"/>
              </w:rPr>
              <w:t>：   2023年</w:t>
            </w:r>
            <w:r>
              <w:rPr>
                <w:rFonts w:hint="eastAsia" w:ascii="宋体" w:hAnsi="宋体" w:eastAsia="宋体" w:cs="宋体"/>
                <w:color w:val="auto"/>
                <w:spacing w:val="0"/>
                <w:position w:val="0"/>
                <w:sz w:val="24"/>
                <w:u w:val="single"/>
                <w:shd w:val="clear" w:fill="auto"/>
                <w:lang w:val="en-US" w:eastAsia="zh-CN"/>
              </w:rPr>
              <w:t>10</w:t>
            </w:r>
            <w:r>
              <w:rPr>
                <w:rFonts w:ascii="宋体" w:hAnsi="宋体" w:eastAsia="宋体" w:cs="宋体"/>
                <w:color w:val="auto"/>
                <w:spacing w:val="0"/>
                <w:position w:val="0"/>
                <w:sz w:val="24"/>
                <w:u w:val="single"/>
                <w:shd w:val="clear" w:fill="auto"/>
              </w:rPr>
              <w:t>月</w:t>
            </w:r>
            <w:r>
              <w:rPr>
                <w:rFonts w:hint="eastAsia" w:ascii="宋体" w:hAnsi="宋体" w:eastAsia="宋体" w:cs="宋体"/>
                <w:color w:val="auto"/>
                <w:spacing w:val="0"/>
                <w:position w:val="0"/>
                <w:sz w:val="24"/>
                <w:u w:val="single"/>
                <w:shd w:val="clear" w:fill="auto"/>
                <w:lang w:val="en-US" w:eastAsia="zh-CN"/>
              </w:rPr>
              <w:t>9</w:t>
            </w:r>
            <w:r>
              <w:rPr>
                <w:rFonts w:ascii="宋体" w:hAnsi="宋体" w:eastAsia="宋体" w:cs="宋体"/>
                <w:color w:val="auto"/>
                <w:spacing w:val="0"/>
                <w:position w:val="0"/>
                <w:sz w:val="24"/>
                <w:u w:val="single"/>
                <w:shd w:val="clear" w:fill="auto"/>
              </w:rPr>
              <w:t xml:space="preserve">日          </w:t>
            </w:r>
            <w:r>
              <w:rPr>
                <w:rFonts w:ascii="宋体" w:hAnsi="宋体" w:eastAsia="宋体" w:cs="宋体"/>
                <w:color w:val="auto"/>
                <w:spacing w:val="0"/>
                <w:position w:val="0"/>
                <w:sz w:val="24"/>
                <w:shd w:val="clear" w:fill="auto"/>
              </w:rPr>
              <w:t>地点：</w:t>
            </w:r>
            <w:r>
              <w:rPr>
                <w:rFonts w:ascii="宋体" w:hAnsi="宋体" w:eastAsia="宋体" w:cs="宋体"/>
                <w:color w:val="auto"/>
                <w:spacing w:val="0"/>
                <w:position w:val="0"/>
                <w:sz w:val="24"/>
                <w:u w:val="single"/>
                <w:shd w:val="clear" w:fill="auto"/>
              </w:rPr>
              <w:t xml:space="preserve">                                          </w:t>
            </w:r>
          </w:p>
        </w:tc>
      </w:tr>
      <w:tr>
        <w:tblPrEx>
          <w:tblCellMar>
            <w:top w:w="0" w:type="dxa"/>
            <w:left w:w="10" w:type="dxa"/>
            <w:bottom w:w="0" w:type="dxa"/>
            <w:right w:w="10" w:type="dxa"/>
          </w:tblCellMar>
        </w:tblPrEx>
        <w:trPr>
          <w:trHeight w:val="459" w:hRule="atLeast"/>
        </w:trPr>
        <w:tc>
          <w:tcPr>
            <w:tcW w:w="9091" w:type="dxa"/>
            <w:tcBorders>
              <w:top w:val="single" w:color="000000" w:sz="8" w:space="0"/>
              <w:left w:val="single" w:color="000000" w:sz="8" w:space="0"/>
              <w:bottom w:val="single" w:color="000000" w:sz="8" w:space="0"/>
              <w:right w:val="single" w:color="000000" w:sz="8" w:space="0"/>
            </w:tcBorders>
            <w:shd w:val="clear" w:color="000000" w:fill="FFFFFF"/>
            <w:tcMar>
              <w:left w:w="108" w:type="dxa"/>
              <w:right w:w="108" w:type="dxa"/>
            </w:tcMar>
            <w:vAlign w:val="center"/>
          </w:tcPr>
          <w:p>
            <w:pPr>
              <w:spacing w:before="0" w:after="0" w:line="300" w:lineRule="auto"/>
              <w:ind w:right="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评审方式：</w:t>
            </w:r>
            <w:r>
              <w:rPr>
                <w:rFonts w:hint="eastAsia" w:ascii="宋体" w:hAnsi="宋体" w:eastAsia="宋体" w:cs="宋体"/>
                <w:color w:val="000000"/>
                <w:spacing w:val="0"/>
                <w:position w:val="0"/>
                <w:sz w:val="24"/>
                <w:shd w:val="clear" w:fill="auto"/>
                <w:lang w:eastAsia="zh-CN"/>
              </w:rPr>
              <w:t>☑</w:t>
            </w:r>
            <w:r>
              <w:rPr>
                <w:rFonts w:ascii="宋体" w:hAnsi="宋体" w:eastAsia="宋体" w:cs="宋体"/>
                <w:color w:val="000000"/>
                <w:spacing w:val="0"/>
                <w:position w:val="0"/>
                <w:sz w:val="24"/>
                <w:shd w:val="clear" w:fill="auto"/>
              </w:rPr>
              <w:t xml:space="preserve">函审，□会议评审，□函审、会议评审结合，□其他         </w:t>
            </w:r>
          </w:p>
        </w:tc>
      </w:tr>
      <w:tr>
        <w:tblPrEx>
          <w:tblCellMar>
            <w:top w:w="0" w:type="dxa"/>
            <w:left w:w="10" w:type="dxa"/>
            <w:bottom w:w="0" w:type="dxa"/>
            <w:right w:w="10" w:type="dxa"/>
          </w:tblCellMar>
        </w:tblPrEx>
        <w:trPr>
          <w:trHeight w:val="429" w:hRule="atLeast"/>
        </w:trPr>
        <w:tc>
          <w:tcPr>
            <w:tcW w:w="9091" w:type="dxa"/>
            <w:tcBorders>
              <w:top w:val="single" w:color="000000" w:sz="8" w:space="0"/>
              <w:left w:val="single" w:color="000000" w:sz="8" w:space="0"/>
              <w:bottom w:val="single" w:color="000000" w:sz="8" w:space="0"/>
              <w:right w:val="single" w:color="000000" w:sz="8" w:space="0"/>
            </w:tcBorders>
            <w:shd w:val="clear" w:color="000000" w:fill="FFFFFF"/>
            <w:tcMar>
              <w:left w:w="108" w:type="dxa"/>
              <w:right w:w="108" w:type="dxa"/>
            </w:tcMar>
            <w:vAlign w:val="center"/>
          </w:tcPr>
          <w:p>
            <w:pPr>
              <w:spacing w:before="0" w:after="0" w:line="300" w:lineRule="auto"/>
              <w:ind w:right="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评审结论：</w:t>
            </w:r>
            <w:r>
              <w:rPr>
                <w:rFonts w:hint="eastAsia" w:ascii="宋体" w:hAnsi="宋体" w:eastAsia="宋体" w:cs="宋体"/>
                <w:color w:val="000000"/>
                <w:spacing w:val="0"/>
                <w:position w:val="0"/>
                <w:sz w:val="24"/>
                <w:shd w:val="clear" w:fill="auto"/>
                <w:lang w:eastAsia="zh-CN"/>
              </w:rPr>
              <w:t>□</w:t>
            </w:r>
            <w:r>
              <w:rPr>
                <w:rFonts w:ascii="宋体" w:hAnsi="宋体" w:eastAsia="宋体" w:cs="宋体"/>
                <w:color w:val="000000"/>
                <w:spacing w:val="0"/>
                <w:position w:val="0"/>
                <w:sz w:val="24"/>
                <w:shd w:val="clear" w:fill="auto"/>
              </w:rPr>
              <w:t>通过评审，</w:t>
            </w:r>
            <w:bookmarkStart w:id="0" w:name="_GoBack"/>
            <w:bookmarkEnd w:id="0"/>
            <w:r>
              <w:rPr>
                <w:rFonts w:hint="eastAsia" w:ascii="宋体" w:hAnsi="宋体" w:eastAsia="宋体" w:cs="宋体"/>
                <w:color w:val="000000"/>
                <w:spacing w:val="0"/>
                <w:position w:val="0"/>
                <w:sz w:val="24"/>
                <w:shd w:val="clear" w:fill="auto"/>
                <w:lang w:eastAsia="zh-CN"/>
              </w:rPr>
              <w:t>☑</w:t>
            </w:r>
            <w:r>
              <w:rPr>
                <w:rFonts w:ascii="宋体" w:hAnsi="宋体" w:eastAsia="宋体" w:cs="宋体"/>
                <w:color w:val="000000"/>
                <w:spacing w:val="0"/>
                <w:position w:val="0"/>
                <w:sz w:val="24"/>
                <w:shd w:val="clear" w:fill="auto"/>
              </w:rPr>
              <w:t>原则通过但需进行修改复核，□未通过评审</w:t>
            </w:r>
          </w:p>
        </w:tc>
      </w:tr>
      <w:tr>
        <w:tblPrEx>
          <w:tblCellMar>
            <w:top w:w="0" w:type="dxa"/>
            <w:left w:w="10" w:type="dxa"/>
            <w:bottom w:w="0" w:type="dxa"/>
            <w:right w:w="10" w:type="dxa"/>
          </w:tblCellMar>
        </w:tblPrEx>
        <w:trPr>
          <w:trHeight w:val="596" w:hRule="atLeast"/>
        </w:trPr>
        <w:tc>
          <w:tcPr>
            <w:tcW w:w="9091" w:type="dxa"/>
            <w:tcBorders>
              <w:top w:val="single" w:color="000000" w:sz="8" w:space="0"/>
              <w:left w:val="single" w:color="000000" w:sz="8" w:space="0"/>
              <w:bottom w:val="single" w:color="000000" w:sz="8" w:space="0"/>
              <w:right w:val="single" w:color="000000" w:sz="8" w:space="0"/>
            </w:tcBorders>
            <w:shd w:val="clear" w:color="000000" w:fill="FFFFFF"/>
            <w:tcMar>
              <w:left w:w="108" w:type="dxa"/>
              <w:right w:w="108" w:type="dxa"/>
            </w:tcMar>
            <w:vAlign w:val="center"/>
          </w:tcPr>
          <w:p>
            <w:pPr>
              <w:spacing w:before="0" w:after="0" w:line="300" w:lineRule="auto"/>
              <w:ind w:right="0"/>
              <w:jc w:val="both"/>
              <w:rPr>
                <w:rFonts w:ascii="宋体" w:hAnsi="宋体" w:eastAsia="宋体" w:cs="宋体"/>
                <w:color w:val="000000"/>
                <w:spacing w:val="0"/>
                <w:position w:val="0"/>
                <w:sz w:val="24"/>
                <w:shd w:val="clear" w:fill="auto"/>
              </w:rPr>
            </w:pPr>
            <w:r>
              <w:rPr>
                <w:rFonts w:hint="eastAsia" w:ascii="宋体" w:hAnsi="宋体" w:eastAsia="宋体"/>
                <w:sz w:val="24"/>
                <w:szCs w:val="24"/>
              </w:rPr>
              <w:t>总体评价：《应急预案》基本符合国家有关法律、法规、规章和标准，按照生态环境部对企业突发环境事件应急预案备案管理及环境风险评审的有关要求编制，基础资料较为客观，提出的风险防范措施和应急应对措施有一定针对性，基本符合要素评审要求和企业具体实际，经补充完善后可上报环保部门备案，用于指导处理企业突发环境污染事件。</w:t>
            </w:r>
          </w:p>
        </w:tc>
      </w:tr>
      <w:tr>
        <w:tblPrEx>
          <w:tblCellMar>
            <w:top w:w="0" w:type="dxa"/>
            <w:left w:w="10" w:type="dxa"/>
            <w:bottom w:w="0" w:type="dxa"/>
            <w:right w:w="10" w:type="dxa"/>
          </w:tblCellMar>
        </w:tblPrEx>
        <w:trPr>
          <w:trHeight w:val="0" w:hRule="atLeast"/>
        </w:trPr>
        <w:tc>
          <w:tcPr>
            <w:tcW w:w="9091" w:type="dxa"/>
            <w:tcBorders>
              <w:top w:val="single" w:color="000000" w:sz="8" w:space="0"/>
              <w:left w:val="single" w:color="000000" w:sz="8" w:space="0"/>
              <w:bottom w:val="single" w:color="000000" w:sz="8" w:space="0"/>
              <w:right w:val="single" w:color="000000" w:sz="8" w:space="0"/>
            </w:tcBorders>
            <w:shd w:val="clear" w:color="000000" w:fill="FFFFFF"/>
            <w:tcMar>
              <w:left w:w="108" w:type="dxa"/>
              <w:right w:w="108" w:type="dxa"/>
            </w:tcMar>
            <w:vAlign w:val="top"/>
          </w:tcPr>
          <w:p>
            <w:pPr>
              <w:spacing w:before="0" w:after="0" w:line="240" w:lineRule="auto"/>
              <w:ind w:left="0" w:right="0" w:firstLine="0"/>
              <w:jc w:val="left"/>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问题清单：</w:t>
            </w:r>
          </w:p>
          <w:p>
            <w:pPr>
              <w:spacing w:before="0" w:after="0" w:line="240" w:lineRule="auto"/>
              <w:ind w:left="0" w:right="0" w:firstLine="480"/>
              <w:jc w:val="left"/>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一、应急预案</w:t>
            </w:r>
          </w:p>
          <w:p>
            <w:pPr>
              <w:spacing w:before="0" w:after="0" w:line="240" w:lineRule="auto"/>
              <w:ind w:left="0" w:right="0" w:firstLine="480"/>
              <w:jc w:val="left"/>
              <w:rPr>
                <w:rFonts w:hint="eastAsia" w:ascii="宋体" w:hAnsi="宋体" w:eastAsia="宋体" w:cs="宋体"/>
                <w:color w:val="000000"/>
                <w:spacing w:val="0"/>
                <w:position w:val="0"/>
                <w:sz w:val="24"/>
                <w:shd w:val="clear" w:fill="auto"/>
                <w:lang w:eastAsia="zh-CN"/>
              </w:rPr>
            </w:pPr>
            <w:r>
              <w:rPr>
                <w:rFonts w:ascii="宋体" w:hAnsi="宋体" w:eastAsia="宋体" w:cs="宋体"/>
                <w:color w:val="000000"/>
                <w:spacing w:val="0"/>
                <w:position w:val="0"/>
                <w:sz w:val="24"/>
                <w:shd w:val="clear" w:fill="auto"/>
              </w:rPr>
              <w:t>1、P</w:t>
            </w:r>
            <w:r>
              <w:rPr>
                <w:rFonts w:hint="eastAsia" w:ascii="宋体" w:hAnsi="宋体" w:eastAsia="宋体" w:cs="宋体"/>
                <w:color w:val="000000"/>
                <w:spacing w:val="0"/>
                <w:position w:val="0"/>
                <w:sz w:val="24"/>
                <w:shd w:val="clear" w:fill="auto"/>
                <w:lang w:val="en-US" w:eastAsia="zh-CN"/>
              </w:rPr>
              <w:t>22项目废水污染物产排情况还需进一步分析说明清楚，特别是COD、氨氮等污染物浓度情况。因为其高浓度污染物需作为风险物质并进行Q值计算分析。</w:t>
            </w:r>
            <w:r>
              <w:rPr>
                <w:rFonts w:hint="eastAsia" w:ascii="宋体" w:hAnsi="宋体" w:eastAsia="宋体" w:cs="宋体"/>
                <w:color w:val="000000"/>
                <w:spacing w:val="0"/>
                <w:position w:val="0"/>
                <w:sz w:val="24"/>
                <w:shd w:val="clear" w:fill="auto"/>
                <w:lang w:eastAsia="zh-CN"/>
              </w:rPr>
              <w:t>请补充完善；</w:t>
            </w:r>
          </w:p>
          <w:p>
            <w:pPr>
              <w:spacing w:before="0" w:after="0" w:line="240" w:lineRule="auto"/>
              <w:ind w:left="0" w:right="0" w:firstLine="480"/>
              <w:jc w:val="left"/>
              <w:rPr>
                <w:rFonts w:hint="eastAsia" w:ascii="宋体" w:hAnsi="宋体" w:eastAsia="宋体" w:cs="宋体"/>
                <w:color w:val="000000"/>
                <w:spacing w:val="0"/>
                <w:position w:val="0"/>
                <w:sz w:val="24"/>
                <w:shd w:val="clear" w:fill="auto"/>
                <w:lang w:eastAsia="zh-CN"/>
              </w:rPr>
            </w:pPr>
            <w:r>
              <w:rPr>
                <w:rFonts w:hint="eastAsia" w:ascii="宋体" w:hAnsi="宋体" w:eastAsia="宋体" w:cs="宋体"/>
                <w:color w:val="000000"/>
                <w:spacing w:val="0"/>
                <w:position w:val="0"/>
                <w:sz w:val="24"/>
                <w:shd w:val="clear" w:fill="auto"/>
                <w:lang w:val="en-US" w:eastAsia="zh-CN"/>
              </w:rPr>
              <w:t>2、P27按照要求，第三章中进行环境风险分析说明内容</w:t>
            </w:r>
            <w:r>
              <w:rPr>
                <w:rFonts w:hint="eastAsia" w:ascii="宋体" w:hAnsi="宋体" w:eastAsia="宋体" w:cs="宋体"/>
                <w:color w:val="000000"/>
                <w:spacing w:val="0"/>
                <w:position w:val="0"/>
                <w:sz w:val="24"/>
                <w:shd w:val="clear" w:fill="auto"/>
                <w:lang w:eastAsia="zh-CN"/>
              </w:rPr>
              <w:t>。请完善；</w:t>
            </w:r>
          </w:p>
          <w:p>
            <w:pPr>
              <w:spacing w:before="0" w:after="0" w:line="240" w:lineRule="auto"/>
              <w:ind w:left="0" w:right="0" w:firstLine="480"/>
              <w:jc w:val="left"/>
              <w:rPr>
                <w:rFonts w:hint="eastAsia" w:ascii="宋体" w:hAnsi="宋体" w:eastAsia="宋体" w:cs="宋体"/>
                <w:color w:val="000000"/>
                <w:spacing w:val="0"/>
                <w:position w:val="0"/>
                <w:sz w:val="24"/>
                <w:shd w:val="clear" w:fill="auto"/>
                <w:lang w:eastAsia="zh-CN"/>
              </w:rPr>
            </w:pPr>
            <w:r>
              <w:rPr>
                <w:rFonts w:hint="eastAsia" w:ascii="宋体" w:hAnsi="宋体" w:eastAsia="宋体" w:cs="宋体"/>
                <w:color w:val="000000"/>
                <w:spacing w:val="0"/>
                <w:position w:val="0"/>
                <w:sz w:val="24"/>
                <w:shd w:val="clear" w:fill="auto"/>
                <w:lang w:val="en-US" w:eastAsia="zh-CN"/>
              </w:rPr>
              <w:t>3、</w:t>
            </w:r>
            <w:r>
              <w:rPr>
                <w:rFonts w:ascii="宋体" w:hAnsi="宋体" w:eastAsia="宋体" w:cs="宋体"/>
                <w:color w:val="000000"/>
                <w:spacing w:val="0"/>
                <w:position w:val="0"/>
                <w:sz w:val="24"/>
                <w:shd w:val="clear" w:fill="auto"/>
              </w:rPr>
              <w:t>P</w:t>
            </w:r>
            <w:r>
              <w:rPr>
                <w:rFonts w:hint="eastAsia" w:ascii="宋体" w:hAnsi="宋体" w:eastAsia="宋体" w:cs="宋体"/>
                <w:color w:val="000000"/>
                <w:spacing w:val="0"/>
                <w:position w:val="0"/>
                <w:sz w:val="24"/>
                <w:shd w:val="clear" w:fill="auto"/>
                <w:lang w:val="en-US" w:eastAsia="zh-CN"/>
              </w:rPr>
              <w:t>38</w:t>
            </w:r>
            <w:r>
              <w:rPr>
                <w:rFonts w:hint="default" w:ascii="宋体" w:hAnsi="宋体" w:eastAsia="宋体" w:cs="宋体"/>
                <w:color w:val="000000"/>
                <w:spacing w:val="0"/>
                <w:position w:val="0"/>
                <w:sz w:val="24"/>
                <w:shd w:val="clear" w:fill="auto"/>
              </w:rPr>
              <w:t>废水污染事故防控措施</w:t>
            </w:r>
            <w:r>
              <w:rPr>
                <w:rFonts w:hint="eastAsia" w:ascii="宋体" w:hAnsi="宋体" w:eastAsia="宋体" w:cs="宋体"/>
                <w:color w:val="000000"/>
                <w:spacing w:val="0"/>
                <w:position w:val="0"/>
                <w:sz w:val="24"/>
                <w:shd w:val="clear" w:fill="auto"/>
                <w:lang w:eastAsia="zh-CN"/>
              </w:rPr>
              <w:t>增加地下水监控措施内容等。</w:t>
            </w:r>
            <w:r>
              <w:rPr>
                <w:rFonts w:hint="default" w:ascii="宋体" w:hAnsi="宋体" w:eastAsia="宋体" w:cs="宋体"/>
                <w:color w:val="000000"/>
                <w:spacing w:val="0"/>
                <w:position w:val="0"/>
                <w:sz w:val="24"/>
                <w:shd w:val="clear" w:fill="auto"/>
              </w:rPr>
              <w:t>地下水风险防控措施</w:t>
            </w:r>
            <w:r>
              <w:rPr>
                <w:rFonts w:hint="eastAsia" w:ascii="宋体" w:hAnsi="宋体" w:eastAsia="宋体" w:cs="宋体"/>
                <w:color w:val="000000"/>
                <w:spacing w:val="0"/>
                <w:position w:val="0"/>
                <w:sz w:val="24"/>
                <w:shd w:val="clear" w:fill="auto"/>
                <w:lang w:eastAsia="zh-CN"/>
              </w:rPr>
              <w:t>中缺少对废水处理系统的监控。请补充；</w:t>
            </w:r>
          </w:p>
          <w:p>
            <w:pPr>
              <w:spacing w:before="0" w:after="0" w:line="240" w:lineRule="auto"/>
              <w:ind w:left="0" w:right="0" w:firstLine="480"/>
              <w:jc w:val="left"/>
              <w:rPr>
                <w:rFonts w:ascii="宋体" w:hAnsi="宋体" w:eastAsia="宋体" w:cs="宋体"/>
                <w:color w:val="000000"/>
                <w:spacing w:val="0"/>
                <w:position w:val="0"/>
                <w:sz w:val="24"/>
                <w:shd w:val="clear" w:fill="auto"/>
              </w:rPr>
            </w:pPr>
            <w:r>
              <w:rPr>
                <w:rFonts w:hint="eastAsia" w:ascii="宋体" w:hAnsi="宋体" w:eastAsia="宋体" w:cs="宋体"/>
                <w:color w:val="000000"/>
                <w:spacing w:val="0"/>
                <w:position w:val="0"/>
                <w:sz w:val="24"/>
                <w:shd w:val="clear" w:fill="auto"/>
                <w:lang w:val="en-US" w:eastAsia="zh-CN"/>
              </w:rPr>
              <w:t>4、P41-44</w:t>
            </w:r>
            <w:r>
              <w:rPr>
                <w:rFonts w:ascii="宋体" w:hAnsi="宋体" w:eastAsia="宋体" w:cs="宋体"/>
                <w:color w:val="000000"/>
                <w:spacing w:val="0"/>
                <w:position w:val="0"/>
                <w:sz w:val="24"/>
                <w:shd w:val="clear" w:fill="auto"/>
              </w:rPr>
              <w:t>相关预警</w:t>
            </w:r>
            <w:r>
              <w:rPr>
                <w:rFonts w:hint="eastAsia" w:ascii="宋体" w:hAnsi="宋体" w:eastAsia="宋体" w:cs="宋体"/>
                <w:color w:val="000000"/>
                <w:spacing w:val="0"/>
                <w:position w:val="0"/>
                <w:sz w:val="24"/>
                <w:shd w:val="clear" w:fill="auto"/>
                <w:lang w:eastAsia="zh-CN"/>
              </w:rPr>
              <w:t>定义不清</w:t>
            </w:r>
            <w:r>
              <w:rPr>
                <w:rFonts w:hint="eastAsia" w:ascii="宋体" w:hAnsi="宋体" w:eastAsia="宋体" w:cs="宋体"/>
                <w:color w:val="000000"/>
                <w:spacing w:val="0"/>
                <w:position w:val="0"/>
                <w:sz w:val="24"/>
                <w:shd w:val="clear" w:fill="auto"/>
                <w:lang w:val="en-US" w:eastAsia="zh-CN"/>
              </w:rPr>
              <w:t>（预警是对可能发生的事情还未发生提前进行准备等）</w:t>
            </w:r>
            <w:r>
              <w:rPr>
                <w:rFonts w:hint="eastAsia" w:ascii="宋体" w:hAnsi="宋体" w:eastAsia="宋体" w:cs="宋体"/>
                <w:color w:val="000000"/>
                <w:spacing w:val="0"/>
                <w:position w:val="0"/>
                <w:sz w:val="24"/>
                <w:shd w:val="clear" w:fill="auto"/>
                <w:lang w:eastAsia="zh-CN"/>
              </w:rPr>
              <w:t>，其</w:t>
            </w:r>
            <w:r>
              <w:rPr>
                <w:rFonts w:ascii="宋体" w:hAnsi="宋体" w:eastAsia="宋体" w:cs="宋体"/>
                <w:color w:val="000000"/>
                <w:spacing w:val="0"/>
                <w:position w:val="0"/>
                <w:sz w:val="24"/>
                <w:shd w:val="clear" w:fill="auto"/>
              </w:rPr>
              <w:t>内容与实际不符。请完善；</w:t>
            </w:r>
          </w:p>
          <w:p>
            <w:pPr>
              <w:spacing w:before="0" w:after="0" w:line="240" w:lineRule="auto"/>
              <w:ind w:left="0" w:right="0" w:firstLine="480"/>
              <w:jc w:val="left"/>
              <w:rPr>
                <w:rFonts w:hint="eastAsia" w:ascii="宋体" w:hAnsi="宋体" w:eastAsia="宋体" w:cs="宋体"/>
                <w:color w:val="000000"/>
                <w:spacing w:val="0"/>
                <w:position w:val="0"/>
                <w:sz w:val="24"/>
                <w:shd w:val="clear" w:fill="auto"/>
                <w:lang w:val="en-US" w:eastAsia="zh-CN"/>
              </w:rPr>
            </w:pPr>
            <w:r>
              <w:rPr>
                <w:rFonts w:hint="eastAsia" w:ascii="宋体" w:hAnsi="宋体" w:eastAsia="宋体" w:cs="宋体"/>
                <w:color w:val="000000"/>
                <w:spacing w:val="0"/>
                <w:position w:val="0"/>
                <w:sz w:val="24"/>
                <w:shd w:val="clear" w:fill="auto"/>
                <w:lang w:val="en-US" w:eastAsia="zh-CN"/>
              </w:rPr>
              <w:t>5、P45</w:t>
            </w:r>
            <w:r>
              <w:rPr>
                <w:rFonts w:hint="default" w:ascii="宋体" w:hAnsi="宋体" w:eastAsia="宋体" w:cs="宋体"/>
                <w:color w:val="000000"/>
                <w:spacing w:val="0"/>
                <w:position w:val="0"/>
                <w:sz w:val="24"/>
                <w:shd w:val="clear" w:fill="auto"/>
                <w:lang w:eastAsia="zh-CN"/>
              </w:rPr>
              <w:t>表5.</w:t>
            </w:r>
            <w:r>
              <w:rPr>
                <w:rFonts w:hint="eastAsia" w:ascii="宋体" w:hAnsi="宋体" w:eastAsia="宋体" w:cs="宋体"/>
                <w:color w:val="000000"/>
                <w:spacing w:val="0"/>
                <w:position w:val="0"/>
                <w:sz w:val="24"/>
                <w:shd w:val="clear" w:fill="auto"/>
                <w:lang w:val="en-US" w:eastAsia="zh-CN"/>
              </w:rPr>
              <w:t>6</w:t>
            </w:r>
            <w:r>
              <w:rPr>
                <w:rFonts w:hint="default" w:ascii="宋体" w:hAnsi="宋体" w:eastAsia="宋体" w:cs="宋体"/>
                <w:color w:val="000000"/>
                <w:spacing w:val="0"/>
                <w:position w:val="0"/>
                <w:sz w:val="24"/>
                <w:shd w:val="clear" w:fill="auto"/>
                <w:lang w:eastAsia="zh-CN"/>
              </w:rPr>
              <w:t>-1 I级突发环境事件发生后请求支援单位</w:t>
            </w:r>
            <w:r>
              <w:rPr>
                <w:rFonts w:hint="eastAsia" w:ascii="宋体" w:hAnsi="宋体" w:eastAsia="宋体" w:cs="宋体"/>
                <w:color w:val="000000"/>
                <w:spacing w:val="0"/>
                <w:position w:val="0"/>
                <w:sz w:val="24"/>
                <w:shd w:val="clear" w:fill="auto"/>
                <w:lang w:eastAsia="zh-CN"/>
              </w:rPr>
              <w:t>中增加宜春市生态环境局。请补充；</w:t>
            </w:r>
          </w:p>
          <w:p>
            <w:pPr>
              <w:spacing w:before="0" w:after="0" w:line="240" w:lineRule="auto"/>
              <w:ind w:left="0" w:right="0" w:firstLine="480"/>
              <w:jc w:val="left"/>
              <w:rPr>
                <w:rFonts w:hint="eastAsia" w:ascii="宋体" w:hAnsi="宋体" w:eastAsia="宋体" w:cs="宋体"/>
                <w:color w:val="000000"/>
                <w:spacing w:val="0"/>
                <w:position w:val="0"/>
                <w:sz w:val="24"/>
                <w:shd w:val="clear" w:fill="auto"/>
                <w:lang w:val="en-US" w:eastAsia="zh-CN"/>
              </w:rPr>
            </w:pPr>
            <w:r>
              <w:rPr>
                <w:rFonts w:hint="eastAsia" w:ascii="宋体" w:hAnsi="宋体" w:eastAsia="宋体" w:cs="宋体"/>
                <w:color w:val="000000"/>
                <w:spacing w:val="0"/>
                <w:position w:val="0"/>
                <w:sz w:val="24"/>
                <w:shd w:val="clear" w:fill="auto"/>
                <w:lang w:val="en-US" w:eastAsia="zh-CN"/>
              </w:rPr>
              <w:t>6、</w:t>
            </w:r>
            <w:r>
              <w:rPr>
                <w:rFonts w:hint="eastAsia" w:ascii="宋体" w:hAnsi="宋体" w:eastAsia="宋体" w:cs="宋体"/>
                <w:color w:val="000000"/>
                <w:spacing w:val="0"/>
                <w:position w:val="0"/>
                <w:sz w:val="24"/>
                <w:shd w:val="clear" w:fill="auto"/>
                <w:lang w:eastAsia="zh-CN"/>
              </w:rPr>
              <w:t>P</w:t>
            </w:r>
            <w:r>
              <w:rPr>
                <w:rFonts w:hint="eastAsia" w:ascii="宋体" w:hAnsi="宋体" w:eastAsia="宋体" w:cs="宋体"/>
                <w:color w:val="000000"/>
                <w:spacing w:val="0"/>
                <w:position w:val="0"/>
                <w:sz w:val="24"/>
                <w:shd w:val="clear" w:fill="auto"/>
                <w:lang w:val="en-US" w:eastAsia="zh-CN"/>
              </w:rPr>
              <w:t>62</w:t>
            </w:r>
            <w:r>
              <w:rPr>
                <w:rFonts w:hint="eastAsia" w:ascii="宋体" w:hAnsi="宋体" w:eastAsia="宋体" w:cs="宋体"/>
                <w:color w:val="000000"/>
                <w:spacing w:val="0"/>
                <w:position w:val="0"/>
                <w:sz w:val="24"/>
                <w:shd w:val="clear" w:fill="auto"/>
                <w:lang w:eastAsia="zh-CN"/>
              </w:rPr>
              <w:t>应急处置卡内容与项目事实不符。</w:t>
            </w:r>
            <w:r>
              <w:rPr>
                <w:rFonts w:hint="eastAsia" w:ascii="宋体" w:hAnsi="宋体" w:eastAsia="宋体" w:cs="宋体"/>
                <w:color w:val="000000"/>
                <w:spacing w:val="0"/>
                <w:position w:val="0"/>
                <w:sz w:val="24"/>
                <w:shd w:val="clear" w:fill="auto"/>
                <w:lang w:val="en-US" w:eastAsia="zh-CN"/>
              </w:rPr>
              <w:t>P64项目处置措施不符合实际。</w:t>
            </w:r>
            <w:r>
              <w:rPr>
                <w:rFonts w:hint="eastAsia" w:ascii="宋体" w:hAnsi="宋体" w:eastAsia="宋体" w:cs="宋体"/>
                <w:color w:val="000000"/>
                <w:spacing w:val="0"/>
                <w:position w:val="0"/>
                <w:sz w:val="24"/>
                <w:shd w:val="clear" w:fill="auto"/>
                <w:lang w:eastAsia="zh-CN"/>
              </w:rPr>
              <w:t>请完善。</w:t>
            </w:r>
          </w:p>
          <w:p>
            <w:pPr>
              <w:spacing w:before="0" w:after="0" w:line="240" w:lineRule="auto"/>
              <w:ind w:left="0" w:right="0" w:firstLine="480"/>
              <w:jc w:val="left"/>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二、评估报告</w:t>
            </w:r>
          </w:p>
          <w:p>
            <w:pPr>
              <w:spacing w:before="0" w:after="0" w:line="240" w:lineRule="auto"/>
              <w:ind w:left="0" w:right="0" w:firstLine="480"/>
              <w:jc w:val="left"/>
              <w:rPr>
                <w:rFonts w:hint="eastAsia" w:ascii="宋体" w:hAnsi="宋体" w:eastAsia="宋体" w:cs="宋体"/>
                <w:color w:val="000000"/>
                <w:spacing w:val="0"/>
                <w:position w:val="0"/>
                <w:sz w:val="24"/>
                <w:shd w:val="clear" w:fill="auto"/>
                <w:lang w:eastAsia="zh-CN"/>
              </w:rPr>
            </w:pPr>
            <w:r>
              <w:rPr>
                <w:rFonts w:hint="eastAsia" w:ascii="宋体" w:hAnsi="宋体" w:eastAsia="宋体" w:cs="宋体"/>
                <w:color w:val="000000"/>
                <w:spacing w:val="0"/>
                <w:position w:val="0"/>
                <w:sz w:val="24"/>
                <w:shd w:val="clear" w:fill="auto"/>
                <w:lang w:val="en-US" w:eastAsia="zh-CN"/>
              </w:rPr>
              <w:t>1、</w:t>
            </w:r>
            <w:r>
              <w:rPr>
                <w:rFonts w:ascii="宋体" w:hAnsi="宋体" w:eastAsia="宋体" w:cs="宋体"/>
                <w:color w:val="000000"/>
                <w:spacing w:val="0"/>
                <w:position w:val="0"/>
                <w:sz w:val="24"/>
                <w:shd w:val="clear" w:fill="auto"/>
              </w:rPr>
              <w:t>与应急预案相同的情况进行完善</w:t>
            </w:r>
            <w:r>
              <w:rPr>
                <w:rFonts w:hint="eastAsia" w:ascii="宋体" w:hAnsi="宋体" w:eastAsia="宋体" w:cs="宋体"/>
                <w:color w:val="000000"/>
                <w:spacing w:val="0"/>
                <w:position w:val="0"/>
                <w:sz w:val="24"/>
                <w:shd w:val="clear" w:fill="auto"/>
                <w:lang w:eastAsia="zh-CN"/>
              </w:rPr>
              <w:t>。</w:t>
            </w:r>
          </w:p>
          <w:p>
            <w:pPr>
              <w:spacing w:before="0" w:after="0" w:line="240" w:lineRule="auto"/>
              <w:ind w:left="0" w:right="0" w:firstLine="480"/>
              <w:jc w:val="left"/>
              <w:rPr>
                <w:rFonts w:hint="eastAsia" w:ascii="宋体" w:hAnsi="宋体" w:eastAsia="宋体" w:cs="宋体"/>
                <w:color w:val="000000"/>
                <w:spacing w:val="0"/>
                <w:position w:val="0"/>
                <w:sz w:val="24"/>
                <w:shd w:val="clear" w:fill="auto"/>
                <w:lang w:val="en-US" w:eastAsia="zh-CN"/>
              </w:rPr>
            </w:pPr>
            <w:r>
              <w:rPr>
                <w:rFonts w:hint="eastAsia" w:ascii="宋体" w:hAnsi="宋体" w:eastAsia="宋体" w:cs="宋体"/>
                <w:color w:val="000000"/>
                <w:spacing w:val="0"/>
                <w:position w:val="0"/>
                <w:sz w:val="24"/>
                <w:shd w:val="clear" w:fill="auto"/>
                <w:lang w:val="en-US" w:eastAsia="zh-CN"/>
              </w:rPr>
              <w:t>2、P108环境风险物质应该将项目产生的废水纳入其中。请补充完善；</w:t>
            </w:r>
          </w:p>
          <w:p>
            <w:pPr>
              <w:spacing w:before="0" w:after="0" w:line="240" w:lineRule="auto"/>
              <w:ind w:left="0" w:right="0" w:firstLine="480"/>
              <w:jc w:val="left"/>
              <w:rPr>
                <w:rFonts w:hint="default" w:ascii="宋体" w:hAnsi="宋体" w:eastAsia="宋体" w:cs="宋体"/>
                <w:color w:val="000000"/>
                <w:spacing w:val="0"/>
                <w:position w:val="0"/>
                <w:sz w:val="24"/>
                <w:shd w:val="clear" w:fill="auto"/>
                <w:lang w:val="en-US" w:eastAsia="zh-CN"/>
              </w:rPr>
            </w:pPr>
            <w:r>
              <w:rPr>
                <w:rFonts w:hint="eastAsia" w:ascii="宋体" w:hAnsi="宋体" w:eastAsia="宋体" w:cs="宋体"/>
                <w:color w:val="000000"/>
                <w:spacing w:val="0"/>
                <w:position w:val="0"/>
                <w:sz w:val="24"/>
                <w:shd w:val="clear" w:fill="auto"/>
                <w:lang w:val="en-US" w:eastAsia="zh-CN"/>
              </w:rPr>
              <w:t>3</w:t>
            </w:r>
            <w:r>
              <w:rPr>
                <w:rFonts w:ascii="宋体" w:hAnsi="宋体" w:eastAsia="宋体" w:cs="宋体"/>
                <w:color w:val="000000"/>
                <w:spacing w:val="0"/>
                <w:position w:val="0"/>
                <w:sz w:val="24"/>
                <w:shd w:val="clear" w:fill="auto"/>
              </w:rPr>
              <w:t>、P</w:t>
            </w:r>
            <w:r>
              <w:rPr>
                <w:rFonts w:hint="eastAsia" w:ascii="宋体" w:hAnsi="宋体" w:eastAsia="宋体" w:cs="宋体"/>
                <w:color w:val="000000"/>
                <w:spacing w:val="0"/>
                <w:position w:val="0"/>
                <w:sz w:val="24"/>
                <w:shd w:val="clear" w:fill="auto"/>
                <w:lang w:val="en-US" w:eastAsia="zh-CN"/>
              </w:rPr>
              <w:t>134</w:t>
            </w:r>
            <w:r>
              <w:rPr>
                <w:rFonts w:ascii="宋体" w:hAnsi="宋体" w:eastAsia="宋体" w:cs="宋体"/>
                <w:color w:val="000000"/>
                <w:spacing w:val="0"/>
                <w:position w:val="0"/>
                <w:sz w:val="24"/>
                <w:shd w:val="clear" w:fill="auto"/>
              </w:rPr>
              <w:t>企业突发环境事件环境风险等级</w:t>
            </w:r>
            <w:r>
              <w:rPr>
                <w:rFonts w:hint="eastAsia" w:ascii="宋体" w:hAnsi="宋体" w:eastAsia="宋体" w:cs="宋体"/>
                <w:color w:val="000000"/>
                <w:spacing w:val="0"/>
                <w:position w:val="0"/>
                <w:sz w:val="24"/>
                <w:shd w:val="clear" w:fill="auto"/>
                <w:lang w:eastAsia="zh-CN"/>
              </w:rPr>
              <w:t>需根据核实后的风险物质重新对</w:t>
            </w:r>
            <w:r>
              <w:rPr>
                <w:rFonts w:ascii="宋体" w:hAnsi="宋体" w:eastAsia="宋体" w:cs="宋体"/>
                <w:color w:val="000000"/>
                <w:spacing w:val="0"/>
                <w:position w:val="0"/>
                <w:sz w:val="24"/>
                <w:shd w:val="clear" w:fill="auto"/>
              </w:rPr>
              <w:t>Q值计算</w:t>
            </w:r>
            <w:r>
              <w:rPr>
                <w:rFonts w:hint="eastAsia" w:ascii="宋体" w:hAnsi="宋体" w:eastAsia="宋体" w:cs="宋体"/>
                <w:color w:val="000000"/>
                <w:spacing w:val="0"/>
                <w:position w:val="0"/>
                <w:sz w:val="24"/>
                <w:shd w:val="clear" w:fill="auto"/>
                <w:lang w:eastAsia="zh-CN"/>
              </w:rPr>
              <w:t>，</w:t>
            </w:r>
            <w:r>
              <w:rPr>
                <w:rFonts w:ascii="宋体" w:hAnsi="宋体" w:eastAsia="宋体" w:cs="宋体"/>
                <w:color w:val="000000"/>
                <w:spacing w:val="0"/>
                <w:position w:val="0"/>
                <w:sz w:val="24"/>
                <w:shd w:val="clear" w:fill="auto"/>
              </w:rPr>
              <w:t>并核实环境风险等级内容。请完善。</w:t>
            </w:r>
          </w:p>
          <w:p>
            <w:pPr>
              <w:spacing w:before="0" w:after="0" w:line="240" w:lineRule="auto"/>
              <w:ind w:left="0" w:right="0" w:firstLine="480"/>
              <w:jc w:val="left"/>
              <w:rPr>
                <w:position w:val="0"/>
                <w:shd w:val="clear" w:fill="auto"/>
              </w:rPr>
            </w:pPr>
            <w:r>
              <w:rPr>
                <w:rFonts w:hint="eastAsia" w:ascii="宋体" w:hAnsi="宋体" w:eastAsia="宋体" w:cs="宋体"/>
                <w:color w:val="000000"/>
                <w:spacing w:val="0"/>
                <w:position w:val="0"/>
                <w:sz w:val="24"/>
                <w:shd w:val="clear" w:fill="auto"/>
                <w:lang w:eastAsia="zh-CN"/>
              </w:rPr>
              <w:t>三</w:t>
            </w:r>
            <w:r>
              <w:rPr>
                <w:rFonts w:ascii="宋体" w:hAnsi="宋体" w:eastAsia="宋体" w:cs="宋体"/>
                <w:color w:val="000000"/>
                <w:spacing w:val="0"/>
                <w:position w:val="0"/>
                <w:sz w:val="24"/>
                <w:shd w:val="clear" w:fill="auto"/>
              </w:rPr>
              <w:t>、补充项目雨污分流图等。</w:t>
            </w:r>
          </w:p>
        </w:tc>
      </w:tr>
      <w:tr>
        <w:tblPrEx>
          <w:tblCellMar>
            <w:top w:w="0" w:type="dxa"/>
            <w:left w:w="10" w:type="dxa"/>
            <w:bottom w:w="0" w:type="dxa"/>
            <w:right w:w="10" w:type="dxa"/>
          </w:tblCellMar>
        </w:tblPrEx>
        <w:trPr>
          <w:trHeight w:val="0" w:hRule="atLeast"/>
        </w:trPr>
        <w:tc>
          <w:tcPr>
            <w:tcW w:w="9091" w:type="dxa"/>
            <w:tcBorders>
              <w:top w:val="single" w:color="000000" w:sz="8" w:space="0"/>
              <w:left w:val="single" w:color="000000" w:sz="8" w:space="0"/>
              <w:bottom w:val="single" w:color="000000" w:sz="8" w:space="0"/>
              <w:right w:val="single" w:color="000000" w:sz="8" w:space="0"/>
            </w:tcBorders>
            <w:shd w:val="clear" w:color="000000" w:fill="FFFFFF"/>
            <w:tcMar>
              <w:left w:w="108" w:type="dxa"/>
              <w:right w:w="108" w:type="dxa"/>
            </w:tcMar>
            <w:vAlign w:val="top"/>
          </w:tcPr>
          <w:p>
            <w:pPr>
              <w:spacing w:before="0" w:after="0" w:line="24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修改意见和建议：</w:t>
            </w:r>
          </w:p>
          <w:p>
            <w:pPr>
              <w:spacing w:before="0" w:after="0" w:line="240" w:lineRule="auto"/>
              <w:ind w:left="0" w:right="0" w:firstLine="48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依据《突发环境事件应急管理办法》、《企业突发环境事件风险评估指南（试行）》》等相关法律法规文件要求，结合公司实际，完善《突发环境事件应急预案》、《环境风险评估报告》、《环境应急资源调查报告》内容。</w:t>
            </w:r>
          </w:p>
        </w:tc>
      </w:tr>
      <w:tr>
        <w:tblPrEx>
          <w:tblCellMar>
            <w:top w:w="0" w:type="dxa"/>
            <w:left w:w="10" w:type="dxa"/>
            <w:bottom w:w="0" w:type="dxa"/>
            <w:right w:w="10" w:type="dxa"/>
          </w:tblCellMar>
        </w:tblPrEx>
        <w:trPr>
          <w:trHeight w:val="1346" w:hRule="atLeast"/>
        </w:trPr>
        <w:tc>
          <w:tcPr>
            <w:tcW w:w="9091" w:type="dxa"/>
            <w:tcBorders>
              <w:top w:val="single" w:color="000000" w:sz="8" w:space="0"/>
              <w:left w:val="single" w:color="000000" w:sz="8" w:space="0"/>
              <w:bottom w:val="single" w:color="000000" w:sz="8" w:space="0"/>
              <w:right w:val="single" w:color="000000" w:sz="8" w:space="0"/>
            </w:tcBorders>
            <w:shd w:val="clear" w:color="000000" w:fill="FFFFFF"/>
            <w:tcMar>
              <w:left w:w="108" w:type="dxa"/>
              <w:right w:w="108" w:type="dxa"/>
            </w:tcMar>
            <w:vAlign w:val="center"/>
          </w:tcPr>
          <w:p>
            <w:pPr>
              <w:tabs>
                <w:tab w:val="left" w:pos="2570"/>
              </w:tabs>
              <w:spacing w:before="0" w:after="0" w:line="24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评审人员签字：</w:t>
            </w:r>
            <w:r>
              <w:rPr>
                <w:rFonts w:ascii="宋体" w:hAnsi="宋体" w:eastAsia="宋体" w:cs="宋体"/>
                <w:color w:val="auto"/>
                <w:spacing w:val="0"/>
                <w:position w:val="0"/>
                <w:sz w:val="24"/>
                <w:shd w:val="clear" w:fill="auto"/>
              </w:rPr>
              <w:tab/>
            </w:r>
          </w:p>
          <w:p>
            <w:pPr>
              <w:spacing w:before="0" w:after="0" w:line="240" w:lineRule="auto"/>
              <w:ind w:left="0" w:right="0" w:firstLine="0"/>
              <w:jc w:val="center"/>
              <w:rPr>
                <w:rFonts w:ascii="宋体" w:hAnsi="宋体" w:eastAsia="宋体" w:cs="宋体"/>
                <w:color w:val="auto"/>
                <w:spacing w:val="0"/>
                <w:position w:val="0"/>
                <w:sz w:val="24"/>
                <w:u w:val="single"/>
                <w:shd w:val="clear" w:fill="auto"/>
              </w:rPr>
            </w:pPr>
            <w:r>
              <w:object>
                <v:shape id="_x0000_i1025" o:spt="75" type="#_x0000_t75" style="height:47.45pt;width:82.6pt;" o:ole="t" filled="f" o:preferrelative="t" stroked="f" coordsize="21600,21600">
                  <v:path/>
                  <v:fill on="f" focussize="0,0"/>
                  <v:stroke on="f"/>
                  <v:imagedata r:id="rId5" o:title=""/>
                  <o:lock v:ext="edit" aspectratio="t"/>
                  <w10:wrap type="none"/>
                  <w10:anchorlock/>
                </v:shape>
                <o:OLEObject Type="Embed" ProgID="StaticMetafile" ShapeID="_x0000_i1025" DrawAspect="Content" ObjectID="_1468075725" r:id="rId4">
                  <o:LockedField>false</o:LockedField>
                </o:OLEObject>
              </w:object>
            </w:r>
            <w:r>
              <w:rPr>
                <w:rFonts w:ascii="宋体" w:hAnsi="宋体" w:eastAsia="宋体" w:cs="宋体"/>
                <w:color w:val="auto"/>
                <w:spacing w:val="0"/>
                <w:position w:val="0"/>
                <w:sz w:val="24"/>
                <w:u w:val="single"/>
                <w:shd w:val="clear" w:fill="auto"/>
              </w:rPr>
              <w:t xml:space="preserve">          </w:t>
            </w:r>
          </w:p>
          <w:p>
            <w:pPr>
              <w:spacing w:before="0" w:after="0" w:line="240" w:lineRule="auto"/>
              <w:ind w:left="0" w:right="0" w:firstLine="960"/>
              <w:jc w:val="right"/>
              <w:rPr>
                <w:rFonts w:ascii="宋体" w:hAnsi="宋体" w:eastAsia="宋体" w:cs="宋体"/>
                <w:color w:val="auto"/>
                <w:spacing w:val="0"/>
                <w:position w:val="0"/>
                <w:shd w:val="clear" w:fill="auto"/>
              </w:rPr>
            </w:pPr>
            <w:r>
              <w:rPr>
                <w:rFonts w:ascii="宋体" w:hAnsi="宋体" w:eastAsia="宋体" w:cs="宋体"/>
                <w:color w:val="auto"/>
                <w:spacing w:val="0"/>
                <w:position w:val="0"/>
                <w:sz w:val="24"/>
                <w:u w:val="none"/>
                <w:shd w:val="clear" w:fill="auto"/>
              </w:rPr>
              <w:t>2023年</w:t>
            </w:r>
            <w:r>
              <w:rPr>
                <w:rFonts w:hint="eastAsia" w:ascii="宋体" w:hAnsi="宋体" w:eastAsia="宋体" w:cs="宋体"/>
                <w:color w:val="auto"/>
                <w:spacing w:val="0"/>
                <w:position w:val="0"/>
                <w:sz w:val="24"/>
                <w:u w:val="none"/>
                <w:shd w:val="clear" w:fill="auto"/>
                <w:lang w:val="en-US" w:eastAsia="zh-CN"/>
              </w:rPr>
              <w:t>10</w:t>
            </w:r>
            <w:r>
              <w:rPr>
                <w:rFonts w:ascii="宋体" w:hAnsi="宋体" w:eastAsia="宋体" w:cs="宋体"/>
                <w:color w:val="auto"/>
                <w:spacing w:val="0"/>
                <w:position w:val="0"/>
                <w:sz w:val="24"/>
                <w:u w:val="none"/>
                <w:shd w:val="clear" w:fill="auto"/>
              </w:rPr>
              <w:t>月</w:t>
            </w:r>
            <w:r>
              <w:rPr>
                <w:rFonts w:hint="eastAsia" w:ascii="宋体" w:hAnsi="宋体" w:eastAsia="宋体" w:cs="宋体"/>
                <w:color w:val="auto"/>
                <w:spacing w:val="0"/>
                <w:position w:val="0"/>
                <w:sz w:val="24"/>
                <w:u w:val="none"/>
                <w:shd w:val="clear" w:fill="auto"/>
                <w:lang w:val="en-US" w:eastAsia="zh-CN"/>
              </w:rPr>
              <w:t>9</w:t>
            </w:r>
            <w:r>
              <w:rPr>
                <w:rFonts w:ascii="宋体" w:hAnsi="宋体" w:eastAsia="宋体" w:cs="宋体"/>
                <w:color w:val="auto"/>
                <w:spacing w:val="0"/>
                <w:position w:val="0"/>
                <w:sz w:val="24"/>
                <w:u w:val="none"/>
                <w:shd w:val="clear" w:fill="auto"/>
              </w:rPr>
              <w:t>日</w:t>
            </w:r>
          </w:p>
        </w:tc>
      </w:tr>
    </w:tbl>
    <w:p>
      <w:pPr>
        <w:spacing w:before="0" w:after="0" w:line="240" w:lineRule="auto"/>
        <w:ind w:left="0" w:right="0" w:firstLine="0"/>
        <w:jc w:val="both"/>
        <w:rPr>
          <w:rFonts w:ascii="Calibri" w:hAnsi="Calibri" w:eastAsia="Calibri" w:cs="Calibri"/>
          <w:color w:val="auto"/>
          <w:spacing w:val="0"/>
          <w:position w:val="0"/>
          <w:sz w:val="32"/>
          <w:shd w:val="clear" w:fill="auto"/>
        </w:rPr>
      </w:pPr>
    </w:p>
    <w:sectPr>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compat>
    <w:useFELayout/>
    <w:splitPgBreakAndParaMark/>
    <w:compatSetting w:name="compatibilityMode" w:uri="http://schemas.microsoft.com/office/word" w:val="12"/>
  </w:compat>
  <w:docVars>
    <w:docVar w:name="commondata" w:val="eyJoZGlkIjoiOTI0NTVhNTRiNGUyYWIwYzVlNjg1MWFiMTk1NmUzNmQifQ=="/>
  </w:docVars>
  <w:rsids>
    <w:rsidRoot w:val="00000000"/>
    <w:rsid w:val="03091250"/>
    <w:rsid w:val="07D24F8D"/>
    <w:rsid w:val="08F30A29"/>
    <w:rsid w:val="0B5F56D3"/>
    <w:rsid w:val="0C803B53"/>
    <w:rsid w:val="0FE16FFE"/>
    <w:rsid w:val="12176D07"/>
    <w:rsid w:val="139E2979"/>
    <w:rsid w:val="16AB3EC2"/>
    <w:rsid w:val="1713221D"/>
    <w:rsid w:val="1A750A6F"/>
    <w:rsid w:val="1AC031E1"/>
    <w:rsid w:val="204C4DD7"/>
    <w:rsid w:val="20C53DD2"/>
    <w:rsid w:val="296C4BAC"/>
    <w:rsid w:val="2A132E42"/>
    <w:rsid w:val="2A4E4E38"/>
    <w:rsid w:val="2F3A598B"/>
    <w:rsid w:val="3237029D"/>
    <w:rsid w:val="34D751DF"/>
    <w:rsid w:val="37305FF2"/>
    <w:rsid w:val="37856E75"/>
    <w:rsid w:val="3B481A1E"/>
    <w:rsid w:val="3B8E40BF"/>
    <w:rsid w:val="3F9B4224"/>
    <w:rsid w:val="40077B0C"/>
    <w:rsid w:val="41A96E28"/>
    <w:rsid w:val="449A0F4E"/>
    <w:rsid w:val="46E22739"/>
    <w:rsid w:val="47E5727A"/>
    <w:rsid w:val="47F24D5A"/>
    <w:rsid w:val="48E37D63"/>
    <w:rsid w:val="4B5A1437"/>
    <w:rsid w:val="4C0C31F6"/>
    <w:rsid w:val="52C23FFB"/>
    <w:rsid w:val="56D025AE"/>
    <w:rsid w:val="5B6126D1"/>
    <w:rsid w:val="61721786"/>
    <w:rsid w:val="6B451364"/>
    <w:rsid w:val="6FE335BD"/>
    <w:rsid w:val="72BB1F0C"/>
    <w:rsid w:val="7D2E2D0C"/>
    <w:rsid w:val="7DD345AE"/>
    <w:rsid w:val="7DFB58B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paragraph" w:styleId="4">
    <w:name w:val="heading 4"/>
    <w:basedOn w:val="1"/>
    <w:next w:val="1"/>
    <w:qFormat/>
    <w:uiPriority w:val="99"/>
    <w:pPr>
      <w:keepNext/>
      <w:keepLines/>
      <w:outlineLvl w:val="3"/>
    </w:pPr>
    <w:rPr>
      <w:rFonts w:ascii="Times New Roman" w:hAnsi="Times New Roman" w:eastAsia="宋体"/>
      <w:b/>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customStyle="1" w:styleId="2">
    <w:name w:val="Default1"/>
    <w:basedOn w:val="3"/>
    <w:next w:val="1"/>
    <w:unhideWhenUsed/>
    <w:qFormat/>
    <w:uiPriority w:val="0"/>
    <w:pPr>
      <w:widowControl w:val="0"/>
      <w:autoSpaceDE w:val="0"/>
      <w:autoSpaceDN w:val="0"/>
      <w:adjustRightInd w:val="0"/>
    </w:pPr>
    <w:rPr>
      <w:rFonts w:hint="eastAsia" w:ascii="宋体"/>
      <w:color w:val="000000"/>
      <w:sz w:val="24"/>
      <w:szCs w:val="22"/>
      <w:lang w:val="en-US" w:eastAsia="zh-CN" w:bidi="ar-SA"/>
    </w:rPr>
  </w:style>
  <w:style w:type="paragraph" w:styleId="3">
    <w:name w:val="List"/>
    <w:basedOn w:val="1"/>
    <w:qFormat/>
    <w:uiPriority w:val="0"/>
    <w:pPr>
      <w:spacing w:line="360" w:lineRule="auto"/>
    </w:pPr>
    <w:rPr>
      <w:sz w:val="24"/>
    </w:rPr>
  </w:style>
  <w:style w:type="paragraph" w:styleId="5">
    <w:name w:val="Body Text"/>
    <w:basedOn w:val="1"/>
    <w:next w:val="6"/>
    <w:qFormat/>
    <w:uiPriority w:val="0"/>
    <w:rPr>
      <w:sz w:val="24"/>
    </w:rPr>
  </w:style>
  <w:style w:type="paragraph" w:customStyle="1" w:styleId="6">
    <w:name w:val="xl27"/>
    <w:basedOn w:val="1"/>
    <w:semiHidden/>
    <w:qFormat/>
    <w:uiPriority w:val="0"/>
    <w:pPr>
      <w:widowControl/>
      <w:pBdr>
        <w:bottom w:val="single" w:color="auto" w:sz="8" w:space="0"/>
        <w:right w:val="single" w:color="auto" w:sz="8" w:space="0"/>
      </w:pBdr>
      <w:spacing w:before="100" w:beforeAutospacing="1" w:after="100" w:afterAutospacing="1"/>
    </w:pPr>
    <w:rPr>
      <w:rFonts w:ascii="Arial Unicode MS" w:hAnsi="Arial Unicode MS"/>
      <w:kern w:val="0"/>
      <w:szCs w:val="21"/>
    </w:rPr>
  </w:style>
  <w:style w:type="paragraph" w:styleId="7">
    <w:name w:val="Body Text Indent"/>
    <w:basedOn w:val="1"/>
    <w:next w:val="8"/>
    <w:qFormat/>
    <w:uiPriority w:val="0"/>
    <w:pPr>
      <w:spacing w:line="360" w:lineRule="auto"/>
      <w:ind w:firstLine="480" w:firstLineChars="200"/>
    </w:pPr>
    <w:rPr>
      <w:rFonts w:ascii="宋体" w:hAnsi="宋体"/>
      <w:sz w:val="24"/>
    </w:rPr>
  </w:style>
  <w:style w:type="paragraph" w:customStyle="1" w:styleId="8">
    <w:name w:val="样式 正文文本缩进 + 行距: 1.5 倍行距"/>
    <w:basedOn w:val="1"/>
    <w:qFormat/>
    <w:uiPriority w:val="0"/>
    <w:pPr>
      <w:spacing w:after="120" w:line="360" w:lineRule="auto"/>
      <w:ind w:left="90" w:leftChars="32" w:firstLine="560" w:firstLineChars="200"/>
    </w:pPr>
    <w:rPr>
      <w:rFonts w:cs="宋体"/>
      <w:sz w:val="24"/>
    </w:rPr>
  </w:style>
  <w:style w:type="paragraph" w:styleId="9">
    <w:name w:val="Body Text First Indent"/>
    <w:basedOn w:val="5"/>
    <w:next w:val="1"/>
    <w:qFormat/>
    <w:uiPriority w:val="0"/>
    <w:pPr>
      <w:spacing w:after="120"/>
      <w:ind w:firstLine="420" w:firstLineChars="100"/>
    </w:pPr>
    <w:rPr>
      <w:sz w:val="21"/>
    </w:rPr>
  </w:style>
  <w:style w:type="paragraph" w:styleId="10">
    <w:name w:val="Body Text First Indent 2"/>
    <w:basedOn w:val="7"/>
    <w:next w:val="9"/>
    <w:qFormat/>
    <w:uiPriority w:val="0"/>
    <w:pPr>
      <w:spacing w:after="120" w:line="240" w:lineRule="auto"/>
      <w:ind w:left="420" w:leftChars="200" w:firstLine="420"/>
    </w:pPr>
    <w:rPr>
      <w:rFonts w:ascii="Times New Roman" w:hAnsi="Times New Roman"/>
      <w:sz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899</Words>
  <Characters>938</Characters>
  <TotalTime>1</TotalTime>
  <ScaleCrop>false</ScaleCrop>
  <LinksUpToDate>false</LinksUpToDate>
  <CharactersWithSpaces>1026</CharactersWithSpaces>
  <Application>WPS Office_12.1.0.15374_F1E327BC-269C-435d-A152-05C5408002CA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2023-05-14T01:27:00Z</dcterms:created>
  <dc:creator>Administrator</dc:creator>
  <cp:lastModifiedBy>caigy</cp:lastModifiedBy>
  <dcterms:modified xsi:type="dcterms:W3CDTF">2023-10-09T09:10:58Z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9E42FD8A14FC4F38AE34180F439956B3_12</vt:lpwstr>
  </property>
</Properties>
</file>