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tabs>
          <w:tab w:val="center" w:pos="4153"/>
        </w:tabs>
        <w:outlineLvl w:val="2"/>
        <w:rPr>
          <w:sz w:val="28"/>
          <w:szCs w:val="28"/>
        </w:rPr>
      </w:pPr>
      <w:r>
        <w:rPr>
          <w:sz w:val="28"/>
          <w:szCs w:val="28"/>
        </w:rPr>
        <w:tab/>
      </w:r>
      <w:r>
        <w:rPr>
          <w:rFonts w:hint="eastAsia"/>
          <w:sz w:val="28"/>
          <w:szCs w:val="28"/>
          <w:lang w:val="en-US" w:eastAsia="zh-CN"/>
        </w:rPr>
        <w:t>克拉玛依沃森环保科技有限公司环境信息</w:t>
      </w:r>
      <w:r>
        <w:rPr>
          <w:sz w:val="28"/>
          <w:szCs w:val="28"/>
        </w:rPr>
        <w:t>情况</w:t>
      </w:r>
    </w:p>
    <w:p>
      <w:pPr>
        <w:pStyle w:val="12"/>
        <w:outlineLvl w:val="2"/>
        <w:rPr>
          <w:sz w:val="28"/>
          <w:szCs w:val="28"/>
        </w:rPr>
      </w:pPr>
      <w:r>
        <w:rPr>
          <w:rFonts w:hint="eastAsia"/>
          <w:sz w:val="28"/>
          <w:szCs w:val="28"/>
        </w:rPr>
        <w:t>（一）履行社会责任情况</w:t>
      </w:r>
    </w:p>
    <w:p>
      <w:pPr>
        <w:pStyle w:val="13"/>
        <w:numPr>
          <w:ilvl w:val="0"/>
          <w:numId w:val="1"/>
        </w:numPr>
        <w:spacing w:before="40" w:after="40"/>
        <w:ind w:firstLineChars="0"/>
        <w:rPr>
          <w:b/>
        </w:rPr>
      </w:pPr>
      <w:r>
        <w:rPr>
          <w:rFonts w:hint="eastAsia"/>
          <w:b/>
        </w:rPr>
        <w:t>环境</w:t>
      </w:r>
      <w:r>
        <w:rPr>
          <w:b/>
        </w:rPr>
        <w:t>与职业健康安全管理</w:t>
      </w:r>
    </w:p>
    <w:p>
      <w:pPr>
        <w:pStyle w:val="13"/>
        <w:numPr>
          <w:ilvl w:val="0"/>
          <w:numId w:val="2"/>
        </w:numPr>
        <w:spacing w:before="40" w:after="40"/>
        <w:ind w:firstLineChars="0"/>
        <w:rPr>
          <w:b/>
        </w:rPr>
      </w:pPr>
      <w:r>
        <w:rPr>
          <w:rFonts w:hint="eastAsia"/>
          <w:b/>
        </w:rPr>
        <w:t>安全环境风险和应急管理</w:t>
      </w:r>
    </w:p>
    <w:p>
      <w:pPr>
        <w:keepNext w:val="0"/>
        <w:keepLines w:val="0"/>
        <w:pageBreakBefore w:val="0"/>
        <w:widowControl w:val="0"/>
        <w:kinsoku/>
        <w:wordWrap/>
        <w:overflowPunct/>
        <w:topLinePunct w:val="0"/>
        <w:autoSpaceDE/>
        <w:autoSpaceDN/>
        <w:bidi w:val="0"/>
        <w:adjustRightInd/>
        <w:snapToGrid w:val="0"/>
        <w:spacing w:line="500" w:lineRule="exact"/>
        <w:ind w:firstLine="420"/>
        <w:jc w:val="left"/>
        <w:textAlignment w:val="auto"/>
        <w:rPr>
          <w:rFonts w:hint="eastAsia" w:ascii="宋体" w:hAnsi="宋体" w:eastAsia="宋体" w:cs="宋体"/>
          <w:b/>
          <w:bCs/>
          <w:color w:val="auto"/>
          <w:kern w:val="0"/>
          <w:sz w:val="21"/>
          <w:szCs w:val="21"/>
          <w:shd w:val="clear" w:color="auto" w:fill="auto"/>
          <w:lang w:eastAsia="zh-CN"/>
        </w:rPr>
      </w:pPr>
      <w:r>
        <w:rPr>
          <w:rFonts w:hint="eastAsia" w:ascii="宋体" w:hAnsi="宋体" w:eastAsia="宋体" w:cs="宋体"/>
          <w:b/>
          <w:bCs/>
          <w:color w:val="auto"/>
          <w:kern w:val="0"/>
          <w:sz w:val="21"/>
          <w:szCs w:val="21"/>
          <w:shd w:val="clear" w:color="auto" w:fill="auto"/>
          <w:lang w:eastAsia="zh-CN"/>
        </w:rPr>
        <w:t>①安全环境风险管理方面</w:t>
      </w:r>
    </w:p>
    <w:p>
      <w:pPr>
        <w:keepNext w:val="0"/>
        <w:keepLines w:val="0"/>
        <w:pageBreakBefore w:val="0"/>
        <w:widowControl w:val="0"/>
        <w:kinsoku/>
        <w:wordWrap/>
        <w:overflowPunct/>
        <w:topLinePunct w:val="0"/>
        <w:autoSpaceDE/>
        <w:autoSpaceDN/>
        <w:bidi w:val="0"/>
        <w:adjustRightInd/>
        <w:snapToGrid w:val="0"/>
        <w:spacing w:line="500" w:lineRule="exact"/>
        <w:ind w:firstLine="420"/>
        <w:jc w:val="left"/>
        <w:textAlignment w:val="auto"/>
        <w:rPr>
          <w:rFonts w:hint="eastAsia" w:ascii="宋体" w:hAnsi="宋体" w:eastAsia="宋体" w:cs="宋体"/>
          <w:b w:val="0"/>
          <w:bCs w:val="0"/>
          <w:color w:val="auto"/>
          <w:kern w:val="0"/>
          <w:sz w:val="21"/>
          <w:szCs w:val="21"/>
          <w:shd w:val="clear" w:color="auto" w:fill="auto"/>
          <w:lang w:eastAsia="zh-CN"/>
        </w:rPr>
      </w:pPr>
      <w:r>
        <w:rPr>
          <w:rFonts w:hint="eastAsia" w:ascii="宋体" w:hAnsi="宋体" w:eastAsia="宋体" w:cs="宋体"/>
          <w:b w:val="0"/>
          <w:bCs w:val="0"/>
          <w:color w:val="auto"/>
          <w:kern w:val="0"/>
          <w:sz w:val="21"/>
          <w:szCs w:val="21"/>
          <w:shd w:val="clear" w:color="auto" w:fill="auto"/>
          <w:lang w:eastAsia="zh-CN"/>
        </w:rPr>
        <w:t>公司目前采取日常安全环保检查和定期及车间、班组自查的安全环保督查模式对各类安全环保风险进行排查，并对查处的风险按照大小采取分级管控，同时上传至智慧安环平台督促责任人限期整改闭环。通过不断加强和完善安全环保管理体系的建设，使之公司存在的各项安全环保风险逐渐降低。</w:t>
      </w:r>
    </w:p>
    <w:p>
      <w:pPr>
        <w:keepNext w:val="0"/>
        <w:keepLines w:val="0"/>
        <w:pageBreakBefore w:val="0"/>
        <w:widowControl w:val="0"/>
        <w:kinsoku/>
        <w:wordWrap/>
        <w:overflowPunct/>
        <w:topLinePunct w:val="0"/>
        <w:autoSpaceDE/>
        <w:autoSpaceDN/>
        <w:bidi w:val="0"/>
        <w:adjustRightInd/>
        <w:snapToGrid w:val="0"/>
        <w:spacing w:line="500" w:lineRule="exact"/>
        <w:ind w:firstLine="420"/>
        <w:jc w:val="left"/>
        <w:textAlignment w:val="auto"/>
        <w:rPr>
          <w:rFonts w:hint="eastAsia" w:ascii="宋体" w:hAnsi="宋体" w:eastAsia="宋体" w:cs="宋体"/>
          <w:b/>
          <w:bCs/>
          <w:color w:val="auto"/>
          <w:kern w:val="0"/>
          <w:sz w:val="21"/>
          <w:szCs w:val="21"/>
          <w:shd w:val="clear" w:color="auto" w:fill="auto"/>
          <w:lang w:eastAsia="zh-CN"/>
        </w:rPr>
      </w:pPr>
      <w:r>
        <w:rPr>
          <w:rFonts w:hint="eastAsia" w:ascii="宋体" w:hAnsi="宋体" w:eastAsia="宋体" w:cs="宋体"/>
          <w:b/>
          <w:bCs/>
          <w:color w:val="auto"/>
          <w:kern w:val="0"/>
          <w:sz w:val="21"/>
          <w:szCs w:val="21"/>
          <w:shd w:val="clear" w:color="auto" w:fill="auto"/>
          <w:lang w:eastAsia="zh-CN"/>
        </w:rPr>
        <w:t>②应急管理方面</w:t>
      </w:r>
    </w:p>
    <w:p>
      <w:pPr>
        <w:keepNext w:val="0"/>
        <w:keepLines w:val="0"/>
        <w:pageBreakBefore w:val="0"/>
        <w:widowControl w:val="0"/>
        <w:kinsoku/>
        <w:wordWrap/>
        <w:overflowPunct/>
        <w:topLinePunct w:val="0"/>
        <w:autoSpaceDE/>
        <w:autoSpaceDN/>
        <w:bidi w:val="0"/>
        <w:adjustRightInd/>
        <w:snapToGrid w:val="0"/>
        <w:spacing w:line="500" w:lineRule="exact"/>
        <w:ind w:firstLine="420"/>
        <w:jc w:val="left"/>
        <w:textAlignment w:val="auto"/>
        <w:rPr>
          <w:rFonts w:hint="default"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eastAsia="zh-CN"/>
        </w:rPr>
        <w:t>沃森环保公司</w:t>
      </w:r>
      <w:r>
        <w:rPr>
          <w:rFonts w:hint="eastAsia" w:ascii="宋体" w:hAnsi="宋体" w:eastAsia="宋体" w:cs="宋体"/>
          <w:color w:val="auto"/>
          <w:kern w:val="0"/>
          <w:sz w:val="21"/>
          <w:szCs w:val="21"/>
          <w:shd w:val="clear" w:color="auto" w:fill="auto"/>
        </w:rPr>
        <w:t>于20</w:t>
      </w:r>
      <w:r>
        <w:rPr>
          <w:rFonts w:hint="eastAsia" w:ascii="宋体" w:hAnsi="宋体" w:eastAsia="宋体" w:cs="宋体"/>
          <w:color w:val="auto"/>
          <w:kern w:val="0"/>
          <w:sz w:val="21"/>
          <w:szCs w:val="21"/>
          <w:shd w:val="clear" w:color="auto" w:fill="auto"/>
          <w:lang w:val="en-US" w:eastAsia="zh-CN"/>
        </w:rPr>
        <w:t>21</w:t>
      </w:r>
      <w:r>
        <w:rPr>
          <w:rFonts w:hint="eastAsia" w:ascii="宋体" w:hAnsi="宋体" w:eastAsia="宋体" w:cs="宋体"/>
          <w:color w:val="auto"/>
          <w:kern w:val="0"/>
          <w:sz w:val="21"/>
          <w:szCs w:val="21"/>
          <w:shd w:val="clear" w:color="auto" w:fill="auto"/>
        </w:rPr>
        <w:t>年</w:t>
      </w:r>
      <w:r>
        <w:rPr>
          <w:rFonts w:hint="eastAsia" w:ascii="宋体" w:hAnsi="宋体" w:eastAsia="宋体" w:cs="宋体"/>
          <w:color w:val="auto"/>
          <w:kern w:val="0"/>
          <w:sz w:val="21"/>
          <w:szCs w:val="21"/>
          <w:shd w:val="clear" w:color="auto" w:fill="auto"/>
          <w:lang w:val="en-US" w:eastAsia="zh-CN"/>
        </w:rPr>
        <w:t>8</w:t>
      </w:r>
      <w:r>
        <w:rPr>
          <w:rFonts w:hint="eastAsia" w:ascii="宋体" w:hAnsi="宋体" w:eastAsia="宋体" w:cs="宋体"/>
          <w:color w:val="auto"/>
          <w:kern w:val="0"/>
          <w:sz w:val="21"/>
          <w:szCs w:val="21"/>
          <w:shd w:val="clear" w:color="auto" w:fill="auto"/>
        </w:rPr>
        <w:t>月</w:t>
      </w:r>
      <w:r>
        <w:rPr>
          <w:rFonts w:hint="eastAsia" w:ascii="宋体" w:hAnsi="宋体" w:eastAsia="宋体" w:cs="宋体"/>
          <w:color w:val="auto"/>
          <w:kern w:val="0"/>
          <w:sz w:val="21"/>
          <w:szCs w:val="21"/>
          <w:shd w:val="clear" w:color="auto" w:fill="auto"/>
          <w:lang w:val="en-US" w:eastAsia="zh-CN"/>
        </w:rPr>
        <w:t>31</w:t>
      </w:r>
      <w:r>
        <w:rPr>
          <w:rFonts w:hint="eastAsia" w:ascii="宋体" w:hAnsi="宋体" w:eastAsia="宋体" w:cs="宋体"/>
          <w:color w:val="auto"/>
          <w:kern w:val="0"/>
          <w:sz w:val="21"/>
          <w:szCs w:val="21"/>
          <w:shd w:val="clear" w:color="auto" w:fill="auto"/>
        </w:rPr>
        <w:t>日在克拉玛依市环保局</w:t>
      </w:r>
      <w:r>
        <w:rPr>
          <w:rFonts w:hint="eastAsia" w:ascii="宋体" w:hAnsi="宋体" w:eastAsia="宋体" w:cs="宋体"/>
          <w:color w:val="auto"/>
          <w:kern w:val="0"/>
          <w:sz w:val="21"/>
          <w:szCs w:val="21"/>
          <w:shd w:val="clear" w:color="auto" w:fill="auto"/>
          <w:lang w:eastAsia="zh-CN"/>
        </w:rPr>
        <w:t>和应急管理局对</w:t>
      </w:r>
      <w:r>
        <w:rPr>
          <w:rFonts w:hint="eastAsia" w:ascii="宋体" w:hAnsi="宋体" w:eastAsia="宋体" w:cs="宋体"/>
          <w:color w:val="auto"/>
          <w:kern w:val="0"/>
          <w:sz w:val="21"/>
          <w:szCs w:val="21"/>
          <w:shd w:val="clear" w:color="auto" w:fill="auto"/>
        </w:rPr>
        <w:t>《克拉玛依危险废物综合处置示范中心项目突发环境应急预案》</w:t>
      </w:r>
      <w:r>
        <w:rPr>
          <w:rFonts w:hint="eastAsia" w:ascii="宋体" w:hAnsi="宋体" w:eastAsia="宋体" w:cs="宋体"/>
          <w:color w:val="auto"/>
          <w:kern w:val="0"/>
          <w:sz w:val="21"/>
          <w:szCs w:val="21"/>
          <w:shd w:val="clear" w:color="auto" w:fill="auto"/>
          <w:lang w:eastAsia="zh-CN"/>
        </w:rPr>
        <w:t>、《克拉玛依沃森环保科技有限公司生产安全事故综合应急预案》</w:t>
      </w:r>
      <w:r>
        <w:rPr>
          <w:rFonts w:hint="eastAsia" w:ascii="宋体" w:hAnsi="宋体" w:eastAsia="宋体" w:cs="宋体"/>
          <w:color w:val="auto"/>
          <w:kern w:val="0"/>
          <w:sz w:val="21"/>
          <w:szCs w:val="21"/>
          <w:shd w:val="clear" w:color="auto" w:fill="auto"/>
        </w:rPr>
        <w:t>进行</w:t>
      </w:r>
      <w:r>
        <w:rPr>
          <w:rFonts w:hint="eastAsia" w:ascii="宋体" w:hAnsi="宋体" w:eastAsia="宋体" w:cs="宋体"/>
          <w:color w:val="auto"/>
          <w:kern w:val="0"/>
          <w:sz w:val="21"/>
          <w:szCs w:val="21"/>
          <w:shd w:val="clear" w:color="auto" w:fill="auto"/>
          <w:lang w:eastAsia="zh-CN"/>
        </w:rPr>
        <w:t>修订</w:t>
      </w:r>
      <w:r>
        <w:rPr>
          <w:rFonts w:hint="eastAsia" w:ascii="宋体" w:hAnsi="宋体" w:eastAsia="宋体" w:cs="宋体"/>
          <w:color w:val="auto"/>
          <w:kern w:val="0"/>
          <w:sz w:val="21"/>
          <w:szCs w:val="21"/>
          <w:shd w:val="clear" w:color="auto" w:fill="auto"/>
        </w:rPr>
        <w:t>备案。</w:t>
      </w:r>
      <w:r>
        <w:rPr>
          <w:rFonts w:hint="eastAsia" w:ascii="宋体" w:hAnsi="宋体" w:eastAsia="宋体" w:cs="宋体"/>
          <w:color w:val="auto"/>
          <w:kern w:val="0"/>
          <w:sz w:val="21"/>
          <w:szCs w:val="21"/>
          <w:shd w:val="clear" w:color="auto" w:fill="auto"/>
          <w:lang w:eastAsia="zh-CN"/>
        </w:rPr>
        <w:t>同时，结合各车间实际情况重新修订实施了《应急物资管理制度》和《应急物资配备标准》，并在公司相关车间总共设置了</w:t>
      </w:r>
      <w:r>
        <w:rPr>
          <w:rFonts w:hint="eastAsia" w:ascii="宋体" w:hAnsi="宋体" w:eastAsia="宋体" w:cs="宋体"/>
          <w:color w:val="auto"/>
          <w:kern w:val="0"/>
          <w:sz w:val="21"/>
          <w:szCs w:val="21"/>
          <w:shd w:val="clear" w:color="auto" w:fill="auto"/>
          <w:lang w:val="en-US" w:eastAsia="zh-CN"/>
        </w:rPr>
        <w:t>5个应急物资柜，在柜内配置了</w:t>
      </w:r>
      <w:r>
        <w:rPr>
          <w:rFonts w:hint="eastAsia" w:ascii="宋体" w:hAnsi="宋体" w:eastAsia="宋体" w:cs="宋体"/>
          <w:b w:val="0"/>
          <w:i w:val="0"/>
          <w:caps w:val="0"/>
          <w:color w:val="auto"/>
          <w:spacing w:val="0"/>
          <w:sz w:val="21"/>
          <w:szCs w:val="21"/>
          <w:shd w:val="clear" w:fill="FFFFFF"/>
        </w:rPr>
        <w:t>应急处置过程中所必需的保障性</w:t>
      </w:r>
      <w:r>
        <w:rPr>
          <w:rFonts w:hint="eastAsia" w:ascii="宋体" w:hAnsi="宋体" w:eastAsia="宋体" w:cs="宋体"/>
          <w:b w:val="0"/>
          <w:i w:val="0"/>
          <w:caps w:val="0"/>
          <w:color w:val="auto"/>
          <w:spacing w:val="0"/>
          <w:sz w:val="21"/>
          <w:szCs w:val="21"/>
          <w:shd w:val="clear" w:fill="FFFFFF"/>
          <w:lang w:eastAsia="zh-CN"/>
        </w:rPr>
        <w:t>物资。</w:t>
      </w:r>
      <w:r>
        <w:rPr>
          <w:rFonts w:hint="eastAsia" w:ascii="宋体" w:hAnsi="宋体" w:eastAsia="宋体" w:cs="宋体"/>
          <w:b w:val="0"/>
          <w:i w:val="0"/>
          <w:caps w:val="0"/>
          <w:color w:val="auto"/>
          <w:spacing w:val="0"/>
          <w:sz w:val="21"/>
          <w:szCs w:val="21"/>
          <w:shd w:val="clear" w:fill="FFFFFF"/>
          <w:lang w:val="en-US" w:eastAsia="zh-CN"/>
        </w:rPr>
        <w:t>2023年6月底组织各车间进行消防应急演练，提升员工应急消防能力。</w:t>
      </w:r>
    </w:p>
    <w:p>
      <w:pPr>
        <w:pStyle w:val="13"/>
        <w:spacing w:before="40" w:after="40"/>
        <w:ind w:left="720" w:firstLine="0" w:firstLineChars="0"/>
        <w:rPr>
          <w:rFonts w:ascii="Arial" w:hAnsi="Arial" w:cs="Arial"/>
          <w:color w:val="333333"/>
          <w:szCs w:val="21"/>
          <w:shd w:val="clear" w:color="auto" w:fill="FFFFFF"/>
        </w:rPr>
      </w:pPr>
    </w:p>
    <w:p>
      <w:pPr>
        <w:pStyle w:val="13"/>
        <w:numPr>
          <w:ilvl w:val="0"/>
          <w:numId w:val="2"/>
        </w:numPr>
        <w:spacing w:before="40" w:after="40"/>
        <w:ind w:firstLineChars="0"/>
        <w:rPr>
          <w:b/>
        </w:rPr>
      </w:pPr>
      <w:r>
        <w:rPr>
          <w:rFonts w:hint="eastAsia"/>
          <w:b/>
        </w:rPr>
        <w:t>质量</w:t>
      </w:r>
      <w:r>
        <w:rPr>
          <w:b/>
        </w:rPr>
        <w:t>、环境、职业健康安全管理体系认证</w:t>
      </w:r>
    </w:p>
    <w:p>
      <w:pPr>
        <w:pStyle w:val="13"/>
        <w:pageBreakBefore w:val="0"/>
        <w:widowControl w:val="0"/>
        <w:kinsoku/>
        <w:wordWrap/>
        <w:overflowPunct/>
        <w:topLinePunct w:val="0"/>
        <w:autoSpaceDE/>
        <w:autoSpaceDN/>
        <w:bidi w:val="0"/>
        <w:adjustRightInd/>
        <w:spacing w:line="500" w:lineRule="exact"/>
        <w:ind w:left="0" w:leftChars="0" w:firstLine="420" w:firstLineChars="200"/>
        <w:textAlignment w:val="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公司自</w:t>
      </w:r>
      <w:r>
        <w:rPr>
          <w:rFonts w:hint="eastAsia" w:ascii="宋体" w:hAnsi="宋体" w:eastAsia="宋体" w:cs="宋体"/>
          <w:color w:val="auto"/>
          <w:sz w:val="21"/>
          <w:szCs w:val="21"/>
          <w:shd w:val="clear" w:color="auto" w:fill="FFFFFF"/>
          <w:lang w:val="en-US" w:eastAsia="zh-CN"/>
        </w:rPr>
        <w:t>2018年借鉴引用同行业</w:t>
      </w:r>
      <w:r>
        <w:rPr>
          <w:rFonts w:hint="eastAsia" w:ascii="宋体" w:hAnsi="宋体" w:eastAsia="宋体" w:cs="宋体"/>
          <w:color w:val="auto"/>
          <w:sz w:val="21"/>
          <w:szCs w:val="21"/>
          <w:shd w:val="clear" w:color="auto" w:fill="FFFFFF"/>
          <w:lang w:eastAsia="zh-CN"/>
        </w:rPr>
        <w:t>质量、环境、职业健康安全管理体系以来，自始至终严格按照三体系文件进行日常运行的管理，通过体系的运行控制、严格执行程序文件相关规定等多项措施对各质量过程、环境因素及危险源进行管控，现已形成三体系的方针和目标以及按程序办事的工作思想深入人心，截止目前公司所有的部门均能按照体系要求执行，从管理上比较以前有了较大的改变，此项体系未取得认证证书。</w:t>
      </w:r>
    </w:p>
    <w:p>
      <w:pPr>
        <w:pStyle w:val="13"/>
        <w:spacing w:before="40" w:after="40"/>
        <w:ind w:left="720" w:firstLine="0" w:firstLineChars="0"/>
        <w:rPr>
          <w:rFonts w:ascii="Arial" w:hAnsi="Arial" w:cs="Arial"/>
          <w:color w:val="333333"/>
          <w:szCs w:val="21"/>
          <w:shd w:val="clear" w:color="auto" w:fill="FFFFFF"/>
        </w:rPr>
      </w:pPr>
    </w:p>
    <w:p>
      <w:pPr>
        <w:pStyle w:val="13"/>
        <w:numPr>
          <w:ilvl w:val="0"/>
          <w:numId w:val="2"/>
        </w:numPr>
        <w:spacing w:before="40" w:after="40"/>
        <w:ind w:firstLineChars="0"/>
        <w:rPr>
          <w:b/>
        </w:rPr>
      </w:pPr>
      <w:r>
        <w:rPr>
          <w:rFonts w:hint="eastAsia"/>
          <w:b/>
        </w:rPr>
        <w:t>清洁生产</w:t>
      </w:r>
      <w:r>
        <w:rPr>
          <w:b/>
        </w:rPr>
        <w:t>审核</w:t>
      </w:r>
    </w:p>
    <w:p>
      <w:pPr>
        <w:pStyle w:val="13"/>
        <w:spacing w:before="40" w:after="40"/>
        <w:ind w:left="720" w:firstLine="0" w:firstLineChars="0"/>
        <w:rPr>
          <w:rFonts w:hint="default"/>
          <w:b/>
          <w:lang w:val="en-US"/>
        </w:rPr>
      </w:pPr>
      <w:r>
        <w:rPr>
          <w:rFonts w:hint="eastAsia" w:ascii="宋体" w:hAnsi="宋体" w:eastAsia="宋体" w:cs="宋体"/>
          <w:b w:val="0"/>
          <w:bCs/>
          <w:color w:val="auto"/>
          <w:sz w:val="21"/>
          <w:szCs w:val="21"/>
          <w:lang w:eastAsia="zh-CN"/>
        </w:rPr>
        <w:t>按照</w:t>
      </w:r>
      <w:r>
        <w:rPr>
          <w:rFonts w:hint="eastAsia" w:ascii="宋体" w:hAnsi="宋体" w:eastAsia="宋体" w:cs="宋体"/>
          <w:b w:val="0"/>
          <w:bCs/>
          <w:color w:val="auto"/>
          <w:sz w:val="21"/>
          <w:szCs w:val="21"/>
          <w:lang w:val="en-US" w:eastAsia="zh-CN"/>
        </w:rPr>
        <w:t>2020年11月份克拉玛依市环境保护局下发的《关于公布实施强制性清洁生产审核企业名单的公告》文件，我司被列入此轮强制性清洁生产审核企业名单，与2021年9月24日通过审核。2022上半年已按要求进行清洁生产,2023年8月完成清洁生产审核验收工作。</w:t>
      </w:r>
    </w:p>
    <w:p>
      <w:pPr>
        <w:pStyle w:val="13"/>
        <w:numPr>
          <w:ilvl w:val="0"/>
          <w:numId w:val="2"/>
        </w:numPr>
        <w:spacing w:before="40" w:after="40"/>
        <w:ind w:firstLineChars="0"/>
        <w:rPr>
          <w:b/>
        </w:rPr>
      </w:pPr>
      <w:r>
        <w:rPr>
          <w:rFonts w:hint="eastAsia"/>
          <w:b/>
        </w:rPr>
        <w:t>环境</w:t>
      </w:r>
      <w:r>
        <w:rPr>
          <w:b/>
        </w:rPr>
        <w:t>宣传与荣誉</w:t>
      </w:r>
    </w:p>
    <w:p>
      <w:pPr>
        <w:pStyle w:val="13"/>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沃森环保公司作为入选的第二批全国“环保设施和城市污水处理设施向公众开放单位”，在每季度由克拉玛依市环境保护局组织周边民众至公司参观、了解我公司环境治理方面的设施、工艺及投入情况，在开放日参观期间由我公司专责人员在生产现场为公众讲解危险废物焚烧处置的设施设备、工艺流程、污染物排放情况和危险废物储存的标准化管理经验，通过此项活动的开展不断的增强了周边居民对于危废处置的理解，逐渐消除他们对危废处置的偏见，从而达到了公司与地方长治久安、和谐发展的共赢局面。</w:t>
      </w:r>
    </w:p>
    <w:p>
      <w:pPr>
        <w:pStyle w:val="13"/>
        <w:spacing w:before="40" w:after="40"/>
        <w:ind w:left="720" w:firstLine="0" w:firstLineChars="0"/>
        <w:rPr>
          <w:rFonts w:ascii="Arial" w:hAnsi="Arial" w:cs="Arial"/>
          <w:color w:val="333333"/>
          <w:szCs w:val="21"/>
          <w:shd w:val="clear" w:color="auto" w:fill="FFFFFF"/>
        </w:rPr>
      </w:pPr>
    </w:p>
    <w:p>
      <w:pPr>
        <w:pStyle w:val="13"/>
        <w:numPr>
          <w:ilvl w:val="0"/>
          <w:numId w:val="2"/>
        </w:numPr>
        <w:spacing w:before="40" w:after="40"/>
        <w:ind w:firstLineChars="0"/>
        <w:rPr>
          <w:b/>
        </w:rPr>
      </w:pPr>
      <w:r>
        <w:rPr>
          <w:rFonts w:hint="eastAsia"/>
          <w:b/>
        </w:rPr>
        <w:t>环境</w:t>
      </w:r>
      <w:r>
        <w:rPr>
          <w:b/>
        </w:rPr>
        <w:t>绩效情况</w:t>
      </w:r>
    </w:p>
    <w:p>
      <w:pPr>
        <w:spacing w:before="40" w:after="40"/>
        <w:ind w:left="720" w:firstLine="420" w:firstLineChars="200"/>
        <w:rPr>
          <w:rFonts w:hint="eastAsia" w:ascii="宋体" w:hAnsi="宋体" w:eastAsia="宋体" w:cs="宋体"/>
          <w:color w:val="auto"/>
          <w:kern w:val="2"/>
          <w:sz w:val="21"/>
          <w:szCs w:val="21"/>
          <w:shd w:val="clear" w:color="auto" w:fill="FFFFFF"/>
          <w:lang w:val="en-US" w:eastAsia="zh-CN" w:bidi="ar-SA"/>
        </w:rPr>
      </w:pPr>
      <w:r>
        <w:rPr>
          <w:rFonts w:hint="eastAsia" w:ascii="宋体" w:hAnsi="宋体" w:eastAsia="宋体" w:cs="宋体"/>
          <w:color w:val="auto"/>
          <w:kern w:val="2"/>
          <w:sz w:val="21"/>
          <w:szCs w:val="21"/>
          <w:shd w:val="clear" w:color="auto" w:fill="FFFFFF"/>
          <w:lang w:val="en-US" w:eastAsia="zh-CN" w:bidi="ar-SA"/>
        </w:rPr>
        <w:t>对暂存库库房加装尾气吸附装置，由原先的无组织排放变更为有组织排放，已在2021年12月16日投入使用。对焚烧处置工艺进行改造，在烟道的末端加装湿法脱硫系统，于2022年5月投入使用。同时，结合现行法规政策的支持，满足土地利用价值最大化和美观化的前提，已对填埋场1区A单元进行覆膜平整铺砖，并在后期将持续进行植树，以此全力打造填埋场景观化特色。</w:t>
      </w:r>
    </w:p>
    <w:p>
      <w:pPr>
        <w:pStyle w:val="12"/>
        <w:outlineLvl w:val="2"/>
        <w:rPr>
          <w:sz w:val="28"/>
          <w:szCs w:val="28"/>
        </w:rPr>
      </w:pPr>
      <w:r>
        <w:rPr>
          <w:rFonts w:hint="eastAsia"/>
          <w:sz w:val="28"/>
          <w:szCs w:val="28"/>
        </w:rPr>
        <w:t>（二）环境保护相关的情况</w:t>
      </w:r>
    </w:p>
    <w:p>
      <w:pPr>
        <w:spacing w:before="40" w:after="40"/>
        <w:rPr>
          <w:b/>
        </w:rPr>
      </w:pPr>
      <w:r>
        <w:rPr>
          <w:rFonts w:hint="eastAsia"/>
          <w:b/>
        </w:rPr>
        <w:t>1、重大环保问题情况</w:t>
      </w:r>
    </w:p>
    <w:p>
      <w:pPr>
        <w:spacing w:before="40" w:after="40"/>
      </w:pPr>
      <w:r>
        <w:rPr>
          <w:rFonts w:hint="eastAsia"/>
        </w:rPr>
        <w:t>（</w:t>
      </w:r>
      <w:r>
        <w:t>1</w:t>
      </w:r>
      <w:r>
        <w:rPr>
          <w:rFonts w:hint="eastAsia"/>
        </w:rPr>
        <w:t>）填写附件2信息。</w:t>
      </w:r>
    </w:p>
    <w:p>
      <w:pPr>
        <w:spacing w:before="40" w:after="40"/>
        <w:ind w:firstLine="420" w:firstLineChars="200"/>
      </w:pPr>
      <w:r>
        <w:rPr>
          <w:rFonts w:hint="eastAsia"/>
          <w:lang w:val="en-US" w:eastAsia="zh-CN"/>
        </w:rPr>
        <w:t>（见附件2</w:t>
      </w:r>
      <w:r>
        <w:rPr>
          <w:rFonts w:hint="eastAsia"/>
        </w:rPr>
        <w:t>）</w:t>
      </w:r>
    </w:p>
    <w:p>
      <w:pPr>
        <w:spacing w:before="40" w:after="40"/>
        <w:rPr>
          <w:b/>
        </w:rPr>
      </w:pPr>
    </w:p>
    <w:p>
      <w:pPr>
        <w:spacing w:before="40" w:after="40"/>
        <w:rPr>
          <w:b/>
        </w:rPr>
      </w:pPr>
      <w:r>
        <w:rPr>
          <w:rFonts w:hint="eastAsia"/>
          <w:b/>
        </w:rPr>
        <w:t>2、防治污染设施的建设和运行情况</w:t>
      </w:r>
    </w:p>
    <w:p>
      <w:pPr>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b/>
          <w:color w:val="auto"/>
          <w:sz w:val="21"/>
          <w:szCs w:val="21"/>
        </w:rPr>
      </w:pPr>
      <w:r>
        <w:rPr>
          <w:rFonts w:hint="eastAsia" w:ascii="宋体" w:hAnsi="宋体" w:eastAsia="宋体" w:cs="宋体"/>
          <w:color w:val="auto"/>
          <w:sz w:val="21"/>
          <w:szCs w:val="21"/>
        </w:rPr>
        <w:t>(1) 废气污染物防治：</w:t>
      </w:r>
    </w:p>
    <w:p>
      <w:pPr>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本项目</w:t>
      </w:r>
      <w:r>
        <w:rPr>
          <w:rFonts w:hint="eastAsia" w:ascii="宋体" w:hAnsi="宋体" w:eastAsia="宋体" w:cs="宋体"/>
          <w:color w:val="auto"/>
          <w:sz w:val="21"/>
          <w:szCs w:val="21"/>
          <w:lang w:eastAsia="zh-CN"/>
        </w:rPr>
        <w:t>产生的废气主要是由焚烧炉焚烧危险废物时产生，</w:t>
      </w:r>
      <w:r>
        <w:rPr>
          <w:rFonts w:hint="eastAsia" w:ascii="宋体" w:hAnsi="宋体" w:eastAsia="宋体" w:cs="宋体"/>
          <w:color w:val="auto"/>
          <w:sz w:val="21"/>
          <w:szCs w:val="21"/>
        </w:rPr>
        <w:t>焚烧处理工艺规模9900吨/年,适应于可燃烧危险废物,如废有机物、精馏残渣、化工残渣、废有机树脂等,根据污染物质的性质不同,大气污染物经SNCR反应器+急冷塔半干法除酸十活性炭吸附+布袋除尘器烟气净化系统</w:t>
      </w:r>
      <w:r>
        <w:rPr>
          <w:rFonts w:hint="eastAsia" w:ascii="宋体" w:hAnsi="宋体" w:eastAsia="宋体" w:cs="宋体"/>
          <w:color w:val="auto"/>
          <w:sz w:val="21"/>
          <w:szCs w:val="21"/>
          <w:lang w:val="en-US" w:eastAsia="zh-CN"/>
        </w:rPr>
        <w:t>+</w:t>
      </w:r>
      <w:r>
        <w:rPr>
          <w:rFonts w:hint="eastAsia" w:ascii="宋体" w:hAnsi="宋体" w:eastAsia="宋体" w:cs="宋体"/>
          <w:color w:val="auto"/>
          <w:kern w:val="2"/>
          <w:sz w:val="21"/>
          <w:szCs w:val="21"/>
          <w:shd w:val="clear" w:color="auto" w:fill="FFFFFF"/>
          <w:lang w:val="en-US" w:eastAsia="zh-CN" w:bidi="ar-SA"/>
        </w:rPr>
        <w:t>湿法脱硫系统</w:t>
      </w:r>
      <w:r>
        <w:rPr>
          <w:rFonts w:hint="eastAsia" w:ascii="宋体" w:hAnsi="宋体" w:eastAsia="宋体" w:cs="宋体"/>
          <w:color w:val="auto"/>
          <w:sz w:val="21"/>
          <w:szCs w:val="21"/>
        </w:rPr>
        <w:t>处理后排放。</w:t>
      </w:r>
    </w:p>
    <w:p>
      <w:pPr>
        <w:pageBreakBefore w:val="0"/>
        <w:widowControl w:val="0"/>
        <w:numPr>
          <w:ilvl w:val="0"/>
          <w:numId w:val="0"/>
        </w:numPr>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固体废物污染防治：</w:t>
      </w:r>
    </w:p>
    <w:p>
      <w:pPr>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①焚烧残渣</w:t>
      </w:r>
    </w:p>
    <w:p>
      <w:pPr>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危险废物焚烧炉焚烧过程中产生的炉渣送安全填埋场填埋,飞灰送稳定化/固化车间处理后再送安全填埋场填埋。</w:t>
      </w:r>
    </w:p>
    <w:p>
      <w:pPr>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②中和污泥</w:t>
      </w:r>
    </w:p>
    <w:p>
      <w:pPr>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物化车间在中和沉淀过程中产生的污泥经固化后进危险废物填埋场填埋。</w:t>
      </w:r>
    </w:p>
    <w:p>
      <w:pPr>
        <w:pageBreakBefore w:val="0"/>
        <w:widowControl w:val="0"/>
        <w:numPr>
          <w:ilvl w:val="0"/>
          <w:numId w:val="0"/>
        </w:numPr>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噪声</w:t>
      </w:r>
      <w:r>
        <w:rPr>
          <w:rFonts w:hint="eastAsia" w:ascii="宋体" w:hAnsi="宋体" w:eastAsia="宋体" w:cs="宋体"/>
          <w:color w:val="auto"/>
          <w:sz w:val="21"/>
          <w:szCs w:val="21"/>
          <w:lang w:eastAsia="zh-CN"/>
        </w:rPr>
        <w:t>：</w:t>
      </w:r>
    </w:p>
    <w:p>
      <w:pPr>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采取岗位消声、降噪和减振措施,加强劳动保护,以减少机械噪声对操作工人和周围环境的影响。经有效治理后，厂界噪声可达到《工业企业厂界环境噪声排放标准》(GB12348-2008)3类标准。</w:t>
      </w:r>
    </w:p>
    <w:p>
      <w:pPr>
        <w:pageBreakBefore w:val="0"/>
        <w:widowControl w:val="0"/>
        <w:kinsoku/>
        <w:wordWrap/>
        <w:overflowPunct/>
        <w:topLinePunct w:val="0"/>
        <w:autoSpaceDE/>
        <w:autoSpaceDN/>
        <w:bidi w:val="0"/>
        <w:adjustRightInd/>
        <w:snapToGrid w:val="0"/>
        <w:spacing w:line="500" w:lineRule="exact"/>
        <w:ind w:firstLine="270"/>
        <w:jc w:val="left"/>
        <w:textAlignment w:val="auto"/>
        <w:rPr>
          <w:rFonts w:hint="eastAsia" w:ascii="宋体" w:hAnsi="宋体" w:eastAsia="宋体" w:cs="宋体"/>
          <w:b/>
          <w:color w:val="auto"/>
          <w:sz w:val="21"/>
          <w:szCs w:val="21"/>
        </w:rPr>
      </w:pPr>
      <w:r>
        <w:rPr>
          <w:rFonts w:hint="eastAsia" w:ascii="宋体" w:hAnsi="宋体" w:eastAsia="宋体" w:cs="宋体"/>
          <w:color w:val="auto"/>
          <w:sz w:val="21"/>
          <w:szCs w:val="21"/>
        </w:rPr>
        <w:t>目前各防治污染物设施均正常运行。</w:t>
      </w:r>
    </w:p>
    <w:p>
      <w:pPr>
        <w:spacing w:before="40" w:after="40"/>
        <w:rPr>
          <w:b/>
        </w:rPr>
      </w:pPr>
    </w:p>
    <w:p>
      <w:pPr>
        <w:spacing w:before="40" w:after="40"/>
      </w:pPr>
      <w:r>
        <w:rPr>
          <w:rFonts w:hint="eastAsia"/>
          <w:b/>
        </w:rPr>
        <w:t>3、建设项目环境影响评价及其他环境保护行政许可情况</w:t>
      </w:r>
    </w:p>
    <w:p>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公司于2013年6月完成了《克拉玛依危险废物综合处置示范中心项目环境影响报告书》；2013年10月，新疆维吾尔自治区环境保护厅以新环评[2013]958号文对环境影响报告书进行了批复。2017年2月22日，取得新疆维吾尔自治区环保厅的《关于克拉玛依危险废物综合处置示范中心项目竣工环境保护验收合格函》。</w:t>
      </w:r>
      <w:r>
        <w:rPr>
          <w:rFonts w:hint="eastAsia" w:ascii="宋体" w:hAnsi="宋体" w:eastAsia="宋体" w:cs="宋体"/>
          <w:color w:val="auto"/>
          <w:sz w:val="21"/>
          <w:szCs w:val="21"/>
          <w:lang w:val="en-US" w:eastAsia="zh-CN"/>
        </w:rPr>
        <w:t>2020年4月12日，取得克拉玛依市生态环境局核发的排污许可证，2023年3月因环境信息变更重新申领了排污许可证，根据排污许可证要求修订了年度环境监测方案，并遵照执行。</w:t>
      </w:r>
    </w:p>
    <w:p>
      <w:pPr>
        <w:pageBreakBefore w:val="0"/>
        <w:widowControl w:val="0"/>
        <w:kinsoku/>
        <w:wordWrap/>
        <w:overflowPunct/>
        <w:topLinePunct w:val="0"/>
        <w:autoSpaceDE/>
        <w:autoSpaceDN/>
        <w:bidi w:val="0"/>
        <w:adjustRightInd/>
        <w:snapToGrid w:val="0"/>
        <w:spacing w:line="500" w:lineRule="exact"/>
        <w:ind w:firstLine="420"/>
        <w:jc w:val="left"/>
        <w:textAlignment w:val="auto"/>
        <w:rPr>
          <w:rFonts w:hint="eastAsia" w:ascii="宋体" w:hAnsi="宋体" w:eastAsia="宋体" w:cs="宋体"/>
          <w:b/>
          <w:color w:val="auto"/>
          <w:sz w:val="21"/>
          <w:szCs w:val="21"/>
        </w:rPr>
      </w:pPr>
      <w:r>
        <w:rPr>
          <w:rFonts w:hint="eastAsia" w:ascii="宋体" w:hAnsi="宋体" w:eastAsia="宋体" w:cs="宋体"/>
          <w:color w:val="auto"/>
          <w:sz w:val="21"/>
          <w:szCs w:val="21"/>
        </w:rPr>
        <w:t>公司每季度按相关规定按时缴纳环境保护税。</w:t>
      </w:r>
    </w:p>
    <w:p>
      <w:pPr>
        <w:spacing w:before="40" w:after="40"/>
        <w:rPr>
          <w:b/>
        </w:rPr>
      </w:pPr>
    </w:p>
    <w:p>
      <w:pPr>
        <w:spacing w:before="40" w:after="40"/>
        <w:rPr>
          <w:b/>
        </w:rPr>
      </w:pPr>
      <w:r>
        <w:rPr>
          <w:rFonts w:hint="eastAsia"/>
          <w:b/>
        </w:rPr>
        <w:t>4、突发环境事件应急预案</w:t>
      </w:r>
    </w:p>
    <w:p>
      <w:pPr>
        <w:keepNext w:val="0"/>
        <w:keepLines w:val="0"/>
        <w:pageBreakBefore w:val="0"/>
        <w:widowControl w:val="0"/>
        <w:kinsoku/>
        <w:wordWrap/>
        <w:overflowPunct/>
        <w:topLinePunct w:val="0"/>
        <w:autoSpaceDE/>
        <w:autoSpaceDN/>
        <w:bidi w:val="0"/>
        <w:adjustRightInd/>
        <w:snapToGrid w:val="0"/>
        <w:spacing w:line="500" w:lineRule="exact"/>
        <w:ind w:firstLine="420"/>
        <w:jc w:val="left"/>
        <w:textAlignment w:val="auto"/>
        <w:rPr>
          <w:rFonts w:hint="eastAsia" w:ascii="宋体" w:hAnsi="宋体" w:eastAsia="宋体" w:cs="宋体"/>
          <w:b/>
          <w:color w:val="auto"/>
          <w:sz w:val="21"/>
          <w:szCs w:val="21"/>
        </w:rPr>
      </w:pPr>
      <w:r>
        <w:rPr>
          <w:rFonts w:hint="eastAsia" w:ascii="宋体" w:hAnsi="宋体" w:eastAsia="宋体" w:cs="宋体"/>
          <w:color w:val="auto"/>
          <w:kern w:val="0"/>
          <w:sz w:val="21"/>
          <w:szCs w:val="21"/>
          <w:shd w:val="clear" w:color="auto" w:fill="auto"/>
          <w:lang w:eastAsia="zh-CN"/>
        </w:rPr>
        <w:t>沃森环保公司</w:t>
      </w:r>
      <w:r>
        <w:rPr>
          <w:rFonts w:hint="eastAsia" w:ascii="宋体" w:hAnsi="宋体" w:eastAsia="宋体" w:cs="宋体"/>
          <w:color w:val="auto"/>
          <w:kern w:val="0"/>
          <w:sz w:val="21"/>
          <w:szCs w:val="21"/>
          <w:shd w:val="clear" w:color="auto" w:fill="auto"/>
          <w:lang w:val="en-US" w:eastAsia="zh-CN"/>
        </w:rPr>
        <w:t>组织人员修订</w:t>
      </w:r>
      <w:r>
        <w:rPr>
          <w:rFonts w:hint="eastAsia" w:ascii="宋体" w:hAnsi="宋体" w:eastAsia="宋体" w:cs="宋体"/>
          <w:color w:val="auto"/>
          <w:kern w:val="0"/>
          <w:sz w:val="21"/>
          <w:szCs w:val="21"/>
          <w:shd w:val="clear" w:color="auto" w:fill="auto"/>
        </w:rPr>
        <w:t>《克拉玛依危险废物综合处置示范中心项目突发环境应急预案》</w:t>
      </w:r>
      <w:r>
        <w:rPr>
          <w:rFonts w:hint="eastAsia" w:ascii="宋体" w:hAnsi="宋体" w:eastAsia="宋体" w:cs="宋体"/>
          <w:color w:val="auto"/>
          <w:kern w:val="0"/>
          <w:sz w:val="21"/>
          <w:szCs w:val="21"/>
          <w:shd w:val="clear" w:color="auto" w:fill="auto"/>
          <w:lang w:eastAsia="zh-CN"/>
        </w:rPr>
        <w:t>，</w:t>
      </w:r>
      <w:r>
        <w:rPr>
          <w:rFonts w:hint="eastAsia" w:ascii="宋体" w:hAnsi="宋体" w:eastAsia="宋体" w:cs="宋体"/>
          <w:color w:val="auto"/>
          <w:kern w:val="0"/>
          <w:sz w:val="21"/>
          <w:szCs w:val="21"/>
          <w:shd w:val="clear" w:color="auto" w:fill="auto"/>
        </w:rPr>
        <w:t>20</w:t>
      </w:r>
      <w:r>
        <w:rPr>
          <w:rFonts w:hint="eastAsia" w:ascii="宋体" w:hAnsi="宋体" w:eastAsia="宋体" w:cs="宋体"/>
          <w:color w:val="auto"/>
          <w:kern w:val="0"/>
          <w:sz w:val="21"/>
          <w:szCs w:val="21"/>
          <w:shd w:val="clear" w:color="auto" w:fill="auto"/>
          <w:lang w:val="en-US" w:eastAsia="zh-CN"/>
        </w:rPr>
        <w:t>21</w:t>
      </w:r>
      <w:r>
        <w:rPr>
          <w:rFonts w:hint="eastAsia" w:ascii="宋体" w:hAnsi="宋体" w:eastAsia="宋体" w:cs="宋体"/>
          <w:color w:val="auto"/>
          <w:kern w:val="0"/>
          <w:sz w:val="21"/>
          <w:szCs w:val="21"/>
          <w:shd w:val="clear" w:color="auto" w:fill="auto"/>
        </w:rPr>
        <w:t>年</w:t>
      </w:r>
      <w:r>
        <w:rPr>
          <w:rFonts w:hint="eastAsia" w:ascii="宋体" w:hAnsi="宋体" w:eastAsia="宋体" w:cs="宋体"/>
          <w:color w:val="auto"/>
          <w:kern w:val="0"/>
          <w:sz w:val="21"/>
          <w:szCs w:val="21"/>
          <w:shd w:val="clear" w:color="auto" w:fill="auto"/>
          <w:lang w:val="en-US" w:eastAsia="zh-CN"/>
        </w:rPr>
        <w:t>8</w:t>
      </w:r>
      <w:r>
        <w:rPr>
          <w:rFonts w:hint="eastAsia" w:ascii="宋体" w:hAnsi="宋体" w:eastAsia="宋体" w:cs="宋体"/>
          <w:color w:val="auto"/>
          <w:kern w:val="0"/>
          <w:sz w:val="21"/>
          <w:szCs w:val="21"/>
          <w:shd w:val="clear" w:color="auto" w:fill="auto"/>
        </w:rPr>
        <w:t>月</w:t>
      </w:r>
      <w:r>
        <w:rPr>
          <w:rFonts w:hint="eastAsia" w:ascii="宋体" w:hAnsi="宋体" w:eastAsia="宋体" w:cs="宋体"/>
          <w:color w:val="auto"/>
          <w:kern w:val="0"/>
          <w:sz w:val="21"/>
          <w:szCs w:val="21"/>
          <w:shd w:val="clear" w:color="auto" w:fill="auto"/>
          <w:lang w:val="en-US" w:eastAsia="zh-CN"/>
        </w:rPr>
        <w:t>31日</w:t>
      </w:r>
      <w:r>
        <w:rPr>
          <w:rFonts w:hint="eastAsia" w:ascii="宋体" w:hAnsi="宋体" w:eastAsia="宋体" w:cs="宋体"/>
          <w:color w:val="auto"/>
          <w:kern w:val="0"/>
          <w:sz w:val="21"/>
          <w:szCs w:val="21"/>
          <w:shd w:val="clear" w:color="auto" w:fill="auto"/>
        </w:rPr>
        <w:t>在克拉玛依市环保局</w:t>
      </w:r>
      <w:r>
        <w:rPr>
          <w:rFonts w:hint="eastAsia" w:ascii="宋体" w:hAnsi="宋体" w:eastAsia="宋体" w:cs="宋体"/>
          <w:color w:val="auto"/>
          <w:kern w:val="0"/>
          <w:sz w:val="21"/>
          <w:szCs w:val="21"/>
          <w:shd w:val="clear" w:color="auto" w:fill="auto"/>
          <w:lang w:eastAsia="zh-CN"/>
        </w:rPr>
        <w:t>对</w:t>
      </w:r>
      <w:r>
        <w:rPr>
          <w:rFonts w:hint="eastAsia" w:ascii="宋体" w:hAnsi="宋体" w:eastAsia="宋体" w:cs="宋体"/>
          <w:color w:val="auto"/>
          <w:kern w:val="0"/>
          <w:sz w:val="21"/>
          <w:szCs w:val="21"/>
          <w:shd w:val="clear" w:color="auto" w:fill="auto"/>
        </w:rPr>
        <w:t>《克拉玛依危险废物综合处置示范中心项目突发环境应急预案》进行备案</w:t>
      </w:r>
      <w:r>
        <w:rPr>
          <w:rFonts w:hint="eastAsia" w:ascii="宋体" w:hAnsi="宋体" w:eastAsia="宋体" w:cs="宋体"/>
          <w:color w:val="auto"/>
          <w:kern w:val="0"/>
          <w:sz w:val="21"/>
          <w:szCs w:val="21"/>
          <w:shd w:val="clear" w:color="auto" w:fill="auto"/>
          <w:lang w:eastAsia="zh-CN"/>
        </w:rPr>
        <w:t>，此预案作为我公司</w:t>
      </w:r>
      <w:r>
        <w:rPr>
          <w:rStyle w:val="8"/>
          <w:rFonts w:hint="eastAsia" w:ascii="宋体" w:hAnsi="宋体" w:eastAsia="宋体" w:cs="宋体"/>
          <w:i w:val="0"/>
          <w:iCs w:val="0"/>
          <w:caps w:val="0"/>
          <w:color w:val="auto"/>
          <w:spacing w:val="0"/>
          <w:sz w:val="21"/>
          <w:szCs w:val="21"/>
          <w:shd w:val="clear" w:color="auto" w:fill="auto"/>
        </w:rPr>
        <w:t>突发</w:t>
      </w:r>
      <w:r>
        <w:rPr>
          <w:rFonts w:hint="eastAsia" w:ascii="宋体" w:hAnsi="宋体" w:eastAsia="宋体" w:cs="宋体"/>
          <w:i w:val="0"/>
          <w:iCs w:val="0"/>
          <w:caps w:val="0"/>
          <w:color w:val="auto"/>
          <w:spacing w:val="0"/>
          <w:sz w:val="21"/>
          <w:szCs w:val="21"/>
          <w:shd w:val="clear" w:color="auto" w:fill="auto"/>
        </w:rPr>
        <w:t>环境污染</w:t>
      </w:r>
      <w:r>
        <w:rPr>
          <w:rStyle w:val="8"/>
          <w:rFonts w:hint="eastAsia" w:ascii="宋体" w:hAnsi="宋体" w:eastAsia="宋体" w:cs="宋体"/>
          <w:i w:val="0"/>
          <w:iCs w:val="0"/>
          <w:caps w:val="0"/>
          <w:color w:val="auto"/>
          <w:spacing w:val="0"/>
          <w:sz w:val="21"/>
          <w:szCs w:val="21"/>
          <w:shd w:val="clear" w:color="auto" w:fill="auto"/>
        </w:rPr>
        <w:t>事故状态</w:t>
      </w:r>
      <w:r>
        <w:rPr>
          <w:rStyle w:val="8"/>
          <w:rFonts w:hint="eastAsia" w:ascii="宋体" w:hAnsi="宋体" w:eastAsia="宋体" w:cs="宋体"/>
          <w:i w:val="0"/>
          <w:iCs w:val="0"/>
          <w:caps w:val="0"/>
          <w:color w:val="auto"/>
          <w:spacing w:val="0"/>
          <w:sz w:val="21"/>
          <w:szCs w:val="21"/>
          <w:shd w:val="clear" w:color="auto" w:fill="auto"/>
          <w:lang w:eastAsia="zh-CN"/>
        </w:rPr>
        <w:t>的</w:t>
      </w:r>
      <w:r>
        <w:rPr>
          <w:rFonts w:hint="eastAsia" w:ascii="宋体" w:hAnsi="宋体" w:eastAsia="宋体" w:cs="宋体"/>
          <w:i w:val="0"/>
          <w:iCs w:val="0"/>
          <w:caps w:val="0"/>
          <w:color w:val="auto"/>
          <w:spacing w:val="0"/>
          <w:sz w:val="21"/>
          <w:szCs w:val="21"/>
          <w:shd w:val="clear" w:color="auto" w:fill="auto"/>
        </w:rPr>
        <w:t>应急防范措施</w:t>
      </w:r>
      <w:r>
        <w:rPr>
          <w:rFonts w:hint="eastAsia" w:ascii="宋体" w:hAnsi="宋体" w:eastAsia="宋体" w:cs="宋体"/>
          <w:i w:val="0"/>
          <w:iCs w:val="0"/>
          <w:caps w:val="0"/>
          <w:color w:val="auto"/>
          <w:spacing w:val="0"/>
          <w:sz w:val="21"/>
          <w:szCs w:val="21"/>
          <w:shd w:val="clear" w:color="auto" w:fill="auto"/>
          <w:lang w:eastAsia="zh-CN"/>
        </w:rPr>
        <w:t>和</w:t>
      </w:r>
      <w:r>
        <w:rPr>
          <w:rFonts w:hint="eastAsia" w:ascii="宋体" w:hAnsi="宋体" w:eastAsia="宋体" w:cs="宋体"/>
          <w:i w:val="0"/>
          <w:iCs w:val="0"/>
          <w:caps w:val="0"/>
          <w:color w:val="auto"/>
          <w:spacing w:val="0"/>
          <w:sz w:val="21"/>
          <w:szCs w:val="21"/>
          <w:shd w:val="clear" w:color="auto" w:fill="auto"/>
        </w:rPr>
        <w:t>应急体系的实施依据</w:t>
      </w:r>
      <w:r>
        <w:rPr>
          <w:rFonts w:hint="eastAsia" w:ascii="宋体" w:hAnsi="宋体" w:eastAsia="宋体" w:cs="宋体"/>
          <w:i w:val="0"/>
          <w:iCs w:val="0"/>
          <w:caps w:val="0"/>
          <w:color w:val="auto"/>
          <w:spacing w:val="0"/>
          <w:sz w:val="21"/>
          <w:szCs w:val="21"/>
          <w:shd w:val="clear" w:color="auto" w:fill="auto"/>
          <w:lang w:eastAsia="zh-CN"/>
        </w:rPr>
        <w:t>，规范和强化我公司环境风险源的监控和环境污染事件的针对性应急措施与应急管理。</w:t>
      </w:r>
      <w:r>
        <w:rPr>
          <w:rFonts w:hint="eastAsia" w:ascii="宋体" w:hAnsi="宋体" w:eastAsia="宋体" w:cs="宋体"/>
          <w:color w:val="auto"/>
          <w:sz w:val="21"/>
          <w:szCs w:val="21"/>
          <w:highlight w:val="none"/>
          <w:lang w:val="en-US" w:eastAsia="zh-CN"/>
        </w:rPr>
        <w:t>结合应急预案，公司定期组织开展相应的突发环境事件应急救援演练和培训，并在每月指导、督促各车间根据实际工作情况开展现场应急处置演练，以使每位员工熟练掌握应急处置方法。</w:t>
      </w:r>
    </w:p>
    <w:p>
      <w:pPr>
        <w:spacing w:before="40" w:after="40"/>
        <w:rPr>
          <w:b/>
        </w:rPr>
      </w:pPr>
    </w:p>
    <w:p>
      <w:pPr>
        <w:spacing w:before="40" w:after="40"/>
        <w:rPr>
          <w:b/>
        </w:rPr>
      </w:pPr>
      <w:r>
        <w:rPr>
          <w:rFonts w:hint="eastAsia"/>
          <w:b/>
        </w:rPr>
        <w:t>5、环境自行监测方案</w:t>
      </w:r>
    </w:p>
    <w:p>
      <w:pPr>
        <w:pStyle w:val="2"/>
        <w:keepNext/>
        <w:keepLines/>
        <w:pageBreakBefore w:val="0"/>
        <w:widowControl w:val="0"/>
        <w:kinsoku/>
        <w:wordWrap/>
        <w:overflowPunct/>
        <w:topLinePunct w:val="0"/>
        <w:autoSpaceDE/>
        <w:autoSpaceDN/>
        <w:bidi w:val="0"/>
        <w:adjustRightInd/>
        <w:snapToGrid/>
        <w:spacing w:before="20" w:after="20" w:line="579" w:lineRule="auto"/>
        <w:ind w:firstLine="420" w:firstLineChars="200"/>
        <w:jc w:val="both"/>
        <w:textAlignment w:val="auto"/>
        <w:rPr>
          <w:rFonts w:hint="eastAsia" w:ascii="宋体" w:hAnsi="宋体" w:eastAsia="宋体" w:cs="宋体"/>
          <w:b w:val="0"/>
          <w:bCs w:val="0"/>
          <w:color w:val="auto"/>
          <w:kern w:val="0"/>
          <w:sz w:val="21"/>
          <w:szCs w:val="21"/>
          <w:shd w:val="clear" w:color="auto" w:fill="auto"/>
          <w:lang w:val="en-US" w:eastAsia="zh-CN" w:bidi="ar-SA"/>
        </w:rPr>
      </w:pPr>
      <w:r>
        <w:rPr>
          <w:rFonts w:hint="eastAsia" w:ascii="宋体" w:hAnsi="宋体" w:eastAsia="宋体" w:cs="宋体"/>
          <w:b w:val="0"/>
          <w:bCs w:val="0"/>
          <w:color w:val="auto"/>
          <w:kern w:val="0"/>
          <w:sz w:val="21"/>
          <w:szCs w:val="21"/>
          <w:shd w:val="clear" w:color="auto" w:fill="auto"/>
          <w:lang w:val="en-US" w:eastAsia="zh-CN" w:bidi="ar-SA"/>
        </w:rPr>
        <w:t>采用烟气在线连续监测系统及第三方监测单位进行季度性监测。</w:t>
      </w:r>
    </w:p>
    <w:p>
      <w:pPr>
        <w:pStyle w:val="2"/>
        <w:keepNext/>
        <w:keepLines/>
        <w:pageBreakBefore w:val="0"/>
        <w:widowControl w:val="0"/>
        <w:kinsoku/>
        <w:wordWrap/>
        <w:overflowPunct/>
        <w:topLinePunct w:val="0"/>
        <w:autoSpaceDE/>
        <w:autoSpaceDN/>
        <w:bidi w:val="0"/>
        <w:adjustRightInd/>
        <w:snapToGrid/>
        <w:spacing w:before="20" w:after="20" w:line="579" w:lineRule="auto"/>
        <w:jc w:val="center"/>
        <w:textAlignment w:val="auto"/>
        <w:rPr>
          <w:rFonts w:hint="eastAsia"/>
          <w:color w:val="auto"/>
          <w:sz w:val="28"/>
          <w:szCs w:val="28"/>
        </w:rPr>
      </w:pPr>
      <w:r>
        <w:rPr>
          <w:rFonts w:hint="eastAsia"/>
          <w:color w:val="auto"/>
          <w:sz w:val="28"/>
          <w:szCs w:val="28"/>
        </w:rPr>
        <w:t>克拉玛依沃森环保科技有限公司202</w:t>
      </w:r>
      <w:r>
        <w:rPr>
          <w:rFonts w:hint="eastAsia"/>
          <w:color w:val="auto"/>
          <w:sz w:val="28"/>
          <w:szCs w:val="28"/>
          <w:lang w:val="en-US" w:eastAsia="zh-CN"/>
        </w:rPr>
        <w:t>3</w:t>
      </w:r>
      <w:r>
        <w:rPr>
          <w:rFonts w:hint="eastAsia"/>
          <w:color w:val="auto"/>
          <w:sz w:val="28"/>
          <w:szCs w:val="28"/>
        </w:rPr>
        <w:t>年环境监测方案</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395"/>
        <w:gridCol w:w="2790"/>
        <w:gridCol w:w="1635"/>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tcBorders>
              <w:top w:val="single" w:color="auto" w:sz="12" w:space="0"/>
            </w:tcBorders>
            <w:noWrap w:val="0"/>
            <w:vAlign w:val="center"/>
          </w:tcPr>
          <w:p>
            <w:pPr>
              <w:spacing w:line="340" w:lineRule="exact"/>
              <w:jc w:val="center"/>
              <w:rPr>
                <w:szCs w:val="21"/>
              </w:rPr>
            </w:pPr>
            <w:r>
              <w:rPr>
                <w:rFonts w:hint="eastAsia" w:hAnsi="宋体" w:cs="Arial"/>
                <w:b/>
                <w:bCs/>
                <w:szCs w:val="21"/>
              </w:rPr>
              <w:t>监测点位</w:t>
            </w:r>
          </w:p>
        </w:tc>
        <w:tc>
          <w:tcPr>
            <w:tcW w:w="1395" w:type="dxa"/>
            <w:tcBorders>
              <w:top w:val="single" w:color="auto" w:sz="12" w:space="0"/>
            </w:tcBorders>
            <w:noWrap w:val="0"/>
            <w:vAlign w:val="center"/>
          </w:tcPr>
          <w:p>
            <w:pPr>
              <w:spacing w:line="340" w:lineRule="exact"/>
              <w:jc w:val="center"/>
              <w:rPr>
                <w:szCs w:val="21"/>
              </w:rPr>
            </w:pPr>
            <w:r>
              <w:rPr>
                <w:rFonts w:hint="eastAsia" w:hAnsi="宋体" w:cs="Arial"/>
                <w:b/>
                <w:bCs/>
                <w:szCs w:val="21"/>
              </w:rPr>
              <w:t>监测</w:t>
            </w:r>
            <w:r>
              <w:rPr>
                <w:rFonts w:hAnsi="宋体" w:cs="Arial"/>
                <w:b/>
                <w:bCs/>
                <w:szCs w:val="21"/>
              </w:rPr>
              <w:t>类别</w:t>
            </w:r>
          </w:p>
        </w:tc>
        <w:tc>
          <w:tcPr>
            <w:tcW w:w="2790" w:type="dxa"/>
            <w:tcBorders>
              <w:top w:val="single" w:color="auto" w:sz="12" w:space="0"/>
            </w:tcBorders>
            <w:noWrap w:val="0"/>
            <w:vAlign w:val="center"/>
          </w:tcPr>
          <w:p>
            <w:pPr>
              <w:spacing w:line="340" w:lineRule="exact"/>
              <w:jc w:val="center"/>
              <w:rPr>
                <w:szCs w:val="21"/>
              </w:rPr>
            </w:pPr>
            <w:r>
              <w:rPr>
                <w:rFonts w:hAnsi="宋体" w:cs="Arial"/>
                <w:b/>
                <w:bCs/>
                <w:szCs w:val="21"/>
              </w:rPr>
              <w:t>监</w:t>
            </w:r>
            <w:r>
              <w:rPr>
                <w:rFonts w:cs="Arial"/>
                <w:b/>
                <w:bCs/>
                <w:szCs w:val="21"/>
              </w:rPr>
              <w:t xml:space="preserve"> </w:t>
            </w:r>
            <w:r>
              <w:rPr>
                <w:rFonts w:hAnsi="宋体" w:cs="Arial"/>
                <w:b/>
                <w:bCs/>
                <w:szCs w:val="21"/>
              </w:rPr>
              <w:t>测</w:t>
            </w:r>
            <w:r>
              <w:rPr>
                <w:rFonts w:cs="Arial"/>
                <w:b/>
                <w:bCs/>
                <w:szCs w:val="21"/>
              </w:rPr>
              <w:t xml:space="preserve"> </w:t>
            </w:r>
            <w:r>
              <w:rPr>
                <w:rFonts w:hAnsi="宋体" w:cs="Arial"/>
                <w:b/>
                <w:bCs/>
                <w:szCs w:val="21"/>
              </w:rPr>
              <w:t>项</w:t>
            </w:r>
            <w:r>
              <w:rPr>
                <w:rFonts w:cs="Arial"/>
                <w:b/>
                <w:bCs/>
                <w:szCs w:val="21"/>
              </w:rPr>
              <w:t xml:space="preserve"> </w:t>
            </w:r>
            <w:r>
              <w:rPr>
                <w:rFonts w:hAnsi="宋体" w:cs="Arial"/>
                <w:b/>
                <w:bCs/>
                <w:szCs w:val="21"/>
              </w:rPr>
              <w:t>目</w:t>
            </w:r>
          </w:p>
        </w:tc>
        <w:tc>
          <w:tcPr>
            <w:tcW w:w="1635" w:type="dxa"/>
            <w:tcBorders>
              <w:top w:val="single" w:color="auto" w:sz="12" w:space="0"/>
            </w:tcBorders>
            <w:noWrap w:val="0"/>
            <w:vAlign w:val="center"/>
          </w:tcPr>
          <w:p>
            <w:pPr>
              <w:spacing w:line="340" w:lineRule="exact"/>
              <w:jc w:val="center"/>
              <w:rPr>
                <w:szCs w:val="21"/>
              </w:rPr>
            </w:pPr>
            <w:r>
              <w:rPr>
                <w:rFonts w:hAnsi="宋体" w:cs="Arial"/>
                <w:b/>
                <w:bCs/>
                <w:szCs w:val="21"/>
              </w:rPr>
              <w:t>监测</w:t>
            </w:r>
            <w:r>
              <w:rPr>
                <w:rFonts w:hint="eastAsia" w:hAnsi="宋体" w:cs="Arial"/>
                <w:b/>
                <w:bCs/>
                <w:szCs w:val="21"/>
              </w:rPr>
              <w:t>周期</w:t>
            </w:r>
          </w:p>
        </w:tc>
        <w:tc>
          <w:tcPr>
            <w:tcW w:w="1231" w:type="dxa"/>
            <w:tcBorders>
              <w:top w:val="single" w:color="auto" w:sz="12" w:space="0"/>
            </w:tcBorders>
            <w:noWrap w:val="0"/>
            <w:vAlign w:val="center"/>
          </w:tcPr>
          <w:p>
            <w:pPr>
              <w:spacing w:line="340" w:lineRule="exact"/>
              <w:jc w:val="center"/>
              <w:rPr>
                <w:szCs w:val="21"/>
              </w:rPr>
            </w:pPr>
            <w:r>
              <w:rPr>
                <w:rFonts w:hint="eastAsia" w:hAnsi="宋体" w:cs="Arial"/>
                <w:b/>
                <w:bCs/>
                <w:szCs w:val="21"/>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1471" w:type="dxa"/>
            <w:vMerge w:val="restart"/>
            <w:noWrap w:val="0"/>
            <w:vAlign w:val="center"/>
          </w:tcPr>
          <w:p>
            <w:pPr>
              <w:spacing w:line="340" w:lineRule="exact"/>
              <w:jc w:val="center"/>
              <w:rPr>
                <w:szCs w:val="21"/>
              </w:rPr>
            </w:pPr>
            <w:r>
              <w:rPr>
                <w:rFonts w:hint="eastAsia" w:hAnsi="宋体" w:cs="Arial"/>
                <w:bCs/>
                <w:sz w:val="18"/>
                <w:szCs w:val="18"/>
              </w:rPr>
              <w:t>地下水1#—4#监测井，填埋场地下水导排管口（共4监测点）</w:t>
            </w:r>
          </w:p>
        </w:tc>
        <w:tc>
          <w:tcPr>
            <w:tcW w:w="1395" w:type="dxa"/>
            <w:vMerge w:val="restart"/>
            <w:noWrap w:val="0"/>
            <w:vAlign w:val="center"/>
          </w:tcPr>
          <w:p>
            <w:pPr>
              <w:spacing w:line="340" w:lineRule="exact"/>
              <w:jc w:val="center"/>
              <w:rPr>
                <w:szCs w:val="21"/>
              </w:rPr>
            </w:pPr>
            <w:r>
              <w:rPr>
                <w:rFonts w:hAnsi="宋体" w:cs="Arial"/>
                <w:bCs/>
                <w:sz w:val="18"/>
                <w:szCs w:val="18"/>
              </w:rPr>
              <w:t>地下水</w:t>
            </w:r>
          </w:p>
        </w:tc>
        <w:tc>
          <w:tcPr>
            <w:tcW w:w="2790" w:type="dxa"/>
            <w:noWrap w:val="0"/>
            <w:vAlign w:val="center"/>
          </w:tcPr>
          <w:p>
            <w:pPr>
              <w:spacing w:line="340" w:lineRule="exact"/>
              <w:rPr>
                <w:color w:val="000000"/>
                <w:szCs w:val="21"/>
              </w:rPr>
            </w:pPr>
            <w:r>
              <w:rPr>
                <w:rFonts w:hint="eastAsia" w:cs="Arial"/>
                <w:sz w:val="18"/>
                <w:szCs w:val="18"/>
              </w:rPr>
              <w:t>pH、浊度、可溶性固体、氯化物、硝酸盐、亚硝酸盐、氨氮、大肠杆菌总数</w:t>
            </w:r>
            <w:r>
              <w:rPr>
                <w:rFonts w:hint="eastAsia" w:cs="Arial"/>
                <w:color w:val="000000"/>
                <w:sz w:val="18"/>
                <w:szCs w:val="18"/>
              </w:rPr>
              <w:t>、</w:t>
            </w:r>
            <w:r>
              <w:rPr>
                <w:rFonts w:hint="eastAsia" w:cs="Arial"/>
                <w:sz w:val="18"/>
                <w:szCs w:val="18"/>
              </w:rPr>
              <w:t>总铜</w:t>
            </w:r>
            <w:r>
              <w:rPr>
                <w:rFonts w:hint="eastAsia" w:cs="Arial"/>
                <w:color w:val="000000"/>
                <w:sz w:val="18"/>
                <w:szCs w:val="18"/>
              </w:rPr>
              <w:t>、</w:t>
            </w:r>
            <w:r>
              <w:rPr>
                <w:rFonts w:hint="eastAsia" w:cs="Arial"/>
                <w:sz w:val="18"/>
                <w:szCs w:val="18"/>
              </w:rPr>
              <w:t>总锌</w:t>
            </w:r>
            <w:r>
              <w:rPr>
                <w:rFonts w:hint="eastAsia" w:cs="Arial"/>
                <w:color w:val="000000"/>
                <w:sz w:val="18"/>
                <w:szCs w:val="18"/>
              </w:rPr>
              <w:t>、</w:t>
            </w:r>
            <w:r>
              <w:rPr>
                <w:rFonts w:hint="eastAsia" w:cs="Arial"/>
                <w:sz w:val="18"/>
                <w:szCs w:val="18"/>
              </w:rPr>
              <w:t>总钡</w:t>
            </w:r>
            <w:r>
              <w:rPr>
                <w:rFonts w:hint="eastAsia" w:cs="Arial"/>
                <w:color w:val="000000"/>
                <w:sz w:val="18"/>
                <w:szCs w:val="18"/>
              </w:rPr>
              <w:t>、</w:t>
            </w:r>
            <w:r>
              <w:rPr>
                <w:rFonts w:hint="eastAsia" w:cs="Arial"/>
                <w:sz w:val="18"/>
                <w:szCs w:val="18"/>
              </w:rPr>
              <w:t>氰化物（以CN</w:t>
            </w:r>
            <w:r>
              <w:rPr>
                <w:rFonts w:hint="eastAsia" w:cs="Arial"/>
                <w:sz w:val="18"/>
                <w:szCs w:val="18"/>
                <w:vertAlign w:val="superscript"/>
              </w:rPr>
              <w:t>-</w:t>
            </w:r>
            <w:r>
              <w:rPr>
                <w:rFonts w:hint="eastAsia" w:cs="Arial"/>
                <w:sz w:val="18"/>
                <w:szCs w:val="18"/>
              </w:rPr>
              <w:t>计）</w:t>
            </w:r>
            <w:r>
              <w:rPr>
                <w:rFonts w:hint="eastAsia" w:cs="Arial"/>
                <w:color w:val="000000"/>
                <w:sz w:val="18"/>
                <w:szCs w:val="18"/>
              </w:rPr>
              <w:t>、</w:t>
            </w:r>
            <w:r>
              <w:rPr>
                <w:rFonts w:hint="eastAsia" w:cs="Arial"/>
                <w:sz w:val="18"/>
                <w:szCs w:val="18"/>
              </w:rPr>
              <w:t>无机氟化物（以F</w:t>
            </w:r>
            <w:r>
              <w:rPr>
                <w:rFonts w:hint="eastAsia" w:cs="Arial"/>
                <w:sz w:val="18"/>
                <w:szCs w:val="18"/>
                <w:vertAlign w:val="superscript"/>
              </w:rPr>
              <w:t>-</w:t>
            </w:r>
            <w:r>
              <w:rPr>
                <w:rFonts w:hint="eastAsia" w:cs="Arial"/>
                <w:sz w:val="18"/>
                <w:szCs w:val="18"/>
              </w:rPr>
              <w:t>计）</w:t>
            </w:r>
            <w:r>
              <w:rPr>
                <w:rFonts w:hint="eastAsia" w:cs="Arial"/>
                <w:color w:val="000000"/>
                <w:sz w:val="18"/>
                <w:szCs w:val="18"/>
              </w:rPr>
              <w:t>、</w:t>
            </w:r>
            <w:r>
              <w:rPr>
                <w:rFonts w:hint="eastAsia" w:cs="Arial"/>
                <w:sz w:val="18"/>
                <w:szCs w:val="18"/>
              </w:rPr>
              <w:t>总汞、烷基汞、总砷</w:t>
            </w:r>
            <w:r>
              <w:rPr>
                <w:rFonts w:hint="eastAsia" w:cs="Arial"/>
                <w:color w:val="000000"/>
                <w:sz w:val="18"/>
                <w:szCs w:val="18"/>
              </w:rPr>
              <w:t>、</w:t>
            </w:r>
            <w:r>
              <w:rPr>
                <w:rFonts w:hint="eastAsia" w:cs="Arial"/>
                <w:sz w:val="18"/>
                <w:szCs w:val="18"/>
              </w:rPr>
              <w:t>总镉</w:t>
            </w:r>
            <w:r>
              <w:rPr>
                <w:rFonts w:hint="eastAsia" w:cs="Arial"/>
                <w:color w:val="000000"/>
                <w:sz w:val="18"/>
                <w:szCs w:val="18"/>
              </w:rPr>
              <w:t>、</w:t>
            </w:r>
            <w:r>
              <w:rPr>
                <w:rFonts w:hint="eastAsia" w:cs="Arial"/>
                <w:sz w:val="18"/>
                <w:szCs w:val="18"/>
              </w:rPr>
              <w:t>总铬</w:t>
            </w:r>
            <w:r>
              <w:rPr>
                <w:rFonts w:hint="eastAsia" w:cs="Arial"/>
                <w:color w:val="000000"/>
                <w:sz w:val="18"/>
                <w:szCs w:val="18"/>
              </w:rPr>
              <w:t>、</w:t>
            </w:r>
            <w:r>
              <w:rPr>
                <w:rFonts w:hint="eastAsia" w:cs="Arial"/>
                <w:sz w:val="18"/>
                <w:szCs w:val="18"/>
              </w:rPr>
              <w:t>六价铬</w:t>
            </w:r>
            <w:r>
              <w:rPr>
                <w:rFonts w:hint="eastAsia" w:cs="Arial"/>
                <w:color w:val="000000"/>
                <w:sz w:val="18"/>
                <w:szCs w:val="18"/>
              </w:rPr>
              <w:t>、</w:t>
            </w:r>
            <w:r>
              <w:rPr>
                <w:rFonts w:hint="eastAsia" w:cs="Arial"/>
                <w:sz w:val="18"/>
                <w:szCs w:val="18"/>
              </w:rPr>
              <w:t>总铅</w:t>
            </w:r>
            <w:r>
              <w:rPr>
                <w:rFonts w:hint="eastAsia" w:cs="Arial"/>
                <w:color w:val="000000"/>
                <w:sz w:val="18"/>
                <w:szCs w:val="18"/>
              </w:rPr>
              <w:t>、</w:t>
            </w:r>
            <w:r>
              <w:rPr>
                <w:rFonts w:hint="eastAsia" w:cs="Arial"/>
                <w:sz w:val="18"/>
                <w:szCs w:val="18"/>
              </w:rPr>
              <w:t>总铍</w:t>
            </w:r>
            <w:r>
              <w:rPr>
                <w:rFonts w:hint="eastAsia" w:cs="Arial"/>
                <w:color w:val="000000"/>
                <w:sz w:val="18"/>
                <w:szCs w:val="18"/>
              </w:rPr>
              <w:t>、</w:t>
            </w:r>
            <w:r>
              <w:rPr>
                <w:rFonts w:hint="eastAsia" w:cs="Arial"/>
                <w:sz w:val="18"/>
                <w:szCs w:val="18"/>
              </w:rPr>
              <w:t>总镍</w:t>
            </w:r>
          </w:p>
        </w:tc>
        <w:tc>
          <w:tcPr>
            <w:tcW w:w="1635" w:type="dxa"/>
            <w:noWrap w:val="0"/>
            <w:vAlign w:val="center"/>
          </w:tcPr>
          <w:p>
            <w:pPr>
              <w:spacing w:line="340" w:lineRule="exact"/>
              <w:jc w:val="center"/>
              <w:rPr>
                <w:rFonts w:cs="Arial"/>
                <w:sz w:val="18"/>
                <w:szCs w:val="18"/>
              </w:rPr>
            </w:pPr>
            <w:r>
              <w:rPr>
                <w:rFonts w:hint="eastAsia" w:cs="Arial"/>
                <w:sz w:val="18"/>
                <w:szCs w:val="18"/>
              </w:rPr>
              <w:t>1次/月</w:t>
            </w:r>
          </w:p>
        </w:tc>
        <w:tc>
          <w:tcPr>
            <w:tcW w:w="1231" w:type="dxa"/>
            <w:vMerge w:val="restart"/>
            <w:noWrap w:val="0"/>
            <w:vAlign w:val="center"/>
          </w:tcPr>
          <w:p>
            <w:pPr>
              <w:spacing w:line="340" w:lineRule="exact"/>
              <w:rPr>
                <w:szCs w:val="21"/>
              </w:rPr>
            </w:pPr>
            <w:r>
              <w:rPr>
                <w:rFonts w:hint="eastAsia" w:hAnsi="宋体" w:cs="Arial"/>
                <w:sz w:val="18"/>
                <w:szCs w:val="18"/>
              </w:rPr>
              <w:t>1次/天，1天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1471" w:type="dxa"/>
            <w:vMerge w:val="continue"/>
            <w:noWrap w:val="0"/>
            <w:vAlign w:val="center"/>
          </w:tcPr>
          <w:p>
            <w:pPr>
              <w:spacing w:line="340" w:lineRule="exact"/>
            </w:pPr>
          </w:p>
        </w:tc>
        <w:tc>
          <w:tcPr>
            <w:tcW w:w="1395" w:type="dxa"/>
            <w:vMerge w:val="continue"/>
            <w:noWrap w:val="0"/>
            <w:vAlign w:val="center"/>
          </w:tcPr>
          <w:p>
            <w:pPr>
              <w:spacing w:line="340" w:lineRule="exact"/>
            </w:pPr>
          </w:p>
        </w:tc>
        <w:tc>
          <w:tcPr>
            <w:tcW w:w="2790" w:type="dxa"/>
            <w:noWrap w:val="0"/>
            <w:vAlign w:val="center"/>
          </w:tcPr>
          <w:p>
            <w:pPr>
              <w:spacing w:line="340" w:lineRule="exact"/>
              <w:rPr>
                <w:rFonts w:hint="default" w:eastAsia="宋体" w:cs="Arial"/>
                <w:sz w:val="18"/>
                <w:szCs w:val="18"/>
                <w:lang w:val="en-US" w:eastAsia="zh-CN"/>
              </w:rPr>
            </w:pPr>
            <w:r>
              <w:rPr>
                <w:rFonts w:hint="eastAsia" w:cs="Arial"/>
                <w:sz w:val="18"/>
                <w:szCs w:val="18"/>
                <w:lang w:val="en-US" w:eastAsia="zh-CN"/>
              </w:rPr>
              <w:t>地下水质量标准（GB/T 14848-2017）中全项指标</w:t>
            </w:r>
          </w:p>
        </w:tc>
        <w:tc>
          <w:tcPr>
            <w:tcW w:w="1635" w:type="dxa"/>
            <w:noWrap w:val="0"/>
            <w:vAlign w:val="center"/>
          </w:tcPr>
          <w:p>
            <w:pPr>
              <w:spacing w:line="340" w:lineRule="exact"/>
              <w:rPr>
                <w:rFonts w:hint="default" w:eastAsia="宋体" w:cs="Arial"/>
                <w:sz w:val="18"/>
                <w:szCs w:val="18"/>
                <w:lang w:val="en-US" w:eastAsia="zh-CN"/>
              </w:rPr>
            </w:pPr>
            <w:r>
              <w:rPr>
                <w:rFonts w:hint="eastAsia" w:cs="Arial"/>
                <w:sz w:val="18"/>
                <w:szCs w:val="18"/>
                <w:lang w:val="en-US" w:eastAsia="zh-CN"/>
              </w:rPr>
              <w:t>1次/年（4月份）</w:t>
            </w:r>
          </w:p>
        </w:tc>
        <w:tc>
          <w:tcPr>
            <w:tcW w:w="1231" w:type="dxa"/>
            <w:vMerge w:val="continue"/>
            <w:noWrap w:val="0"/>
            <w:vAlign w:val="center"/>
          </w:tcPr>
          <w:p>
            <w:pPr>
              <w:spacing w:line="340" w:lineRule="exact"/>
              <w:rPr>
                <w:rFonts w:hint="eastAsia"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71" w:type="dxa"/>
            <w:vMerge w:val="restart"/>
            <w:noWrap w:val="0"/>
            <w:vAlign w:val="center"/>
          </w:tcPr>
          <w:p>
            <w:pPr>
              <w:spacing w:line="340" w:lineRule="exact"/>
              <w:jc w:val="center"/>
              <w:rPr>
                <w:szCs w:val="21"/>
              </w:rPr>
            </w:pPr>
            <w:r>
              <w:rPr>
                <w:rFonts w:hint="eastAsia" w:hAnsi="宋体" w:cs="Arial"/>
                <w:sz w:val="18"/>
                <w:szCs w:val="18"/>
              </w:rPr>
              <w:t>回用水池（共一个监测点）</w:t>
            </w:r>
          </w:p>
        </w:tc>
        <w:tc>
          <w:tcPr>
            <w:tcW w:w="1395" w:type="dxa"/>
            <w:noWrap w:val="0"/>
            <w:vAlign w:val="center"/>
          </w:tcPr>
          <w:p>
            <w:pPr>
              <w:spacing w:line="340" w:lineRule="exact"/>
              <w:jc w:val="center"/>
              <w:rPr>
                <w:szCs w:val="21"/>
              </w:rPr>
            </w:pPr>
            <w:r>
              <w:rPr>
                <w:rFonts w:hint="eastAsia" w:hAnsi="宋体" w:cs="Arial"/>
                <w:sz w:val="18"/>
                <w:szCs w:val="18"/>
              </w:rPr>
              <w:t>回用水质</w:t>
            </w:r>
          </w:p>
        </w:tc>
        <w:tc>
          <w:tcPr>
            <w:tcW w:w="2790" w:type="dxa"/>
            <w:noWrap w:val="0"/>
            <w:vAlign w:val="center"/>
          </w:tcPr>
          <w:p>
            <w:pPr>
              <w:spacing w:line="340" w:lineRule="exact"/>
              <w:rPr>
                <w:color w:val="000000"/>
                <w:szCs w:val="21"/>
              </w:rPr>
            </w:pPr>
            <w:r>
              <w:rPr>
                <w:rFonts w:hint="eastAsia" w:cs="Arial"/>
                <w:color w:val="000000"/>
                <w:sz w:val="18"/>
                <w:szCs w:val="18"/>
              </w:rPr>
              <w:t>BOD</w:t>
            </w:r>
            <w:r>
              <w:rPr>
                <w:rFonts w:hint="eastAsia" w:cs="Arial"/>
                <w:color w:val="000000"/>
                <w:sz w:val="18"/>
                <w:szCs w:val="18"/>
                <w:vertAlign w:val="subscript"/>
              </w:rPr>
              <w:t>5</w:t>
            </w:r>
            <w:r>
              <w:rPr>
                <w:rFonts w:hint="eastAsia" w:cs="Arial"/>
                <w:color w:val="000000"/>
                <w:sz w:val="18"/>
                <w:szCs w:val="18"/>
              </w:rPr>
              <w:t>、pH、</w:t>
            </w:r>
            <w:r>
              <w:rPr>
                <w:rFonts w:hint="eastAsia" w:hAnsi="宋体" w:cs="Arial"/>
                <w:color w:val="000000"/>
                <w:sz w:val="18"/>
                <w:szCs w:val="18"/>
              </w:rPr>
              <w:t>COD</w:t>
            </w:r>
            <w:r>
              <w:rPr>
                <w:rFonts w:hint="eastAsia" w:hAnsi="宋体" w:cs="Arial"/>
                <w:color w:val="000000"/>
                <w:szCs w:val="21"/>
                <w:vertAlign w:val="subscript"/>
              </w:rPr>
              <w:t>Cr</w:t>
            </w:r>
            <w:r>
              <w:rPr>
                <w:rFonts w:hint="eastAsia" w:hAnsi="宋体" w:cs="Arial"/>
                <w:color w:val="000000"/>
                <w:sz w:val="18"/>
                <w:szCs w:val="18"/>
              </w:rPr>
              <w:t>、SS</w:t>
            </w:r>
            <w:r>
              <w:rPr>
                <w:rFonts w:hAnsi="宋体" w:cs="Arial"/>
                <w:color w:val="000000"/>
                <w:sz w:val="18"/>
                <w:szCs w:val="18"/>
              </w:rPr>
              <w:t>、氨氮、</w:t>
            </w:r>
            <w:r>
              <w:rPr>
                <w:rFonts w:hint="eastAsia" w:hAnsi="宋体" w:cs="Arial"/>
                <w:color w:val="000000"/>
                <w:sz w:val="18"/>
                <w:szCs w:val="18"/>
              </w:rPr>
              <w:t>石油类、总磷</w:t>
            </w:r>
          </w:p>
        </w:tc>
        <w:tc>
          <w:tcPr>
            <w:tcW w:w="1635" w:type="dxa"/>
            <w:noWrap w:val="0"/>
            <w:vAlign w:val="center"/>
          </w:tcPr>
          <w:p>
            <w:pPr>
              <w:spacing w:line="340" w:lineRule="exact"/>
              <w:jc w:val="center"/>
              <w:rPr>
                <w:rFonts w:cs="Arial"/>
                <w:sz w:val="18"/>
                <w:szCs w:val="18"/>
              </w:rPr>
            </w:pPr>
            <w:r>
              <w:rPr>
                <w:rFonts w:hint="eastAsia" w:cs="Arial"/>
                <w:sz w:val="18"/>
                <w:szCs w:val="18"/>
              </w:rPr>
              <w:t>1次/月</w:t>
            </w:r>
          </w:p>
        </w:tc>
        <w:tc>
          <w:tcPr>
            <w:tcW w:w="1231" w:type="dxa"/>
            <w:noWrap w:val="0"/>
            <w:vAlign w:val="center"/>
          </w:tcPr>
          <w:p>
            <w:pPr>
              <w:spacing w:line="340" w:lineRule="exact"/>
              <w:rPr>
                <w:szCs w:val="21"/>
              </w:rPr>
            </w:pPr>
            <w:r>
              <w:rPr>
                <w:rFonts w:hint="eastAsia" w:hAnsi="宋体" w:cs="Arial"/>
                <w:sz w:val="18"/>
                <w:szCs w:val="18"/>
              </w:rPr>
              <w:t>1次/天，1天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noWrap w:val="0"/>
            <w:vAlign w:val="center"/>
          </w:tcPr>
          <w:p>
            <w:pPr>
              <w:spacing w:line="340" w:lineRule="exact"/>
              <w:jc w:val="center"/>
              <w:rPr>
                <w:rFonts w:hint="eastAsia" w:hAnsi="宋体" w:cs="Arial"/>
                <w:sz w:val="18"/>
                <w:szCs w:val="18"/>
              </w:rPr>
            </w:pPr>
          </w:p>
        </w:tc>
        <w:tc>
          <w:tcPr>
            <w:tcW w:w="1395" w:type="dxa"/>
            <w:noWrap w:val="0"/>
            <w:vAlign w:val="center"/>
          </w:tcPr>
          <w:p>
            <w:pPr>
              <w:spacing w:line="340" w:lineRule="exact"/>
              <w:jc w:val="center"/>
              <w:rPr>
                <w:rFonts w:hint="eastAsia" w:hAnsi="宋体" w:cs="Arial"/>
                <w:sz w:val="18"/>
                <w:szCs w:val="18"/>
              </w:rPr>
            </w:pPr>
            <w:r>
              <w:rPr>
                <w:rFonts w:hint="eastAsia" w:hAnsi="宋体" w:cs="Arial"/>
                <w:sz w:val="18"/>
                <w:szCs w:val="18"/>
              </w:rPr>
              <w:t>物化车间原水</w:t>
            </w:r>
          </w:p>
        </w:tc>
        <w:tc>
          <w:tcPr>
            <w:tcW w:w="2790" w:type="dxa"/>
            <w:noWrap w:val="0"/>
            <w:vAlign w:val="center"/>
          </w:tcPr>
          <w:p>
            <w:pPr>
              <w:spacing w:line="340" w:lineRule="exact"/>
              <w:rPr>
                <w:rFonts w:hint="eastAsia" w:cs="Arial"/>
                <w:sz w:val="18"/>
                <w:szCs w:val="18"/>
              </w:rPr>
            </w:pPr>
            <w:r>
              <w:rPr>
                <w:rFonts w:hint="eastAsia" w:cs="Arial"/>
                <w:sz w:val="18"/>
                <w:szCs w:val="18"/>
              </w:rPr>
              <w:t>BOD</w:t>
            </w:r>
            <w:r>
              <w:rPr>
                <w:rFonts w:hint="eastAsia" w:cs="Arial"/>
                <w:sz w:val="18"/>
                <w:szCs w:val="18"/>
                <w:vertAlign w:val="subscript"/>
              </w:rPr>
              <w:t>5</w:t>
            </w:r>
            <w:r>
              <w:rPr>
                <w:rFonts w:hint="eastAsia" w:cs="Arial"/>
                <w:sz w:val="18"/>
                <w:szCs w:val="18"/>
              </w:rPr>
              <w:t>、pH、</w:t>
            </w:r>
            <w:r>
              <w:rPr>
                <w:rFonts w:hint="eastAsia" w:hAnsi="宋体" w:cs="Arial"/>
                <w:sz w:val="18"/>
                <w:szCs w:val="18"/>
              </w:rPr>
              <w:t>COD</w:t>
            </w:r>
            <w:r>
              <w:rPr>
                <w:rFonts w:hint="eastAsia" w:hAnsi="宋体" w:cs="Arial"/>
                <w:szCs w:val="21"/>
                <w:vertAlign w:val="subscript"/>
              </w:rPr>
              <w:t>Cr</w:t>
            </w:r>
            <w:r>
              <w:rPr>
                <w:rFonts w:hint="eastAsia" w:hAnsi="宋体" w:cs="Arial"/>
                <w:sz w:val="18"/>
                <w:szCs w:val="18"/>
              </w:rPr>
              <w:t>、SS</w:t>
            </w:r>
            <w:r>
              <w:rPr>
                <w:rFonts w:hAnsi="宋体" w:cs="Arial"/>
                <w:sz w:val="18"/>
                <w:szCs w:val="18"/>
              </w:rPr>
              <w:t>、氨氮、</w:t>
            </w:r>
            <w:r>
              <w:rPr>
                <w:rFonts w:hint="eastAsia" w:hAnsi="宋体" w:cs="Arial"/>
                <w:sz w:val="18"/>
                <w:szCs w:val="18"/>
              </w:rPr>
              <w:t>石油类、总磷</w:t>
            </w:r>
          </w:p>
        </w:tc>
        <w:tc>
          <w:tcPr>
            <w:tcW w:w="1635" w:type="dxa"/>
            <w:noWrap w:val="0"/>
            <w:vAlign w:val="center"/>
          </w:tcPr>
          <w:p>
            <w:pPr>
              <w:spacing w:line="340" w:lineRule="exact"/>
              <w:jc w:val="center"/>
              <w:rPr>
                <w:rFonts w:cs="Arial"/>
                <w:sz w:val="18"/>
                <w:szCs w:val="18"/>
              </w:rPr>
            </w:pPr>
            <w:r>
              <w:rPr>
                <w:rFonts w:hint="eastAsia" w:cs="Arial"/>
                <w:sz w:val="18"/>
                <w:szCs w:val="18"/>
              </w:rPr>
              <w:t>1次/半年</w:t>
            </w:r>
          </w:p>
        </w:tc>
        <w:tc>
          <w:tcPr>
            <w:tcW w:w="1231" w:type="dxa"/>
            <w:noWrap w:val="0"/>
            <w:vAlign w:val="center"/>
          </w:tcPr>
          <w:p>
            <w:pPr>
              <w:spacing w:line="340" w:lineRule="exact"/>
              <w:rPr>
                <w:rFonts w:hint="eastAsia" w:hAnsi="宋体" w:cs="Arial"/>
                <w:sz w:val="18"/>
                <w:szCs w:val="18"/>
              </w:rPr>
            </w:pPr>
            <w:r>
              <w:rPr>
                <w:rFonts w:hint="eastAsia" w:hAnsi="宋体" w:cs="Arial"/>
                <w:sz w:val="18"/>
                <w:szCs w:val="18"/>
              </w:rPr>
              <w:t>1次/天，1天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jc w:val="center"/>
        </w:trPr>
        <w:tc>
          <w:tcPr>
            <w:tcW w:w="1471" w:type="dxa"/>
            <w:vMerge w:val="restart"/>
            <w:noWrap w:val="0"/>
            <w:vAlign w:val="center"/>
          </w:tcPr>
          <w:p>
            <w:pPr>
              <w:spacing w:line="340" w:lineRule="exact"/>
              <w:jc w:val="center"/>
              <w:rPr>
                <w:szCs w:val="21"/>
              </w:rPr>
            </w:pPr>
            <w:r>
              <w:rPr>
                <w:rFonts w:hint="eastAsia" w:hAnsi="宋体" w:cs="Arial"/>
                <w:bCs/>
                <w:sz w:val="18"/>
                <w:szCs w:val="18"/>
              </w:rPr>
              <w:t>填埋场渗滤液收集管口</w:t>
            </w:r>
          </w:p>
        </w:tc>
        <w:tc>
          <w:tcPr>
            <w:tcW w:w="1395" w:type="dxa"/>
            <w:vMerge w:val="restart"/>
            <w:noWrap w:val="0"/>
            <w:vAlign w:val="center"/>
          </w:tcPr>
          <w:p>
            <w:pPr>
              <w:spacing w:line="340" w:lineRule="exact"/>
              <w:jc w:val="center"/>
              <w:rPr>
                <w:szCs w:val="21"/>
              </w:rPr>
            </w:pPr>
            <w:r>
              <w:rPr>
                <w:rFonts w:hint="eastAsia" w:hAnsi="宋体" w:cs="Arial"/>
                <w:bCs/>
                <w:sz w:val="18"/>
                <w:szCs w:val="18"/>
              </w:rPr>
              <w:t>填埋场渗滤液</w:t>
            </w:r>
          </w:p>
        </w:tc>
        <w:tc>
          <w:tcPr>
            <w:tcW w:w="2790" w:type="dxa"/>
            <w:noWrap w:val="0"/>
            <w:vAlign w:val="center"/>
          </w:tcPr>
          <w:p>
            <w:pPr>
              <w:spacing w:line="340" w:lineRule="exact"/>
              <w:rPr>
                <w:color w:val="000000"/>
                <w:szCs w:val="21"/>
              </w:rPr>
            </w:pPr>
            <w:r>
              <w:rPr>
                <w:rFonts w:hAnsi="宋体" w:cs="Arial"/>
                <w:color w:val="000000"/>
                <w:sz w:val="18"/>
                <w:szCs w:val="18"/>
              </w:rPr>
              <w:t>pH</w:t>
            </w:r>
            <w:r>
              <w:rPr>
                <w:rFonts w:hint="eastAsia" w:hAnsi="宋体" w:cs="Arial"/>
                <w:color w:val="000000"/>
                <w:sz w:val="18"/>
                <w:szCs w:val="18"/>
              </w:rPr>
              <w:t>、</w:t>
            </w:r>
            <w:r>
              <w:rPr>
                <w:rFonts w:hAnsi="宋体" w:cs="Arial"/>
                <w:color w:val="000000"/>
                <w:sz w:val="18"/>
                <w:szCs w:val="18"/>
              </w:rPr>
              <w:t>铜</w:t>
            </w:r>
            <w:r>
              <w:rPr>
                <w:rFonts w:hint="eastAsia" w:hAnsi="宋体" w:cs="Arial"/>
                <w:color w:val="000000"/>
                <w:sz w:val="18"/>
                <w:szCs w:val="18"/>
              </w:rPr>
              <w:t xml:space="preserve"> 、</w:t>
            </w:r>
            <w:r>
              <w:rPr>
                <w:rFonts w:hAnsi="宋体" w:cs="Arial"/>
                <w:color w:val="000000"/>
                <w:sz w:val="18"/>
                <w:szCs w:val="18"/>
              </w:rPr>
              <w:t>铅</w:t>
            </w:r>
            <w:r>
              <w:rPr>
                <w:rFonts w:hint="eastAsia" w:hAnsi="宋体" w:cs="Arial"/>
                <w:color w:val="000000"/>
                <w:sz w:val="18"/>
                <w:szCs w:val="18"/>
              </w:rPr>
              <w:t xml:space="preserve"> </w:t>
            </w:r>
            <w:r>
              <w:rPr>
                <w:rFonts w:hAnsi="宋体" w:cs="Arial"/>
                <w:color w:val="000000"/>
                <w:sz w:val="18"/>
                <w:szCs w:val="18"/>
              </w:rPr>
              <w:t>、锌</w:t>
            </w:r>
            <w:r>
              <w:rPr>
                <w:rFonts w:hint="eastAsia" w:hAnsi="宋体" w:cs="Arial"/>
                <w:color w:val="000000"/>
                <w:sz w:val="18"/>
                <w:szCs w:val="18"/>
              </w:rPr>
              <w:t xml:space="preserve"> 、六价铬、 </w:t>
            </w:r>
            <w:r>
              <w:rPr>
                <w:rFonts w:hAnsi="宋体" w:cs="Arial"/>
                <w:color w:val="000000"/>
                <w:sz w:val="18"/>
                <w:szCs w:val="18"/>
              </w:rPr>
              <w:t>镍</w:t>
            </w:r>
            <w:r>
              <w:rPr>
                <w:rFonts w:hint="eastAsia" w:hAnsi="宋体" w:cs="Arial"/>
                <w:color w:val="000000"/>
                <w:sz w:val="18"/>
                <w:szCs w:val="18"/>
              </w:rPr>
              <w:t xml:space="preserve"> </w:t>
            </w:r>
            <w:r>
              <w:rPr>
                <w:rFonts w:hAnsi="宋体" w:cs="Arial"/>
                <w:color w:val="000000"/>
                <w:sz w:val="18"/>
                <w:szCs w:val="18"/>
              </w:rPr>
              <w:t>、镉</w:t>
            </w:r>
            <w:r>
              <w:rPr>
                <w:rFonts w:hint="eastAsia" w:hAnsi="宋体" w:cs="Arial"/>
                <w:color w:val="000000"/>
                <w:sz w:val="18"/>
                <w:szCs w:val="18"/>
              </w:rPr>
              <w:t>、</w:t>
            </w:r>
            <w:r>
              <w:rPr>
                <w:rFonts w:hAnsi="宋体" w:cs="Arial"/>
                <w:color w:val="000000"/>
                <w:sz w:val="18"/>
                <w:szCs w:val="18"/>
              </w:rPr>
              <w:t>砷</w:t>
            </w:r>
            <w:r>
              <w:rPr>
                <w:rFonts w:hint="eastAsia" w:hAnsi="宋体" w:cs="Arial"/>
                <w:color w:val="000000"/>
                <w:sz w:val="18"/>
                <w:szCs w:val="18"/>
              </w:rPr>
              <w:t>、氨氮 、五日生化需氧量</w:t>
            </w:r>
            <w:r>
              <w:rPr>
                <w:rFonts w:hAnsi="宋体" w:cs="Arial"/>
                <w:color w:val="000000"/>
                <w:sz w:val="18"/>
                <w:szCs w:val="18"/>
              </w:rPr>
              <w:t>、</w:t>
            </w:r>
            <w:r>
              <w:rPr>
                <w:rFonts w:hint="eastAsia" w:hAnsi="宋体" w:cs="Arial"/>
                <w:color w:val="000000"/>
                <w:sz w:val="18"/>
                <w:szCs w:val="18"/>
              </w:rPr>
              <w:t xml:space="preserve"> 氟化物、氰化物、总磷、悬浮物、化学需氧量、石油类、</w:t>
            </w:r>
            <w:r>
              <w:rPr>
                <w:rFonts w:hint="eastAsia" w:hAnsi="宋体" w:cs="Arial"/>
                <w:sz w:val="18"/>
                <w:szCs w:val="18"/>
              </w:rPr>
              <w:t>TOC</w:t>
            </w:r>
          </w:p>
        </w:tc>
        <w:tc>
          <w:tcPr>
            <w:tcW w:w="1635" w:type="dxa"/>
            <w:tcBorders>
              <w:bottom w:val="single" w:color="auto" w:sz="12" w:space="0"/>
            </w:tcBorders>
            <w:noWrap w:val="0"/>
            <w:vAlign w:val="center"/>
          </w:tcPr>
          <w:p>
            <w:pPr>
              <w:spacing w:line="340" w:lineRule="exact"/>
              <w:jc w:val="center"/>
              <w:rPr>
                <w:rFonts w:hint="eastAsia" w:hAnsi="宋体" w:cs="Arial"/>
                <w:sz w:val="18"/>
                <w:szCs w:val="18"/>
              </w:rPr>
            </w:pPr>
            <w:r>
              <w:rPr>
                <w:rFonts w:hint="eastAsia" w:hAnsi="宋体" w:cs="Arial"/>
                <w:sz w:val="18"/>
                <w:szCs w:val="18"/>
              </w:rPr>
              <w:t>1次/月</w:t>
            </w:r>
          </w:p>
        </w:tc>
        <w:tc>
          <w:tcPr>
            <w:tcW w:w="1231" w:type="dxa"/>
            <w:vMerge w:val="restart"/>
            <w:noWrap w:val="0"/>
            <w:vAlign w:val="center"/>
          </w:tcPr>
          <w:p>
            <w:pPr>
              <w:spacing w:line="340" w:lineRule="exact"/>
              <w:rPr>
                <w:szCs w:val="21"/>
              </w:rPr>
            </w:pPr>
            <w:r>
              <w:rPr>
                <w:rFonts w:hint="eastAsia" w:hAnsi="宋体" w:cs="Arial"/>
                <w:sz w:val="18"/>
                <w:szCs w:val="18"/>
              </w:rPr>
              <w:t>采1个混合样，1天1次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471" w:type="dxa"/>
            <w:vMerge w:val="restart"/>
            <w:tcBorders>
              <w:top w:val="single" w:color="auto" w:sz="12" w:space="0"/>
            </w:tcBorders>
            <w:noWrap w:val="0"/>
            <w:vAlign w:val="center"/>
          </w:tcPr>
          <w:p>
            <w:pPr>
              <w:spacing w:line="340" w:lineRule="exact"/>
              <w:rPr>
                <w:szCs w:val="21"/>
              </w:rPr>
            </w:pPr>
            <w:r>
              <w:rPr>
                <w:rFonts w:hint="eastAsia" w:cs="Arial"/>
                <w:bCs/>
                <w:sz w:val="18"/>
                <w:szCs w:val="18"/>
              </w:rPr>
              <w:t>焚烧炉尾气排放口</w:t>
            </w:r>
          </w:p>
        </w:tc>
        <w:tc>
          <w:tcPr>
            <w:tcW w:w="1395" w:type="dxa"/>
            <w:vMerge w:val="restart"/>
            <w:tcBorders>
              <w:top w:val="single" w:color="auto" w:sz="12" w:space="0"/>
            </w:tcBorders>
            <w:noWrap w:val="0"/>
            <w:vAlign w:val="center"/>
          </w:tcPr>
          <w:p>
            <w:pPr>
              <w:spacing w:line="340" w:lineRule="exact"/>
              <w:rPr>
                <w:szCs w:val="21"/>
              </w:rPr>
            </w:pPr>
            <w:r>
              <w:rPr>
                <w:rFonts w:hAnsi="宋体" w:cs="Arial"/>
                <w:bCs/>
                <w:sz w:val="18"/>
                <w:szCs w:val="18"/>
              </w:rPr>
              <w:t>焚烧炉废气</w:t>
            </w:r>
          </w:p>
        </w:tc>
        <w:tc>
          <w:tcPr>
            <w:tcW w:w="2790" w:type="dxa"/>
            <w:tcBorders>
              <w:top w:val="single" w:color="auto" w:sz="12" w:space="0"/>
            </w:tcBorders>
            <w:noWrap w:val="0"/>
            <w:vAlign w:val="center"/>
          </w:tcPr>
          <w:p>
            <w:pPr>
              <w:spacing w:line="340" w:lineRule="exact"/>
              <w:rPr>
                <w:szCs w:val="21"/>
              </w:rPr>
            </w:pPr>
            <w:r>
              <w:rPr>
                <w:rFonts w:hAnsi="宋体" w:cs="Arial"/>
                <w:sz w:val="18"/>
                <w:szCs w:val="18"/>
              </w:rPr>
              <w:t>烟气黑度；</w:t>
            </w:r>
            <w:r>
              <w:rPr>
                <w:rFonts w:hint="eastAsia" w:hAnsi="宋体" w:cs="Arial"/>
                <w:sz w:val="18"/>
                <w:szCs w:val="18"/>
              </w:rPr>
              <w:t>汞及其化合物</w:t>
            </w:r>
            <w:r>
              <w:rPr>
                <w:rFonts w:hAnsi="宋体" w:cs="Arial"/>
                <w:sz w:val="18"/>
                <w:szCs w:val="18"/>
              </w:rPr>
              <w:t>；镉及其化合物；砷、镍及其化合物；铅及其化合物；铬、锡、锑、铜、锰及其化合物</w:t>
            </w:r>
          </w:p>
        </w:tc>
        <w:tc>
          <w:tcPr>
            <w:tcW w:w="1635" w:type="dxa"/>
            <w:tcBorders>
              <w:top w:val="single" w:color="auto" w:sz="12" w:space="0"/>
            </w:tcBorders>
            <w:noWrap w:val="0"/>
            <w:vAlign w:val="center"/>
          </w:tcPr>
          <w:p>
            <w:pPr>
              <w:spacing w:line="340" w:lineRule="exact"/>
              <w:jc w:val="center"/>
              <w:rPr>
                <w:szCs w:val="21"/>
              </w:rPr>
            </w:pPr>
            <w:r>
              <w:rPr>
                <w:rFonts w:cs="Arial"/>
                <w:sz w:val="18"/>
                <w:szCs w:val="18"/>
              </w:rPr>
              <w:t>1</w:t>
            </w:r>
            <w:r>
              <w:rPr>
                <w:rFonts w:hAnsi="宋体" w:cs="Arial"/>
                <w:sz w:val="18"/>
                <w:szCs w:val="18"/>
              </w:rPr>
              <w:t>次</w:t>
            </w:r>
            <w:r>
              <w:rPr>
                <w:rFonts w:cs="Arial"/>
                <w:sz w:val="18"/>
                <w:szCs w:val="18"/>
              </w:rPr>
              <w:t>/月</w:t>
            </w:r>
          </w:p>
        </w:tc>
        <w:tc>
          <w:tcPr>
            <w:tcW w:w="1231" w:type="dxa"/>
            <w:vMerge w:val="restart"/>
            <w:tcBorders>
              <w:top w:val="single" w:color="auto" w:sz="12" w:space="0"/>
            </w:tcBorders>
            <w:noWrap w:val="0"/>
            <w:vAlign w:val="center"/>
          </w:tcPr>
          <w:p>
            <w:pPr>
              <w:spacing w:line="340" w:lineRule="exact"/>
              <w:rPr>
                <w:szCs w:val="21"/>
              </w:rPr>
            </w:pPr>
            <w:r>
              <w:rPr>
                <w:rFonts w:hint="eastAsia" w:cs="Arial"/>
                <w:bCs/>
                <w:sz w:val="18"/>
                <w:szCs w:val="18"/>
              </w:rPr>
              <w:t>3次/天，连续1天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471" w:type="dxa"/>
            <w:vMerge w:val="continue"/>
            <w:noWrap w:val="0"/>
            <w:vAlign w:val="center"/>
          </w:tcPr>
          <w:p>
            <w:pPr>
              <w:spacing w:line="340" w:lineRule="exact"/>
              <w:rPr>
                <w:rFonts w:hint="eastAsia" w:cs="Arial"/>
                <w:bCs/>
                <w:sz w:val="18"/>
                <w:szCs w:val="18"/>
              </w:rPr>
            </w:pPr>
          </w:p>
        </w:tc>
        <w:tc>
          <w:tcPr>
            <w:tcW w:w="1395" w:type="dxa"/>
            <w:vMerge w:val="continue"/>
            <w:noWrap w:val="0"/>
            <w:vAlign w:val="center"/>
          </w:tcPr>
          <w:p>
            <w:pPr>
              <w:spacing w:line="340" w:lineRule="exact"/>
              <w:rPr>
                <w:rFonts w:hAnsi="宋体" w:cs="Arial"/>
                <w:bCs/>
                <w:sz w:val="18"/>
                <w:szCs w:val="18"/>
              </w:rPr>
            </w:pPr>
          </w:p>
        </w:tc>
        <w:tc>
          <w:tcPr>
            <w:tcW w:w="2790" w:type="dxa"/>
            <w:tcBorders>
              <w:top w:val="single" w:color="auto" w:sz="12" w:space="0"/>
            </w:tcBorders>
            <w:noWrap w:val="0"/>
            <w:vAlign w:val="center"/>
          </w:tcPr>
          <w:p>
            <w:pPr>
              <w:spacing w:line="340" w:lineRule="exact"/>
              <w:rPr>
                <w:rFonts w:hAnsi="宋体" w:cs="Arial"/>
                <w:sz w:val="18"/>
                <w:szCs w:val="18"/>
              </w:rPr>
            </w:pPr>
            <w:r>
              <w:rPr>
                <w:rFonts w:hAnsi="宋体" w:cs="Arial"/>
                <w:sz w:val="18"/>
                <w:szCs w:val="18"/>
              </w:rPr>
              <w:t>氟化氢、二噁英</w:t>
            </w:r>
          </w:p>
        </w:tc>
        <w:tc>
          <w:tcPr>
            <w:tcW w:w="1635" w:type="dxa"/>
            <w:noWrap w:val="0"/>
            <w:vAlign w:val="center"/>
          </w:tcPr>
          <w:p>
            <w:pPr>
              <w:spacing w:line="340" w:lineRule="exact"/>
              <w:jc w:val="center"/>
              <w:rPr>
                <w:rFonts w:cs="Arial"/>
                <w:sz w:val="18"/>
                <w:szCs w:val="18"/>
              </w:rPr>
            </w:pPr>
            <w:r>
              <w:rPr>
                <w:rFonts w:hint="eastAsia" w:cs="Arial"/>
                <w:sz w:val="18"/>
                <w:szCs w:val="18"/>
              </w:rPr>
              <w:t>1次/半年</w:t>
            </w:r>
          </w:p>
        </w:tc>
        <w:tc>
          <w:tcPr>
            <w:tcW w:w="1231" w:type="dxa"/>
            <w:vMerge w:val="continue"/>
            <w:tcBorders>
              <w:bottom w:val="single" w:color="auto" w:sz="12" w:space="0"/>
            </w:tcBorders>
            <w:noWrap w:val="0"/>
            <w:vAlign w:val="center"/>
          </w:tcPr>
          <w:p>
            <w:pPr>
              <w:spacing w:line="340" w:lineRule="exact"/>
              <w:rPr>
                <w:rFonts w:hint="eastAsia" w:cs="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71" w:type="dxa"/>
            <w:vMerge w:val="restart"/>
            <w:tcBorders>
              <w:top w:val="single" w:color="auto" w:sz="12" w:space="0"/>
            </w:tcBorders>
            <w:noWrap w:val="0"/>
            <w:vAlign w:val="center"/>
          </w:tcPr>
          <w:p>
            <w:pPr>
              <w:spacing w:line="340" w:lineRule="exact"/>
              <w:rPr>
                <w:szCs w:val="21"/>
              </w:rPr>
            </w:pPr>
            <w:r>
              <w:rPr>
                <w:rFonts w:hint="eastAsia" w:hAnsi="宋体" w:cs="Arial"/>
                <w:bCs/>
                <w:sz w:val="18"/>
                <w:szCs w:val="18"/>
              </w:rPr>
              <w:t>废气出口</w:t>
            </w:r>
          </w:p>
        </w:tc>
        <w:tc>
          <w:tcPr>
            <w:tcW w:w="1395" w:type="dxa"/>
            <w:tcBorders>
              <w:top w:val="single" w:color="auto" w:sz="12" w:space="0"/>
            </w:tcBorders>
            <w:noWrap w:val="0"/>
            <w:vAlign w:val="center"/>
          </w:tcPr>
          <w:p>
            <w:pPr>
              <w:spacing w:line="340" w:lineRule="exact"/>
              <w:rPr>
                <w:szCs w:val="21"/>
              </w:rPr>
            </w:pPr>
            <w:r>
              <w:rPr>
                <w:rFonts w:hAnsi="宋体" w:cs="Arial"/>
                <w:sz w:val="18"/>
                <w:szCs w:val="18"/>
              </w:rPr>
              <w:t>物化</w:t>
            </w:r>
            <w:r>
              <w:rPr>
                <w:rFonts w:hint="eastAsia" w:hAnsi="宋体" w:cs="Arial"/>
                <w:sz w:val="18"/>
                <w:szCs w:val="18"/>
              </w:rPr>
              <w:t>车间废气</w:t>
            </w:r>
          </w:p>
        </w:tc>
        <w:tc>
          <w:tcPr>
            <w:tcW w:w="2790" w:type="dxa"/>
            <w:tcBorders>
              <w:top w:val="single" w:color="auto" w:sz="12" w:space="0"/>
            </w:tcBorders>
            <w:noWrap w:val="0"/>
            <w:vAlign w:val="center"/>
          </w:tcPr>
          <w:p>
            <w:pPr>
              <w:spacing w:line="340" w:lineRule="exact"/>
              <w:rPr>
                <w:szCs w:val="21"/>
              </w:rPr>
            </w:pPr>
            <w:r>
              <w:rPr>
                <w:rFonts w:hint="eastAsia" w:hAnsi="宋体" w:cs="Arial"/>
                <w:sz w:val="18"/>
                <w:szCs w:val="18"/>
              </w:rPr>
              <w:t xml:space="preserve"> </w:t>
            </w:r>
            <w:r>
              <w:rPr>
                <w:rFonts w:hAnsi="宋体" w:cs="Arial"/>
                <w:sz w:val="18"/>
                <w:szCs w:val="18"/>
              </w:rPr>
              <w:t>氯化氢、硫酸雾</w:t>
            </w:r>
          </w:p>
        </w:tc>
        <w:tc>
          <w:tcPr>
            <w:tcW w:w="1635" w:type="dxa"/>
            <w:tcBorders>
              <w:top w:val="single" w:color="auto" w:sz="12" w:space="0"/>
            </w:tcBorders>
            <w:noWrap w:val="0"/>
            <w:vAlign w:val="center"/>
          </w:tcPr>
          <w:p>
            <w:pPr>
              <w:spacing w:line="340" w:lineRule="exact"/>
              <w:jc w:val="center"/>
              <w:rPr>
                <w:szCs w:val="21"/>
              </w:rPr>
            </w:pPr>
            <w:r>
              <w:rPr>
                <w:rFonts w:hint="eastAsia" w:cs="Arial"/>
                <w:sz w:val="18"/>
                <w:szCs w:val="18"/>
              </w:rPr>
              <w:t>1</w:t>
            </w:r>
            <w:r>
              <w:rPr>
                <w:rFonts w:hAnsi="宋体" w:cs="Arial"/>
                <w:sz w:val="18"/>
                <w:szCs w:val="18"/>
              </w:rPr>
              <w:t>次</w:t>
            </w:r>
            <w:r>
              <w:rPr>
                <w:rFonts w:cs="Arial"/>
                <w:sz w:val="18"/>
                <w:szCs w:val="18"/>
              </w:rPr>
              <w:t>/季度</w:t>
            </w:r>
          </w:p>
        </w:tc>
        <w:tc>
          <w:tcPr>
            <w:tcW w:w="1231" w:type="dxa"/>
            <w:tcBorders>
              <w:top w:val="single" w:color="auto" w:sz="12" w:space="0"/>
            </w:tcBorders>
            <w:noWrap w:val="0"/>
            <w:vAlign w:val="center"/>
          </w:tcPr>
          <w:p>
            <w:pPr>
              <w:spacing w:line="340" w:lineRule="exact"/>
              <w:rPr>
                <w:szCs w:val="21"/>
              </w:rPr>
            </w:pPr>
            <w:r>
              <w:rPr>
                <w:rFonts w:hint="eastAsia" w:cs="Arial"/>
                <w:bCs/>
                <w:sz w:val="18"/>
                <w:szCs w:val="18"/>
              </w:rPr>
              <w:t>3次/天，连续1天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noWrap w:val="0"/>
            <w:vAlign w:val="center"/>
          </w:tcPr>
          <w:p>
            <w:pPr>
              <w:spacing w:line="340" w:lineRule="exact"/>
              <w:rPr>
                <w:rFonts w:hint="eastAsia" w:hAnsi="宋体" w:cs="Arial"/>
                <w:bCs/>
                <w:sz w:val="18"/>
                <w:szCs w:val="18"/>
              </w:rPr>
            </w:pPr>
          </w:p>
        </w:tc>
        <w:tc>
          <w:tcPr>
            <w:tcW w:w="1395" w:type="dxa"/>
            <w:tcBorders>
              <w:top w:val="single" w:color="auto" w:sz="12" w:space="0"/>
            </w:tcBorders>
            <w:noWrap w:val="0"/>
            <w:vAlign w:val="center"/>
          </w:tcPr>
          <w:p>
            <w:pPr>
              <w:spacing w:line="340" w:lineRule="exact"/>
              <w:rPr>
                <w:rFonts w:hAnsi="宋体" w:cs="Arial"/>
                <w:sz w:val="18"/>
                <w:szCs w:val="18"/>
              </w:rPr>
            </w:pPr>
            <w:r>
              <w:rPr>
                <w:rFonts w:hAnsi="宋体" w:cs="Arial"/>
                <w:sz w:val="18"/>
                <w:szCs w:val="18"/>
              </w:rPr>
              <w:t>稳定化</w:t>
            </w:r>
            <w:r>
              <w:rPr>
                <w:rFonts w:hint="eastAsia" w:hAnsi="宋体" w:cs="Arial"/>
                <w:sz w:val="18"/>
                <w:szCs w:val="18"/>
              </w:rPr>
              <w:t>/固化车间废气</w:t>
            </w:r>
          </w:p>
        </w:tc>
        <w:tc>
          <w:tcPr>
            <w:tcW w:w="2790" w:type="dxa"/>
            <w:tcBorders>
              <w:top w:val="single" w:color="auto" w:sz="12" w:space="0"/>
            </w:tcBorders>
            <w:noWrap w:val="0"/>
            <w:vAlign w:val="center"/>
          </w:tcPr>
          <w:p>
            <w:pPr>
              <w:spacing w:line="340" w:lineRule="exact"/>
              <w:rPr>
                <w:rFonts w:hint="eastAsia" w:hAnsi="宋体" w:cs="Arial"/>
                <w:sz w:val="18"/>
                <w:szCs w:val="18"/>
              </w:rPr>
            </w:pPr>
            <w:r>
              <w:rPr>
                <w:rFonts w:hint="eastAsia" w:hAnsi="宋体" w:cs="Arial"/>
                <w:sz w:val="18"/>
                <w:szCs w:val="18"/>
              </w:rPr>
              <w:t>颗粒物</w:t>
            </w:r>
          </w:p>
        </w:tc>
        <w:tc>
          <w:tcPr>
            <w:tcW w:w="1635" w:type="dxa"/>
            <w:tcBorders>
              <w:top w:val="single" w:color="auto" w:sz="12" w:space="0"/>
            </w:tcBorders>
            <w:noWrap w:val="0"/>
            <w:vAlign w:val="center"/>
          </w:tcPr>
          <w:p>
            <w:pPr>
              <w:spacing w:line="340" w:lineRule="exact"/>
              <w:jc w:val="center"/>
              <w:rPr>
                <w:rFonts w:hint="eastAsia" w:cs="Arial"/>
                <w:sz w:val="18"/>
                <w:szCs w:val="18"/>
              </w:rPr>
            </w:pPr>
            <w:r>
              <w:rPr>
                <w:rFonts w:hint="eastAsia" w:cs="Arial"/>
                <w:sz w:val="18"/>
                <w:szCs w:val="18"/>
              </w:rPr>
              <w:t>1次/半年</w:t>
            </w:r>
          </w:p>
        </w:tc>
        <w:tc>
          <w:tcPr>
            <w:tcW w:w="1231" w:type="dxa"/>
            <w:tcBorders>
              <w:top w:val="single" w:color="auto" w:sz="12" w:space="0"/>
            </w:tcBorders>
            <w:noWrap w:val="0"/>
            <w:vAlign w:val="center"/>
          </w:tcPr>
          <w:p>
            <w:pPr>
              <w:spacing w:line="340" w:lineRule="exact"/>
              <w:rPr>
                <w:rFonts w:hint="eastAsia" w:cs="Arial"/>
                <w:bCs/>
                <w:sz w:val="18"/>
                <w:szCs w:val="18"/>
              </w:rPr>
            </w:pPr>
            <w:r>
              <w:rPr>
                <w:rFonts w:hint="eastAsia" w:cs="Arial"/>
                <w:bCs/>
                <w:sz w:val="18"/>
                <w:szCs w:val="18"/>
              </w:rPr>
              <w:t>3次/天，连续1天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noWrap w:val="0"/>
            <w:vAlign w:val="center"/>
          </w:tcPr>
          <w:p>
            <w:pPr>
              <w:spacing w:line="340" w:lineRule="exact"/>
              <w:rPr>
                <w:rFonts w:hint="eastAsia" w:hAnsi="宋体" w:cs="Arial"/>
                <w:bCs/>
                <w:sz w:val="18"/>
                <w:szCs w:val="18"/>
              </w:rPr>
            </w:pPr>
          </w:p>
        </w:tc>
        <w:tc>
          <w:tcPr>
            <w:tcW w:w="1395" w:type="dxa"/>
            <w:tcBorders>
              <w:top w:val="single" w:color="auto" w:sz="12" w:space="0"/>
            </w:tcBorders>
            <w:noWrap w:val="0"/>
            <w:vAlign w:val="center"/>
          </w:tcPr>
          <w:p>
            <w:pPr>
              <w:spacing w:line="340" w:lineRule="exact"/>
              <w:rPr>
                <w:rFonts w:hAnsi="宋体" w:cs="Arial"/>
                <w:sz w:val="18"/>
                <w:szCs w:val="18"/>
              </w:rPr>
            </w:pPr>
            <w:r>
              <w:rPr>
                <w:rFonts w:hAnsi="宋体" w:cs="Arial"/>
                <w:sz w:val="18"/>
                <w:szCs w:val="18"/>
              </w:rPr>
              <w:t>资源化车间</w:t>
            </w:r>
          </w:p>
        </w:tc>
        <w:tc>
          <w:tcPr>
            <w:tcW w:w="2790" w:type="dxa"/>
            <w:tcBorders>
              <w:top w:val="single" w:color="auto" w:sz="12" w:space="0"/>
            </w:tcBorders>
            <w:noWrap w:val="0"/>
            <w:vAlign w:val="center"/>
          </w:tcPr>
          <w:p>
            <w:pPr>
              <w:spacing w:line="340" w:lineRule="exact"/>
              <w:rPr>
                <w:rFonts w:hint="eastAsia" w:hAnsi="宋体" w:cs="Arial"/>
                <w:sz w:val="18"/>
                <w:szCs w:val="18"/>
              </w:rPr>
            </w:pPr>
            <w:r>
              <w:rPr>
                <w:rFonts w:hint="eastAsia" w:hAnsi="宋体" w:cs="Arial"/>
                <w:sz w:val="18"/>
                <w:szCs w:val="18"/>
              </w:rPr>
              <w:t>非甲烷总烃</w:t>
            </w:r>
          </w:p>
        </w:tc>
        <w:tc>
          <w:tcPr>
            <w:tcW w:w="1635" w:type="dxa"/>
            <w:tcBorders>
              <w:top w:val="single" w:color="auto" w:sz="12" w:space="0"/>
            </w:tcBorders>
            <w:noWrap w:val="0"/>
            <w:vAlign w:val="center"/>
          </w:tcPr>
          <w:p>
            <w:pPr>
              <w:spacing w:line="340" w:lineRule="exact"/>
              <w:jc w:val="center"/>
              <w:rPr>
                <w:rFonts w:hint="eastAsia" w:cs="Arial"/>
                <w:sz w:val="18"/>
                <w:szCs w:val="18"/>
              </w:rPr>
            </w:pPr>
            <w:r>
              <w:rPr>
                <w:rFonts w:hint="eastAsia" w:cs="Arial"/>
                <w:sz w:val="18"/>
                <w:szCs w:val="18"/>
              </w:rPr>
              <w:t>1次/半年</w:t>
            </w:r>
          </w:p>
        </w:tc>
        <w:tc>
          <w:tcPr>
            <w:tcW w:w="1231" w:type="dxa"/>
            <w:tcBorders>
              <w:top w:val="single" w:color="auto" w:sz="12" w:space="0"/>
            </w:tcBorders>
            <w:noWrap w:val="0"/>
            <w:vAlign w:val="center"/>
          </w:tcPr>
          <w:p>
            <w:pPr>
              <w:spacing w:line="340" w:lineRule="exact"/>
              <w:rPr>
                <w:rFonts w:hint="eastAsia" w:cs="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noWrap w:val="0"/>
            <w:vAlign w:val="center"/>
          </w:tcPr>
          <w:p>
            <w:pPr>
              <w:spacing w:line="340" w:lineRule="exact"/>
              <w:rPr>
                <w:rFonts w:hint="eastAsia" w:hAnsi="宋体" w:cs="Arial"/>
                <w:bCs/>
                <w:sz w:val="18"/>
                <w:szCs w:val="18"/>
              </w:rPr>
            </w:pPr>
          </w:p>
        </w:tc>
        <w:tc>
          <w:tcPr>
            <w:tcW w:w="1395" w:type="dxa"/>
            <w:tcBorders>
              <w:top w:val="single" w:color="auto" w:sz="12" w:space="0"/>
            </w:tcBorders>
            <w:noWrap w:val="0"/>
            <w:vAlign w:val="center"/>
          </w:tcPr>
          <w:p>
            <w:pPr>
              <w:spacing w:line="340" w:lineRule="exact"/>
              <w:rPr>
                <w:rFonts w:hint="default" w:hAnsi="宋体" w:eastAsia="宋体" w:cs="Arial"/>
                <w:sz w:val="18"/>
                <w:szCs w:val="18"/>
                <w:lang w:val="en-US" w:eastAsia="zh-CN"/>
              </w:rPr>
            </w:pPr>
            <w:r>
              <w:rPr>
                <w:rFonts w:hint="eastAsia" w:hAnsi="宋体" w:cs="Arial"/>
                <w:sz w:val="18"/>
                <w:szCs w:val="18"/>
                <w:lang w:val="en-US" w:eastAsia="zh-CN"/>
              </w:rPr>
              <w:t>暂存库尾气</w:t>
            </w:r>
          </w:p>
        </w:tc>
        <w:tc>
          <w:tcPr>
            <w:tcW w:w="2790" w:type="dxa"/>
            <w:tcBorders>
              <w:top w:val="single" w:color="auto" w:sz="12" w:space="0"/>
            </w:tcBorders>
            <w:noWrap w:val="0"/>
            <w:vAlign w:val="center"/>
          </w:tcPr>
          <w:p>
            <w:pPr>
              <w:spacing w:line="340" w:lineRule="exact"/>
              <w:rPr>
                <w:rFonts w:hint="eastAsia" w:hAnsi="宋体" w:eastAsia="宋体" w:cs="Arial"/>
                <w:sz w:val="18"/>
                <w:szCs w:val="18"/>
                <w:lang w:val="en-US" w:eastAsia="zh-CN"/>
              </w:rPr>
            </w:pPr>
            <w:r>
              <w:rPr>
                <w:rFonts w:hint="eastAsia" w:hAnsi="宋体" w:cs="Arial"/>
                <w:sz w:val="18"/>
                <w:szCs w:val="18"/>
                <w:lang w:val="en-US" w:eastAsia="zh-CN"/>
              </w:rPr>
              <w:t>非甲烷总烃</w:t>
            </w:r>
          </w:p>
        </w:tc>
        <w:tc>
          <w:tcPr>
            <w:tcW w:w="1635" w:type="dxa"/>
            <w:tcBorders>
              <w:top w:val="single" w:color="auto" w:sz="12" w:space="0"/>
            </w:tcBorders>
            <w:noWrap w:val="0"/>
            <w:vAlign w:val="center"/>
          </w:tcPr>
          <w:p>
            <w:pPr>
              <w:spacing w:line="340" w:lineRule="exact"/>
              <w:jc w:val="center"/>
              <w:rPr>
                <w:rFonts w:hint="default" w:eastAsia="宋体" w:cs="Arial"/>
                <w:sz w:val="18"/>
                <w:szCs w:val="18"/>
                <w:lang w:val="en-US" w:eastAsia="zh-CN"/>
              </w:rPr>
            </w:pPr>
            <w:r>
              <w:rPr>
                <w:rFonts w:hint="eastAsia" w:cs="Arial"/>
                <w:sz w:val="18"/>
                <w:szCs w:val="18"/>
                <w:lang w:val="en-US" w:eastAsia="zh-CN"/>
              </w:rPr>
              <w:t>1次/半年</w:t>
            </w:r>
          </w:p>
        </w:tc>
        <w:tc>
          <w:tcPr>
            <w:tcW w:w="1231" w:type="dxa"/>
            <w:tcBorders>
              <w:top w:val="single" w:color="auto" w:sz="12" w:space="0"/>
            </w:tcBorders>
            <w:noWrap w:val="0"/>
            <w:vAlign w:val="center"/>
          </w:tcPr>
          <w:p>
            <w:pPr>
              <w:spacing w:line="340" w:lineRule="exact"/>
              <w:rPr>
                <w:rFonts w:hint="eastAsia" w:cs="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471" w:type="dxa"/>
            <w:vMerge w:val="restart"/>
            <w:noWrap w:val="0"/>
            <w:vAlign w:val="center"/>
          </w:tcPr>
          <w:p>
            <w:pPr>
              <w:spacing w:line="340" w:lineRule="exact"/>
              <w:rPr>
                <w:color w:val="000000"/>
                <w:szCs w:val="21"/>
              </w:rPr>
            </w:pPr>
            <w:r>
              <w:rPr>
                <w:rFonts w:hint="eastAsia" w:hAnsi="宋体" w:cs="Arial"/>
                <w:bCs/>
                <w:color w:val="000000"/>
                <w:sz w:val="18"/>
                <w:szCs w:val="18"/>
              </w:rPr>
              <w:t>贮存库内、填埋厂区内，及厂区西南侧、东南侧、东侧、东北侧共六个监测点（厂界外10米范围内）</w:t>
            </w:r>
          </w:p>
        </w:tc>
        <w:tc>
          <w:tcPr>
            <w:tcW w:w="1395" w:type="dxa"/>
            <w:vMerge w:val="restart"/>
            <w:noWrap w:val="0"/>
            <w:vAlign w:val="center"/>
          </w:tcPr>
          <w:p>
            <w:pPr>
              <w:spacing w:line="340" w:lineRule="exact"/>
              <w:jc w:val="center"/>
              <w:rPr>
                <w:szCs w:val="21"/>
              </w:rPr>
            </w:pPr>
            <w:r>
              <w:rPr>
                <w:rFonts w:hAnsi="宋体" w:cs="Arial"/>
                <w:bCs/>
                <w:sz w:val="18"/>
                <w:szCs w:val="18"/>
              </w:rPr>
              <w:t>无组织</w:t>
            </w:r>
            <w:r>
              <w:rPr>
                <w:rFonts w:hint="eastAsia" w:hAnsi="宋体" w:cs="Arial"/>
                <w:bCs/>
                <w:sz w:val="18"/>
                <w:szCs w:val="18"/>
              </w:rPr>
              <w:t>废气</w:t>
            </w:r>
          </w:p>
        </w:tc>
        <w:tc>
          <w:tcPr>
            <w:tcW w:w="2790" w:type="dxa"/>
            <w:noWrap w:val="0"/>
            <w:vAlign w:val="center"/>
          </w:tcPr>
          <w:p>
            <w:pPr>
              <w:spacing w:line="340" w:lineRule="exact"/>
              <w:rPr>
                <w:szCs w:val="21"/>
              </w:rPr>
            </w:pPr>
            <w:r>
              <w:rPr>
                <w:rFonts w:hint="eastAsia" w:cs="Arial"/>
                <w:sz w:val="18"/>
                <w:szCs w:val="18"/>
              </w:rPr>
              <w:t>硫化氢、氨、臭气浓度、颗粒物</w:t>
            </w:r>
          </w:p>
        </w:tc>
        <w:tc>
          <w:tcPr>
            <w:tcW w:w="1635" w:type="dxa"/>
            <w:noWrap w:val="0"/>
            <w:vAlign w:val="center"/>
          </w:tcPr>
          <w:p>
            <w:pPr>
              <w:spacing w:line="340" w:lineRule="exact"/>
              <w:jc w:val="center"/>
              <w:rPr>
                <w:szCs w:val="21"/>
              </w:rPr>
            </w:pPr>
            <w:r>
              <w:rPr>
                <w:rFonts w:cs="Arial"/>
                <w:sz w:val="18"/>
                <w:szCs w:val="18"/>
              </w:rPr>
              <w:t>1</w:t>
            </w:r>
            <w:r>
              <w:rPr>
                <w:rFonts w:hAnsi="宋体" w:cs="Arial"/>
                <w:sz w:val="18"/>
                <w:szCs w:val="18"/>
              </w:rPr>
              <w:t>次</w:t>
            </w:r>
            <w:r>
              <w:rPr>
                <w:rFonts w:cs="Arial"/>
                <w:sz w:val="18"/>
                <w:szCs w:val="18"/>
              </w:rPr>
              <w:t>/月</w:t>
            </w:r>
          </w:p>
        </w:tc>
        <w:tc>
          <w:tcPr>
            <w:tcW w:w="1231" w:type="dxa"/>
            <w:noWrap w:val="0"/>
            <w:vAlign w:val="center"/>
          </w:tcPr>
          <w:p>
            <w:pPr>
              <w:spacing w:line="340" w:lineRule="exact"/>
              <w:rPr>
                <w:szCs w:val="21"/>
              </w:rPr>
            </w:pPr>
            <w:r>
              <w:rPr>
                <w:rFonts w:hint="eastAsia" w:hAnsi="宋体" w:cs="Arial"/>
                <w:sz w:val="18"/>
                <w:szCs w:val="18"/>
              </w:rPr>
              <w:t>每天监测4组，连续1天，共4组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471" w:type="dxa"/>
            <w:vMerge w:val="continue"/>
            <w:noWrap w:val="0"/>
            <w:vAlign w:val="center"/>
          </w:tcPr>
          <w:p>
            <w:pPr>
              <w:spacing w:line="340" w:lineRule="exact"/>
              <w:rPr>
                <w:rFonts w:hint="eastAsia" w:hAnsi="宋体" w:cs="Arial"/>
                <w:bCs/>
                <w:color w:val="000000"/>
                <w:sz w:val="18"/>
                <w:szCs w:val="18"/>
              </w:rPr>
            </w:pPr>
          </w:p>
        </w:tc>
        <w:tc>
          <w:tcPr>
            <w:tcW w:w="1395" w:type="dxa"/>
            <w:vMerge w:val="continue"/>
            <w:noWrap w:val="0"/>
            <w:vAlign w:val="center"/>
          </w:tcPr>
          <w:p>
            <w:pPr>
              <w:spacing w:line="340" w:lineRule="exact"/>
              <w:jc w:val="center"/>
              <w:rPr>
                <w:rFonts w:hAnsi="宋体" w:cs="Arial"/>
                <w:bCs/>
                <w:sz w:val="18"/>
                <w:szCs w:val="18"/>
              </w:rPr>
            </w:pPr>
          </w:p>
        </w:tc>
        <w:tc>
          <w:tcPr>
            <w:tcW w:w="2790" w:type="dxa"/>
            <w:noWrap w:val="0"/>
            <w:vAlign w:val="center"/>
          </w:tcPr>
          <w:p>
            <w:pPr>
              <w:spacing w:line="340" w:lineRule="exact"/>
              <w:rPr>
                <w:rFonts w:hint="eastAsia" w:cs="Arial"/>
                <w:sz w:val="18"/>
                <w:szCs w:val="18"/>
              </w:rPr>
            </w:pPr>
            <w:r>
              <w:rPr>
                <w:rFonts w:hint="eastAsia" w:cs="Arial"/>
                <w:sz w:val="18"/>
                <w:szCs w:val="18"/>
              </w:rPr>
              <w:t>挥发性有机物、氯化氢、氟化物</w:t>
            </w:r>
          </w:p>
        </w:tc>
        <w:tc>
          <w:tcPr>
            <w:tcW w:w="1635" w:type="dxa"/>
            <w:noWrap w:val="0"/>
            <w:vAlign w:val="center"/>
          </w:tcPr>
          <w:p>
            <w:pPr>
              <w:spacing w:line="340" w:lineRule="exact"/>
              <w:jc w:val="center"/>
              <w:rPr>
                <w:rFonts w:cs="Arial"/>
                <w:sz w:val="18"/>
                <w:szCs w:val="18"/>
              </w:rPr>
            </w:pPr>
            <w:r>
              <w:rPr>
                <w:rFonts w:hint="eastAsia" w:cs="Arial"/>
                <w:sz w:val="18"/>
                <w:szCs w:val="18"/>
              </w:rPr>
              <w:t>1次/季度</w:t>
            </w:r>
          </w:p>
        </w:tc>
        <w:tc>
          <w:tcPr>
            <w:tcW w:w="1231" w:type="dxa"/>
            <w:noWrap w:val="0"/>
            <w:vAlign w:val="center"/>
          </w:tcPr>
          <w:p>
            <w:pPr>
              <w:spacing w:line="340" w:lineRule="exact"/>
              <w:rPr>
                <w:rFonts w:hint="eastAsia" w:hAnsi="宋体" w:cs="Arial"/>
                <w:sz w:val="18"/>
                <w:szCs w:val="18"/>
              </w:rPr>
            </w:pPr>
            <w:r>
              <w:rPr>
                <w:rFonts w:hint="eastAsia" w:hAnsi="宋体" w:cs="Arial"/>
                <w:sz w:val="18"/>
                <w:szCs w:val="18"/>
              </w:rPr>
              <w:t>每天监测4组，连续1天，共4组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71" w:type="dxa"/>
            <w:tcBorders>
              <w:bottom w:val="single" w:color="auto" w:sz="12" w:space="0"/>
            </w:tcBorders>
            <w:noWrap w:val="0"/>
            <w:vAlign w:val="center"/>
          </w:tcPr>
          <w:p>
            <w:pPr>
              <w:spacing w:line="340" w:lineRule="exact"/>
              <w:rPr>
                <w:szCs w:val="21"/>
              </w:rPr>
            </w:pPr>
            <w:r>
              <w:rPr>
                <w:rFonts w:hint="eastAsia" w:hAnsi="宋体" w:cs="Arial"/>
                <w:bCs/>
                <w:sz w:val="18"/>
                <w:szCs w:val="18"/>
              </w:rPr>
              <w:t>厂区上下各一个监测点，共两个监测点</w:t>
            </w:r>
          </w:p>
        </w:tc>
        <w:tc>
          <w:tcPr>
            <w:tcW w:w="1395" w:type="dxa"/>
            <w:tcBorders>
              <w:bottom w:val="single" w:color="auto" w:sz="12" w:space="0"/>
            </w:tcBorders>
            <w:noWrap w:val="0"/>
            <w:vAlign w:val="center"/>
          </w:tcPr>
          <w:p>
            <w:pPr>
              <w:spacing w:line="340" w:lineRule="exact"/>
              <w:jc w:val="center"/>
              <w:rPr>
                <w:szCs w:val="21"/>
              </w:rPr>
            </w:pPr>
            <w:r>
              <w:rPr>
                <w:rFonts w:hAnsi="宋体" w:cs="Arial"/>
                <w:bCs/>
                <w:sz w:val="18"/>
                <w:szCs w:val="18"/>
              </w:rPr>
              <w:t>土壤</w:t>
            </w:r>
            <w:r>
              <w:rPr>
                <w:rFonts w:hint="eastAsia" w:hAnsi="宋体" w:cs="Arial"/>
                <w:bCs/>
                <w:sz w:val="18"/>
                <w:szCs w:val="18"/>
              </w:rPr>
              <w:t>环境质量</w:t>
            </w:r>
          </w:p>
        </w:tc>
        <w:tc>
          <w:tcPr>
            <w:tcW w:w="2790" w:type="dxa"/>
            <w:tcBorders>
              <w:bottom w:val="single" w:color="auto" w:sz="12" w:space="0"/>
            </w:tcBorders>
            <w:noWrap w:val="0"/>
            <w:vAlign w:val="center"/>
          </w:tcPr>
          <w:p>
            <w:pPr>
              <w:spacing w:line="340" w:lineRule="exact"/>
              <w:rPr>
                <w:szCs w:val="21"/>
              </w:rPr>
            </w:pPr>
            <w:r>
              <w:rPr>
                <w:rFonts w:hint="eastAsia" w:cs="Arial"/>
                <w:sz w:val="18"/>
                <w:szCs w:val="18"/>
              </w:rPr>
              <w:t>土壤</w:t>
            </w:r>
            <w:r>
              <w:rPr>
                <w:rFonts w:cs="Arial"/>
                <w:sz w:val="18"/>
                <w:szCs w:val="18"/>
              </w:rPr>
              <w:t>环境质量建设用地土壤污染风险管控标准</w:t>
            </w:r>
            <w:r>
              <w:rPr>
                <w:rFonts w:hint="eastAsia" w:cs="Arial"/>
                <w:sz w:val="18"/>
                <w:szCs w:val="18"/>
              </w:rPr>
              <w:t>（GB36600—2018）中的基本项目，共45项</w:t>
            </w:r>
          </w:p>
        </w:tc>
        <w:tc>
          <w:tcPr>
            <w:tcW w:w="1635" w:type="dxa"/>
            <w:tcBorders>
              <w:bottom w:val="single" w:color="auto" w:sz="12" w:space="0"/>
            </w:tcBorders>
            <w:noWrap w:val="0"/>
            <w:vAlign w:val="center"/>
          </w:tcPr>
          <w:p>
            <w:pPr>
              <w:spacing w:line="340" w:lineRule="exact"/>
              <w:rPr>
                <w:rFonts w:hint="eastAsia" w:eastAsia="宋体"/>
                <w:szCs w:val="21"/>
                <w:lang w:eastAsia="zh-CN"/>
              </w:rPr>
            </w:pPr>
            <w:r>
              <w:rPr>
                <w:rFonts w:cs="Arial"/>
                <w:sz w:val="18"/>
                <w:szCs w:val="18"/>
              </w:rPr>
              <w:t>1</w:t>
            </w:r>
            <w:r>
              <w:rPr>
                <w:rFonts w:hAnsi="宋体" w:cs="Arial"/>
                <w:sz w:val="18"/>
                <w:szCs w:val="18"/>
              </w:rPr>
              <w:t>次</w:t>
            </w:r>
            <w:r>
              <w:rPr>
                <w:rFonts w:cs="Arial"/>
                <w:sz w:val="18"/>
                <w:szCs w:val="18"/>
              </w:rPr>
              <w:t>/</w:t>
            </w:r>
            <w:r>
              <w:rPr>
                <w:rFonts w:hAnsi="宋体" w:cs="Arial"/>
                <w:sz w:val="18"/>
                <w:szCs w:val="18"/>
              </w:rPr>
              <w:t>年</w:t>
            </w:r>
            <w:r>
              <w:rPr>
                <w:rFonts w:hint="eastAsia" w:hAnsi="宋体" w:cs="Arial"/>
                <w:sz w:val="18"/>
                <w:szCs w:val="18"/>
                <w:lang w:eastAsia="zh-CN"/>
              </w:rPr>
              <w:t>（</w:t>
            </w:r>
            <w:r>
              <w:rPr>
                <w:rFonts w:hint="eastAsia" w:hAnsi="宋体" w:cs="Arial"/>
                <w:sz w:val="18"/>
                <w:szCs w:val="18"/>
                <w:lang w:val="en-US" w:eastAsia="zh-CN"/>
              </w:rPr>
              <w:t>4月份</w:t>
            </w:r>
            <w:r>
              <w:rPr>
                <w:rFonts w:hint="eastAsia" w:hAnsi="宋体" w:cs="Arial"/>
                <w:sz w:val="18"/>
                <w:szCs w:val="18"/>
                <w:lang w:eastAsia="zh-CN"/>
              </w:rPr>
              <w:t>）</w:t>
            </w:r>
          </w:p>
        </w:tc>
        <w:tc>
          <w:tcPr>
            <w:tcW w:w="1231" w:type="dxa"/>
            <w:tcBorders>
              <w:bottom w:val="single" w:color="auto" w:sz="12" w:space="0"/>
            </w:tcBorders>
            <w:noWrap w:val="0"/>
            <w:vAlign w:val="center"/>
          </w:tcPr>
          <w:p>
            <w:pPr>
              <w:spacing w:line="340" w:lineRule="exact"/>
              <w:rPr>
                <w:szCs w:val="21"/>
              </w:rPr>
            </w:pPr>
            <w:r>
              <w:rPr>
                <w:rFonts w:hint="eastAsia" w:hAnsi="宋体" w:cs="Arial"/>
                <w:sz w:val="18"/>
                <w:szCs w:val="18"/>
              </w:rPr>
              <w:t>1次，表面采样1天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tcBorders>
              <w:top w:val="single" w:color="auto" w:sz="12" w:space="0"/>
              <w:bottom w:val="single" w:color="auto" w:sz="12" w:space="0"/>
            </w:tcBorders>
            <w:noWrap w:val="0"/>
            <w:vAlign w:val="center"/>
          </w:tcPr>
          <w:p>
            <w:pPr>
              <w:spacing w:line="340" w:lineRule="exact"/>
              <w:rPr>
                <w:szCs w:val="21"/>
              </w:rPr>
            </w:pPr>
            <w:r>
              <w:rPr>
                <w:rFonts w:hint="eastAsia" w:hAnsi="宋体" w:cs="Arial"/>
                <w:bCs/>
                <w:sz w:val="18"/>
                <w:szCs w:val="18"/>
              </w:rPr>
              <w:t>厂区东侧、东南侧、南侧、西侧、北侧共5个监测点（厂界外一米）</w:t>
            </w:r>
          </w:p>
        </w:tc>
        <w:tc>
          <w:tcPr>
            <w:tcW w:w="1395" w:type="dxa"/>
            <w:tcBorders>
              <w:top w:val="single" w:color="auto" w:sz="12" w:space="0"/>
              <w:bottom w:val="single" w:color="auto" w:sz="12" w:space="0"/>
            </w:tcBorders>
            <w:noWrap w:val="0"/>
            <w:vAlign w:val="center"/>
          </w:tcPr>
          <w:p>
            <w:pPr>
              <w:spacing w:line="340" w:lineRule="exact"/>
              <w:jc w:val="center"/>
              <w:rPr>
                <w:szCs w:val="21"/>
              </w:rPr>
            </w:pPr>
            <w:r>
              <w:rPr>
                <w:rFonts w:hAnsi="宋体" w:cs="Arial"/>
                <w:bCs/>
                <w:sz w:val="18"/>
                <w:szCs w:val="18"/>
              </w:rPr>
              <w:t>噪声</w:t>
            </w:r>
          </w:p>
        </w:tc>
        <w:tc>
          <w:tcPr>
            <w:tcW w:w="2790" w:type="dxa"/>
            <w:tcBorders>
              <w:top w:val="single" w:color="auto" w:sz="12" w:space="0"/>
              <w:bottom w:val="single" w:color="auto" w:sz="12" w:space="0"/>
            </w:tcBorders>
            <w:noWrap w:val="0"/>
            <w:vAlign w:val="center"/>
          </w:tcPr>
          <w:p>
            <w:pPr>
              <w:spacing w:line="340" w:lineRule="exact"/>
              <w:rPr>
                <w:szCs w:val="21"/>
              </w:rPr>
            </w:pPr>
            <w:r>
              <w:rPr>
                <w:rFonts w:hint="eastAsia" w:cs="Arial"/>
                <w:sz w:val="18"/>
                <w:szCs w:val="18"/>
              </w:rPr>
              <w:t>等效连续A声级</w:t>
            </w:r>
            <w:r>
              <w:rPr>
                <w:rFonts w:cs="Arial"/>
                <w:sz w:val="18"/>
                <w:szCs w:val="18"/>
              </w:rPr>
              <w:t>Leq</w:t>
            </w:r>
          </w:p>
        </w:tc>
        <w:tc>
          <w:tcPr>
            <w:tcW w:w="1635" w:type="dxa"/>
            <w:tcBorders>
              <w:top w:val="single" w:color="auto" w:sz="12" w:space="0"/>
              <w:bottom w:val="single" w:color="auto" w:sz="12" w:space="0"/>
            </w:tcBorders>
            <w:noWrap w:val="0"/>
            <w:vAlign w:val="center"/>
          </w:tcPr>
          <w:p>
            <w:pPr>
              <w:spacing w:line="340" w:lineRule="exact"/>
              <w:jc w:val="center"/>
              <w:rPr>
                <w:szCs w:val="21"/>
              </w:rPr>
            </w:pPr>
            <w:r>
              <w:rPr>
                <w:rFonts w:cs="Arial"/>
                <w:sz w:val="18"/>
                <w:szCs w:val="18"/>
              </w:rPr>
              <w:t>1</w:t>
            </w:r>
            <w:r>
              <w:rPr>
                <w:rFonts w:hAnsi="宋体" w:cs="Arial"/>
                <w:sz w:val="18"/>
                <w:szCs w:val="18"/>
              </w:rPr>
              <w:t>次</w:t>
            </w:r>
            <w:r>
              <w:rPr>
                <w:rFonts w:cs="Arial"/>
                <w:sz w:val="18"/>
                <w:szCs w:val="18"/>
              </w:rPr>
              <w:t>/</w:t>
            </w:r>
            <w:r>
              <w:rPr>
                <w:rFonts w:hint="eastAsia" w:hAnsi="宋体" w:cs="Arial"/>
                <w:sz w:val="18"/>
                <w:szCs w:val="18"/>
              </w:rPr>
              <w:t>季度</w:t>
            </w:r>
          </w:p>
        </w:tc>
        <w:tc>
          <w:tcPr>
            <w:tcW w:w="1231" w:type="dxa"/>
            <w:tcBorders>
              <w:top w:val="single" w:color="auto" w:sz="12" w:space="0"/>
              <w:bottom w:val="single" w:color="auto" w:sz="12" w:space="0"/>
            </w:tcBorders>
            <w:noWrap w:val="0"/>
            <w:vAlign w:val="center"/>
          </w:tcPr>
          <w:p>
            <w:pPr>
              <w:spacing w:line="340" w:lineRule="exact"/>
              <w:rPr>
                <w:szCs w:val="21"/>
              </w:rPr>
            </w:pPr>
            <w:r>
              <w:rPr>
                <w:rFonts w:hint="eastAsia" w:cs="Arial"/>
                <w:bCs/>
                <w:sz w:val="18"/>
                <w:szCs w:val="18"/>
              </w:rPr>
              <w:t xml:space="preserve"> 每个周期监测两次，白天和夜间各测一次，以24小时为一个周期，监测一个周期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tcBorders>
              <w:top w:val="single" w:color="auto" w:sz="12" w:space="0"/>
              <w:bottom w:val="single" w:color="auto" w:sz="12" w:space="0"/>
            </w:tcBorders>
            <w:noWrap w:val="0"/>
            <w:vAlign w:val="center"/>
          </w:tcPr>
          <w:p>
            <w:pPr>
              <w:spacing w:line="340" w:lineRule="exact"/>
              <w:rPr>
                <w:rFonts w:hint="eastAsia" w:hAnsi="宋体" w:cs="Arial"/>
                <w:bCs/>
                <w:sz w:val="18"/>
                <w:szCs w:val="18"/>
              </w:rPr>
            </w:pPr>
            <w:r>
              <w:rPr>
                <w:rFonts w:hint="eastAsia" w:hAnsi="宋体" w:cs="Arial"/>
                <w:bCs/>
                <w:sz w:val="18"/>
                <w:szCs w:val="18"/>
              </w:rPr>
              <w:t>在线监测比对</w:t>
            </w:r>
          </w:p>
        </w:tc>
        <w:tc>
          <w:tcPr>
            <w:tcW w:w="1395" w:type="dxa"/>
            <w:tcBorders>
              <w:top w:val="single" w:color="auto" w:sz="12" w:space="0"/>
              <w:bottom w:val="single" w:color="auto" w:sz="12" w:space="0"/>
            </w:tcBorders>
            <w:noWrap w:val="0"/>
            <w:vAlign w:val="center"/>
          </w:tcPr>
          <w:p>
            <w:pPr>
              <w:spacing w:line="340" w:lineRule="exact"/>
              <w:jc w:val="center"/>
              <w:rPr>
                <w:rFonts w:hint="eastAsia" w:hAnsi="宋体" w:cs="Arial"/>
                <w:bCs/>
                <w:sz w:val="18"/>
                <w:szCs w:val="18"/>
              </w:rPr>
            </w:pPr>
            <w:r>
              <w:rPr>
                <w:rFonts w:hint="eastAsia" w:hAnsi="宋体" w:cs="Arial"/>
                <w:bCs/>
                <w:sz w:val="18"/>
                <w:szCs w:val="18"/>
              </w:rPr>
              <w:t>焚烧炉废气</w:t>
            </w:r>
          </w:p>
        </w:tc>
        <w:tc>
          <w:tcPr>
            <w:tcW w:w="2790" w:type="dxa"/>
            <w:tcBorders>
              <w:top w:val="single" w:color="auto" w:sz="12" w:space="0"/>
              <w:bottom w:val="single" w:color="auto" w:sz="12" w:space="0"/>
            </w:tcBorders>
            <w:noWrap w:val="0"/>
            <w:vAlign w:val="center"/>
          </w:tcPr>
          <w:p>
            <w:pPr>
              <w:spacing w:line="340" w:lineRule="exact"/>
              <w:rPr>
                <w:rFonts w:hint="eastAsia" w:cs="Arial"/>
                <w:sz w:val="18"/>
                <w:szCs w:val="18"/>
              </w:rPr>
            </w:pPr>
            <w:r>
              <w:rPr>
                <w:rFonts w:hint="eastAsia" w:cs="Arial"/>
                <w:sz w:val="18"/>
                <w:szCs w:val="18"/>
              </w:rPr>
              <w:t>烟尘、一氧化碳、二氧化硫、氮氧化物、氯化氢、氟化氢、烟气流量、烟气温度、氧含量</w:t>
            </w:r>
          </w:p>
        </w:tc>
        <w:tc>
          <w:tcPr>
            <w:tcW w:w="1635" w:type="dxa"/>
            <w:tcBorders>
              <w:top w:val="single" w:color="auto" w:sz="12" w:space="0"/>
              <w:bottom w:val="single" w:color="auto" w:sz="12" w:space="0"/>
            </w:tcBorders>
            <w:noWrap w:val="0"/>
            <w:vAlign w:val="center"/>
          </w:tcPr>
          <w:p>
            <w:pPr>
              <w:spacing w:line="340" w:lineRule="exact"/>
              <w:jc w:val="center"/>
              <w:rPr>
                <w:rFonts w:hint="eastAsia" w:cs="Arial"/>
                <w:sz w:val="18"/>
                <w:szCs w:val="18"/>
              </w:rPr>
            </w:pPr>
            <w:r>
              <w:rPr>
                <w:rFonts w:hint="eastAsia" w:cs="Arial"/>
                <w:sz w:val="18"/>
                <w:szCs w:val="18"/>
              </w:rPr>
              <w:t>1次/季度</w:t>
            </w:r>
          </w:p>
        </w:tc>
        <w:tc>
          <w:tcPr>
            <w:tcW w:w="1231" w:type="dxa"/>
            <w:tcBorders>
              <w:top w:val="single" w:color="auto" w:sz="12" w:space="0"/>
              <w:bottom w:val="single" w:color="auto" w:sz="12" w:space="0"/>
            </w:tcBorders>
            <w:noWrap w:val="0"/>
            <w:vAlign w:val="center"/>
          </w:tcPr>
          <w:p>
            <w:pPr>
              <w:spacing w:line="340" w:lineRule="exact"/>
              <w:rPr>
                <w:rFonts w:hint="eastAsia" w:cs="Arial"/>
                <w:bCs/>
                <w:sz w:val="18"/>
                <w:szCs w:val="18"/>
              </w:rPr>
            </w:pPr>
            <w:r>
              <w:rPr>
                <w:rFonts w:hint="eastAsia" w:cs="Arial"/>
                <w:bCs/>
                <w:sz w:val="18"/>
                <w:szCs w:val="18"/>
              </w:rPr>
              <w:t>与在线监测仪器比对。3次/天，连续1天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tcBorders>
              <w:top w:val="single" w:color="auto" w:sz="12" w:space="0"/>
            </w:tcBorders>
            <w:noWrap w:val="0"/>
            <w:vAlign w:val="center"/>
          </w:tcPr>
          <w:p>
            <w:pPr>
              <w:spacing w:line="340" w:lineRule="exact"/>
              <w:rPr>
                <w:rFonts w:hint="eastAsia" w:hAnsi="宋体" w:cs="Arial"/>
                <w:bCs/>
                <w:sz w:val="18"/>
                <w:szCs w:val="18"/>
              </w:rPr>
            </w:pPr>
          </w:p>
        </w:tc>
        <w:tc>
          <w:tcPr>
            <w:tcW w:w="1395" w:type="dxa"/>
            <w:tcBorders>
              <w:top w:val="single" w:color="auto" w:sz="12" w:space="0"/>
            </w:tcBorders>
            <w:noWrap w:val="0"/>
            <w:vAlign w:val="center"/>
          </w:tcPr>
          <w:p>
            <w:pPr>
              <w:spacing w:line="340" w:lineRule="exact"/>
              <w:rPr>
                <w:rFonts w:hint="eastAsia" w:hAnsi="宋体" w:cs="Arial"/>
                <w:sz w:val="18"/>
                <w:szCs w:val="18"/>
              </w:rPr>
            </w:pPr>
            <w:r>
              <w:rPr>
                <w:rFonts w:hint="eastAsia" w:hAnsi="宋体" w:cs="Arial"/>
                <w:sz w:val="18"/>
                <w:szCs w:val="18"/>
              </w:rPr>
              <w:t>土壤、大气环境质量、地下水</w:t>
            </w:r>
          </w:p>
        </w:tc>
        <w:tc>
          <w:tcPr>
            <w:tcW w:w="2790" w:type="dxa"/>
            <w:tcBorders>
              <w:top w:val="single" w:color="auto" w:sz="12" w:space="0"/>
            </w:tcBorders>
            <w:noWrap w:val="0"/>
            <w:vAlign w:val="center"/>
          </w:tcPr>
          <w:p>
            <w:pPr>
              <w:spacing w:line="340" w:lineRule="exact"/>
              <w:rPr>
                <w:rFonts w:hint="eastAsia" w:hAnsi="宋体" w:cs="Arial"/>
                <w:sz w:val="18"/>
                <w:szCs w:val="18"/>
              </w:rPr>
            </w:pPr>
            <w:r>
              <w:rPr>
                <w:rFonts w:hint="eastAsia" w:hAnsi="宋体" w:cs="Arial"/>
                <w:sz w:val="18"/>
                <w:szCs w:val="18"/>
              </w:rPr>
              <w:t>二恶英类</w:t>
            </w:r>
          </w:p>
        </w:tc>
        <w:tc>
          <w:tcPr>
            <w:tcW w:w="1635" w:type="dxa"/>
            <w:tcBorders>
              <w:top w:val="single" w:color="auto" w:sz="12" w:space="0"/>
            </w:tcBorders>
            <w:noWrap w:val="0"/>
            <w:vAlign w:val="center"/>
          </w:tcPr>
          <w:p>
            <w:pPr>
              <w:spacing w:line="340" w:lineRule="exact"/>
              <w:jc w:val="center"/>
              <w:rPr>
                <w:rFonts w:hint="eastAsia" w:hAnsi="宋体" w:cs="Arial"/>
                <w:sz w:val="18"/>
                <w:szCs w:val="18"/>
              </w:rPr>
            </w:pPr>
            <w:r>
              <w:rPr>
                <w:rFonts w:hint="eastAsia" w:hAnsi="宋体" w:cs="Arial"/>
                <w:sz w:val="18"/>
                <w:szCs w:val="18"/>
              </w:rPr>
              <w:t>1次/年</w:t>
            </w:r>
          </w:p>
        </w:tc>
        <w:tc>
          <w:tcPr>
            <w:tcW w:w="1231" w:type="dxa"/>
            <w:tcBorders>
              <w:top w:val="single" w:color="auto" w:sz="12" w:space="0"/>
            </w:tcBorders>
            <w:noWrap w:val="0"/>
            <w:vAlign w:val="center"/>
          </w:tcPr>
          <w:p>
            <w:pPr>
              <w:spacing w:line="340" w:lineRule="exact"/>
              <w:rPr>
                <w:rFonts w:hint="eastAsia" w:cs="Arial"/>
                <w:bCs/>
                <w:sz w:val="18"/>
                <w:szCs w:val="18"/>
              </w:rPr>
            </w:pPr>
            <w:r>
              <w:rPr>
                <w:rFonts w:hint="eastAsia" w:cs="Arial"/>
                <w:bCs/>
                <w:sz w:val="18"/>
                <w:szCs w:val="18"/>
              </w:rPr>
              <w:t>土壤、大气环境、地下水，上、下风向各取一个样</w:t>
            </w:r>
          </w:p>
        </w:tc>
      </w:tr>
    </w:tbl>
    <w:p>
      <w:pPr>
        <w:jc w:val="center"/>
        <w:rPr>
          <w:rFonts w:hint="eastAsia"/>
        </w:rPr>
      </w:pPr>
    </w:p>
    <w:p>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color w:val="auto"/>
        </w:rPr>
      </w:pPr>
      <w:r>
        <w:rPr>
          <w:rFonts w:hint="eastAsia" w:ascii="宋体" w:hAnsi="宋体" w:eastAsia="宋体" w:cs="宋体"/>
          <w:color w:val="auto"/>
        </w:rPr>
        <w:t>公司根据环境影响评价报告</w:t>
      </w:r>
      <w:r>
        <w:rPr>
          <w:rFonts w:hint="eastAsia" w:ascii="宋体" w:hAnsi="宋体" w:eastAsia="宋体" w:cs="宋体"/>
          <w:color w:val="auto"/>
          <w:lang w:eastAsia="zh-CN"/>
        </w:rPr>
        <w:t>、</w:t>
      </w:r>
      <w:r>
        <w:rPr>
          <w:rFonts w:hint="eastAsia" w:ascii="宋体" w:hAnsi="宋体" w:eastAsia="宋体" w:cs="宋体"/>
          <w:color w:val="auto"/>
          <w:lang w:val="en-US" w:eastAsia="zh-CN"/>
        </w:rPr>
        <w:t>排污许可证相关要求，</w:t>
      </w:r>
      <w:r>
        <w:rPr>
          <w:rFonts w:hint="eastAsia" w:ascii="宋体" w:hAnsi="宋体" w:eastAsia="宋体" w:cs="宋体"/>
          <w:color w:val="auto"/>
        </w:rPr>
        <w:t>结合</w:t>
      </w:r>
      <w:r>
        <w:rPr>
          <w:rFonts w:hint="eastAsia" w:ascii="宋体" w:hAnsi="宋体" w:eastAsia="宋体" w:cs="宋体"/>
          <w:color w:val="auto"/>
          <w:lang w:eastAsia="zh-CN"/>
        </w:rPr>
        <w:t>有关环保</w:t>
      </w:r>
      <w:r>
        <w:rPr>
          <w:rFonts w:hint="eastAsia" w:ascii="宋体" w:hAnsi="宋体" w:eastAsia="宋体" w:cs="宋体"/>
          <w:color w:val="auto"/>
        </w:rPr>
        <w:t>法律法规规定制定了自行监测方案，并在公司厂区门口及附近社区张贴公示</w:t>
      </w:r>
      <w:r>
        <w:rPr>
          <w:rFonts w:hint="eastAsia" w:ascii="宋体" w:hAnsi="宋体" w:eastAsia="宋体" w:cs="宋体"/>
          <w:color w:val="auto"/>
          <w:lang w:eastAsia="zh-CN"/>
        </w:rPr>
        <w:t>。同时于</w:t>
      </w:r>
      <w:r>
        <w:rPr>
          <w:rFonts w:hint="eastAsia" w:ascii="宋体" w:hAnsi="宋体" w:eastAsia="宋体" w:cs="宋体"/>
          <w:color w:val="auto"/>
          <w:lang w:val="en-US" w:eastAsia="zh-CN"/>
        </w:rPr>
        <w:t>2023年</w:t>
      </w:r>
      <w:r>
        <w:rPr>
          <w:rFonts w:hint="eastAsia" w:ascii="宋体" w:hAnsi="宋体" w:eastAsia="宋体" w:cs="宋体"/>
          <w:color w:val="auto"/>
        </w:rPr>
        <w:t>组织进行第三方</w:t>
      </w:r>
      <w:r>
        <w:rPr>
          <w:rFonts w:hint="eastAsia" w:ascii="宋体" w:hAnsi="宋体" w:eastAsia="宋体" w:cs="宋体"/>
          <w:color w:val="auto"/>
          <w:lang w:eastAsia="zh-CN"/>
        </w:rPr>
        <w:t>服务</w:t>
      </w:r>
      <w:r>
        <w:rPr>
          <w:rFonts w:hint="eastAsia" w:ascii="宋体" w:hAnsi="宋体" w:eastAsia="宋体" w:cs="宋体"/>
          <w:color w:val="auto"/>
        </w:rPr>
        <w:t>机构</w:t>
      </w:r>
      <w:r>
        <w:rPr>
          <w:rFonts w:hint="eastAsia" w:ascii="宋体" w:hAnsi="宋体" w:eastAsia="宋体" w:cs="宋体"/>
          <w:color w:val="auto"/>
          <w:lang w:eastAsia="zh-CN"/>
        </w:rPr>
        <w:t>的询价及招标</w:t>
      </w:r>
      <w:r>
        <w:rPr>
          <w:rFonts w:hint="eastAsia" w:ascii="宋体" w:hAnsi="宋体" w:eastAsia="宋体" w:cs="宋体"/>
          <w:color w:val="auto"/>
        </w:rPr>
        <w:t>，按照监测方案严格执行监测。</w:t>
      </w:r>
    </w:p>
    <w:p>
      <w:pPr>
        <w:spacing w:before="40" w:after="40"/>
        <w:rPr>
          <w:rFonts w:hint="eastAsia" w:eastAsia="宋体"/>
          <w:lang w:eastAsia="zh-CN"/>
        </w:rPr>
      </w:pPr>
    </w:p>
    <w:p>
      <w:pPr>
        <w:spacing w:before="40" w:after="40"/>
        <w:rPr>
          <w:rFonts w:hint="eastAsia" w:eastAsiaTheme="minorEastAsia"/>
          <w:b/>
          <w:lang w:val="en-US" w:eastAsia="zh-CN"/>
        </w:rPr>
      </w:pPr>
    </w:p>
    <w:p>
      <w:pPr>
        <w:spacing w:before="40" w:after="40"/>
        <w:rPr>
          <w:b/>
        </w:rPr>
      </w:pPr>
      <w:r>
        <w:rPr>
          <w:rFonts w:hint="eastAsia"/>
          <w:b/>
        </w:rPr>
        <w:t>6、其他应当公开的环境信息</w:t>
      </w:r>
    </w:p>
    <w:p>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color w:val="auto"/>
        </w:rPr>
      </w:pPr>
      <w:r>
        <w:rPr>
          <w:rFonts w:hint="eastAsia" w:ascii="宋体" w:hAnsi="宋体" w:eastAsia="宋体" w:cs="宋体"/>
          <w:color w:val="auto"/>
        </w:rPr>
        <w:t>公司根据环境信息公开要求，每年在公共网站公开年度监测情况；焚烧烟气自动在线监测数据持续在厂区门口LED屏对外公开，接受社会监督。</w:t>
      </w:r>
      <w:r>
        <w:rPr>
          <w:rFonts w:hint="eastAsia" w:ascii="宋体" w:hAnsi="宋体" w:eastAsia="宋体" w:cs="宋体"/>
          <w:color w:val="auto"/>
          <w:lang w:val="en-US" w:eastAsia="zh-CN"/>
        </w:rPr>
        <w:t>根据新疆维吾尔自治区生态环境厅要求，自2020年8月份开始，已在自治区环境监测共享平台上实施信息公开。</w:t>
      </w:r>
    </w:p>
    <w:p>
      <w:pPr>
        <w:spacing w:before="40" w:after="40"/>
        <w:rPr>
          <w:b/>
        </w:rPr>
      </w:pPr>
    </w:p>
    <w:p>
      <w:pPr>
        <w:spacing w:before="40" w:after="40"/>
        <w:rPr>
          <w:b/>
        </w:rPr>
      </w:pPr>
      <w:r>
        <w:rPr>
          <w:b/>
        </w:rPr>
        <w:t>7</w:t>
      </w:r>
      <w:r>
        <w:rPr>
          <w:rFonts w:hint="eastAsia"/>
          <w:b/>
        </w:rPr>
        <w:t>、其他环保相关信息</w:t>
      </w:r>
    </w:p>
    <w:p>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color w:val="auto"/>
        </w:rPr>
      </w:pPr>
      <w:r>
        <w:rPr>
          <w:rFonts w:hint="eastAsia" w:ascii="宋体" w:hAnsi="宋体" w:eastAsia="宋体" w:cs="宋体"/>
          <w:color w:val="auto"/>
        </w:rPr>
        <w:t>公司焚烧车间烟气排放执行《危险废物焚烧污染物控制标准》（GB18484-20</w:t>
      </w:r>
      <w:r>
        <w:rPr>
          <w:rFonts w:hint="eastAsia" w:ascii="宋体" w:hAnsi="宋体" w:eastAsia="宋体" w:cs="宋体"/>
          <w:color w:val="auto"/>
          <w:lang w:val="en-US" w:eastAsia="zh-CN"/>
        </w:rPr>
        <w:t>20</w:t>
      </w:r>
      <w:r>
        <w:rPr>
          <w:rFonts w:hint="eastAsia" w:ascii="宋体" w:hAnsi="宋体" w:eastAsia="宋体" w:cs="宋体"/>
          <w:color w:val="auto"/>
        </w:rPr>
        <w:t>）；公司根据相关法律法规规定，设置焚烧车间烟气排放口，并安装烟气自动在线监测系统；焚烧烟气污染物20</w:t>
      </w:r>
      <w:r>
        <w:rPr>
          <w:rFonts w:hint="eastAsia" w:ascii="宋体" w:hAnsi="宋体" w:eastAsia="宋体" w:cs="宋体"/>
          <w:color w:val="auto"/>
          <w:lang w:val="en-US" w:eastAsia="zh-CN"/>
        </w:rPr>
        <w:t>22上半年</w:t>
      </w:r>
      <w:r>
        <w:rPr>
          <w:rFonts w:hint="eastAsia" w:ascii="宋体" w:hAnsi="宋体" w:eastAsia="宋体" w:cs="宋体"/>
          <w:color w:val="auto"/>
        </w:rPr>
        <w:t>无超标情况，达标排放。</w:t>
      </w:r>
    </w:p>
    <w:p>
      <w:pPr>
        <w:spacing w:before="40" w:after="40"/>
        <w:rPr>
          <w:rFonts w:hint="eastAsia"/>
          <w:b/>
        </w:rPr>
      </w:pPr>
      <w:bookmarkStart w:id="0" w:name="_GoBack"/>
      <w:bookmarkEnd w:id="0"/>
    </w:p>
    <w:p>
      <w:pPr>
        <w:spacing w:before="40" w:after="40"/>
        <w:rPr>
          <w:b/>
        </w:rPr>
      </w:pPr>
      <w:r>
        <w:rPr>
          <w:b/>
        </w:rPr>
        <w:t>8</w:t>
      </w:r>
      <w:r>
        <w:rPr>
          <w:rFonts w:hint="eastAsia"/>
          <w:b/>
        </w:rPr>
        <w:t>、</w:t>
      </w:r>
      <w:r>
        <w:rPr>
          <w:b/>
        </w:rPr>
        <w:t>202</w:t>
      </w:r>
      <w:r>
        <w:rPr>
          <w:rFonts w:hint="eastAsia"/>
          <w:b/>
          <w:lang w:val="en-US" w:eastAsia="zh-CN"/>
        </w:rPr>
        <w:t>3上半</w:t>
      </w:r>
      <w:r>
        <w:rPr>
          <w:rFonts w:hint="eastAsia"/>
          <w:b/>
        </w:rPr>
        <w:t>年安全环保行政处罚情况</w:t>
      </w:r>
    </w:p>
    <w:p>
      <w:r>
        <w:rPr>
          <w:rFonts w:hint="eastAsia"/>
        </w:rPr>
        <w:t xml:space="preserve">  </w:t>
      </w:r>
      <w:r>
        <w:rPr>
          <w:rFonts w:hint="eastAsia"/>
          <w:lang w:val="en-US" w:eastAsia="zh-CN"/>
        </w:rPr>
        <w:t>2023上半年度</w:t>
      </w:r>
      <w:r>
        <w:rPr>
          <w:rFonts w:hint="eastAsia" w:ascii="宋体" w:hAnsi="宋体" w:eastAsia="宋体" w:cs="宋体"/>
          <w:color w:val="auto"/>
        </w:rPr>
        <w:t>公司未受到安全、环保、职业健康、消防等方面的行政处罚。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D4647C"/>
    <w:multiLevelType w:val="multilevel"/>
    <w:tmpl w:val="59D4647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3F04A26"/>
    <w:multiLevelType w:val="multilevel"/>
    <w:tmpl w:val="63F04A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liZDAxOTkwNzEyMDMwOGIyNWI2MTJjYWYzMWU2ZWIifQ=="/>
  </w:docVars>
  <w:rsids>
    <w:rsidRoot w:val="00086BF2"/>
    <w:rsid w:val="00020DED"/>
    <w:rsid w:val="000279AE"/>
    <w:rsid w:val="00054235"/>
    <w:rsid w:val="00073A62"/>
    <w:rsid w:val="00086BF2"/>
    <w:rsid w:val="000954B0"/>
    <w:rsid w:val="000E19E9"/>
    <w:rsid w:val="000F5C11"/>
    <w:rsid w:val="0013477F"/>
    <w:rsid w:val="001A3970"/>
    <w:rsid w:val="00204E92"/>
    <w:rsid w:val="002116C4"/>
    <w:rsid w:val="00223169"/>
    <w:rsid w:val="00256E26"/>
    <w:rsid w:val="002C2769"/>
    <w:rsid w:val="002C54EB"/>
    <w:rsid w:val="002F30B7"/>
    <w:rsid w:val="00303839"/>
    <w:rsid w:val="00365D6D"/>
    <w:rsid w:val="003937AE"/>
    <w:rsid w:val="003A20CE"/>
    <w:rsid w:val="003C2883"/>
    <w:rsid w:val="003C67D2"/>
    <w:rsid w:val="003D5AE3"/>
    <w:rsid w:val="003E2F8C"/>
    <w:rsid w:val="003F01D1"/>
    <w:rsid w:val="0041396A"/>
    <w:rsid w:val="00446236"/>
    <w:rsid w:val="00476D1C"/>
    <w:rsid w:val="004A4624"/>
    <w:rsid w:val="004F3F52"/>
    <w:rsid w:val="004F500A"/>
    <w:rsid w:val="00503AEE"/>
    <w:rsid w:val="005128EB"/>
    <w:rsid w:val="0051672E"/>
    <w:rsid w:val="00535184"/>
    <w:rsid w:val="0054236B"/>
    <w:rsid w:val="005578E1"/>
    <w:rsid w:val="005747DF"/>
    <w:rsid w:val="005A3D04"/>
    <w:rsid w:val="00627582"/>
    <w:rsid w:val="006B4A31"/>
    <w:rsid w:val="006B71F3"/>
    <w:rsid w:val="006C329A"/>
    <w:rsid w:val="006D0E0E"/>
    <w:rsid w:val="006E42E5"/>
    <w:rsid w:val="0070172D"/>
    <w:rsid w:val="00706BF3"/>
    <w:rsid w:val="007B65A8"/>
    <w:rsid w:val="007C751D"/>
    <w:rsid w:val="007D5E69"/>
    <w:rsid w:val="007E41F9"/>
    <w:rsid w:val="00811597"/>
    <w:rsid w:val="0082761C"/>
    <w:rsid w:val="008515A9"/>
    <w:rsid w:val="00854632"/>
    <w:rsid w:val="00893719"/>
    <w:rsid w:val="008B5E7F"/>
    <w:rsid w:val="008D4EDC"/>
    <w:rsid w:val="008E2A7C"/>
    <w:rsid w:val="009379FA"/>
    <w:rsid w:val="00950257"/>
    <w:rsid w:val="009679AF"/>
    <w:rsid w:val="009753F9"/>
    <w:rsid w:val="00994F39"/>
    <w:rsid w:val="0099521D"/>
    <w:rsid w:val="009A4100"/>
    <w:rsid w:val="009B23EB"/>
    <w:rsid w:val="009E0E73"/>
    <w:rsid w:val="00A1105E"/>
    <w:rsid w:val="00A93928"/>
    <w:rsid w:val="00AA4295"/>
    <w:rsid w:val="00AD5A30"/>
    <w:rsid w:val="00AE7F2B"/>
    <w:rsid w:val="00B222AF"/>
    <w:rsid w:val="00B25EF7"/>
    <w:rsid w:val="00B7131C"/>
    <w:rsid w:val="00B724F8"/>
    <w:rsid w:val="00BB3FB6"/>
    <w:rsid w:val="00BE06C1"/>
    <w:rsid w:val="00BF6D4D"/>
    <w:rsid w:val="00C1391E"/>
    <w:rsid w:val="00C17155"/>
    <w:rsid w:val="00C24885"/>
    <w:rsid w:val="00C85D75"/>
    <w:rsid w:val="00C95B40"/>
    <w:rsid w:val="00CA4707"/>
    <w:rsid w:val="00CD6506"/>
    <w:rsid w:val="00D74D1B"/>
    <w:rsid w:val="00D77B2C"/>
    <w:rsid w:val="00D81F10"/>
    <w:rsid w:val="00D83F8E"/>
    <w:rsid w:val="00D948EF"/>
    <w:rsid w:val="00DA60CF"/>
    <w:rsid w:val="00DD68C7"/>
    <w:rsid w:val="00DE62E9"/>
    <w:rsid w:val="00E14024"/>
    <w:rsid w:val="00E41DAC"/>
    <w:rsid w:val="00E56EB1"/>
    <w:rsid w:val="00E6415F"/>
    <w:rsid w:val="00E73D2F"/>
    <w:rsid w:val="00ED7E1E"/>
    <w:rsid w:val="00EE5DAE"/>
    <w:rsid w:val="00F2048C"/>
    <w:rsid w:val="00F31F04"/>
    <w:rsid w:val="00F911CD"/>
    <w:rsid w:val="00FA354D"/>
    <w:rsid w:val="00FD5B61"/>
    <w:rsid w:val="00FE314D"/>
    <w:rsid w:val="269B0D7B"/>
    <w:rsid w:val="2913281E"/>
    <w:rsid w:val="32DF45E0"/>
    <w:rsid w:val="34ED19F5"/>
    <w:rsid w:val="3AE849B2"/>
    <w:rsid w:val="3D8A4484"/>
    <w:rsid w:val="40383DFF"/>
    <w:rsid w:val="51B33764"/>
    <w:rsid w:val="54EE33D3"/>
    <w:rsid w:val="58B130E3"/>
    <w:rsid w:val="5D294C31"/>
    <w:rsid w:val="5E1A35F4"/>
    <w:rsid w:val="6E745963"/>
    <w:rsid w:val="7B002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qFormat/>
    <w:uiPriority w:val="0"/>
    <w:pPr>
      <w:spacing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Emphasis"/>
    <w:basedOn w:val="7"/>
    <w:qFormat/>
    <w:uiPriority w:val="20"/>
    <w:rPr>
      <w:i/>
    </w:rPr>
  </w:style>
  <w:style w:type="character" w:styleId="9">
    <w:name w:val="Hyperlink"/>
    <w:basedOn w:val="7"/>
    <w:semiHidden/>
    <w:unhideWhenUsed/>
    <w:qFormat/>
    <w:uiPriority w:val="99"/>
    <w:rPr>
      <w:color w:val="0000FF"/>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paragraph" w:customStyle="1" w:styleId="12">
    <w:name w:val="Section"/>
    <w:next w:val="1"/>
    <w:qFormat/>
    <w:uiPriority w:val="99"/>
    <w:pPr>
      <w:keepNext/>
      <w:keepLines/>
      <w:widowControl w:val="0"/>
      <w:spacing w:before="300" w:after="300" w:line="241" w:lineRule="auto"/>
      <w:jc w:val="both"/>
    </w:pPr>
    <w:rPr>
      <w:rFonts w:ascii="Times New Roman" w:hAnsi="Times New Roman" w:eastAsia="宋体" w:cs="Times New Roman"/>
      <w:b/>
      <w:bCs/>
      <w:kern w:val="28"/>
      <w:sz w:val="21"/>
      <w:szCs w:val="21"/>
      <w:lang w:val="en-US" w:eastAsia="zh-CN" w:bidi="ar-SA"/>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AD9DD-FD5A-487B-A458-25575EC8CF61}">
  <ds:schemaRefs/>
</ds:datastoreItem>
</file>

<file path=docProps/app.xml><?xml version="1.0" encoding="utf-8"?>
<Properties xmlns="http://schemas.openxmlformats.org/officeDocument/2006/extended-properties" xmlns:vt="http://schemas.openxmlformats.org/officeDocument/2006/docPropsVTypes">
  <Template>Normal</Template>
  <Pages>5</Pages>
  <Words>3355</Words>
  <Characters>3505</Characters>
  <Lines>7</Lines>
  <Paragraphs>2</Paragraphs>
  <TotalTime>1</TotalTime>
  <ScaleCrop>false</ScaleCrop>
  <LinksUpToDate>false</LinksUpToDate>
  <CharactersWithSpaces>3521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2022-01-18T02:54:00Z</dcterms:created>
  <dc:creator>王庆荣</dc:creator>
  <cp:lastModifiedBy>断弦</cp:lastModifiedBy>
  <dcterms:modified xsi:type="dcterms:W3CDTF">2023-09-04T07:59:08Z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C3E590AAF5F7458DBB2699A671916655</vt:lpwstr>
  </property>
</Properties>
</file>