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6FBF6"/>
  <w:body>
    <w:p>
      <w:pPr>
        <w:pStyle w:val="18"/>
        <w:spacing w:before="0" w:beforeAutospacing="0" w:after="0" w:afterAutospacing="0" w:line="360" w:lineRule="auto"/>
        <w:jc w:val="center"/>
        <w:outlineLvl w:val="0"/>
        <w:rPr>
          <w:rFonts w:hint="eastAsia" w:ascii="Times New Roman" w:hAnsi="Times New Roman" w:eastAsia="宋体" w:cs="Times New Roman"/>
          <w:b/>
          <w:bCs/>
          <w:color w:val="000000"/>
          <w:sz w:val="30"/>
          <w:szCs w:val="30"/>
          <w:lang w:eastAsia="zh-CN"/>
        </w:rPr>
      </w:pPr>
      <w:r>
        <w:rPr>
          <w:rFonts w:hint="eastAsia" w:ascii="Times New Roman" w:hAnsi="Times New Roman" w:cs="Times New Roman"/>
          <w:b/>
          <w:bCs/>
          <w:color w:val="000000"/>
          <w:sz w:val="30"/>
          <w:szCs w:val="30"/>
          <w:lang w:eastAsia="zh-CN"/>
        </w:rPr>
        <w:t>年产16万吨沥青混凝土、10万吨水稳料建设项目</w:t>
      </w:r>
    </w:p>
    <w:p>
      <w:pPr>
        <w:pStyle w:val="18"/>
        <w:spacing w:before="0" w:beforeAutospacing="0" w:after="0" w:afterAutospacing="0" w:line="360" w:lineRule="auto"/>
        <w:jc w:val="center"/>
        <w:outlineLvl w:val="0"/>
        <w:rPr>
          <w:rFonts w:hint="default" w:ascii="Times New Roman" w:hAnsi="Times New Roman" w:cs="Times New Roman"/>
          <w:b/>
          <w:bCs/>
          <w:color w:val="000000"/>
          <w:sz w:val="30"/>
          <w:szCs w:val="30"/>
        </w:rPr>
      </w:pPr>
      <w:r>
        <w:rPr>
          <w:rFonts w:hint="default" w:ascii="Times New Roman" w:hAnsi="Times New Roman" w:cs="Times New Roman"/>
          <w:b/>
          <w:bCs/>
          <w:color w:val="000000"/>
          <w:sz w:val="30"/>
          <w:szCs w:val="30"/>
        </w:rPr>
        <w:t>竣工环境保护验收意见</w:t>
      </w:r>
    </w:p>
    <w:p>
      <w:pPr>
        <w:pStyle w:val="18"/>
        <w:spacing w:before="0" w:beforeAutospacing="0" w:after="0" w:afterAutospacing="0" w:line="360" w:lineRule="auto"/>
        <w:ind w:firstLine="480" w:firstLineChars="200"/>
        <w:jc w:val="both"/>
        <w:outlineLvl w:val="0"/>
        <w:rPr>
          <w:rFonts w:hint="default" w:ascii="Times New Roman" w:hAnsi="Times New Roman" w:eastAsia="宋体" w:cs="Times New Roman"/>
          <w:sz w:val="24"/>
          <w:szCs w:val="24"/>
          <w:lang w:val="en-US" w:eastAsia="zh-CN"/>
        </w:rPr>
      </w:pPr>
    </w:p>
    <w:p>
      <w:pPr>
        <w:pStyle w:val="18"/>
        <w:spacing w:before="0" w:beforeAutospacing="0" w:after="0" w:afterAutospacing="0" w:line="360" w:lineRule="auto"/>
        <w:ind w:firstLine="480" w:firstLineChars="200"/>
        <w:jc w:val="both"/>
        <w:outlineLvl w:val="0"/>
        <w:rPr>
          <w:rFonts w:hint="default" w:ascii="Times New Roman" w:hAnsi="Times New Roman" w:eastAsia="宋体" w:cs="Times New Roman"/>
          <w:sz w:val="24"/>
          <w:szCs w:val="24"/>
        </w:rPr>
      </w:pPr>
      <w:r>
        <w:rPr>
          <w:rFonts w:hint="default" w:ascii="Times New Roman" w:hAnsi="Times New Roman" w:eastAsia="宋体" w:cs="Times New Roman"/>
          <w:sz w:val="24"/>
          <w:szCs w:val="24"/>
          <w:lang w:val="en-US" w:eastAsia="zh-CN"/>
        </w:rPr>
        <w:t>20</w:t>
      </w:r>
      <w:r>
        <w:rPr>
          <w:rFonts w:hint="eastAsia" w:ascii="Times New Roman" w:hAnsi="Times New Roman" w:cs="Times New Roman"/>
          <w:sz w:val="24"/>
          <w:szCs w:val="24"/>
          <w:lang w:val="en-US" w:eastAsia="zh-CN"/>
        </w:rPr>
        <w:t>23</w:t>
      </w:r>
      <w:r>
        <w:rPr>
          <w:rFonts w:hint="default" w:ascii="Times New Roman" w:hAnsi="Times New Roman" w:eastAsia="宋体" w:cs="Times New Roman"/>
          <w:sz w:val="24"/>
          <w:szCs w:val="24"/>
        </w:rPr>
        <w:t>年</w:t>
      </w:r>
      <w:r>
        <w:rPr>
          <w:rFonts w:hint="eastAsia" w:ascii="Times New Roman" w:hAnsi="Times New Roman" w:cs="Times New Roman"/>
          <w:sz w:val="24"/>
          <w:szCs w:val="24"/>
          <w:lang w:val="en-US" w:eastAsia="zh-CN"/>
        </w:rPr>
        <w:t>8</w:t>
      </w:r>
      <w:r>
        <w:rPr>
          <w:rFonts w:hint="default" w:ascii="Times New Roman" w:hAnsi="Times New Roman" w:eastAsia="宋体" w:cs="Times New Roman"/>
          <w:sz w:val="24"/>
          <w:szCs w:val="24"/>
        </w:rPr>
        <w:t>月</w:t>
      </w:r>
      <w:r>
        <w:rPr>
          <w:rFonts w:hint="eastAsia" w:ascii="Times New Roman" w:hAnsi="Times New Roman" w:cs="Times New Roman"/>
          <w:sz w:val="24"/>
          <w:szCs w:val="24"/>
          <w:lang w:val="en-US" w:eastAsia="zh-CN"/>
        </w:rPr>
        <w:t>11</w:t>
      </w:r>
      <w:r>
        <w:rPr>
          <w:rFonts w:hint="default" w:ascii="Times New Roman" w:hAnsi="Times New Roman" w:eastAsia="宋体" w:cs="Times New Roman"/>
          <w:sz w:val="24"/>
          <w:szCs w:val="24"/>
          <w:lang w:eastAsia="zh-CN"/>
        </w:rPr>
        <w:t>日</w:t>
      </w:r>
      <w:r>
        <w:rPr>
          <w:rFonts w:hint="eastAsia" w:ascii="Times New Roman" w:hAnsi="Times New Roman" w:cs="Times New Roman"/>
          <w:sz w:val="24"/>
          <w:szCs w:val="24"/>
          <w:lang w:eastAsia="zh-CN"/>
        </w:rPr>
        <w:t>邵阳宝华工程建设有限公司</w:t>
      </w:r>
      <w:r>
        <w:rPr>
          <w:rFonts w:hint="default" w:ascii="Times New Roman" w:hAnsi="Times New Roman" w:eastAsia="宋体" w:cs="Times New Roman"/>
          <w:sz w:val="24"/>
          <w:szCs w:val="24"/>
          <w:lang w:eastAsia="zh-CN"/>
        </w:rPr>
        <w:t>组织召开了</w:t>
      </w:r>
      <w:r>
        <w:rPr>
          <w:rFonts w:hint="eastAsia" w:ascii="Times New Roman" w:hAnsi="Times New Roman" w:cs="Times New Roman"/>
          <w:sz w:val="24"/>
          <w:szCs w:val="24"/>
          <w:lang w:eastAsia="zh-CN"/>
        </w:rPr>
        <w:t>年产16万吨沥青混凝土、10万吨水稳料建设项目</w:t>
      </w:r>
      <w:r>
        <w:rPr>
          <w:rFonts w:hint="default" w:ascii="Times New Roman" w:hAnsi="Times New Roman" w:eastAsia="宋体" w:cs="Times New Roman"/>
          <w:sz w:val="24"/>
          <w:szCs w:val="24"/>
          <w:lang w:eastAsia="zh-CN"/>
        </w:rPr>
        <w:t>竣工环境</w:t>
      </w:r>
      <w:r>
        <w:rPr>
          <w:rFonts w:hint="eastAsia" w:ascii="Times New Roman" w:hAnsi="Times New Roman" w:cs="Times New Roman"/>
          <w:sz w:val="24"/>
          <w:szCs w:val="24"/>
          <w:lang w:val="en-US" w:eastAsia="zh-CN"/>
        </w:rPr>
        <w:t>保护</w:t>
      </w:r>
      <w:r>
        <w:rPr>
          <w:rFonts w:hint="default" w:ascii="Times New Roman" w:hAnsi="Times New Roman" w:eastAsia="宋体" w:cs="Times New Roman"/>
          <w:sz w:val="24"/>
          <w:szCs w:val="24"/>
          <w:lang w:eastAsia="zh-CN"/>
        </w:rPr>
        <w:t>验收会议，参加会议的有三位专家、邵阳</w:t>
      </w:r>
      <w:r>
        <w:rPr>
          <w:rFonts w:hint="eastAsia" w:ascii="Times New Roman" w:hAnsi="Times New Roman" w:cs="Times New Roman"/>
          <w:sz w:val="24"/>
          <w:szCs w:val="24"/>
          <w:lang w:val="en-US" w:eastAsia="zh-CN"/>
        </w:rPr>
        <w:t>市生态</w:t>
      </w:r>
      <w:r>
        <w:rPr>
          <w:rFonts w:hint="default" w:ascii="Times New Roman" w:hAnsi="Times New Roman" w:eastAsia="宋体" w:cs="Times New Roman"/>
          <w:sz w:val="24"/>
          <w:szCs w:val="24"/>
          <w:lang w:eastAsia="zh-CN"/>
        </w:rPr>
        <w:t>环境局</w:t>
      </w:r>
      <w:r>
        <w:rPr>
          <w:rFonts w:hint="eastAsia" w:ascii="Times New Roman" w:hAnsi="Times New Roman" w:cs="Times New Roman"/>
          <w:sz w:val="24"/>
          <w:szCs w:val="24"/>
          <w:lang w:val="en-US" w:eastAsia="zh-CN"/>
        </w:rPr>
        <w:t>邵阳县分局</w:t>
      </w:r>
      <w:r>
        <w:rPr>
          <w:rFonts w:hint="default" w:ascii="Times New Roman" w:hAnsi="Times New Roman" w:eastAsia="宋体" w:cs="Times New Roman"/>
          <w:sz w:val="24"/>
          <w:szCs w:val="24"/>
          <w:lang w:eastAsia="zh-CN"/>
        </w:rPr>
        <w:t>等单位的领导和代表（名单附后）。与会代表查看了项目的现场，听取了建设单位和验收监测单位关于该项目竣工环境保护验收有关情况的介绍，审阅了项目竣工</w:t>
      </w:r>
      <w:r>
        <w:rPr>
          <w:rFonts w:hint="eastAsia" w:ascii="Times New Roman" w:hAnsi="Times New Roman" w:cs="Times New Roman"/>
          <w:sz w:val="24"/>
          <w:szCs w:val="24"/>
          <w:lang w:val="en-US" w:eastAsia="zh-CN"/>
        </w:rPr>
        <w:t>环境保护</w:t>
      </w:r>
      <w:r>
        <w:rPr>
          <w:rFonts w:hint="default" w:ascii="Times New Roman" w:hAnsi="Times New Roman" w:eastAsia="宋体" w:cs="Times New Roman"/>
          <w:sz w:val="24"/>
          <w:szCs w:val="24"/>
          <w:lang w:eastAsia="zh-CN"/>
        </w:rPr>
        <w:t>验收资料，</w:t>
      </w:r>
      <w:r>
        <w:rPr>
          <w:rFonts w:hint="default" w:ascii="Times New Roman" w:hAnsi="Times New Roman" w:eastAsia="宋体" w:cs="Times New Roman"/>
          <w:sz w:val="24"/>
          <w:szCs w:val="24"/>
        </w:rPr>
        <w:t>严格依照国家有关法律法规、建设项目竣工环境保护验收技术规范、项目环境影响评价报告表和审批部门审批决定等要求对本项目进行验收</w:t>
      </w:r>
      <w:r>
        <w:rPr>
          <w:rFonts w:hint="default" w:ascii="Times New Roman" w:hAnsi="Times New Roman" w:eastAsia="宋体" w:cs="Times New Roman"/>
          <w:sz w:val="24"/>
          <w:szCs w:val="24"/>
          <w:lang w:eastAsia="zh-CN"/>
        </w:rPr>
        <w:t>。提出意见如下：</w:t>
      </w:r>
    </w:p>
    <w:p>
      <w:pPr>
        <w:spacing w:line="360" w:lineRule="auto"/>
        <w:jc w:val="left"/>
        <w:rPr>
          <w:rFonts w:hint="default" w:ascii="Times New Roman" w:hAnsi="Times New Roman" w:eastAsia="宋体" w:cs="Times New Roman"/>
          <w:b/>
          <w:bCs/>
          <w:color w:val="auto"/>
          <w:sz w:val="24"/>
          <w:szCs w:val="24"/>
          <w:lang w:val="en-US" w:eastAsia="zh-CN"/>
        </w:rPr>
      </w:pPr>
      <w:r>
        <w:rPr>
          <w:rFonts w:hint="default" w:ascii="Times New Roman" w:hAnsi="Times New Roman" w:eastAsia="宋体" w:cs="Times New Roman"/>
          <w:b/>
          <w:bCs/>
          <w:color w:val="auto"/>
          <w:sz w:val="24"/>
          <w:szCs w:val="24"/>
          <w:lang w:val="en-US" w:eastAsia="zh-CN"/>
        </w:rPr>
        <w:t>一、工程建设基本情况</w:t>
      </w:r>
    </w:p>
    <w:p>
      <w:pPr>
        <w:spacing w:line="360" w:lineRule="auto"/>
        <w:ind w:firstLine="480" w:firstLineChars="200"/>
        <w:jc w:val="left"/>
        <w:rPr>
          <w:rFonts w:hint="default" w:ascii="Times New Roman" w:hAnsi="Times New Roman" w:eastAsia="宋体" w:cs="Times New Roman"/>
          <w:b w:val="0"/>
          <w:bCs w:val="0"/>
          <w:color w:val="auto"/>
          <w:sz w:val="24"/>
          <w:szCs w:val="24"/>
          <w:lang w:val="en-US" w:eastAsia="zh-CN"/>
        </w:rPr>
      </w:pPr>
      <w:r>
        <w:rPr>
          <w:rFonts w:hint="default" w:ascii="Times New Roman" w:hAnsi="Times New Roman" w:eastAsia="宋体" w:cs="Times New Roman"/>
          <w:b w:val="0"/>
          <w:bCs w:val="0"/>
          <w:color w:val="auto"/>
          <w:sz w:val="24"/>
          <w:szCs w:val="24"/>
          <w:lang w:val="en-US" w:eastAsia="zh-CN"/>
        </w:rPr>
        <w:t>（一）建设地点、规模、主要建设内容</w:t>
      </w:r>
    </w:p>
    <w:p>
      <w:pPr>
        <w:spacing w:line="360" w:lineRule="auto"/>
        <w:ind w:firstLine="480"/>
        <w:rPr>
          <w:rFonts w:hint="default" w:ascii="Times New Roman" w:hAnsi="Times New Roman" w:cs="Times New Roman" w:eastAsiaTheme="minorEastAsia"/>
          <w:sz w:val="24"/>
          <w:szCs w:val="24"/>
          <w:lang w:val="en-US" w:eastAsia="zh-CN"/>
        </w:rPr>
      </w:pPr>
      <w:r>
        <w:rPr>
          <w:rFonts w:hint="eastAsia" w:ascii="Times New Roman" w:hAnsi="Times New Roman" w:cs="Times New Roman"/>
          <w:sz w:val="24"/>
          <w:szCs w:val="24"/>
          <w:lang w:val="en-US" w:eastAsia="zh-CN"/>
        </w:rPr>
        <w:t>邵阳宝华工程建设有限公司</w:t>
      </w:r>
      <w:r>
        <w:rPr>
          <w:rFonts w:hint="default" w:ascii="Times New Roman" w:hAnsi="Times New Roman" w:cs="Times New Roman" w:eastAsiaTheme="minorEastAsia"/>
          <w:sz w:val="24"/>
          <w:szCs w:val="24"/>
          <w:lang w:val="en-US" w:eastAsia="zh-CN"/>
        </w:rPr>
        <w:t>位于</w:t>
      </w:r>
      <w:r>
        <w:rPr>
          <w:rFonts w:hint="default" w:ascii="Times New Roman" w:hAnsi="Times New Roman" w:cs="Times New Roman"/>
          <w:sz w:val="24"/>
          <w:szCs w:val="24"/>
          <w:lang w:val="en-US" w:eastAsia="zh-CN"/>
        </w:rPr>
        <w:t>邵阳县谷州镇黄坳村八、九组</w:t>
      </w:r>
      <w:r>
        <w:rPr>
          <w:rFonts w:hint="default" w:ascii="Times New Roman" w:hAnsi="Times New Roman" w:cs="Times New Roman" w:eastAsiaTheme="minorEastAsia"/>
          <w:sz w:val="24"/>
          <w:szCs w:val="24"/>
          <w:lang w:val="en-US" w:eastAsia="zh-CN"/>
        </w:rPr>
        <w:t>。本项目于202</w:t>
      </w:r>
      <w:r>
        <w:rPr>
          <w:rFonts w:hint="eastAsia" w:ascii="Times New Roman" w:hAnsi="Times New Roman" w:cs="Times New Roman"/>
          <w:sz w:val="24"/>
          <w:szCs w:val="24"/>
          <w:lang w:val="en-US" w:eastAsia="zh-CN"/>
        </w:rPr>
        <w:t>0</w:t>
      </w:r>
      <w:r>
        <w:rPr>
          <w:rFonts w:hint="default" w:ascii="Times New Roman" w:hAnsi="Times New Roman" w:cs="Times New Roman" w:eastAsiaTheme="minorEastAsia"/>
          <w:sz w:val="24"/>
          <w:szCs w:val="24"/>
          <w:lang w:val="en-US" w:eastAsia="zh-CN"/>
        </w:rPr>
        <w:t>年1</w:t>
      </w:r>
      <w:r>
        <w:rPr>
          <w:rFonts w:hint="eastAsia" w:ascii="Times New Roman" w:hAnsi="Times New Roman" w:cs="Times New Roman"/>
          <w:sz w:val="24"/>
          <w:szCs w:val="24"/>
          <w:lang w:val="en-US" w:eastAsia="zh-CN"/>
        </w:rPr>
        <w:t>2</w:t>
      </w:r>
      <w:r>
        <w:rPr>
          <w:rFonts w:hint="default" w:ascii="Times New Roman" w:hAnsi="Times New Roman" w:cs="Times New Roman" w:eastAsiaTheme="minorEastAsia"/>
          <w:sz w:val="24"/>
          <w:szCs w:val="24"/>
          <w:lang w:val="en-US" w:eastAsia="zh-CN"/>
        </w:rPr>
        <w:t>月开始建设，于202</w:t>
      </w:r>
      <w:r>
        <w:rPr>
          <w:rFonts w:hint="eastAsia" w:ascii="Times New Roman" w:hAnsi="Times New Roman" w:cs="Times New Roman"/>
          <w:sz w:val="24"/>
          <w:szCs w:val="24"/>
          <w:lang w:val="en-US" w:eastAsia="zh-CN"/>
        </w:rPr>
        <w:t>2</w:t>
      </w:r>
      <w:r>
        <w:rPr>
          <w:rFonts w:hint="default" w:ascii="Times New Roman" w:hAnsi="Times New Roman" w:cs="Times New Roman" w:eastAsiaTheme="minorEastAsia"/>
          <w:sz w:val="24"/>
          <w:szCs w:val="24"/>
          <w:lang w:val="en-US" w:eastAsia="zh-CN"/>
        </w:rPr>
        <w:t>年</w:t>
      </w:r>
      <w:r>
        <w:rPr>
          <w:rFonts w:hint="eastAsia" w:ascii="Times New Roman" w:hAnsi="Times New Roman" w:cs="Times New Roman"/>
          <w:sz w:val="24"/>
          <w:szCs w:val="24"/>
          <w:lang w:val="en-US" w:eastAsia="zh-CN"/>
        </w:rPr>
        <w:t>11</w:t>
      </w:r>
      <w:r>
        <w:rPr>
          <w:rFonts w:hint="default" w:ascii="Times New Roman" w:hAnsi="Times New Roman" w:cs="Times New Roman" w:eastAsiaTheme="minorEastAsia"/>
          <w:sz w:val="24"/>
          <w:szCs w:val="24"/>
          <w:lang w:val="en-US" w:eastAsia="zh-CN"/>
        </w:rPr>
        <w:t>月建成投产。项目实际总投资1000万元，占地面积</w:t>
      </w:r>
      <w:r>
        <w:rPr>
          <w:rFonts w:hint="eastAsia" w:ascii="Times New Roman" w:hAnsi="Times New Roman" w:cs="Times New Roman"/>
          <w:sz w:val="24"/>
          <w:szCs w:val="24"/>
          <w:lang w:val="en-US" w:eastAsia="zh-CN"/>
        </w:rPr>
        <w:t>6666.6</w:t>
      </w:r>
      <w:r>
        <w:rPr>
          <w:rFonts w:hint="default" w:ascii="Times New Roman" w:hAnsi="Times New Roman" w:cs="Times New Roman" w:eastAsiaTheme="minorEastAsia"/>
          <w:sz w:val="24"/>
          <w:szCs w:val="24"/>
          <w:lang w:val="en-US" w:eastAsia="zh-CN"/>
        </w:rPr>
        <w:t>平方米。主要建设内容包括沥青混凝土搅拌站2250 m</w:t>
      </w:r>
      <w:r>
        <w:rPr>
          <w:rFonts w:hint="default" w:ascii="Times New Roman" w:hAnsi="Times New Roman" w:cs="Times New Roman" w:eastAsiaTheme="minorEastAsia"/>
          <w:sz w:val="24"/>
          <w:szCs w:val="24"/>
          <w:vertAlign w:val="superscript"/>
          <w:lang w:val="en-US" w:eastAsia="zh-CN"/>
        </w:rPr>
        <w:t>2</w:t>
      </w:r>
      <w:r>
        <w:rPr>
          <w:rFonts w:hint="default" w:ascii="Times New Roman" w:hAnsi="Times New Roman" w:cs="Times New Roman" w:eastAsiaTheme="minorEastAsia"/>
          <w:sz w:val="24"/>
          <w:szCs w:val="24"/>
          <w:lang w:val="en-US" w:eastAsia="zh-CN"/>
        </w:rPr>
        <w:t>、水稳料搅拌站1500 m</w:t>
      </w:r>
      <w:r>
        <w:rPr>
          <w:rFonts w:hint="default" w:ascii="Times New Roman" w:hAnsi="Times New Roman" w:cs="Times New Roman" w:eastAsiaTheme="minorEastAsia"/>
          <w:sz w:val="24"/>
          <w:szCs w:val="24"/>
          <w:vertAlign w:val="superscript"/>
          <w:lang w:val="en-US" w:eastAsia="zh-CN"/>
        </w:rPr>
        <w:t>2</w:t>
      </w:r>
      <w:r>
        <w:rPr>
          <w:rFonts w:hint="default" w:ascii="Times New Roman" w:hAnsi="Times New Roman" w:cs="Times New Roman" w:eastAsiaTheme="minorEastAsia"/>
          <w:sz w:val="24"/>
          <w:szCs w:val="24"/>
          <w:lang w:val="en-US" w:eastAsia="zh-CN"/>
        </w:rPr>
        <w:t>、砂石料堆棚1500 m</w:t>
      </w:r>
      <w:r>
        <w:rPr>
          <w:rFonts w:hint="default" w:ascii="Times New Roman" w:hAnsi="Times New Roman" w:cs="Times New Roman" w:eastAsiaTheme="minorEastAsia"/>
          <w:sz w:val="24"/>
          <w:szCs w:val="24"/>
          <w:vertAlign w:val="superscript"/>
          <w:lang w:val="en-US" w:eastAsia="zh-CN"/>
        </w:rPr>
        <w:t>2</w:t>
      </w:r>
      <w:r>
        <w:rPr>
          <w:rFonts w:hint="default" w:ascii="Times New Roman" w:hAnsi="Times New Roman" w:cs="Times New Roman" w:eastAsiaTheme="minorEastAsia"/>
          <w:sz w:val="24"/>
          <w:szCs w:val="24"/>
          <w:lang w:val="en-US" w:eastAsia="zh-CN"/>
        </w:rPr>
        <w:t>、矿粉仓100 m</w:t>
      </w:r>
      <w:r>
        <w:rPr>
          <w:rFonts w:hint="default" w:ascii="Times New Roman" w:hAnsi="Times New Roman" w:cs="Times New Roman" w:eastAsiaTheme="minorEastAsia"/>
          <w:sz w:val="24"/>
          <w:szCs w:val="24"/>
          <w:vertAlign w:val="superscript"/>
          <w:lang w:val="en-US" w:eastAsia="zh-CN"/>
        </w:rPr>
        <w:t>2</w:t>
      </w:r>
      <w:r>
        <w:rPr>
          <w:rFonts w:hint="default" w:ascii="Times New Roman" w:hAnsi="Times New Roman" w:cs="Times New Roman" w:eastAsiaTheme="minorEastAsia"/>
          <w:sz w:val="24"/>
          <w:szCs w:val="24"/>
          <w:lang w:val="en-US" w:eastAsia="zh-CN"/>
        </w:rPr>
        <w:t>、水泥仓100 m</w:t>
      </w:r>
      <w:r>
        <w:rPr>
          <w:rFonts w:hint="default" w:ascii="Times New Roman" w:hAnsi="Times New Roman" w:cs="Times New Roman" w:eastAsiaTheme="minorEastAsia"/>
          <w:sz w:val="24"/>
          <w:szCs w:val="24"/>
          <w:vertAlign w:val="superscript"/>
          <w:lang w:val="en-US" w:eastAsia="zh-CN"/>
        </w:rPr>
        <w:t>2</w:t>
      </w:r>
      <w:r>
        <w:rPr>
          <w:rFonts w:hint="default" w:ascii="Times New Roman" w:hAnsi="Times New Roman" w:cs="Times New Roman" w:eastAsiaTheme="minorEastAsia"/>
          <w:sz w:val="24"/>
          <w:szCs w:val="24"/>
          <w:lang w:val="en-US" w:eastAsia="zh-CN"/>
        </w:rPr>
        <w:t>、沥青罐区50 m</w:t>
      </w:r>
      <w:r>
        <w:rPr>
          <w:rFonts w:hint="default" w:ascii="Times New Roman" w:hAnsi="Times New Roman" w:cs="Times New Roman" w:eastAsiaTheme="minorEastAsia"/>
          <w:sz w:val="24"/>
          <w:szCs w:val="24"/>
          <w:vertAlign w:val="superscript"/>
          <w:lang w:val="en-US" w:eastAsia="zh-CN"/>
        </w:rPr>
        <w:t>2</w:t>
      </w:r>
      <w:r>
        <w:rPr>
          <w:rFonts w:hint="default" w:ascii="Times New Roman" w:hAnsi="Times New Roman" w:cs="Times New Roman" w:eastAsiaTheme="minorEastAsia"/>
          <w:sz w:val="24"/>
          <w:szCs w:val="24"/>
          <w:lang w:val="en-US" w:eastAsia="zh-CN"/>
        </w:rPr>
        <w:t>，同时配套建设相关给排水、电力、消防、安防、环保等辅助工程。</w:t>
      </w:r>
    </w:p>
    <w:p>
      <w:pPr>
        <w:spacing w:line="360" w:lineRule="auto"/>
        <w:ind w:firstLine="480" w:firstLineChars="200"/>
        <w:jc w:val="left"/>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（二）建设过程及环保审批情况</w:t>
      </w:r>
    </w:p>
    <w:p>
      <w:pPr>
        <w:spacing w:line="360" w:lineRule="auto"/>
        <w:ind w:firstLine="480"/>
        <w:rPr>
          <w:rFonts w:hint="default" w:ascii="Times New Roman" w:hAnsi="Times New Roman" w:cs="Times New Roman"/>
          <w:sz w:val="24"/>
          <w:lang w:val="en-US" w:eastAsia="zh-CN"/>
        </w:rPr>
      </w:pPr>
      <w:r>
        <w:rPr>
          <w:rFonts w:hint="default" w:ascii="Times New Roman" w:hAnsi="Times New Roman" w:cs="Times New Roman"/>
          <w:sz w:val="24"/>
          <w:lang w:val="en-US" w:eastAsia="zh-CN"/>
        </w:rPr>
        <w:t>《邵阳宝华工程建设有限公司年产16万吨沥青混凝土、10万吨水稳料建设项目环境影响报告表》已于2017年6月委托湖南景玺环保科技有限公司编制完成，并于2017年6月27日由邵阳市生态环境局邵阳县分局（原邵阳县环境保护局）以“邵县环批〔2017〕11号”文予以批复。本项目于2020年12月开始建设，于2022年11月建成投产。202</w:t>
      </w:r>
      <w:r>
        <w:rPr>
          <w:rFonts w:hint="eastAsia" w:ascii="Times New Roman" w:hAnsi="Times New Roman" w:cs="Times New Roman"/>
          <w:sz w:val="24"/>
          <w:lang w:val="en-US" w:eastAsia="zh-CN"/>
        </w:rPr>
        <w:t>0</w:t>
      </w:r>
      <w:r>
        <w:rPr>
          <w:rFonts w:hint="default" w:ascii="Times New Roman" w:hAnsi="Times New Roman" w:cs="Times New Roman"/>
          <w:sz w:val="24"/>
          <w:lang w:val="en-US" w:eastAsia="zh-CN"/>
        </w:rPr>
        <w:t>年</w:t>
      </w:r>
      <w:r>
        <w:rPr>
          <w:rFonts w:hint="eastAsia" w:ascii="Times New Roman" w:hAnsi="Times New Roman" w:cs="Times New Roman"/>
          <w:sz w:val="24"/>
          <w:lang w:val="en-US" w:eastAsia="zh-CN"/>
        </w:rPr>
        <w:t>7</w:t>
      </w:r>
      <w:r>
        <w:rPr>
          <w:rFonts w:hint="default" w:ascii="Times New Roman" w:hAnsi="Times New Roman" w:cs="Times New Roman"/>
          <w:sz w:val="24"/>
          <w:lang w:val="en-US" w:eastAsia="zh-CN"/>
        </w:rPr>
        <w:t>月</w:t>
      </w:r>
      <w:r>
        <w:rPr>
          <w:rFonts w:hint="eastAsia" w:ascii="Times New Roman" w:hAnsi="Times New Roman" w:cs="Times New Roman"/>
          <w:sz w:val="24"/>
          <w:lang w:val="en-US" w:eastAsia="zh-CN"/>
        </w:rPr>
        <w:t>21</w:t>
      </w:r>
      <w:r>
        <w:rPr>
          <w:rFonts w:hint="default" w:ascii="Times New Roman" w:hAnsi="Times New Roman" w:cs="Times New Roman"/>
          <w:sz w:val="24"/>
          <w:lang w:val="en-US" w:eastAsia="zh-CN"/>
        </w:rPr>
        <w:t>日公司已获得邵阳市生态环境局发放的排污许可证，编号为91430500MA4L5UMX29</w:t>
      </w:r>
      <w:r>
        <w:rPr>
          <w:rFonts w:hint="eastAsia" w:ascii="Times New Roman" w:hAnsi="Times New Roman" w:cs="Times New Roman"/>
          <w:sz w:val="24"/>
          <w:lang w:val="en-US" w:eastAsia="zh-CN"/>
        </w:rPr>
        <w:t>001U</w:t>
      </w:r>
      <w:r>
        <w:rPr>
          <w:rFonts w:hint="default" w:ascii="Times New Roman" w:hAnsi="Times New Roman" w:cs="Times New Roman"/>
          <w:sz w:val="24"/>
          <w:lang w:val="en-US" w:eastAsia="zh-CN"/>
        </w:rPr>
        <w:t>。</w:t>
      </w:r>
    </w:p>
    <w:p>
      <w:pPr>
        <w:keepNext w:val="0"/>
        <w:keepLines w:val="0"/>
        <w:pageBreakBefore w:val="0"/>
        <w:widowControl w:val="0"/>
        <w:numPr>
          <w:ilvl w:val="0"/>
          <w:numId w:val="1"/>
        </w:numPr>
        <w:kinsoku/>
        <w:wordWrap/>
        <w:overflowPunct/>
        <w:topLinePunct w:val="0"/>
        <w:autoSpaceDE/>
        <w:autoSpaceDN/>
        <w:bidi w:val="0"/>
        <w:adjustRightInd/>
        <w:snapToGrid/>
        <w:spacing w:line="360" w:lineRule="auto"/>
        <w:ind w:left="0" w:leftChars="0" w:firstLine="480" w:firstLineChars="200"/>
        <w:jc w:val="left"/>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验收范围</w:t>
      </w:r>
    </w:p>
    <w:p>
      <w:pPr>
        <w:numPr>
          <w:ilvl w:val="0"/>
          <w:numId w:val="0"/>
        </w:numPr>
        <w:spacing w:line="360" w:lineRule="auto"/>
        <w:ind w:leftChars="0" w:firstLine="480" w:firstLineChars="200"/>
        <w:jc w:val="left"/>
        <w:rPr>
          <w:rFonts w:hint="default" w:ascii="Times New Roman" w:hAnsi="Times New Roman" w:eastAsia="宋体" w:cs="Times New Roman"/>
          <w:sz w:val="24"/>
          <w:szCs w:val="24"/>
          <w:lang w:eastAsia="zh-CN"/>
        </w:rPr>
      </w:pPr>
      <w:r>
        <w:rPr>
          <w:rFonts w:hint="default" w:ascii="Times New Roman" w:hAnsi="Times New Roman" w:eastAsia="宋体" w:cs="Times New Roman"/>
          <w:sz w:val="24"/>
          <w:szCs w:val="24"/>
          <w:lang w:eastAsia="zh-CN"/>
        </w:rPr>
        <w:t>本项目的主体工程及配套设施、污染防治设施、环保管理制度以及污染物排放情况</w:t>
      </w:r>
      <w:r>
        <w:rPr>
          <w:rFonts w:hint="default" w:ascii="Times New Roman" w:hAnsi="Times New Roman" w:eastAsia="宋体" w:cs="Times New Roman"/>
          <w:b w:val="0"/>
          <w:bCs w:val="0"/>
          <w:color w:val="auto"/>
          <w:kern w:val="0"/>
          <w:sz w:val="24"/>
          <w:szCs w:val="24"/>
          <w:lang w:val="en-US" w:eastAsia="zh-CN"/>
        </w:rPr>
        <w:t>。</w:t>
      </w:r>
    </w:p>
    <w:p>
      <w:pPr>
        <w:numPr>
          <w:ilvl w:val="0"/>
          <w:numId w:val="2"/>
        </w:numPr>
        <w:spacing w:line="360" w:lineRule="auto"/>
        <w:ind w:leftChars="0"/>
        <w:jc w:val="left"/>
        <w:rPr>
          <w:rFonts w:hint="default" w:ascii="Times New Roman" w:hAnsi="Times New Roman" w:eastAsia="宋体" w:cs="Times New Roman"/>
          <w:b/>
          <w:bCs/>
          <w:sz w:val="24"/>
          <w:szCs w:val="24"/>
          <w:lang w:val="en-US" w:eastAsia="zh-CN"/>
        </w:rPr>
      </w:pPr>
      <w:r>
        <w:rPr>
          <w:rFonts w:hint="default" w:ascii="Times New Roman" w:hAnsi="Times New Roman" w:eastAsia="宋体" w:cs="Times New Roman"/>
          <w:b/>
          <w:bCs/>
          <w:sz w:val="24"/>
          <w:szCs w:val="24"/>
          <w:lang w:val="en-US" w:eastAsia="zh-CN"/>
        </w:rPr>
        <w:t>工程变动情况</w:t>
      </w:r>
    </w:p>
    <w:p>
      <w:pPr>
        <w:keepNext w:val="0"/>
        <w:keepLines w:val="0"/>
        <w:pageBreakBefore w:val="0"/>
        <w:widowControl w:val="0"/>
        <w:kinsoku/>
        <w:wordWrap/>
        <w:overflowPunct/>
        <w:topLinePunct w:val="0"/>
        <w:autoSpaceDE/>
        <w:autoSpaceDN/>
        <w:bidi w:val="0"/>
        <w:adjustRightInd/>
        <w:snapToGrid/>
        <w:spacing w:line="360" w:lineRule="auto"/>
        <w:ind w:firstLine="482"/>
        <w:textAlignment w:val="auto"/>
        <w:rPr>
          <w:rFonts w:hint="default" w:ascii="Times New Roman" w:hAnsi="Times New Roman" w:cs="Times New Roman" w:eastAsiaTheme="minorEastAsia"/>
          <w:sz w:val="24"/>
          <w:szCs w:val="24"/>
          <w:lang w:val="en-US" w:eastAsia="zh-CN"/>
        </w:rPr>
      </w:pPr>
      <w:r>
        <w:rPr>
          <w:rFonts w:hint="default" w:ascii="Times New Roman" w:hAnsi="Times New Roman" w:cs="Times New Roman" w:eastAsiaTheme="minorEastAsia"/>
          <w:sz w:val="24"/>
          <w:szCs w:val="24"/>
          <w:lang w:val="en-US" w:eastAsia="zh-CN"/>
        </w:rPr>
        <w:t>对照项目环评报告书和环评批复，本项目性质、生产工艺、规模、地点均符合环评及环评批复要求，不涉及建设项目的性质、规模、地点、生产工艺</w:t>
      </w:r>
      <w:r>
        <w:rPr>
          <w:rFonts w:hint="eastAsia" w:ascii="Times New Roman" w:hAnsi="Times New Roman" w:cs="Times New Roman"/>
          <w:sz w:val="24"/>
          <w:szCs w:val="24"/>
          <w:lang w:val="en-US" w:eastAsia="zh-CN"/>
        </w:rPr>
        <w:t>、环保措施</w:t>
      </w:r>
      <w:r>
        <w:rPr>
          <w:rFonts w:hint="default" w:ascii="Times New Roman" w:hAnsi="Times New Roman" w:cs="Times New Roman" w:eastAsiaTheme="minorEastAsia"/>
          <w:sz w:val="24"/>
          <w:szCs w:val="24"/>
          <w:lang w:val="en-US" w:eastAsia="zh-CN"/>
        </w:rPr>
        <w:t>的变动，建设项目的性质、规模、地点、生产工艺</w:t>
      </w:r>
      <w:r>
        <w:rPr>
          <w:rFonts w:hint="eastAsia" w:ascii="Times New Roman" w:hAnsi="Times New Roman" w:cs="Times New Roman"/>
          <w:sz w:val="24"/>
          <w:szCs w:val="24"/>
          <w:lang w:val="en-US" w:eastAsia="zh-CN"/>
        </w:rPr>
        <w:t>、环保措施</w:t>
      </w:r>
      <w:r>
        <w:rPr>
          <w:rFonts w:hint="eastAsia" w:ascii="Times New Roman" w:hAnsi="Times New Roman" w:cs="Times New Roman" w:eastAsiaTheme="minorEastAsia"/>
          <w:sz w:val="24"/>
          <w:szCs w:val="24"/>
          <w:lang w:val="en-US" w:eastAsia="zh-CN"/>
        </w:rPr>
        <w:t>均</w:t>
      </w:r>
      <w:r>
        <w:rPr>
          <w:rFonts w:hint="default" w:ascii="Times New Roman" w:hAnsi="Times New Roman" w:cs="Times New Roman" w:eastAsiaTheme="minorEastAsia"/>
          <w:sz w:val="24"/>
          <w:szCs w:val="24"/>
          <w:lang w:val="en-US" w:eastAsia="zh-CN"/>
        </w:rPr>
        <w:t>与环评一致；项目主要变动内容见</w:t>
      </w:r>
      <w:r>
        <w:rPr>
          <w:rFonts w:hint="eastAsia" w:ascii="Times New Roman" w:hAnsi="Times New Roman" w:cs="Times New Roman"/>
          <w:sz w:val="24"/>
          <w:szCs w:val="24"/>
          <w:lang w:val="en-US" w:eastAsia="zh-CN"/>
        </w:rPr>
        <w:t>下</w:t>
      </w:r>
      <w:r>
        <w:rPr>
          <w:rFonts w:hint="default" w:ascii="Times New Roman" w:hAnsi="Times New Roman" w:cs="Times New Roman" w:eastAsiaTheme="minorEastAsia"/>
          <w:sz w:val="24"/>
          <w:szCs w:val="24"/>
          <w:lang w:val="en-US" w:eastAsia="zh-CN"/>
        </w:rPr>
        <w:t>表。</w:t>
      </w:r>
    </w:p>
    <w:p>
      <w:pPr>
        <w:bidi w:val="0"/>
        <w:spacing w:line="360" w:lineRule="auto"/>
        <w:ind w:left="0" w:leftChars="0" w:firstLine="0" w:firstLineChars="0"/>
        <w:jc w:val="center"/>
        <w:rPr>
          <w:rFonts w:hint="default" w:ascii="Times New Roman" w:hAnsi="Times New Roman" w:eastAsia="宋体" w:cs="Times New Roman"/>
          <w:b/>
          <w:bCs/>
          <w:sz w:val="21"/>
          <w:szCs w:val="21"/>
          <w:lang w:val="en-US" w:eastAsia="zh-CN"/>
        </w:rPr>
      </w:pPr>
      <w:r>
        <w:rPr>
          <w:rFonts w:hint="default" w:ascii="Times New Roman" w:hAnsi="Times New Roman" w:eastAsia="宋体" w:cs="Times New Roman"/>
          <w:b/>
          <w:bCs/>
          <w:sz w:val="21"/>
          <w:szCs w:val="21"/>
          <w:lang w:val="en-US" w:eastAsia="zh-CN"/>
        </w:rPr>
        <w:t>项目主要变动内容情况一览表</w:t>
      </w:r>
    </w:p>
    <w:tbl>
      <w:tblPr>
        <w:tblStyle w:val="13"/>
        <w:tblW w:w="8837"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1362"/>
        <w:gridCol w:w="5659"/>
        <w:gridCol w:w="1816"/>
      </w:tblGrid>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83" w:hRule="atLeast"/>
          <w:jc w:val="center"/>
        </w:trPr>
        <w:tc>
          <w:tcPr>
            <w:tcW w:w="1362" w:type="dxa"/>
            <w:tcBorders>
              <w:tl2br w:val="nil"/>
              <w:tr2bl w:val="nil"/>
            </w:tcBorders>
            <w:noWrap w:val="0"/>
            <w:vAlign w:val="center"/>
          </w:tcPr>
          <w:p>
            <w:pPr>
              <w:bidi w:val="0"/>
              <w:spacing w:line="240" w:lineRule="auto"/>
              <w:ind w:left="0" w:leftChars="0" w:firstLine="0" w:firstLineChars="0"/>
              <w:jc w:val="center"/>
              <w:rPr>
                <w:rFonts w:hint="default" w:ascii="Times New Roman" w:hAnsi="Times New Roman" w:eastAsia="宋体" w:cs="Times New Roman"/>
                <w:b/>
                <w:bCs/>
                <w:sz w:val="21"/>
                <w:szCs w:val="21"/>
                <w:lang w:val="en-US" w:eastAsia="zh-CN"/>
              </w:rPr>
            </w:pPr>
            <w:r>
              <w:rPr>
                <w:rFonts w:hint="default" w:ascii="Times New Roman" w:hAnsi="Times New Roman" w:eastAsia="宋体" w:cs="Times New Roman"/>
                <w:b/>
                <w:bCs/>
                <w:sz w:val="21"/>
                <w:szCs w:val="21"/>
                <w:lang w:val="en-US" w:eastAsia="zh-CN"/>
              </w:rPr>
              <w:t>序号</w:t>
            </w:r>
          </w:p>
        </w:tc>
        <w:tc>
          <w:tcPr>
            <w:tcW w:w="5659" w:type="dxa"/>
            <w:tcBorders>
              <w:tl2br w:val="nil"/>
              <w:tr2bl w:val="nil"/>
            </w:tcBorders>
            <w:noWrap w:val="0"/>
            <w:vAlign w:val="center"/>
          </w:tcPr>
          <w:p>
            <w:pPr>
              <w:bidi w:val="0"/>
              <w:spacing w:line="240" w:lineRule="auto"/>
              <w:ind w:left="0" w:leftChars="0" w:firstLine="0" w:firstLineChars="0"/>
              <w:jc w:val="center"/>
              <w:rPr>
                <w:rFonts w:hint="default" w:ascii="Times New Roman" w:hAnsi="Times New Roman" w:eastAsia="宋体" w:cs="Times New Roman"/>
                <w:b/>
                <w:bCs/>
                <w:sz w:val="21"/>
                <w:szCs w:val="21"/>
                <w:lang w:val="en-US" w:eastAsia="zh-CN"/>
              </w:rPr>
            </w:pPr>
            <w:r>
              <w:rPr>
                <w:rFonts w:hint="default" w:ascii="Times New Roman" w:hAnsi="Times New Roman" w:eastAsia="宋体" w:cs="Times New Roman"/>
                <w:b/>
                <w:bCs/>
                <w:sz w:val="21"/>
                <w:szCs w:val="21"/>
                <w:lang w:val="en-US" w:eastAsia="zh-CN"/>
              </w:rPr>
              <w:t>变动内容</w:t>
            </w:r>
          </w:p>
        </w:tc>
        <w:tc>
          <w:tcPr>
            <w:tcW w:w="1816" w:type="dxa"/>
            <w:tcBorders>
              <w:tl2br w:val="nil"/>
              <w:tr2bl w:val="nil"/>
            </w:tcBorders>
            <w:noWrap w:val="0"/>
            <w:vAlign w:val="center"/>
          </w:tcPr>
          <w:p>
            <w:pPr>
              <w:bidi w:val="0"/>
              <w:spacing w:line="240" w:lineRule="auto"/>
              <w:ind w:left="0" w:leftChars="0" w:firstLine="0" w:firstLineChars="0"/>
              <w:jc w:val="center"/>
              <w:rPr>
                <w:rFonts w:hint="default" w:ascii="Times New Roman" w:hAnsi="Times New Roman" w:eastAsia="宋体" w:cs="Times New Roman"/>
                <w:b/>
                <w:bCs/>
                <w:sz w:val="21"/>
                <w:szCs w:val="21"/>
                <w:lang w:val="en-US" w:eastAsia="zh-CN"/>
              </w:rPr>
            </w:pPr>
            <w:r>
              <w:rPr>
                <w:rFonts w:hint="default" w:ascii="Times New Roman" w:hAnsi="Times New Roman" w:eastAsia="宋体" w:cs="Times New Roman"/>
                <w:b/>
                <w:bCs/>
                <w:sz w:val="21"/>
                <w:szCs w:val="21"/>
                <w:lang w:val="en-US" w:eastAsia="zh-CN"/>
              </w:rPr>
              <w:t>是否为重大变动</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886" w:hRule="atLeast"/>
          <w:jc w:val="center"/>
        </w:trPr>
        <w:tc>
          <w:tcPr>
            <w:tcW w:w="1362" w:type="dxa"/>
            <w:tcBorders>
              <w:tl2br w:val="nil"/>
              <w:tr2bl w:val="nil"/>
            </w:tcBorders>
            <w:noWrap w:val="0"/>
            <w:vAlign w:val="center"/>
          </w:tcPr>
          <w:p>
            <w:pPr>
              <w:bidi w:val="0"/>
              <w:spacing w:line="240" w:lineRule="auto"/>
              <w:ind w:left="0" w:leftChars="0" w:firstLine="0" w:firstLineChars="0"/>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1</w:t>
            </w:r>
          </w:p>
        </w:tc>
        <w:tc>
          <w:tcPr>
            <w:tcW w:w="5659" w:type="dxa"/>
            <w:tcBorders>
              <w:tl2br w:val="nil"/>
              <w:tr2bl w:val="nil"/>
            </w:tcBorders>
            <w:noWrap w:val="0"/>
            <w:vAlign w:val="center"/>
          </w:tcPr>
          <w:p>
            <w:pPr>
              <w:bidi w:val="0"/>
              <w:spacing w:line="240" w:lineRule="auto"/>
              <w:ind w:left="0" w:leftChars="0" w:firstLine="0" w:firstLineChars="0"/>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环评文件中</w:t>
            </w:r>
            <w:r>
              <w:rPr>
                <w:rFonts w:hint="eastAsia" w:ascii="Times New Roman" w:hAnsi="Times New Roman" w:eastAsia="宋体" w:cs="Times New Roman"/>
                <w:sz w:val="21"/>
                <w:szCs w:val="21"/>
                <w:lang w:val="en-US" w:eastAsia="zh-CN"/>
              </w:rPr>
              <w:t>沥青烟气应通过活性炭吸附处理后通过15m高排气筒外排；项目实际建设过程中未建设活性炭吸附设施。从本次验收监测数据看，各污染物排放浓度及速率均符合相关标准限值，未导致环境影响显著变化</w:t>
            </w:r>
          </w:p>
        </w:tc>
        <w:tc>
          <w:tcPr>
            <w:tcW w:w="1816" w:type="dxa"/>
            <w:tcBorders>
              <w:tl2br w:val="nil"/>
              <w:tr2bl w:val="nil"/>
            </w:tcBorders>
            <w:noWrap w:val="0"/>
            <w:vAlign w:val="center"/>
          </w:tcPr>
          <w:p>
            <w:pPr>
              <w:bidi w:val="0"/>
              <w:spacing w:line="240" w:lineRule="auto"/>
              <w:ind w:left="0" w:leftChars="0" w:firstLine="0" w:firstLineChars="0"/>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否</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09" w:hRule="atLeast"/>
          <w:jc w:val="center"/>
        </w:trPr>
        <w:tc>
          <w:tcPr>
            <w:tcW w:w="1362" w:type="dxa"/>
            <w:tcBorders>
              <w:tl2br w:val="nil"/>
              <w:tr2bl w:val="nil"/>
            </w:tcBorders>
            <w:noWrap w:val="0"/>
            <w:vAlign w:val="center"/>
          </w:tcPr>
          <w:p>
            <w:pPr>
              <w:bidi w:val="0"/>
              <w:spacing w:line="240" w:lineRule="auto"/>
              <w:ind w:left="0" w:leftChars="0" w:firstLine="0" w:firstLineChars="0"/>
              <w:jc w:val="center"/>
              <w:rPr>
                <w:rFonts w:hint="default"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2</w:t>
            </w:r>
          </w:p>
        </w:tc>
        <w:tc>
          <w:tcPr>
            <w:tcW w:w="5659" w:type="dxa"/>
            <w:tcBorders>
              <w:tl2br w:val="nil"/>
              <w:tr2bl w:val="nil"/>
            </w:tcBorders>
            <w:noWrap w:val="0"/>
            <w:vAlign w:val="center"/>
          </w:tcPr>
          <w:p>
            <w:pPr>
              <w:bidi w:val="0"/>
              <w:spacing w:line="240" w:lineRule="auto"/>
              <w:ind w:left="0" w:leftChars="0" w:firstLine="0" w:firstLineChars="0"/>
              <w:jc w:val="center"/>
              <w:rPr>
                <w:rFonts w:hint="default"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未建设食堂，故未建设油烟净化器等设施</w:t>
            </w:r>
          </w:p>
        </w:tc>
        <w:tc>
          <w:tcPr>
            <w:tcW w:w="1816" w:type="dxa"/>
            <w:tcBorders>
              <w:tl2br w:val="nil"/>
              <w:tr2bl w:val="nil"/>
            </w:tcBorders>
            <w:noWrap w:val="0"/>
            <w:vAlign w:val="center"/>
          </w:tcPr>
          <w:p>
            <w:pPr>
              <w:bidi w:val="0"/>
              <w:spacing w:line="240" w:lineRule="auto"/>
              <w:ind w:left="0" w:leftChars="0" w:firstLine="0" w:firstLineChars="0"/>
              <w:jc w:val="center"/>
              <w:rPr>
                <w:rFonts w:hint="default"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否</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09" w:hRule="atLeast"/>
          <w:jc w:val="center"/>
        </w:trPr>
        <w:tc>
          <w:tcPr>
            <w:tcW w:w="1362" w:type="dxa"/>
            <w:tcBorders>
              <w:tl2br w:val="nil"/>
              <w:tr2bl w:val="nil"/>
            </w:tcBorders>
            <w:noWrap w:val="0"/>
            <w:vAlign w:val="center"/>
          </w:tcPr>
          <w:p>
            <w:pPr>
              <w:bidi w:val="0"/>
              <w:spacing w:line="240" w:lineRule="auto"/>
              <w:ind w:left="0" w:leftChars="0" w:firstLine="0" w:firstLineChars="0"/>
              <w:jc w:val="center"/>
              <w:rPr>
                <w:rFonts w:hint="default"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3</w:t>
            </w:r>
          </w:p>
        </w:tc>
        <w:tc>
          <w:tcPr>
            <w:tcW w:w="5659" w:type="dxa"/>
            <w:tcBorders>
              <w:tl2br w:val="nil"/>
              <w:tr2bl w:val="nil"/>
            </w:tcBorders>
            <w:noWrap w:val="0"/>
            <w:vAlign w:val="center"/>
          </w:tcPr>
          <w:p>
            <w:pPr>
              <w:bidi w:val="0"/>
              <w:spacing w:line="240" w:lineRule="auto"/>
              <w:ind w:left="0" w:leftChars="0" w:firstLine="0" w:firstLineChars="0"/>
              <w:jc w:val="center"/>
              <w:rPr>
                <w:rFonts w:hint="default" w:ascii="Times New Roman" w:hAnsi="Times New Roman" w:eastAsia="宋体" w:cs="Times New Roman"/>
                <w:sz w:val="21"/>
                <w:szCs w:val="21"/>
                <w:lang w:val="en-US" w:eastAsia="zh-CN"/>
              </w:rPr>
            </w:pPr>
            <w:r>
              <w:rPr>
                <w:rFonts w:hint="eastAsia" w:ascii="Times New Roman" w:hAnsi="Times New Roman" w:eastAsia="宋体" w:cs="Times New Roman"/>
                <w:snapToGrid w:val="0"/>
                <w:color w:val="auto"/>
                <w:kern w:val="32"/>
                <w:sz w:val="21"/>
                <w:szCs w:val="21"/>
                <w:lang w:val="en-US" w:eastAsia="zh-CN" w:bidi="ar-SA"/>
              </w:rPr>
              <w:t>环评文件中设计年工作时间为100天（根据市场需求情况安排具体生产时间）。根据实际生产情况，实际设计年工作时间为60天。</w:t>
            </w:r>
          </w:p>
        </w:tc>
        <w:tc>
          <w:tcPr>
            <w:tcW w:w="1816" w:type="dxa"/>
            <w:tcBorders>
              <w:tl2br w:val="nil"/>
              <w:tr2bl w:val="nil"/>
            </w:tcBorders>
            <w:noWrap w:val="0"/>
            <w:vAlign w:val="center"/>
          </w:tcPr>
          <w:p>
            <w:pPr>
              <w:bidi w:val="0"/>
              <w:spacing w:line="240" w:lineRule="auto"/>
              <w:ind w:left="0" w:leftChars="0" w:firstLine="0" w:firstLineChars="0"/>
              <w:jc w:val="center"/>
              <w:rPr>
                <w:rFonts w:hint="default"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否</w:t>
            </w:r>
          </w:p>
        </w:tc>
      </w:tr>
    </w:tbl>
    <w:p>
      <w:pPr>
        <w:spacing w:line="360" w:lineRule="auto"/>
        <w:ind w:firstLine="480"/>
        <w:rPr>
          <w:rFonts w:hint="eastAsia" w:ascii="Times New Roman" w:hAnsi="Times New Roman" w:cs="Times New Roman" w:eastAsiaTheme="minorEastAsia"/>
          <w:sz w:val="24"/>
          <w:szCs w:val="24"/>
          <w:lang w:val="en-US" w:eastAsia="zh-CN"/>
        </w:rPr>
      </w:pPr>
      <w:r>
        <w:rPr>
          <w:rFonts w:hint="eastAsia" w:ascii="Times New Roman" w:hAnsi="Times New Roman" w:cs="Times New Roman" w:eastAsiaTheme="minorEastAsia"/>
          <w:sz w:val="24"/>
          <w:szCs w:val="24"/>
          <w:lang w:val="en-US" w:eastAsia="zh-CN"/>
        </w:rPr>
        <w:t>对照《污染影响类建设项目重大变动清单（试行）》的通知（环办环评函〔2020〕688号），本变动不属于重大变动。</w:t>
      </w:r>
    </w:p>
    <w:p>
      <w:pPr>
        <w:numPr>
          <w:ilvl w:val="0"/>
          <w:numId w:val="0"/>
        </w:numPr>
        <w:spacing w:line="360" w:lineRule="auto"/>
        <w:jc w:val="left"/>
        <w:rPr>
          <w:rFonts w:hint="default" w:ascii="Times New Roman" w:hAnsi="Times New Roman" w:eastAsia="宋体" w:cs="Times New Roman"/>
          <w:b/>
          <w:bCs/>
          <w:sz w:val="24"/>
          <w:szCs w:val="24"/>
          <w:lang w:val="en-US" w:eastAsia="zh-CN"/>
        </w:rPr>
      </w:pPr>
      <w:r>
        <w:rPr>
          <w:rFonts w:hint="default" w:ascii="Times New Roman" w:hAnsi="Times New Roman" w:eastAsia="宋体" w:cs="Times New Roman"/>
          <w:b/>
          <w:bCs/>
          <w:sz w:val="24"/>
          <w:szCs w:val="24"/>
          <w:lang w:val="en-US" w:eastAsia="zh-CN"/>
        </w:rPr>
        <w:t>三、环境保护设施建设情况</w:t>
      </w:r>
    </w:p>
    <w:p>
      <w:pPr>
        <w:numPr>
          <w:ilvl w:val="0"/>
          <w:numId w:val="0"/>
        </w:numPr>
        <w:spacing w:line="360" w:lineRule="auto"/>
        <w:ind w:firstLine="480" w:firstLineChars="200"/>
        <w:jc w:val="left"/>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（一）废水</w:t>
      </w:r>
    </w:p>
    <w:p>
      <w:pPr>
        <w:pStyle w:val="19"/>
        <w:keepNext w:val="0"/>
        <w:keepLines w:val="0"/>
        <w:pageBreakBefore w:val="0"/>
        <w:widowControl w:val="0"/>
        <w:kinsoku/>
        <w:wordWrap/>
        <w:overflowPunct/>
        <w:topLinePunct w:val="0"/>
        <w:autoSpaceDE/>
        <w:autoSpaceDN/>
        <w:bidi w:val="0"/>
        <w:adjustRightInd w:val="0"/>
        <w:snapToGrid w:val="0"/>
        <w:spacing w:line="460" w:lineRule="exact"/>
        <w:ind w:left="0" w:right="0" w:firstLine="480"/>
        <w:textAlignment w:val="auto"/>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生产用水：本项目生产用水为5000m</w:t>
      </w:r>
      <w:r>
        <w:rPr>
          <w:rFonts w:hint="default" w:ascii="Times New Roman" w:hAnsi="Times New Roman" w:eastAsia="宋体" w:cs="Times New Roman"/>
          <w:sz w:val="24"/>
          <w:szCs w:val="24"/>
          <w:vertAlign w:val="superscript"/>
          <w:lang w:val="en-US" w:eastAsia="zh-CN"/>
        </w:rPr>
        <w:t>3</w:t>
      </w:r>
      <w:r>
        <w:rPr>
          <w:rFonts w:hint="default" w:ascii="Times New Roman" w:hAnsi="Times New Roman" w:eastAsia="宋体" w:cs="Times New Roman"/>
          <w:sz w:val="24"/>
          <w:szCs w:val="24"/>
          <w:lang w:val="en-US" w:eastAsia="zh-CN"/>
        </w:rPr>
        <w:t>/a，全部进入到产品当中。</w:t>
      </w:r>
    </w:p>
    <w:p>
      <w:pPr>
        <w:pStyle w:val="19"/>
        <w:keepNext w:val="0"/>
        <w:keepLines w:val="0"/>
        <w:pageBreakBefore w:val="0"/>
        <w:widowControl w:val="0"/>
        <w:kinsoku/>
        <w:wordWrap/>
        <w:overflowPunct/>
        <w:topLinePunct w:val="0"/>
        <w:autoSpaceDE/>
        <w:autoSpaceDN/>
        <w:bidi w:val="0"/>
        <w:adjustRightInd w:val="0"/>
        <w:snapToGrid w:val="0"/>
        <w:spacing w:line="460" w:lineRule="exact"/>
        <w:ind w:left="0" w:right="0" w:firstLine="480"/>
        <w:textAlignment w:val="auto"/>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生活污水：项目生活污水产生量为160m</w:t>
      </w:r>
      <w:r>
        <w:rPr>
          <w:rFonts w:hint="default" w:ascii="Times New Roman" w:hAnsi="Times New Roman" w:eastAsia="宋体" w:cs="Times New Roman"/>
          <w:sz w:val="24"/>
          <w:szCs w:val="24"/>
          <w:vertAlign w:val="superscript"/>
          <w:lang w:val="en-US" w:eastAsia="zh-CN"/>
        </w:rPr>
        <w:t>3</w:t>
      </w:r>
      <w:r>
        <w:rPr>
          <w:rFonts w:hint="default" w:ascii="Times New Roman" w:hAnsi="Times New Roman" w:eastAsia="宋体" w:cs="Times New Roman"/>
          <w:sz w:val="24"/>
          <w:szCs w:val="24"/>
          <w:lang w:val="en-US" w:eastAsia="zh-CN"/>
        </w:rPr>
        <w:t>/a，经化粪池处理后掏作农肥。</w:t>
      </w:r>
    </w:p>
    <w:p>
      <w:pPr>
        <w:pStyle w:val="19"/>
        <w:keepNext w:val="0"/>
        <w:keepLines w:val="0"/>
        <w:pageBreakBefore w:val="0"/>
        <w:widowControl w:val="0"/>
        <w:kinsoku/>
        <w:wordWrap/>
        <w:overflowPunct/>
        <w:topLinePunct w:val="0"/>
        <w:autoSpaceDE/>
        <w:autoSpaceDN/>
        <w:bidi w:val="0"/>
        <w:adjustRightInd w:val="0"/>
        <w:snapToGrid w:val="0"/>
        <w:spacing w:line="460" w:lineRule="exact"/>
        <w:ind w:left="0" w:right="0" w:firstLine="480"/>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lang w:val="en-US" w:eastAsia="zh-CN"/>
        </w:rPr>
        <w:t>初期雨水：项目初期雨水经沉淀池沉淀处理后用于厂区洒水。</w:t>
      </w:r>
    </w:p>
    <w:p>
      <w:pPr>
        <w:numPr>
          <w:ilvl w:val="0"/>
          <w:numId w:val="0"/>
        </w:numPr>
        <w:spacing w:line="360" w:lineRule="auto"/>
        <w:ind w:firstLine="480" w:firstLineChars="200"/>
        <w:jc w:val="left"/>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（二）废气</w:t>
      </w:r>
    </w:p>
    <w:p>
      <w:pPr>
        <w:spacing w:line="360" w:lineRule="auto"/>
        <w:ind w:firstLine="480"/>
        <w:jc w:val="both"/>
        <w:rPr>
          <w:rFonts w:hint="default" w:ascii="Times New Roman" w:hAnsi="Times New Roman" w:cs="Times New Roman" w:eastAsiaTheme="minorEastAsia"/>
          <w:sz w:val="24"/>
          <w:szCs w:val="24"/>
          <w:lang w:val="en-US" w:eastAsia="zh-CN"/>
        </w:rPr>
      </w:pPr>
      <w:r>
        <w:rPr>
          <w:rFonts w:hint="default" w:ascii="Times New Roman" w:hAnsi="Times New Roman" w:cs="Times New Roman" w:eastAsiaTheme="minorEastAsia"/>
          <w:sz w:val="24"/>
          <w:szCs w:val="24"/>
          <w:lang w:val="en-US" w:eastAsia="zh-CN"/>
        </w:rPr>
        <w:t>本项目营运期主要产生的废气为：燃油锅炉产生的锅炉烟气；沥青混凝土搅拌站工艺及烘干混合烟气；沥青混凝土生产工艺中的骨料储存库、铲车装卸、骨料料仓、皮带输送、粉料储存罐以及水稳料生产工艺的砂石储存库、砂石料装卸、皮带输送、水泥罐等无组织粉尘；水泥筒仓产生的粉尘；沥青混凝土拌合站在干燥以及筛分过程中产生的粉尘；汽车运输废气及道路扬尘等。</w:t>
      </w:r>
    </w:p>
    <w:p>
      <w:pPr>
        <w:spacing w:line="360" w:lineRule="auto"/>
        <w:ind w:firstLine="480"/>
        <w:jc w:val="both"/>
        <w:rPr>
          <w:rFonts w:hint="default" w:ascii="Times New Roman" w:hAnsi="Times New Roman" w:cs="Times New Roman" w:eastAsiaTheme="minorEastAsia"/>
          <w:sz w:val="24"/>
          <w:szCs w:val="24"/>
          <w:lang w:val="en-US" w:eastAsia="zh-CN"/>
        </w:rPr>
      </w:pPr>
      <w:r>
        <w:rPr>
          <w:rFonts w:hint="default" w:ascii="Times New Roman" w:hAnsi="Times New Roman" w:cs="Times New Roman" w:eastAsiaTheme="minorEastAsia"/>
          <w:sz w:val="24"/>
          <w:szCs w:val="24"/>
          <w:lang w:val="en-US" w:eastAsia="zh-CN"/>
        </w:rPr>
        <w:t>（1）沥青混凝土搅拌站工艺及烘干混合烟气</w:t>
      </w:r>
    </w:p>
    <w:p>
      <w:pPr>
        <w:spacing w:line="360" w:lineRule="auto"/>
        <w:ind w:firstLine="480"/>
        <w:jc w:val="both"/>
        <w:rPr>
          <w:rFonts w:hint="default" w:ascii="Times New Roman" w:hAnsi="Times New Roman" w:cs="Times New Roman" w:eastAsiaTheme="minorEastAsia"/>
          <w:sz w:val="24"/>
          <w:szCs w:val="24"/>
          <w:lang w:val="en-US" w:eastAsia="zh-CN"/>
        </w:rPr>
      </w:pPr>
      <w:r>
        <w:rPr>
          <w:rFonts w:hint="default" w:ascii="Times New Roman" w:hAnsi="Times New Roman" w:cs="Times New Roman" w:eastAsiaTheme="minorEastAsia"/>
          <w:sz w:val="24"/>
          <w:szCs w:val="24"/>
          <w:lang w:val="en-US" w:eastAsia="zh-CN"/>
        </w:rPr>
        <w:t>项目骨料烘干使用柴油燃烧，骨料在烘干、提升和筛分工序均有粉尘产生，重油燃烧加热过程会有燃油烟气产生。沥青骨料（砂石）在干燥滚筒内烘干加热时不停的转动，转动过程中会产生粉尘，骨料提升、振动筛分会产生粉尘，但由于提升机、振动筛四周均为围闭状态，因此，粉尘产生量相对较少。</w:t>
      </w:r>
    </w:p>
    <w:p>
      <w:pPr>
        <w:spacing w:line="360" w:lineRule="auto"/>
        <w:ind w:firstLine="480"/>
        <w:jc w:val="both"/>
        <w:rPr>
          <w:rFonts w:hint="default" w:ascii="Times New Roman" w:hAnsi="Times New Roman" w:cs="Times New Roman" w:eastAsiaTheme="minorEastAsia"/>
          <w:sz w:val="24"/>
          <w:szCs w:val="24"/>
          <w:lang w:val="en-US" w:eastAsia="zh-CN"/>
        </w:rPr>
      </w:pPr>
      <w:r>
        <w:rPr>
          <w:rFonts w:hint="default" w:ascii="Times New Roman" w:hAnsi="Times New Roman" w:cs="Times New Roman" w:eastAsiaTheme="minorEastAsia"/>
          <w:sz w:val="24"/>
          <w:szCs w:val="24"/>
          <w:lang w:val="en-US" w:eastAsia="zh-CN"/>
        </w:rPr>
        <w:t>沥青混凝土生产前，通过导热油炉对沥青罐中的沥青进行间接加热至120-160℃，再由沥青专用泵经管道送入搅拌缸（全封闭状态）中，搅拌好的沥青混凝土从搅拌楼出料口掉入沥青运输车辆内，再运输出厂。沥青罐呼吸孔、搅拌楼出料口等会散发沥青烟、颗粒物等。</w:t>
      </w:r>
    </w:p>
    <w:p>
      <w:pPr>
        <w:spacing w:line="360" w:lineRule="auto"/>
        <w:ind w:firstLine="480"/>
        <w:jc w:val="both"/>
        <w:rPr>
          <w:rFonts w:hint="default" w:ascii="Times New Roman" w:hAnsi="Times New Roman" w:cs="Times New Roman" w:eastAsiaTheme="minorEastAsia"/>
          <w:sz w:val="24"/>
          <w:szCs w:val="24"/>
          <w:lang w:val="en-US" w:eastAsia="zh-CN"/>
        </w:rPr>
      </w:pPr>
      <w:r>
        <w:rPr>
          <w:rFonts w:hint="default" w:ascii="Times New Roman" w:hAnsi="Times New Roman" w:cs="Times New Roman" w:eastAsiaTheme="minorEastAsia"/>
          <w:sz w:val="24"/>
          <w:szCs w:val="24"/>
          <w:lang w:val="en-US" w:eastAsia="zh-CN"/>
        </w:rPr>
        <w:t>项目采取布袋除尘对沥青混凝土搅拌站工艺及烘干混合烟气进行处理后再通过15m排气筒排放。</w:t>
      </w:r>
    </w:p>
    <w:p>
      <w:pPr>
        <w:spacing w:line="360" w:lineRule="auto"/>
        <w:ind w:firstLine="480"/>
        <w:jc w:val="both"/>
        <w:rPr>
          <w:rFonts w:hint="default" w:ascii="Times New Roman" w:hAnsi="Times New Roman" w:cs="Times New Roman" w:eastAsiaTheme="minorEastAsia"/>
          <w:sz w:val="24"/>
          <w:szCs w:val="24"/>
          <w:lang w:val="en-US" w:eastAsia="zh-CN"/>
        </w:rPr>
      </w:pPr>
      <w:r>
        <w:rPr>
          <w:rFonts w:hint="default" w:ascii="Times New Roman" w:hAnsi="Times New Roman" w:cs="Times New Roman" w:eastAsiaTheme="minorEastAsia"/>
          <w:sz w:val="24"/>
          <w:szCs w:val="24"/>
          <w:lang w:val="en-US" w:eastAsia="zh-CN"/>
        </w:rPr>
        <w:t>（2）导热油锅炉烟气</w:t>
      </w:r>
    </w:p>
    <w:p>
      <w:pPr>
        <w:spacing w:line="360" w:lineRule="auto"/>
        <w:ind w:firstLine="480"/>
        <w:jc w:val="both"/>
        <w:rPr>
          <w:rFonts w:hint="default" w:ascii="Times New Roman" w:hAnsi="Times New Roman" w:cs="Times New Roman" w:eastAsiaTheme="minorEastAsia"/>
          <w:sz w:val="24"/>
          <w:szCs w:val="24"/>
          <w:lang w:val="en-US" w:eastAsia="zh-CN"/>
        </w:rPr>
      </w:pPr>
      <w:r>
        <w:rPr>
          <w:rFonts w:hint="default" w:ascii="Times New Roman" w:hAnsi="Times New Roman" w:cs="Times New Roman" w:eastAsiaTheme="minorEastAsia"/>
          <w:sz w:val="24"/>
          <w:szCs w:val="24"/>
          <w:lang w:val="en-US" w:eastAsia="zh-CN"/>
        </w:rPr>
        <w:t>项目沥青加热采用900kw的燃油导热油锅炉加热。</w:t>
      </w:r>
    </w:p>
    <w:p>
      <w:pPr>
        <w:spacing w:line="360" w:lineRule="auto"/>
        <w:ind w:firstLine="480"/>
        <w:jc w:val="both"/>
        <w:rPr>
          <w:rFonts w:hint="default" w:ascii="Times New Roman" w:hAnsi="Times New Roman" w:cs="Times New Roman" w:eastAsiaTheme="minorEastAsia"/>
          <w:sz w:val="24"/>
          <w:szCs w:val="24"/>
          <w:lang w:val="en-US" w:eastAsia="zh-CN"/>
        </w:rPr>
      </w:pPr>
      <w:r>
        <w:rPr>
          <w:rFonts w:hint="default" w:ascii="Times New Roman" w:hAnsi="Times New Roman" w:cs="Times New Roman" w:eastAsiaTheme="minorEastAsia"/>
          <w:sz w:val="24"/>
          <w:szCs w:val="24"/>
          <w:lang w:val="en-US" w:eastAsia="zh-CN"/>
        </w:rPr>
        <w:t>导热油锅炉烟气通过15m高排气筒排放。</w:t>
      </w:r>
    </w:p>
    <w:p>
      <w:pPr>
        <w:spacing w:line="360" w:lineRule="auto"/>
        <w:ind w:firstLine="480"/>
        <w:jc w:val="both"/>
        <w:rPr>
          <w:rFonts w:hint="default" w:ascii="Times New Roman" w:hAnsi="Times New Roman" w:cs="Times New Roman" w:eastAsiaTheme="minorEastAsia"/>
          <w:sz w:val="24"/>
          <w:szCs w:val="24"/>
          <w:lang w:val="en-US" w:eastAsia="zh-CN"/>
        </w:rPr>
      </w:pPr>
      <w:r>
        <w:rPr>
          <w:rFonts w:hint="default" w:ascii="Times New Roman" w:hAnsi="Times New Roman" w:cs="Times New Roman" w:eastAsiaTheme="minorEastAsia"/>
          <w:sz w:val="24"/>
          <w:szCs w:val="24"/>
          <w:lang w:val="en-US" w:eastAsia="zh-CN"/>
        </w:rPr>
        <w:t>（3）筒仓呼吸口及放空口粉尘</w:t>
      </w:r>
    </w:p>
    <w:p>
      <w:pPr>
        <w:spacing w:line="360" w:lineRule="auto"/>
        <w:ind w:firstLine="480"/>
        <w:jc w:val="both"/>
        <w:rPr>
          <w:rFonts w:hint="default" w:ascii="Times New Roman" w:hAnsi="Times New Roman" w:cs="Times New Roman" w:eastAsiaTheme="minorEastAsia"/>
          <w:sz w:val="24"/>
          <w:szCs w:val="24"/>
          <w:lang w:val="en-US" w:eastAsia="zh-CN"/>
        </w:rPr>
      </w:pPr>
      <w:r>
        <w:rPr>
          <w:rFonts w:hint="default" w:ascii="Times New Roman" w:hAnsi="Times New Roman" w:cs="Times New Roman" w:eastAsiaTheme="minorEastAsia"/>
          <w:sz w:val="24"/>
          <w:szCs w:val="24"/>
          <w:lang w:val="en-US" w:eastAsia="zh-CN"/>
        </w:rPr>
        <w:t>项目沥青混凝土中矿粉采用筒仓储存，筒仓正常工作时采用密封管道负压输送、无粉尘产生；筒仓在进料时，仓顶呼吸口会有粉尘产生，顶部自带除尘器，除尘效率为99.5%，进料完成后，仓底放空口有少量粉尘产生。</w:t>
      </w:r>
    </w:p>
    <w:p>
      <w:pPr>
        <w:spacing w:line="360" w:lineRule="auto"/>
        <w:ind w:firstLine="480"/>
        <w:jc w:val="both"/>
        <w:rPr>
          <w:rFonts w:hint="default" w:ascii="Times New Roman" w:hAnsi="Times New Roman" w:cs="Times New Roman" w:eastAsiaTheme="minorEastAsia"/>
          <w:sz w:val="24"/>
          <w:szCs w:val="24"/>
          <w:lang w:val="en-US" w:eastAsia="zh-CN"/>
        </w:rPr>
      </w:pPr>
      <w:r>
        <w:rPr>
          <w:rFonts w:hint="default" w:ascii="Times New Roman" w:hAnsi="Times New Roman" w:cs="Times New Roman" w:eastAsiaTheme="minorEastAsia"/>
          <w:sz w:val="24"/>
          <w:szCs w:val="24"/>
          <w:lang w:val="en-US" w:eastAsia="zh-CN"/>
        </w:rPr>
        <w:t>（4）无组织排放粉尘</w:t>
      </w:r>
    </w:p>
    <w:p>
      <w:pPr>
        <w:spacing w:line="360" w:lineRule="auto"/>
        <w:ind w:firstLine="480"/>
        <w:jc w:val="both"/>
        <w:rPr>
          <w:rFonts w:hint="default" w:ascii="Times New Roman" w:hAnsi="Times New Roman" w:cs="Times New Roman" w:eastAsiaTheme="minorEastAsia"/>
          <w:sz w:val="24"/>
          <w:szCs w:val="24"/>
          <w:lang w:val="en-US" w:eastAsia="zh-CN"/>
        </w:rPr>
      </w:pPr>
      <w:r>
        <w:rPr>
          <w:rFonts w:hint="default" w:ascii="Times New Roman" w:hAnsi="Times New Roman" w:cs="Times New Roman" w:eastAsiaTheme="minorEastAsia"/>
          <w:sz w:val="24"/>
          <w:szCs w:val="24"/>
          <w:lang w:val="en-US" w:eastAsia="zh-CN"/>
        </w:rPr>
        <w:t>沥青混凝土所需的各种原料在骨料储存、铲车装卸、骨料料仓、皮带输送、粉料储存罐过程中均会产生无组织排放扬尘，因项目使用的骨料（碎石、沙）为颗粒状，产尘量较小，建设单位采取工棚遮挡+雨雾喷淋系统进行降尘处理。</w:t>
      </w:r>
    </w:p>
    <w:p>
      <w:pPr>
        <w:spacing w:line="360" w:lineRule="auto"/>
        <w:ind w:firstLine="480"/>
        <w:jc w:val="both"/>
        <w:rPr>
          <w:rFonts w:hint="default" w:ascii="Times New Roman" w:hAnsi="Times New Roman" w:cs="Times New Roman" w:eastAsiaTheme="minorEastAsia"/>
          <w:sz w:val="24"/>
          <w:szCs w:val="24"/>
          <w:lang w:val="en-US" w:eastAsia="zh-CN"/>
        </w:rPr>
      </w:pPr>
      <w:r>
        <w:rPr>
          <w:rFonts w:hint="default" w:ascii="Times New Roman" w:hAnsi="Times New Roman" w:cs="Times New Roman" w:eastAsiaTheme="minorEastAsia"/>
          <w:sz w:val="24"/>
          <w:szCs w:val="24"/>
          <w:lang w:val="en-US" w:eastAsia="zh-CN"/>
        </w:rPr>
        <w:t>水稳料所需的各种原料在砂石储存库、砂石料装卸、皮带输送过程中均会产生无组织排放扬尘，因项目使用的骨料（碎石、沙）为颗粒状，产尘量较小，建设单位采取工棚遮挡+雨雾喷淋系统进行降尘处理。</w:t>
      </w:r>
    </w:p>
    <w:p>
      <w:pPr>
        <w:spacing w:line="360" w:lineRule="auto"/>
        <w:ind w:firstLine="480"/>
        <w:jc w:val="both"/>
        <w:rPr>
          <w:rFonts w:hint="default" w:ascii="Times New Roman" w:hAnsi="Times New Roman" w:cs="Times New Roman" w:eastAsiaTheme="minorEastAsia"/>
          <w:sz w:val="24"/>
          <w:szCs w:val="24"/>
          <w:lang w:val="en-US" w:eastAsia="zh-CN"/>
        </w:rPr>
      </w:pPr>
      <w:r>
        <w:rPr>
          <w:rFonts w:hint="default" w:ascii="Times New Roman" w:hAnsi="Times New Roman" w:cs="Times New Roman" w:eastAsiaTheme="minorEastAsia"/>
          <w:sz w:val="24"/>
          <w:szCs w:val="24"/>
          <w:lang w:val="en-US" w:eastAsia="zh-CN"/>
        </w:rPr>
        <w:t>（5）汽车运输废气及道路扬尘</w:t>
      </w:r>
    </w:p>
    <w:p>
      <w:pPr>
        <w:spacing w:line="360" w:lineRule="auto"/>
        <w:ind w:firstLine="480"/>
        <w:jc w:val="both"/>
        <w:rPr>
          <w:rFonts w:hint="default" w:ascii="Times New Roman" w:hAnsi="Times New Roman" w:cs="Times New Roman" w:eastAsiaTheme="minorEastAsia"/>
          <w:sz w:val="24"/>
          <w:szCs w:val="24"/>
          <w:lang w:val="en-US" w:eastAsia="zh-CN"/>
        </w:rPr>
      </w:pPr>
      <w:r>
        <w:rPr>
          <w:rFonts w:hint="default" w:ascii="Times New Roman" w:hAnsi="Times New Roman" w:cs="Times New Roman" w:eastAsiaTheme="minorEastAsia"/>
          <w:sz w:val="24"/>
          <w:szCs w:val="24"/>
          <w:lang w:val="en-US" w:eastAsia="zh-CN"/>
        </w:rPr>
        <w:t>项目运营期，原料运进以及产品外售所使用的运输车辆会产生汽车尾气，主要为NOx、CO、THC，但由于运输车辆数量少，进厂时间较为分散，并且是在露天空旷条件下，因此，经大气稀释、扩散以及周边植物吸收后，对区域大气环境影响较小。</w:t>
      </w:r>
    </w:p>
    <w:p>
      <w:pPr>
        <w:numPr>
          <w:ilvl w:val="0"/>
          <w:numId w:val="0"/>
        </w:numPr>
        <w:spacing w:line="360" w:lineRule="auto"/>
        <w:ind w:leftChars="0" w:firstLine="480" w:firstLineChars="200"/>
        <w:jc w:val="left"/>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（三）噪声</w:t>
      </w:r>
    </w:p>
    <w:p>
      <w:pPr>
        <w:pStyle w:val="11"/>
        <w:spacing w:line="360" w:lineRule="auto"/>
        <w:ind w:left="0" w:leftChars="0" w:firstLine="480" w:firstLineChars="200"/>
        <w:rPr>
          <w:rFonts w:hint="default" w:ascii="Times New Roman" w:hAnsi="Times New Roman" w:eastAsia="宋体" w:cs="Times New Roman"/>
          <w:kern w:val="2"/>
          <w:sz w:val="24"/>
          <w:szCs w:val="24"/>
          <w:lang w:val="en-US" w:eastAsia="zh-CN" w:bidi="ar-SA"/>
        </w:rPr>
      </w:pPr>
      <w:r>
        <w:rPr>
          <w:rFonts w:hint="default" w:ascii="Times New Roman" w:hAnsi="Times New Roman" w:eastAsia="宋体" w:cs="Times New Roman"/>
          <w:sz w:val="24"/>
          <w:szCs w:val="24"/>
          <w:lang w:val="en-US" w:eastAsia="zh-CN"/>
        </w:rPr>
        <w:t xml:space="preserve">   </w:t>
      </w:r>
      <w:r>
        <w:rPr>
          <w:rFonts w:hint="eastAsia" w:ascii="Times New Roman" w:hAnsi="Times New Roman" w:eastAsia="宋体" w:cs="Times New Roman"/>
          <w:sz w:val="24"/>
          <w:szCs w:val="24"/>
          <w:lang w:val="en-US" w:eastAsia="zh-CN"/>
        </w:rPr>
        <w:t xml:space="preserve"> 本项目噪声主要源自铲车、输送机、烘干筒、风机、泵类、振动筛、搅拌系统等加工设备，噪声值为80～95dB(A)。生产设备采取基础减震、密闭降噪措施。</w:t>
      </w:r>
    </w:p>
    <w:p>
      <w:pPr>
        <w:numPr>
          <w:ilvl w:val="0"/>
          <w:numId w:val="0"/>
        </w:numPr>
        <w:spacing w:line="360" w:lineRule="auto"/>
        <w:ind w:leftChars="0" w:firstLine="480" w:firstLineChars="200"/>
        <w:jc w:val="left"/>
        <w:rPr>
          <w:rFonts w:hint="default" w:ascii="Times New Roman" w:hAnsi="Times New Roman" w:eastAsia="宋体" w:cs="Times New Roman"/>
          <w:kern w:val="2"/>
          <w:sz w:val="24"/>
          <w:szCs w:val="24"/>
          <w:lang w:val="en-US" w:eastAsia="zh-CN" w:bidi="ar-SA"/>
        </w:rPr>
      </w:pPr>
      <w:r>
        <w:rPr>
          <w:rFonts w:hint="default" w:ascii="Times New Roman" w:hAnsi="Times New Roman" w:eastAsia="宋体" w:cs="Times New Roman"/>
          <w:kern w:val="2"/>
          <w:sz w:val="24"/>
          <w:szCs w:val="24"/>
          <w:lang w:val="en-US" w:eastAsia="zh-CN" w:bidi="ar-SA"/>
        </w:rPr>
        <w:t>（四）固体废物</w:t>
      </w:r>
    </w:p>
    <w:p>
      <w:pPr>
        <w:tabs>
          <w:tab w:val="left" w:pos="1635"/>
        </w:tabs>
        <w:spacing w:line="360" w:lineRule="auto"/>
        <w:ind w:firstLine="482"/>
        <w:rPr>
          <w:rFonts w:hint="default" w:ascii="Times New Roman" w:hAnsi="Times New Roman" w:cs="Times New Roman"/>
          <w:sz w:val="24"/>
          <w:lang w:val="en-US"/>
        </w:rPr>
      </w:pPr>
      <w:r>
        <w:rPr>
          <w:rFonts w:hint="default" w:ascii="Times New Roman" w:hAnsi="Times New Roman" w:cs="Times New Roman"/>
          <w:sz w:val="24"/>
          <w:lang w:val="en-US"/>
        </w:rPr>
        <w:t>本项目生产过程中固废物主要为</w:t>
      </w:r>
      <w:r>
        <w:rPr>
          <w:rFonts w:hint="default" w:ascii="Times New Roman" w:hAnsi="Times New Roman" w:cs="Times New Roman"/>
          <w:sz w:val="24"/>
          <w:lang w:val="en-US" w:eastAsia="zh-CN"/>
        </w:rPr>
        <w:t>废导热油、废活性炭、</w:t>
      </w:r>
      <w:r>
        <w:rPr>
          <w:rFonts w:hint="default" w:ascii="Times New Roman" w:hAnsi="Times New Roman" w:cs="Times New Roman"/>
          <w:sz w:val="24"/>
          <w:lang w:val="en-US"/>
        </w:rPr>
        <w:t>废石料、除尘装置收集的粉尘及职工生活垃圾。</w:t>
      </w:r>
    </w:p>
    <w:p>
      <w:pPr>
        <w:tabs>
          <w:tab w:val="left" w:pos="1635"/>
        </w:tabs>
        <w:spacing w:line="360" w:lineRule="auto"/>
        <w:ind w:firstLine="482"/>
        <w:rPr>
          <w:rFonts w:hint="default" w:ascii="Times New Roman" w:hAnsi="Times New Roman" w:cs="Times New Roman"/>
          <w:sz w:val="24"/>
          <w:lang w:val="en-US"/>
        </w:rPr>
      </w:pPr>
      <w:r>
        <w:rPr>
          <w:rFonts w:hint="default" w:ascii="Times New Roman" w:hAnsi="Times New Roman" w:cs="Times New Roman"/>
          <w:sz w:val="24"/>
          <w:lang w:val="en-US"/>
        </w:rPr>
        <w:t>废石料</w:t>
      </w:r>
    </w:p>
    <w:p>
      <w:pPr>
        <w:tabs>
          <w:tab w:val="left" w:pos="1635"/>
        </w:tabs>
        <w:spacing w:line="360" w:lineRule="auto"/>
        <w:ind w:firstLine="482"/>
        <w:rPr>
          <w:rFonts w:hint="default" w:ascii="Times New Roman" w:hAnsi="Times New Roman" w:cs="Times New Roman"/>
          <w:sz w:val="24"/>
          <w:lang w:val="en-US"/>
        </w:rPr>
      </w:pPr>
      <w:r>
        <w:rPr>
          <w:rFonts w:hint="default" w:ascii="Times New Roman" w:hAnsi="Times New Roman" w:cs="Times New Roman"/>
          <w:sz w:val="24"/>
          <w:lang w:val="en-US"/>
        </w:rPr>
        <w:t>本项目沥青混凝土拌合站骨料经干燥后进入振动筛筛选，筛选出粒径不合格（过大）的废石料。废石料产生量为</w:t>
      </w:r>
      <w:r>
        <w:rPr>
          <w:rFonts w:hint="default" w:ascii="Times New Roman" w:hAnsi="Times New Roman" w:cs="Times New Roman"/>
          <w:sz w:val="24"/>
          <w:lang w:val="en-US" w:eastAsia="zh-CN"/>
        </w:rPr>
        <w:t>38.913</w:t>
      </w:r>
      <w:r>
        <w:rPr>
          <w:rFonts w:hint="default" w:ascii="Times New Roman" w:hAnsi="Times New Roman" w:cs="Times New Roman"/>
          <w:sz w:val="24"/>
          <w:lang w:val="en-US"/>
        </w:rPr>
        <w:t>t/a，这类废石料可作</w:t>
      </w:r>
      <w:r>
        <w:rPr>
          <w:rFonts w:hint="default" w:ascii="Times New Roman" w:hAnsi="Times New Roman" w:cs="Times New Roman"/>
          <w:sz w:val="24"/>
          <w:lang w:val="en-US" w:eastAsia="zh-CN"/>
        </w:rPr>
        <w:t>为</w:t>
      </w:r>
      <w:r>
        <w:rPr>
          <w:rFonts w:hint="default" w:ascii="Times New Roman" w:hAnsi="Times New Roman" w:cs="Times New Roman"/>
          <w:sz w:val="24"/>
          <w:lang w:val="en-US"/>
        </w:rPr>
        <w:t>生产水稳</w:t>
      </w:r>
      <w:r>
        <w:rPr>
          <w:rFonts w:hint="default" w:ascii="Times New Roman" w:hAnsi="Times New Roman" w:cs="Times New Roman"/>
          <w:sz w:val="24"/>
          <w:lang w:val="en-US" w:eastAsia="zh-CN"/>
        </w:rPr>
        <w:t>料</w:t>
      </w:r>
      <w:r>
        <w:rPr>
          <w:rFonts w:hint="default" w:ascii="Times New Roman" w:hAnsi="Times New Roman" w:cs="Times New Roman"/>
          <w:sz w:val="24"/>
          <w:lang w:val="en-US"/>
        </w:rPr>
        <w:t>的原料。</w:t>
      </w:r>
    </w:p>
    <w:p>
      <w:pPr>
        <w:tabs>
          <w:tab w:val="left" w:pos="1635"/>
        </w:tabs>
        <w:spacing w:line="360" w:lineRule="auto"/>
        <w:ind w:firstLine="482"/>
        <w:rPr>
          <w:rFonts w:hint="default" w:ascii="Times New Roman" w:hAnsi="Times New Roman" w:cs="Times New Roman"/>
          <w:sz w:val="24"/>
          <w:lang w:val="en-US"/>
        </w:rPr>
      </w:pPr>
      <w:r>
        <w:rPr>
          <w:rFonts w:hint="default" w:ascii="Times New Roman" w:hAnsi="Times New Roman" w:cs="Times New Roman"/>
          <w:sz w:val="24"/>
          <w:lang w:val="en-US"/>
        </w:rPr>
        <w:t>除尘装置收集的粉尘</w:t>
      </w:r>
    </w:p>
    <w:p>
      <w:pPr>
        <w:tabs>
          <w:tab w:val="left" w:pos="1635"/>
        </w:tabs>
        <w:spacing w:line="360" w:lineRule="auto"/>
        <w:ind w:firstLine="482"/>
        <w:rPr>
          <w:rFonts w:hint="default" w:ascii="Times New Roman" w:hAnsi="Times New Roman" w:cs="Times New Roman"/>
          <w:sz w:val="24"/>
          <w:lang w:val="en-US"/>
        </w:rPr>
      </w:pPr>
      <w:r>
        <w:rPr>
          <w:rFonts w:hint="default" w:ascii="Times New Roman" w:hAnsi="Times New Roman" w:cs="Times New Roman"/>
          <w:sz w:val="24"/>
          <w:lang w:val="en-US"/>
        </w:rPr>
        <w:t>沥青混凝土拌合站骨料干燥以及筛分过程</w:t>
      </w:r>
      <w:r>
        <w:rPr>
          <w:rFonts w:hint="default" w:ascii="Times New Roman" w:hAnsi="Times New Roman" w:cs="Times New Roman"/>
          <w:sz w:val="24"/>
          <w:lang w:val="en-US" w:eastAsia="zh-CN"/>
        </w:rPr>
        <w:t>采用布袋式除尘系统进行除尘；</w:t>
      </w:r>
      <w:r>
        <w:rPr>
          <w:rFonts w:hint="default" w:ascii="Times New Roman" w:hAnsi="Times New Roman" w:cs="Times New Roman"/>
          <w:sz w:val="24"/>
          <w:lang w:val="en-US"/>
        </w:rPr>
        <w:t>水泥仓工作过程中产生的粉尘采用</w:t>
      </w:r>
      <w:r>
        <w:rPr>
          <w:rFonts w:hint="default" w:ascii="Times New Roman" w:hAnsi="Times New Roman" w:cs="Times New Roman"/>
          <w:sz w:val="24"/>
          <w:lang w:val="en-US" w:eastAsia="zh-CN"/>
        </w:rPr>
        <w:t>自带</w:t>
      </w:r>
      <w:r>
        <w:rPr>
          <w:rFonts w:hint="default" w:ascii="Times New Roman" w:hAnsi="Times New Roman" w:cs="Times New Roman"/>
          <w:sz w:val="24"/>
          <w:lang w:val="en-US"/>
        </w:rPr>
        <w:t>除尘装置进行除尘</w:t>
      </w:r>
      <w:r>
        <w:rPr>
          <w:rFonts w:hint="default" w:ascii="Times New Roman" w:hAnsi="Times New Roman" w:cs="Times New Roman"/>
          <w:sz w:val="24"/>
          <w:lang w:val="en-US" w:eastAsia="zh-CN"/>
        </w:rPr>
        <w:t>。</w:t>
      </w:r>
      <w:r>
        <w:rPr>
          <w:rFonts w:hint="default" w:ascii="Times New Roman" w:hAnsi="Times New Roman" w:cs="Times New Roman"/>
          <w:sz w:val="24"/>
          <w:lang w:val="en-US"/>
        </w:rPr>
        <w:t>除尘装置收集的粉尘</w:t>
      </w:r>
      <w:r>
        <w:rPr>
          <w:rFonts w:hint="default" w:ascii="Times New Roman" w:hAnsi="Times New Roman" w:cs="Times New Roman"/>
          <w:sz w:val="24"/>
          <w:lang w:val="en-US" w:eastAsia="zh-CN"/>
        </w:rPr>
        <w:t>总</w:t>
      </w:r>
      <w:r>
        <w:rPr>
          <w:rFonts w:hint="default" w:ascii="Times New Roman" w:hAnsi="Times New Roman" w:cs="Times New Roman"/>
          <w:sz w:val="24"/>
          <w:lang w:val="en-US"/>
        </w:rPr>
        <w:t>量约为</w:t>
      </w:r>
      <w:r>
        <w:rPr>
          <w:rFonts w:hint="default" w:ascii="Times New Roman" w:hAnsi="Times New Roman" w:cs="Times New Roman"/>
          <w:sz w:val="24"/>
          <w:lang w:val="en-US" w:eastAsia="zh-CN"/>
        </w:rPr>
        <w:t>102.734</w:t>
      </w:r>
      <w:r>
        <w:rPr>
          <w:rFonts w:hint="default" w:ascii="Times New Roman" w:hAnsi="Times New Roman" w:cs="Times New Roman"/>
          <w:sz w:val="24"/>
          <w:lang w:val="en-US"/>
        </w:rPr>
        <w:t>t/a。沥青混凝土拌合站骨料干燥以及筛分过程</w:t>
      </w:r>
      <w:r>
        <w:rPr>
          <w:rFonts w:hint="default" w:ascii="Times New Roman" w:hAnsi="Times New Roman" w:cs="Times New Roman"/>
          <w:sz w:val="24"/>
          <w:lang w:val="en-US" w:eastAsia="zh-CN"/>
        </w:rPr>
        <w:t>收集的粉尘</w:t>
      </w:r>
      <w:r>
        <w:rPr>
          <w:rFonts w:hint="default" w:ascii="Times New Roman" w:hAnsi="Times New Roman" w:cs="Times New Roman"/>
          <w:sz w:val="24"/>
          <w:lang w:val="en-US"/>
        </w:rPr>
        <w:t>经螺旋输送带送入粉料圆筒仓作为原料进行生产</w:t>
      </w:r>
      <w:r>
        <w:rPr>
          <w:rFonts w:hint="default" w:ascii="Times New Roman" w:hAnsi="Times New Roman" w:cs="Times New Roman"/>
          <w:sz w:val="24"/>
          <w:lang w:val="en-US" w:eastAsia="zh-CN"/>
        </w:rPr>
        <w:t>；</w:t>
      </w:r>
      <w:r>
        <w:rPr>
          <w:rFonts w:hint="default" w:ascii="Times New Roman" w:hAnsi="Times New Roman" w:cs="Times New Roman"/>
          <w:sz w:val="24"/>
          <w:lang w:val="en-US"/>
        </w:rPr>
        <w:t>水泥仓工作过程中</w:t>
      </w:r>
      <w:r>
        <w:rPr>
          <w:rFonts w:hint="default" w:ascii="Times New Roman" w:hAnsi="Times New Roman" w:cs="Times New Roman"/>
          <w:sz w:val="24"/>
          <w:lang w:val="en-US" w:eastAsia="zh-CN"/>
        </w:rPr>
        <w:t>收集</w:t>
      </w:r>
      <w:r>
        <w:rPr>
          <w:rFonts w:hint="default" w:ascii="Times New Roman" w:hAnsi="Times New Roman" w:cs="Times New Roman"/>
          <w:sz w:val="24"/>
          <w:lang w:val="en-US"/>
        </w:rPr>
        <w:t>的粉尘</w:t>
      </w:r>
      <w:r>
        <w:rPr>
          <w:rFonts w:hint="default" w:ascii="Times New Roman" w:hAnsi="Times New Roman" w:cs="Times New Roman"/>
          <w:sz w:val="24"/>
          <w:lang w:val="en-US" w:eastAsia="zh-CN"/>
        </w:rPr>
        <w:t>返回水泥仓</w:t>
      </w:r>
      <w:r>
        <w:rPr>
          <w:rFonts w:hint="default" w:ascii="Times New Roman" w:hAnsi="Times New Roman" w:cs="Times New Roman"/>
          <w:sz w:val="24"/>
          <w:lang w:val="en-US"/>
        </w:rPr>
        <w:t>。</w:t>
      </w:r>
    </w:p>
    <w:p>
      <w:pPr>
        <w:tabs>
          <w:tab w:val="left" w:pos="1635"/>
        </w:tabs>
        <w:spacing w:line="360" w:lineRule="auto"/>
        <w:ind w:firstLine="482"/>
        <w:rPr>
          <w:rFonts w:hint="default" w:ascii="Times New Roman" w:hAnsi="Times New Roman" w:cs="Times New Roman"/>
          <w:sz w:val="24"/>
          <w:lang w:val="en-US"/>
        </w:rPr>
      </w:pPr>
      <w:r>
        <w:rPr>
          <w:rFonts w:hint="default" w:ascii="Times New Roman" w:hAnsi="Times New Roman" w:cs="Times New Roman"/>
          <w:sz w:val="24"/>
          <w:lang w:val="en-US"/>
        </w:rPr>
        <w:t>生活垃圾</w:t>
      </w:r>
    </w:p>
    <w:p>
      <w:pPr>
        <w:tabs>
          <w:tab w:val="left" w:pos="1635"/>
        </w:tabs>
        <w:spacing w:line="360" w:lineRule="auto"/>
        <w:ind w:firstLine="482"/>
        <w:rPr>
          <w:rFonts w:hint="default" w:ascii="Times New Roman" w:hAnsi="Times New Roman" w:cs="Times New Roman"/>
          <w:sz w:val="24"/>
          <w:lang w:val="en-US"/>
        </w:rPr>
      </w:pPr>
      <w:r>
        <w:rPr>
          <w:rFonts w:hint="default" w:ascii="Times New Roman" w:hAnsi="Times New Roman" w:cs="Times New Roman"/>
          <w:sz w:val="24"/>
          <w:lang w:val="en-US"/>
        </w:rPr>
        <w:t>本项目生活垃圾产生量</w:t>
      </w:r>
      <w:r>
        <w:rPr>
          <w:rFonts w:hint="default" w:ascii="Times New Roman" w:hAnsi="Times New Roman" w:cs="Times New Roman"/>
          <w:sz w:val="24"/>
          <w:lang w:val="en-US" w:eastAsia="zh-CN"/>
        </w:rPr>
        <w:t>2t</w:t>
      </w:r>
      <w:r>
        <w:rPr>
          <w:rFonts w:hint="default" w:ascii="Times New Roman" w:hAnsi="Times New Roman" w:cs="Times New Roman"/>
          <w:sz w:val="24"/>
          <w:lang w:val="en-US"/>
        </w:rPr>
        <w:t>/a，由管理人员定期收集后，运至村垃圾堆放点。</w:t>
      </w:r>
    </w:p>
    <w:p>
      <w:pPr>
        <w:tabs>
          <w:tab w:val="left" w:pos="1635"/>
        </w:tabs>
        <w:spacing w:line="360" w:lineRule="auto"/>
        <w:ind w:firstLine="482"/>
        <w:rPr>
          <w:rFonts w:hint="default" w:ascii="Times New Roman" w:hAnsi="Times New Roman" w:cs="Times New Roman"/>
          <w:sz w:val="24"/>
          <w:lang w:val="en-US" w:eastAsia="zh-CN"/>
        </w:rPr>
      </w:pPr>
      <w:r>
        <w:rPr>
          <w:rFonts w:hint="default" w:ascii="Times New Roman" w:hAnsi="Times New Roman" w:cs="Times New Roman"/>
          <w:sz w:val="24"/>
          <w:lang w:val="en-US" w:eastAsia="zh-CN"/>
        </w:rPr>
        <w:t>废导热油、废活性炭</w:t>
      </w:r>
    </w:p>
    <w:p>
      <w:pPr>
        <w:tabs>
          <w:tab w:val="left" w:pos="1635"/>
        </w:tabs>
        <w:spacing w:line="360" w:lineRule="auto"/>
        <w:ind w:firstLine="482"/>
        <w:rPr>
          <w:rFonts w:hint="default" w:ascii="Times New Roman" w:hAnsi="Times New Roman" w:cs="Times New Roman"/>
          <w:sz w:val="24"/>
          <w:lang w:val="en-US"/>
        </w:rPr>
      </w:pPr>
      <w:r>
        <w:rPr>
          <w:rFonts w:hint="default" w:ascii="Times New Roman" w:hAnsi="Times New Roman" w:cs="Times New Roman"/>
          <w:sz w:val="24"/>
          <w:lang w:val="en-US" w:eastAsia="zh-CN"/>
        </w:rPr>
        <w:t>废导热油、废活性炭属于危险废物，建设单位自投产以来还未产生废导热油、废活性炭等危废，故还未与有资质单位签订危废处置协议。</w:t>
      </w:r>
    </w:p>
    <w:p>
      <w:pPr>
        <w:numPr>
          <w:ilvl w:val="0"/>
          <w:numId w:val="0"/>
        </w:numPr>
        <w:spacing w:line="360" w:lineRule="auto"/>
        <w:jc w:val="left"/>
        <w:rPr>
          <w:rFonts w:hint="default" w:ascii="Times New Roman" w:hAnsi="Times New Roman" w:cs="Times New Roman"/>
          <w:b/>
          <w:bCs/>
          <w:color w:val="auto"/>
          <w:sz w:val="24"/>
          <w:szCs w:val="24"/>
          <w:lang w:val="en-US" w:eastAsia="zh-CN"/>
        </w:rPr>
      </w:pPr>
      <w:r>
        <w:rPr>
          <w:rFonts w:hint="default" w:ascii="Times New Roman" w:hAnsi="Times New Roman" w:eastAsia="宋体" w:cs="Times New Roman"/>
          <w:kern w:val="2"/>
          <w:sz w:val="24"/>
          <w:szCs w:val="24"/>
          <w:lang w:val="en-US" w:eastAsia="zh-CN" w:bidi="ar-SA"/>
        </w:rPr>
        <w:t xml:space="preserve"> </w:t>
      </w:r>
      <w:r>
        <w:rPr>
          <w:rFonts w:hint="default" w:ascii="Times New Roman" w:hAnsi="Times New Roman" w:cs="Times New Roman"/>
          <w:b/>
          <w:bCs/>
          <w:color w:val="auto"/>
          <w:sz w:val="24"/>
          <w:szCs w:val="24"/>
          <w:lang w:val="en-US" w:eastAsia="zh-CN"/>
        </w:rPr>
        <w:t>四、环境保护设施调试效果</w:t>
      </w:r>
    </w:p>
    <w:p>
      <w:pPr>
        <w:numPr>
          <w:ilvl w:val="0"/>
          <w:numId w:val="0"/>
        </w:numPr>
        <w:spacing w:line="360" w:lineRule="auto"/>
        <w:ind w:leftChars="0" w:firstLine="240" w:firstLineChars="100"/>
        <w:jc w:val="left"/>
        <w:rPr>
          <w:rFonts w:hint="default" w:ascii="Times New Roman" w:hAnsi="Times New Roman" w:eastAsia="宋体" w:cs="Times New Roman"/>
          <w:color w:val="auto"/>
          <w:sz w:val="24"/>
          <w:szCs w:val="24"/>
          <w:lang w:val="en-US" w:eastAsia="zh-CN"/>
        </w:rPr>
      </w:pPr>
      <w:r>
        <w:rPr>
          <w:rFonts w:hint="default" w:ascii="Times New Roman" w:hAnsi="Times New Roman" w:eastAsia="宋体" w:cs="Times New Roman"/>
          <w:color w:val="auto"/>
          <w:sz w:val="24"/>
          <w:szCs w:val="24"/>
          <w:lang w:val="en-US" w:eastAsia="zh-CN"/>
        </w:rPr>
        <w:t>（一）污染物达标排放情况</w:t>
      </w:r>
    </w:p>
    <w:p>
      <w:pPr>
        <w:pStyle w:val="18"/>
        <w:spacing w:before="0" w:beforeLines="0" w:beforeAutospacing="0" w:after="0" w:afterLines="0" w:afterAutospacing="0" w:line="360" w:lineRule="auto"/>
        <w:ind w:firstLine="480" w:firstLineChars="200"/>
        <w:jc w:val="both"/>
        <w:outlineLvl w:val="0"/>
        <w:rPr>
          <w:rFonts w:hint="default" w:ascii="Times New Roman" w:hAnsi="Times New Roman" w:eastAsia="宋体" w:cs="Times New Roman"/>
          <w:kern w:val="2"/>
          <w:sz w:val="24"/>
          <w:szCs w:val="24"/>
          <w:lang w:val="en-US" w:eastAsia="zh-CN" w:bidi="ar-SA"/>
        </w:rPr>
      </w:pPr>
      <w:r>
        <w:rPr>
          <w:rFonts w:hint="default" w:ascii="Times New Roman" w:hAnsi="Times New Roman" w:eastAsia="宋体" w:cs="Times New Roman"/>
          <w:kern w:val="2"/>
          <w:sz w:val="24"/>
          <w:szCs w:val="24"/>
          <w:lang w:val="en-US" w:eastAsia="zh-CN" w:bidi="ar-SA"/>
        </w:rPr>
        <w:t>1.废水</w:t>
      </w:r>
    </w:p>
    <w:p>
      <w:pPr>
        <w:spacing w:line="360" w:lineRule="auto"/>
        <w:ind w:firstLine="480"/>
        <w:jc w:val="left"/>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val="en-US" w:eastAsia="zh-CN"/>
        </w:rPr>
        <w:t>经实地勘察，项目没有生产废水外排，生活污水已通过化粪池收集并经熟化处理后，定期掏做农家肥综合利用，不外排。</w:t>
      </w:r>
    </w:p>
    <w:p>
      <w:pPr>
        <w:pStyle w:val="18"/>
        <w:spacing w:before="0" w:beforeLines="0" w:beforeAutospacing="0" w:after="0" w:afterLines="0" w:afterAutospacing="0" w:line="360" w:lineRule="auto"/>
        <w:ind w:firstLine="480" w:firstLineChars="200"/>
        <w:jc w:val="both"/>
        <w:outlineLvl w:val="0"/>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2.废气</w:t>
      </w:r>
    </w:p>
    <w:p>
      <w:pPr>
        <w:spacing w:line="360" w:lineRule="auto"/>
        <w:ind w:firstLine="480"/>
        <w:jc w:val="both"/>
        <w:rPr>
          <w:rFonts w:hint="default" w:ascii="Times New Roman" w:hAnsi="Times New Roman" w:eastAsia="宋体" w:cs="Times New Roman"/>
          <w:color w:val="auto"/>
          <w:sz w:val="24"/>
          <w:szCs w:val="24"/>
          <w:lang w:val="en-US" w:eastAsia="zh-CN"/>
        </w:rPr>
      </w:pPr>
      <w:r>
        <w:rPr>
          <w:rFonts w:hint="default" w:ascii="Times New Roman" w:hAnsi="Times New Roman" w:cs="Times New Roman"/>
          <w:color w:val="000000"/>
          <w:sz w:val="24"/>
          <w:szCs w:val="24"/>
          <w:lang w:val="en-US" w:eastAsia="zh-CN"/>
        </w:rPr>
        <w:t>验收监测期间，烘干和拌合混合烟气有组织废气排气筒出口处监测因子颗粒物、二氧化硫、氮氧化物、沥青烟、苯并[a]芘的最大值均符合《大气污染物综合排放标准》</w:t>
      </w:r>
      <w:r>
        <w:rPr>
          <w:rFonts w:hint="default" w:ascii="Times New Roman" w:hAnsi="Times New Roman" w:eastAsia="宋体" w:cs="Times New Roman"/>
          <w:color w:val="auto"/>
          <w:sz w:val="24"/>
          <w:szCs w:val="24"/>
          <w:lang w:val="en-US" w:eastAsia="zh-CN"/>
        </w:rPr>
        <w:t>（GB16297-1996）中表2二级排放标准限值要求。</w:t>
      </w:r>
    </w:p>
    <w:p>
      <w:pPr>
        <w:spacing w:line="360" w:lineRule="auto"/>
        <w:ind w:firstLine="480"/>
        <w:jc w:val="both"/>
        <w:rPr>
          <w:rFonts w:hint="default" w:ascii="Times New Roman" w:hAnsi="Times New Roman" w:eastAsia="宋体" w:cs="Times New Roman"/>
          <w:color w:val="auto"/>
          <w:sz w:val="24"/>
          <w:szCs w:val="24"/>
          <w:lang w:val="en-US" w:eastAsia="zh-CN"/>
        </w:rPr>
      </w:pPr>
      <w:r>
        <w:rPr>
          <w:rFonts w:hint="default" w:ascii="Times New Roman" w:hAnsi="Times New Roman" w:eastAsia="宋体" w:cs="Times New Roman"/>
          <w:color w:val="auto"/>
          <w:sz w:val="24"/>
          <w:szCs w:val="24"/>
          <w:lang w:val="en-US" w:eastAsia="zh-CN"/>
        </w:rPr>
        <w:t>验收监测期间，导热油锅炉烟气有组织废气排气筒出口处监测因子颗粒物、二氧化硫、氮氧化物、烟气黑度的最大值均《锅炉大气污染物排放标准》（GB13271-2014）表2燃油锅炉标准限值。</w:t>
      </w:r>
    </w:p>
    <w:p>
      <w:pPr>
        <w:spacing w:line="360" w:lineRule="auto"/>
        <w:ind w:firstLine="480"/>
        <w:jc w:val="both"/>
        <w:rPr>
          <w:rFonts w:hint="default" w:ascii="Times New Roman" w:hAnsi="Times New Roman" w:eastAsia="宋体" w:cs="Times New Roman"/>
          <w:color w:val="auto"/>
          <w:sz w:val="24"/>
          <w:szCs w:val="24"/>
          <w:lang w:val="en-US" w:eastAsia="zh-CN"/>
        </w:rPr>
      </w:pPr>
      <w:r>
        <w:rPr>
          <w:rFonts w:hint="default" w:ascii="Times New Roman" w:hAnsi="Times New Roman" w:eastAsia="宋体" w:cs="Times New Roman"/>
          <w:color w:val="auto"/>
          <w:sz w:val="24"/>
          <w:szCs w:val="24"/>
          <w:lang w:val="en-US" w:eastAsia="zh-CN"/>
        </w:rPr>
        <w:t>验收监测期间，该项目厂界无组织废气污染物颗粒物、非甲烷总烃、苯并[a]芘浓度的最大值均符合《大气污染物综合排放标准》（GB16297-1996）表2中无组织排放监控浓度限值。</w:t>
      </w:r>
    </w:p>
    <w:p>
      <w:pPr>
        <w:pStyle w:val="18"/>
        <w:spacing w:before="0" w:beforeLines="0" w:beforeAutospacing="0" w:after="0" w:afterLines="0" w:afterAutospacing="0" w:line="360" w:lineRule="auto"/>
        <w:ind w:firstLine="480" w:firstLineChars="200"/>
        <w:jc w:val="both"/>
        <w:outlineLvl w:val="0"/>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3.厂界噪声</w:t>
      </w:r>
    </w:p>
    <w:p>
      <w:pPr>
        <w:spacing w:line="360" w:lineRule="auto"/>
        <w:ind w:firstLine="480"/>
        <w:jc w:val="both"/>
        <w:rPr>
          <w:rFonts w:hint="default" w:ascii="Times New Roman" w:hAnsi="Times New Roman" w:cs="Times New Roman"/>
          <w:color w:val="000000"/>
          <w:sz w:val="24"/>
          <w:szCs w:val="24"/>
          <w:lang w:val="en-US" w:eastAsia="zh-CN"/>
        </w:rPr>
      </w:pPr>
      <w:r>
        <w:rPr>
          <w:rFonts w:hint="default" w:ascii="Times New Roman" w:hAnsi="Times New Roman" w:cs="Times New Roman"/>
          <w:color w:val="000000"/>
          <w:sz w:val="24"/>
          <w:szCs w:val="24"/>
          <w:lang w:val="en-US" w:eastAsia="zh-CN"/>
        </w:rPr>
        <w:t>本项目验收监测期间，东、南、西、北面厂界昼、夜间噪声等效声级最大值均符合《声环境质量标准》（GB3096-2008）</w:t>
      </w:r>
      <w:r>
        <w:rPr>
          <w:rFonts w:hint="eastAsia" w:ascii="Times New Roman" w:hAnsi="Times New Roman" w:cs="Times New Roman"/>
          <w:color w:val="000000"/>
          <w:sz w:val="24"/>
          <w:szCs w:val="24"/>
          <w:lang w:val="en-US" w:eastAsia="zh-CN"/>
        </w:rPr>
        <w:t>2</w:t>
      </w:r>
      <w:r>
        <w:rPr>
          <w:rFonts w:hint="default" w:ascii="Times New Roman" w:hAnsi="Times New Roman" w:cs="Times New Roman"/>
          <w:color w:val="000000"/>
          <w:sz w:val="24"/>
          <w:szCs w:val="24"/>
          <w:lang w:val="en-US" w:eastAsia="zh-CN"/>
        </w:rPr>
        <w:t>类标准限值。</w:t>
      </w:r>
    </w:p>
    <w:p>
      <w:pPr>
        <w:pStyle w:val="18"/>
        <w:spacing w:before="0" w:beforeLines="0" w:beforeAutospacing="0" w:after="0" w:afterLines="0" w:afterAutospacing="0" w:line="360" w:lineRule="auto"/>
        <w:ind w:firstLine="480" w:firstLineChars="200"/>
        <w:jc w:val="both"/>
        <w:outlineLvl w:val="0"/>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4.固体废物</w:t>
      </w:r>
    </w:p>
    <w:p>
      <w:pPr>
        <w:spacing w:line="360" w:lineRule="auto"/>
        <w:ind w:firstLine="480"/>
        <w:jc w:val="both"/>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项目生产过程中产生的固废已经收集后回用；废导热油、废活性炭属危险废物，建设单位已建设危废暂存间，建设单位自投产以来还未产生废导热油、废活性炭等危险废物，故还未与有资质单位签订危废处置协议；生活垃圾已集中收集后交由环卫部门统一处理。</w:t>
      </w:r>
    </w:p>
    <w:p>
      <w:pPr>
        <w:pStyle w:val="18"/>
        <w:numPr>
          <w:ilvl w:val="0"/>
          <w:numId w:val="3"/>
        </w:numPr>
        <w:spacing w:before="0" w:beforeAutospacing="0" w:after="0" w:afterAutospacing="0" w:line="360" w:lineRule="auto"/>
        <w:ind w:firstLine="482" w:firstLineChars="200"/>
        <w:jc w:val="both"/>
        <w:outlineLvl w:val="0"/>
        <w:rPr>
          <w:rFonts w:hint="default" w:ascii="Times New Roman" w:hAnsi="Times New Roman" w:cs="Times New Roman"/>
          <w:b/>
          <w:sz w:val="24"/>
          <w:szCs w:val="24"/>
        </w:rPr>
      </w:pPr>
      <w:r>
        <w:rPr>
          <w:rFonts w:hint="default" w:ascii="Times New Roman" w:hAnsi="Times New Roman" w:cs="Times New Roman"/>
          <w:b/>
          <w:sz w:val="24"/>
          <w:szCs w:val="24"/>
        </w:rPr>
        <w:t>工程建设对环境的影响</w:t>
      </w:r>
    </w:p>
    <w:p>
      <w:pPr>
        <w:pStyle w:val="18"/>
        <w:numPr>
          <w:ilvl w:val="0"/>
          <w:numId w:val="0"/>
        </w:numPr>
        <w:spacing w:before="0" w:beforeAutospacing="0" w:after="0" w:afterAutospacing="0" w:line="360" w:lineRule="auto"/>
        <w:ind w:firstLine="480" w:firstLineChars="200"/>
        <w:jc w:val="both"/>
        <w:outlineLvl w:val="0"/>
        <w:rPr>
          <w:rFonts w:hint="default" w:ascii="Times New Roman" w:hAnsi="Times New Roman" w:eastAsia="宋体" w:cs="Times New Roman"/>
          <w:b w:val="0"/>
          <w:bCs/>
          <w:sz w:val="24"/>
          <w:szCs w:val="24"/>
          <w:lang w:eastAsia="zh-CN"/>
        </w:rPr>
      </w:pPr>
      <w:r>
        <w:rPr>
          <w:rFonts w:hint="default" w:ascii="Times New Roman" w:hAnsi="Times New Roman" w:cs="Times New Roman"/>
          <w:b w:val="0"/>
          <w:bCs/>
          <w:sz w:val="24"/>
          <w:szCs w:val="24"/>
          <w:lang w:eastAsia="zh-CN"/>
        </w:rPr>
        <w:t>本项目已按照环评及批复要求落实了各项污染防治措施，验收监测期间各类污染物均可以做到达标排放，对周围环境影响较小。</w:t>
      </w:r>
    </w:p>
    <w:p>
      <w:pPr>
        <w:pStyle w:val="18"/>
        <w:spacing w:before="0" w:beforeAutospacing="0" w:after="0" w:afterAutospacing="0" w:line="360" w:lineRule="auto"/>
        <w:ind w:firstLine="482" w:firstLineChars="200"/>
        <w:jc w:val="both"/>
        <w:outlineLvl w:val="0"/>
        <w:rPr>
          <w:rFonts w:hint="default" w:ascii="Times New Roman" w:hAnsi="Times New Roman" w:eastAsia="宋体" w:cs="Times New Roman"/>
          <w:b/>
          <w:color w:val="000000"/>
          <w:sz w:val="24"/>
          <w:szCs w:val="24"/>
          <w:lang w:eastAsia="zh-CN"/>
        </w:rPr>
      </w:pPr>
      <w:r>
        <w:rPr>
          <w:rFonts w:hint="default" w:ascii="Times New Roman" w:hAnsi="Times New Roman" w:cs="Times New Roman"/>
          <w:b/>
          <w:color w:val="000000"/>
          <w:sz w:val="24"/>
          <w:szCs w:val="24"/>
        </w:rPr>
        <w:t>六、验收结论</w:t>
      </w:r>
    </w:p>
    <w:p>
      <w:pPr>
        <w:spacing w:line="360" w:lineRule="auto"/>
        <w:ind w:firstLine="480" w:firstLineChars="200"/>
        <w:rPr>
          <w:rFonts w:hint="default" w:ascii="Times New Roman" w:hAnsi="Times New Roman" w:cs="Times New Roman"/>
          <w:b w:val="0"/>
          <w:bCs/>
          <w:sz w:val="24"/>
          <w:szCs w:val="24"/>
          <w:lang w:eastAsia="zh-CN"/>
        </w:rPr>
      </w:pPr>
      <w:r>
        <w:rPr>
          <w:rFonts w:hint="default" w:ascii="Times New Roman" w:hAnsi="Times New Roman" w:cs="Times New Roman"/>
          <w:b w:val="0"/>
          <w:bCs/>
          <w:sz w:val="24"/>
          <w:szCs w:val="24"/>
          <w:lang w:eastAsia="zh-CN"/>
        </w:rPr>
        <w:t>本项目已按照环评及批复要求落实了各项污染防治措施，验收期间</w:t>
      </w:r>
      <w:r>
        <w:rPr>
          <w:rFonts w:hint="eastAsia" w:ascii="Times New Roman" w:hAnsi="Times New Roman" w:cs="Times New Roman"/>
          <w:b w:val="0"/>
          <w:bCs/>
          <w:sz w:val="24"/>
          <w:szCs w:val="24"/>
          <w:lang w:val="en-US" w:eastAsia="zh-CN"/>
        </w:rPr>
        <w:t>有组织</w:t>
      </w:r>
      <w:r>
        <w:rPr>
          <w:rFonts w:hint="default" w:ascii="Times New Roman" w:hAnsi="Times New Roman" w:cs="Times New Roman"/>
          <w:b w:val="0"/>
          <w:bCs/>
          <w:sz w:val="24"/>
          <w:szCs w:val="24"/>
          <w:lang w:eastAsia="zh-CN"/>
        </w:rPr>
        <w:t>废气、</w:t>
      </w:r>
      <w:r>
        <w:rPr>
          <w:rFonts w:hint="eastAsia" w:ascii="Times New Roman" w:hAnsi="Times New Roman" w:cs="Times New Roman"/>
          <w:b w:val="0"/>
          <w:bCs/>
          <w:sz w:val="24"/>
          <w:szCs w:val="24"/>
          <w:lang w:val="en-US" w:eastAsia="zh-CN"/>
        </w:rPr>
        <w:t>厂界无组织废气、</w:t>
      </w:r>
      <w:r>
        <w:rPr>
          <w:rFonts w:hint="default" w:ascii="Times New Roman" w:hAnsi="Times New Roman" w:cs="Times New Roman"/>
          <w:b w:val="0"/>
          <w:bCs/>
          <w:sz w:val="24"/>
          <w:szCs w:val="24"/>
          <w:lang w:eastAsia="zh-CN"/>
        </w:rPr>
        <w:t>噪声均达到相关标准要求，固体废物合理处置，</w:t>
      </w:r>
      <w:r>
        <w:rPr>
          <w:rFonts w:hint="eastAsia" w:ascii="Times New Roman" w:hAnsi="Times New Roman" w:cs="Times New Roman"/>
          <w:b w:val="0"/>
          <w:bCs/>
          <w:sz w:val="24"/>
          <w:szCs w:val="24"/>
          <w:lang w:val="en-US" w:eastAsia="zh-CN"/>
        </w:rPr>
        <w:t>废水不外排，</w:t>
      </w:r>
      <w:r>
        <w:rPr>
          <w:rFonts w:hint="default" w:ascii="Times New Roman" w:hAnsi="Times New Roman" w:cs="Times New Roman"/>
          <w:b w:val="0"/>
          <w:bCs/>
          <w:sz w:val="24"/>
          <w:szCs w:val="24"/>
          <w:lang w:eastAsia="zh-CN"/>
        </w:rPr>
        <w:t>验收组同意本项目通过竣工环保验收。</w:t>
      </w:r>
    </w:p>
    <w:p>
      <w:pPr>
        <w:pStyle w:val="11"/>
        <w:keepNext w:val="0"/>
        <w:keepLines w:val="0"/>
        <w:pageBreakBefore w:val="0"/>
        <w:widowControl w:val="0"/>
        <w:kinsoku/>
        <w:wordWrap/>
        <w:overflowPunct/>
        <w:topLinePunct w:val="0"/>
        <w:autoSpaceDE/>
        <w:autoSpaceDN/>
        <w:bidi w:val="0"/>
        <w:adjustRightInd/>
        <w:snapToGrid/>
        <w:spacing w:line="360" w:lineRule="auto"/>
        <w:ind w:left="0" w:leftChars="0" w:firstLine="482" w:firstLineChars="200"/>
        <w:textAlignment w:val="auto"/>
        <w:outlineLvl w:val="9"/>
        <w:rPr>
          <w:rFonts w:hint="default" w:ascii="Times New Roman" w:hAnsi="Times New Roman" w:cs="Times New Roman"/>
          <w:b w:val="0"/>
          <w:bCs/>
          <w:color w:val="000000"/>
          <w:sz w:val="24"/>
          <w:szCs w:val="24"/>
          <w:lang w:val="en-US" w:eastAsia="zh-CN"/>
        </w:rPr>
      </w:pPr>
      <w:r>
        <w:rPr>
          <w:rFonts w:hint="default" w:ascii="Times New Roman" w:hAnsi="Times New Roman" w:cs="Times New Roman"/>
          <w:b/>
          <w:color w:val="000000"/>
          <w:sz w:val="24"/>
          <w:szCs w:val="24"/>
        </w:rPr>
        <w:t>七、</w:t>
      </w:r>
      <w:r>
        <w:rPr>
          <w:rFonts w:hint="default" w:ascii="Times New Roman" w:hAnsi="Times New Roman" w:cs="Times New Roman"/>
          <w:b/>
          <w:color w:val="000000"/>
          <w:sz w:val="24"/>
          <w:szCs w:val="24"/>
          <w:lang w:eastAsia="zh-CN"/>
        </w:rPr>
        <w:t>验收建议</w:t>
      </w:r>
    </w:p>
    <w:p>
      <w:pPr>
        <w:spacing w:line="360" w:lineRule="auto"/>
        <w:ind w:firstLine="480" w:firstLineChars="200"/>
        <w:rPr>
          <w:rFonts w:hint="default" w:ascii="Times New Roman" w:hAnsi="Times New Roman" w:cs="Times New Roman"/>
          <w:b w:val="0"/>
          <w:bCs/>
          <w:sz w:val="24"/>
          <w:szCs w:val="24"/>
          <w:lang w:val="en-US" w:eastAsia="zh-CN"/>
        </w:rPr>
      </w:pPr>
      <w:r>
        <w:rPr>
          <w:rFonts w:hint="default" w:ascii="Times New Roman" w:hAnsi="Times New Roman" w:cs="Times New Roman"/>
          <w:b w:val="0"/>
          <w:bCs/>
          <w:sz w:val="24"/>
          <w:szCs w:val="24"/>
          <w:lang w:val="en-US" w:eastAsia="zh-CN"/>
        </w:rPr>
        <w:t>（1）设专人负责环保设施的运行和管理，保证设施正常运转。</w:t>
      </w:r>
    </w:p>
    <w:p>
      <w:pPr>
        <w:spacing w:line="360" w:lineRule="auto"/>
        <w:ind w:firstLine="480" w:firstLineChars="200"/>
        <w:rPr>
          <w:rFonts w:hint="default" w:ascii="Times New Roman" w:hAnsi="Times New Roman" w:cs="Times New Roman"/>
          <w:b w:val="0"/>
          <w:bCs/>
          <w:sz w:val="24"/>
          <w:szCs w:val="24"/>
          <w:lang w:val="en-US" w:eastAsia="zh-CN"/>
        </w:rPr>
      </w:pPr>
      <w:r>
        <w:rPr>
          <w:rFonts w:hint="default" w:ascii="Times New Roman" w:hAnsi="Times New Roman" w:cs="Times New Roman"/>
          <w:b w:val="0"/>
          <w:bCs/>
          <w:sz w:val="24"/>
          <w:szCs w:val="24"/>
          <w:lang w:val="en-US" w:eastAsia="zh-CN"/>
        </w:rPr>
        <w:t>（2）加</w:t>
      </w:r>
      <w:bookmarkStart w:id="0" w:name="_GoBack"/>
      <w:bookmarkEnd w:id="0"/>
      <w:r>
        <w:rPr>
          <w:rFonts w:hint="default" w:ascii="Times New Roman" w:hAnsi="Times New Roman" w:cs="Times New Roman"/>
          <w:b w:val="0"/>
          <w:bCs/>
          <w:sz w:val="24"/>
          <w:szCs w:val="24"/>
          <w:lang w:val="en-US" w:eastAsia="zh-CN"/>
        </w:rPr>
        <w:t>强环保设施的运行管理和维护，确保各项污染物长期、稳定达标排放。</w:t>
      </w:r>
    </w:p>
    <w:p>
      <w:pPr>
        <w:pStyle w:val="18"/>
        <w:spacing w:before="0" w:beforeAutospacing="0" w:after="0" w:afterAutospacing="0" w:line="360" w:lineRule="auto"/>
        <w:ind w:firstLine="482" w:firstLineChars="200"/>
        <w:jc w:val="both"/>
        <w:outlineLvl w:val="0"/>
        <w:rPr>
          <w:rFonts w:hint="default" w:ascii="Times New Roman" w:hAnsi="Times New Roman" w:cs="Times New Roman"/>
          <w:b/>
          <w:color w:val="000000"/>
          <w:sz w:val="24"/>
          <w:szCs w:val="24"/>
        </w:rPr>
      </w:pPr>
      <w:r>
        <w:rPr>
          <w:rFonts w:hint="default" w:ascii="Times New Roman" w:hAnsi="Times New Roman" w:cs="Times New Roman"/>
          <w:b/>
          <w:color w:val="000000"/>
          <w:sz w:val="24"/>
          <w:szCs w:val="24"/>
          <w:lang w:eastAsia="zh-CN"/>
        </w:rPr>
        <w:t>八</w:t>
      </w:r>
      <w:r>
        <w:rPr>
          <w:rFonts w:hint="default" w:ascii="Times New Roman" w:hAnsi="Times New Roman" w:cs="Times New Roman"/>
          <w:b/>
          <w:color w:val="000000"/>
          <w:sz w:val="24"/>
          <w:szCs w:val="24"/>
        </w:rPr>
        <w:t>、验收人员信息</w:t>
      </w:r>
    </w:p>
    <w:p>
      <w:pPr>
        <w:pStyle w:val="18"/>
        <w:spacing w:before="0" w:beforeAutospacing="0" w:after="0" w:afterAutospacing="0" w:line="360" w:lineRule="auto"/>
        <w:ind w:firstLine="480" w:firstLineChars="200"/>
        <w:jc w:val="both"/>
        <w:outlineLvl w:val="0"/>
        <w:rPr>
          <w:rFonts w:hint="default" w:ascii="Times New Roman" w:hAnsi="Times New Roman" w:eastAsia="宋体" w:cs="Times New Roman"/>
          <w:color w:val="000000"/>
          <w:sz w:val="24"/>
          <w:szCs w:val="24"/>
          <w:lang w:eastAsia="zh-CN"/>
        </w:rPr>
      </w:pPr>
      <w:r>
        <w:rPr>
          <w:rFonts w:hint="default" w:ascii="Times New Roman" w:hAnsi="Times New Roman" w:cs="Times New Roman"/>
          <w:color w:val="000000"/>
          <w:sz w:val="24"/>
          <w:szCs w:val="24"/>
          <w:lang w:eastAsia="zh-CN"/>
        </w:rPr>
        <w:t>验收负责人和参加验收人员信息见附表。</w:t>
      </w:r>
    </w:p>
    <w:p>
      <w:pPr>
        <w:pStyle w:val="18"/>
        <w:spacing w:before="0" w:beforeAutospacing="0" w:after="0" w:afterAutospacing="0" w:line="360" w:lineRule="auto"/>
        <w:ind w:firstLine="480" w:firstLineChars="200"/>
        <w:jc w:val="both"/>
        <w:outlineLvl w:val="0"/>
        <w:rPr>
          <w:rFonts w:hint="default" w:ascii="Times New Roman" w:hAnsi="Times New Roman" w:cs="Times New Roman"/>
          <w:color w:val="000000"/>
          <w:sz w:val="24"/>
          <w:szCs w:val="24"/>
          <w:lang w:val="en-US" w:eastAsia="zh-CN"/>
        </w:rPr>
      </w:pPr>
      <w:r>
        <w:rPr>
          <w:rFonts w:hint="default" w:ascii="Times New Roman" w:hAnsi="Times New Roman" w:cs="Times New Roman"/>
          <w:color w:val="000000"/>
          <w:sz w:val="24"/>
          <w:szCs w:val="24"/>
          <w:lang w:val="en-US" w:eastAsia="zh-CN"/>
        </w:rPr>
        <w:t xml:space="preserve"> </w:t>
      </w:r>
    </w:p>
    <w:p>
      <w:pPr>
        <w:pStyle w:val="18"/>
        <w:spacing w:before="0" w:beforeAutospacing="0" w:after="0" w:afterAutospacing="0" w:line="360" w:lineRule="auto"/>
        <w:ind w:firstLine="480" w:firstLineChars="200"/>
        <w:jc w:val="both"/>
        <w:outlineLvl w:val="0"/>
        <w:rPr>
          <w:rFonts w:hint="default" w:ascii="Times New Roman" w:hAnsi="Times New Roman" w:cs="Times New Roman"/>
          <w:color w:val="000000"/>
          <w:sz w:val="24"/>
          <w:szCs w:val="24"/>
          <w:lang w:val="en-US" w:eastAsia="zh-CN"/>
        </w:rPr>
      </w:pPr>
    </w:p>
    <w:p>
      <w:pPr>
        <w:pStyle w:val="18"/>
        <w:spacing w:before="0" w:beforeAutospacing="0" w:after="0" w:afterAutospacing="0" w:line="360" w:lineRule="auto"/>
        <w:jc w:val="both"/>
        <w:outlineLvl w:val="0"/>
        <w:rPr>
          <w:rFonts w:hint="default" w:ascii="Times New Roman" w:hAnsi="Times New Roman" w:cs="Times New Roman"/>
          <w:color w:val="000000"/>
          <w:sz w:val="24"/>
          <w:szCs w:val="24"/>
          <w:lang w:val="en-US" w:eastAsia="zh-CN"/>
        </w:rPr>
      </w:pPr>
    </w:p>
    <w:p>
      <w:pPr>
        <w:pStyle w:val="18"/>
        <w:spacing w:before="0" w:beforeAutospacing="0" w:after="0" w:afterAutospacing="0" w:line="360" w:lineRule="auto"/>
        <w:ind w:firstLine="240" w:firstLineChars="100"/>
        <w:jc w:val="right"/>
        <w:outlineLvl w:val="0"/>
        <w:rPr>
          <w:rFonts w:hint="default" w:ascii="Times New Roman" w:hAnsi="Times New Roman" w:cs="Times New Roman"/>
          <w:sz w:val="24"/>
          <w:szCs w:val="24"/>
          <w:u w:val="single"/>
          <w:lang w:val="en-US" w:eastAsia="zh-CN"/>
        </w:rPr>
      </w:pPr>
      <w:r>
        <w:rPr>
          <w:rFonts w:hint="eastAsia" w:ascii="Times New Roman" w:hAnsi="Times New Roman" w:cs="Times New Roman"/>
          <w:color w:val="000000"/>
          <w:sz w:val="24"/>
          <w:szCs w:val="24"/>
          <w:lang w:val="en-US" w:eastAsia="zh-CN"/>
        </w:rPr>
        <w:t>邵阳宝华工程建设有限公司</w:t>
      </w:r>
      <w:r>
        <w:rPr>
          <w:rFonts w:hint="default" w:ascii="Times New Roman" w:hAnsi="Times New Roman" w:cs="Times New Roman"/>
          <w:color w:val="000000"/>
          <w:sz w:val="24"/>
          <w:szCs w:val="24"/>
          <w:lang w:val="en-US" w:eastAsia="zh-CN"/>
        </w:rPr>
        <w:t xml:space="preserve">                                            </w:t>
      </w:r>
      <w:r>
        <w:rPr>
          <w:rFonts w:hint="default" w:ascii="Times New Roman" w:hAnsi="Times New Roman" w:cs="Times New Roman"/>
          <w:color w:val="000000"/>
          <w:sz w:val="24"/>
          <w:szCs w:val="24"/>
          <w:u w:val="none"/>
          <w:lang w:val="en-US" w:eastAsia="zh-CN"/>
        </w:rPr>
        <w:t>20</w:t>
      </w:r>
      <w:r>
        <w:rPr>
          <w:rFonts w:hint="eastAsia" w:ascii="Times New Roman" w:hAnsi="Times New Roman" w:cs="Times New Roman"/>
          <w:color w:val="000000"/>
          <w:sz w:val="24"/>
          <w:szCs w:val="24"/>
          <w:u w:val="none"/>
          <w:lang w:val="en-US" w:eastAsia="zh-CN"/>
        </w:rPr>
        <w:t>23</w:t>
      </w:r>
      <w:r>
        <w:rPr>
          <w:rFonts w:hint="default" w:ascii="Times New Roman" w:hAnsi="Times New Roman" w:cs="Times New Roman"/>
          <w:color w:val="000000"/>
          <w:sz w:val="24"/>
          <w:szCs w:val="24"/>
          <w:u w:val="none"/>
        </w:rPr>
        <w:t>年</w:t>
      </w:r>
      <w:r>
        <w:rPr>
          <w:rFonts w:hint="eastAsia" w:ascii="Times New Roman" w:hAnsi="Times New Roman" w:cs="Times New Roman"/>
          <w:color w:val="000000"/>
          <w:sz w:val="24"/>
          <w:szCs w:val="24"/>
          <w:u w:val="none"/>
          <w:lang w:val="en-US" w:eastAsia="zh-CN"/>
        </w:rPr>
        <w:t>8</w:t>
      </w:r>
      <w:r>
        <w:rPr>
          <w:rFonts w:hint="default" w:ascii="Times New Roman" w:hAnsi="Times New Roman" w:cs="Times New Roman"/>
          <w:color w:val="000000"/>
          <w:sz w:val="24"/>
          <w:szCs w:val="24"/>
          <w:u w:val="none"/>
        </w:rPr>
        <w:t>月</w:t>
      </w:r>
      <w:r>
        <w:rPr>
          <w:rFonts w:hint="eastAsia" w:ascii="Times New Roman" w:hAnsi="Times New Roman" w:cs="Times New Roman"/>
          <w:color w:val="000000"/>
          <w:sz w:val="24"/>
          <w:szCs w:val="24"/>
          <w:u w:val="none"/>
          <w:lang w:val="en-US" w:eastAsia="zh-CN"/>
        </w:rPr>
        <w:t>11</w:t>
      </w:r>
      <w:r>
        <w:rPr>
          <w:rFonts w:hint="default" w:ascii="Times New Roman" w:hAnsi="Times New Roman" w:cs="Times New Roman"/>
          <w:color w:val="000000"/>
          <w:sz w:val="24"/>
          <w:szCs w:val="24"/>
          <w:u w:val="none"/>
          <w:lang w:val="en-US" w:eastAsia="zh-CN"/>
        </w:rPr>
        <w:t>日</w:t>
      </w:r>
    </w:p>
    <w:sectPr>
      <w:footerReference r:id="rId3"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1"/>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auto"/>
    <w:pitch w:val="default"/>
    <w:sig w:usb0="E00006FF" w:usb1="420024FF" w:usb2="02000000" w:usb3="00000000" w:csb0="2000019F" w:csb1="00000000"/>
  </w:font>
  <w:font w:name="仿宋">
    <w:panose1 w:val="02010609060101010101"/>
    <w:charset w:val="86"/>
    <w:family w:val="auto"/>
    <w:pitch w:val="default"/>
    <w:sig w:usb0="800002BF" w:usb1="38CF7CFA" w:usb2="00000016" w:usb3="00000000" w:csb0="00040001" w:csb1="00000000"/>
  </w:font>
  <w:font w:name="楷体">
    <w:panose1 w:val="02010609060101010101"/>
    <w:charset w:val="86"/>
    <w:family w:val="modern"/>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ind w:firstLine="360"/>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
                            <w:rPr>
                              <w:rFonts w:hint="eastAsia" w:eastAsiaTheme="minor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pPr>
                      <w:pStyle w:val="8"/>
                      <w:rPr>
                        <w:rFonts w:hint="eastAsia" w:eastAsiaTheme="minor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AAFE159"/>
    <w:multiLevelType w:val="singleLevel"/>
    <w:tmpl w:val="0AAFE159"/>
    <w:lvl w:ilvl="0" w:tentative="0">
      <w:start w:val="3"/>
      <w:numFmt w:val="chineseCounting"/>
      <w:suff w:val="nothing"/>
      <w:lvlText w:val="（%1）"/>
      <w:lvlJc w:val="left"/>
      <w:rPr>
        <w:rFonts w:hint="eastAsia"/>
      </w:rPr>
    </w:lvl>
  </w:abstractNum>
  <w:abstractNum w:abstractNumId="1">
    <w:nsid w:val="6EC25134"/>
    <w:multiLevelType w:val="singleLevel"/>
    <w:tmpl w:val="6EC25134"/>
    <w:lvl w:ilvl="0" w:tentative="0">
      <w:start w:val="5"/>
      <w:numFmt w:val="chineseCounting"/>
      <w:suff w:val="nothing"/>
      <w:lvlText w:val="%1、"/>
      <w:lvlJc w:val="left"/>
      <w:rPr>
        <w:rFonts w:hint="eastAsia"/>
      </w:rPr>
    </w:lvl>
  </w:abstractNum>
  <w:abstractNum w:abstractNumId="2">
    <w:nsid w:val="7554AF9B"/>
    <w:multiLevelType w:val="singleLevel"/>
    <w:tmpl w:val="7554AF9B"/>
    <w:lvl w:ilvl="0" w:tentative="0">
      <w:start w:val="2"/>
      <w:numFmt w:val="chineseCounting"/>
      <w:suff w:val="nothing"/>
      <w:lvlText w:val="%1、"/>
      <w:lvlJc w:val="left"/>
      <w:rPr>
        <w:rFonts w:hint="eastAsia"/>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1"/>
  <w:displayBackgroundShape w:val="1"/>
  <w:embedSystemFonts/>
  <w:bordersDoNotSurroundHeader w:val="1"/>
  <w:bordersDoNotSurroundFooter w:val="1"/>
  <w:attachedTemplate r:id="rId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WJlZTE5ZDdlOGU5ZTg3MDVlODY3OWUxYzg5MThkY2EifQ=="/>
  </w:docVars>
  <w:rsids>
    <w:rsidRoot w:val="30736BF9"/>
    <w:rsid w:val="00335C52"/>
    <w:rsid w:val="0436194D"/>
    <w:rsid w:val="07233FAD"/>
    <w:rsid w:val="0B2337CA"/>
    <w:rsid w:val="0D13458B"/>
    <w:rsid w:val="0D916DB2"/>
    <w:rsid w:val="0E027E14"/>
    <w:rsid w:val="0F136BA4"/>
    <w:rsid w:val="10280E92"/>
    <w:rsid w:val="18166B3E"/>
    <w:rsid w:val="190169B2"/>
    <w:rsid w:val="191C1122"/>
    <w:rsid w:val="1C8211DF"/>
    <w:rsid w:val="1EFB6FCE"/>
    <w:rsid w:val="1FBB2916"/>
    <w:rsid w:val="252A5133"/>
    <w:rsid w:val="25877079"/>
    <w:rsid w:val="270A1F04"/>
    <w:rsid w:val="270A52FB"/>
    <w:rsid w:val="2F2A68ED"/>
    <w:rsid w:val="30736BF9"/>
    <w:rsid w:val="3355009F"/>
    <w:rsid w:val="377177E5"/>
    <w:rsid w:val="38B73D95"/>
    <w:rsid w:val="38F436E0"/>
    <w:rsid w:val="3E1B58FF"/>
    <w:rsid w:val="3FC73216"/>
    <w:rsid w:val="408D617B"/>
    <w:rsid w:val="409A5BCA"/>
    <w:rsid w:val="488072D5"/>
    <w:rsid w:val="4D736991"/>
    <w:rsid w:val="4F2770BE"/>
    <w:rsid w:val="50265CBC"/>
    <w:rsid w:val="50E6102E"/>
    <w:rsid w:val="528046A7"/>
    <w:rsid w:val="54136C77"/>
    <w:rsid w:val="55102CD0"/>
    <w:rsid w:val="56CE28FE"/>
    <w:rsid w:val="57163C34"/>
    <w:rsid w:val="5F6E4222"/>
    <w:rsid w:val="63271AB0"/>
    <w:rsid w:val="63F60FCB"/>
    <w:rsid w:val="65CA0593"/>
    <w:rsid w:val="68536BF4"/>
    <w:rsid w:val="68BD42CF"/>
    <w:rsid w:val="68EB6D6E"/>
    <w:rsid w:val="69105C2F"/>
    <w:rsid w:val="6D535020"/>
    <w:rsid w:val="6E152C53"/>
    <w:rsid w:val="6E6F0007"/>
    <w:rsid w:val="6FC952B1"/>
    <w:rsid w:val="705E2DCB"/>
    <w:rsid w:val="72F65104"/>
    <w:rsid w:val="74F55B5C"/>
    <w:rsid w:val="75CC36F5"/>
    <w:rsid w:val="764A2A98"/>
    <w:rsid w:val="77252A6B"/>
    <w:rsid w:val="79975C89"/>
    <w:rsid w:val="7B3A2A2E"/>
    <w:rsid w:val="7CA26F5B"/>
    <w:rsid w:val="7D375CBE"/>
    <w:rsid w:val="7FB429A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qFormat="1"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nhideWhenUsed="0" w:uiPriority="0" w:semiHidden="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iPriority="99"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5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3">
    <w:name w:val="heading 1"/>
    <w:basedOn w:val="1"/>
    <w:next w:val="1"/>
    <w:qFormat/>
    <w:uiPriority w:val="0"/>
    <w:pPr>
      <w:keepNext/>
      <w:keepLines/>
      <w:spacing w:before="340" w:beforeLines="0" w:beforeAutospacing="0" w:after="330" w:afterLines="0" w:afterAutospacing="0" w:line="576" w:lineRule="auto"/>
      <w:outlineLvl w:val="0"/>
    </w:pPr>
    <w:rPr>
      <w:b/>
      <w:kern w:val="44"/>
      <w:sz w:val="44"/>
    </w:rPr>
  </w:style>
  <w:style w:type="character" w:default="1" w:styleId="14">
    <w:name w:val="Default Paragraph Font"/>
    <w:semiHidden/>
    <w:qFormat/>
    <w:uiPriority w:val="0"/>
  </w:style>
  <w:style w:type="table" w:default="1" w:styleId="12">
    <w:name w:val="Normal Table"/>
    <w:semiHidden/>
    <w:qFormat/>
    <w:uiPriority w:val="0"/>
    <w:tblPr>
      <w:tblCellMar>
        <w:top w:w="0" w:type="dxa"/>
        <w:left w:w="108" w:type="dxa"/>
        <w:bottom w:w="0" w:type="dxa"/>
        <w:right w:w="108" w:type="dxa"/>
      </w:tblCellMar>
    </w:tblPr>
  </w:style>
  <w:style w:type="paragraph" w:styleId="2">
    <w:name w:val="toc 2"/>
    <w:basedOn w:val="1"/>
    <w:next w:val="1"/>
    <w:unhideWhenUsed/>
    <w:qFormat/>
    <w:uiPriority w:val="39"/>
    <w:pPr>
      <w:tabs>
        <w:tab w:val="right" w:leader="dot" w:pos="9060"/>
      </w:tabs>
      <w:ind w:firstLine="400"/>
      <w:jc w:val="left"/>
    </w:pPr>
    <w:rPr>
      <w:rFonts w:asciiTheme="minorHAnsi" w:hAnsiTheme="minorHAnsi"/>
      <w:smallCaps/>
      <w:sz w:val="20"/>
      <w:szCs w:val="20"/>
    </w:rPr>
  </w:style>
  <w:style w:type="paragraph" w:styleId="4">
    <w:name w:val="caption"/>
    <w:basedOn w:val="1"/>
    <w:next w:val="1"/>
    <w:qFormat/>
    <w:uiPriority w:val="0"/>
    <w:rPr>
      <w:rFonts w:ascii="Cambria" w:hAnsi="Cambria" w:eastAsia="黑体" w:cs="Times New Roman"/>
      <w:sz w:val="20"/>
      <w:szCs w:val="20"/>
    </w:rPr>
  </w:style>
  <w:style w:type="paragraph" w:styleId="5">
    <w:name w:val="Body Text"/>
    <w:basedOn w:val="1"/>
    <w:next w:val="1"/>
    <w:unhideWhenUsed/>
    <w:qFormat/>
    <w:uiPriority w:val="0"/>
    <w:pPr>
      <w:spacing w:after="120"/>
    </w:pPr>
  </w:style>
  <w:style w:type="paragraph" w:styleId="6">
    <w:name w:val="Body Text Indent"/>
    <w:basedOn w:val="1"/>
    <w:qFormat/>
    <w:uiPriority w:val="0"/>
    <w:pPr>
      <w:spacing w:after="120" w:afterLines="0"/>
      <w:ind w:left="420" w:leftChars="200"/>
    </w:pPr>
  </w:style>
  <w:style w:type="paragraph" w:styleId="7">
    <w:name w:val="Plain Text"/>
    <w:basedOn w:val="1"/>
    <w:qFormat/>
    <w:uiPriority w:val="0"/>
    <w:rPr>
      <w:rFonts w:ascii="宋体" w:hAnsi="Courier New" w:cs="Courier New"/>
      <w:kern w:val="2"/>
      <w:sz w:val="21"/>
      <w:szCs w:val="21"/>
    </w:rPr>
  </w:style>
  <w:style w:type="paragraph" w:styleId="8">
    <w:name w:val="footer"/>
    <w:basedOn w:val="1"/>
    <w:qFormat/>
    <w:uiPriority w:val="0"/>
    <w:pPr>
      <w:tabs>
        <w:tab w:val="center" w:pos="4153"/>
        <w:tab w:val="right" w:pos="8306"/>
      </w:tabs>
      <w:snapToGrid w:val="0"/>
      <w:jc w:val="left"/>
    </w:pPr>
    <w:rPr>
      <w:sz w:val="18"/>
    </w:rPr>
  </w:style>
  <w:style w:type="paragraph" w:styleId="9">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10">
    <w:name w:val="Body Text First Indent"/>
    <w:basedOn w:val="5"/>
    <w:next w:val="1"/>
    <w:qFormat/>
    <w:uiPriority w:val="0"/>
    <w:rPr>
      <w:rFonts w:ascii="Calibri" w:hAnsi="Calibri" w:eastAsia="宋体" w:cs="Times New Roman"/>
      <w:szCs w:val="20"/>
    </w:rPr>
  </w:style>
  <w:style w:type="paragraph" w:styleId="11">
    <w:name w:val="Body Text First Indent 2"/>
    <w:basedOn w:val="6"/>
    <w:qFormat/>
    <w:uiPriority w:val="0"/>
    <w:pPr>
      <w:ind w:firstLine="420" w:firstLineChars="200"/>
    </w:pPr>
    <w:rPr>
      <w:sz w:val="21"/>
    </w:rPr>
  </w:style>
  <w:style w:type="table" w:styleId="13">
    <w:name w:val="Table Grid"/>
    <w:basedOn w:val="12"/>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5">
    <w:name w:val="annotation reference"/>
    <w:basedOn w:val="14"/>
    <w:semiHidden/>
    <w:unhideWhenUsed/>
    <w:qFormat/>
    <w:uiPriority w:val="99"/>
    <w:rPr>
      <w:sz w:val="21"/>
      <w:szCs w:val="21"/>
    </w:rPr>
  </w:style>
  <w:style w:type="character" w:customStyle="1" w:styleId="16">
    <w:name w:val="content1"/>
    <w:qFormat/>
    <w:uiPriority w:val="0"/>
    <w:rPr>
      <w:color w:val="000000"/>
      <w:sz w:val="20"/>
      <w:szCs w:val="20"/>
    </w:rPr>
  </w:style>
  <w:style w:type="paragraph" w:customStyle="1" w:styleId="17">
    <w:name w:val="列出段落1"/>
    <w:basedOn w:val="1"/>
    <w:qFormat/>
    <w:uiPriority w:val="34"/>
    <w:pPr>
      <w:ind w:firstLine="420"/>
    </w:pPr>
  </w:style>
  <w:style w:type="paragraph" w:customStyle="1" w:styleId="18">
    <w:name w:val="Normal (Web)"/>
    <w:basedOn w:val="1"/>
    <w:qFormat/>
    <w:uiPriority w:val="0"/>
    <w:pPr>
      <w:adjustRightInd/>
      <w:snapToGrid/>
      <w:spacing w:before="100" w:beforeLines="0" w:beforeAutospacing="1" w:after="100" w:afterLines="0" w:afterAutospacing="1"/>
    </w:pPr>
    <w:rPr>
      <w:rFonts w:ascii="宋体" w:hAnsi="宋体" w:eastAsia="宋体" w:cs="宋体"/>
      <w:sz w:val="24"/>
      <w:szCs w:val="24"/>
    </w:rPr>
  </w:style>
  <w:style w:type="paragraph" w:customStyle="1" w:styleId="19">
    <w:name w:val="正文内容"/>
    <w:basedOn w:val="1"/>
    <w:qFormat/>
    <w:uiPriority w:val="0"/>
    <w:pPr>
      <w:spacing w:line="360" w:lineRule="auto"/>
      <w:ind w:firstLine="200" w:firstLineChars="200"/>
    </w:pPr>
    <w:rPr>
      <w:kern w:val="0"/>
      <w:sz w:val="24"/>
      <w:szCs w:val="21"/>
    </w:rPr>
  </w:style>
  <w:style w:type="paragraph" w:customStyle="1" w:styleId="20">
    <w:name w:val="Default"/>
    <w:basedOn w:val="21"/>
    <w:next w:val="1"/>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21">
    <w:name w:val="纯文本1"/>
    <w:basedOn w:val="1"/>
    <w:qFormat/>
    <w:uiPriority w:val="0"/>
    <w:rPr>
      <w:rFonts w:ascii="宋体" w:hAnsi="Courier New"/>
    </w:rPr>
  </w:style>
  <w:style w:type="paragraph" w:customStyle="1" w:styleId="22">
    <w:name w:val="表格标题"/>
    <w:basedOn w:val="4"/>
    <w:next w:val="1"/>
    <w:qFormat/>
    <w:uiPriority w:val="0"/>
    <w:pPr>
      <w:keepNext/>
      <w:widowControl w:val="0"/>
      <w:spacing w:line="240" w:lineRule="auto"/>
      <w:ind w:firstLine="0" w:firstLineChars="0"/>
      <w:jc w:val="center"/>
    </w:pPr>
    <w:rPr>
      <w:rFonts w:ascii="Times New Roman" w:hAnsi="Times New Roman" w:eastAsia="宋体"/>
      <w:b/>
      <w:kern w:val="2"/>
      <w:sz w:val="21"/>
    </w:rPr>
  </w:style>
  <w:style w:type="paragraph" w:customStyle="1" w:styleId="23">
    <w:name w:val="正文啊"/>
    <w:basedOn w:val="1"/>
    <w:link w:val="25"/>
    <w:qFormat/>
    <w:uiPriority w:val="0"/>
    <w:pPr>
      <w:spacing w:line="360" w:lineRule="auto"/>
      <w:ind w:firstLine="560"/>
      <w:jc w:val="both"/>
    </w:pPr>
    <w:rPr>
      <w:sz w:val="28"/>
      <w:szCs w:val="22"/>
    </w:rPr>
  </w:style>
  <w:style w:type="paragraph" w:customStyle="1" w:styleId="24">
    <w:name w:val="环评正文文字"/>
    <w:basedOn w:val="1"/>
    <w:qFormat/>
    <w:uiPriority w:val="0"/>
    <w:pPr>
      <w:spacing w:line="360" w:lineRule="auto"/>
      <w:ind w:firstLine="480"/>
      <w:jc w:val="both"/>
    </w:pPr>
    <w:rPr>
      <w:kern w:val="0"/>
      <w:szCs w:val="20"/>
    </w:rPr>
  </w:style>
  <w:style w:type="character" w:customStyle="1" w:styleId="25">
    <w:name w:val="正文啊 Char"/>
    <w:link w:val="23"/>
    <w:qFormat/>
    <w:locked/>
    <w:uiPriority w:val="0"/>
    <w:rPr>
      <w:sz w:val="28"/>
      <w:szCs w:val="22"/>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dministrator\AppData\Roaming\Kingsoft\wps\addons\pool\win-i386\knewfileruby_1.0.0.11\template\wps\0.docx"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0.docx</Template>
  <Pages>5</Pages>
  <Words>2850</Words>
  <Characters>3012</Characters>
  <Lines>0</Lines>
  <Paragraphs>0</Paragraphs>
  <TotalTime>1</TotalTime>
  <ScaleCrop>false</ScaleCrop>
  <LinksUpToDate>false</LinksUpToDate>
  <CharactersWithSpaces>3063</CharactersWithSpaces>
  <Application>WPS Office_11.1.0.14309_F1E327BC-269C-435d-A152-05C5408002CA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2018-08-07T08:35:00Z</dcterms:created>
  <dc:creator>扶琴为谁汝了素颜</dc:creator>
  <cp:lastModifiedBy>骋</cp:lastModifiedBy>
  <cp:lastPrinted>2021-08-19T07:57:00Z</cp:lastPrinted>
  <dcterms:modified xsi:type="dcterms:W3CDTF">2023-08-10T10:53:50Z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6B39D33349A0433491A2EB27A8672797</vt:lpwstr>
  </property>
</Properties>
</file>