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6FBF6"/>
  <w:body>
    <w:p>
      <w:pPr>
        <w:pStyle w:val="17"/>
        <w:spacing w:before="0" w:beforeAutospacing="0" w:after="0" w:afterAutospacing="0" w:line="360" w:lineRule="auto"/>
        <w:jc w:val="center"/>
        <w:outlineLvl w:val="0"/>
        <w:rPr>
          <w:rFonts w:hint="default" w:ascii="Times New Roman" w:hAnsi="Times New Roman" w:cs="Times New Roman"/>
          <w:b/>
          <w:bCs/>
          <w:color w:val="000000"/>
          <w:sz w:val="30"/>
          <w:szCs w:val="30"/>
        </w:rPr>
      </w:pPr>
      <w:r>
        <w:rPr>
          <w:rFonts w:hint="default" w:ascii="Times New Roman" w:hAnsi="Times New Roman" w:cs="Times New Roman"/>
          <w:b/>
          <w:bCs/>
          <w:color w:val="000000"/>
          <w:sz w:val="30"/>
          <w:szCs w:val="30"/>
        </w:rPr>
        <w:t>邵阳县长乐乡排头村砖瓦用页岩加工厂建设项目</w:t>
      </w:r>
    </w:p>
    <w:p>
      <w:pPr>
        <w:pStyle w:val="17"/>
        <w:spacing w:before="0" w:beforeAutospacing="0" w:after="0" w:afterAutospacing="0" w:line="360" w:lineRule="auto"/>
        <w:jc w:val="center"/>
        <w:outlineLvl w:val="0"/>
        <w:rPr>
          <w:rFonts w:hint="default" w:ascii="Times New Roman" w:hAnsi="Times New Roman" w:cs="Times New Roman"/>
          <w:b/>
          <w:bCs/>
          <w:color w:val="000000"/>
          <w:sz w:val="30"/>
          <w:szCs w:val="30"/>
        </w:rPr>
      </w:pPr>
      <w:r>
        <w:rPr>
          <w:rFonts w:hint="default" w:ascii="Times New Roman" w:hAnsi="Times New Roman" w:cs="Times New Roman"/>
          <w:b/>
          <w:bCs/>
          <w:color w:val="000000"/>
          <w:sz w:val="30"/>
          <w:szCs w:val="30"/>
        </w:rPr>
        <w:t>竣工环境保护验收意见</w:t>
      </w:r>
    </w:p>
    <w:p>
      <w:pPr>
        <w:pStyle w:val="17"/>
        <w:spacing w:before="0" w:beforeAutospacing="0" w:after="0" w:afterAutospacing="0" w:line="360" w:lineRule="auto"/>
        <w:ind w:firstLine="480" w:firstLineChars="200"/>
        <w:jc w:val="both"/>
        <w:outlineLvl w:val="0"/>
        <w:rPr>
          <w:rFonts w:hint="default" w:ascii="Times New Roman" w:hAnsi="Times New Roman" w:eastAsia="宋体" w:cs="Times New Roman"/>
          <w:sz w:val="24"/>
          <w:szCs w:val="24"/>
          <w:lang w:val="en-US" w:eastAsia="zh-CN"/>
        </w:rPr>
      </w:pPr>
    </w:p>
    <w:p>
      <w:pPr>
        <w:pStyle w:val="17"/>
        <w:spacing w:before="0" w:beforeAutospacing="0" w:after="0" w:afterAutospacing="0" w:line="360" w:lineRule="auto"/>
        <w:ind w:firstLine="480" w:firstLineChars="200"/>
        <w:jc w:val="both"/>
        <w:outlineLvl w:val="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20</w:t>
      </w:r>
      <w:r>
        <w:rPr>
          <w:rFonts w:hint="eastAsia" w:ascii="Times New Roman" w:hAnsi="Times New Roman" w:cs="Times New Roman"/>
          <w:sz w:val="24"/>
          <w:szCs w:val="24"/>
          <w:lang w:val="en-US" w:eastAsia="zh-CN"/>
        </w:rPr>
        <w:t>23</w:t>
      </w:r>
      <w:r>
        <w:rPr>
          <w:rFonts w:hint="default" w:ascii="Times New Roman" w:hAnsi="Times New Roman" w:eastAsia="宋体" w:cs="Times New Roman"/>
          <w:sz w:val="24"/>
          <w:szCs w:val="24"/>
        </w:rPr>
        <w:t>年</w:t>
      </w:r>
      <w:r>
        <w:rPr>
          <w:rFonts w:hint="eastAsia" w:ascii="Times New Roman" w:hAnsi="Times New Roman" w:cs="Times New Roman"/>
          <w:sz w:val="24"/>
          <w:szCs w:val="24"/>
          <w:lang w:val="en-US" w:eastAsia="zh-CN"/>
        </w:rPr>
        <w:t>8</w:t>
      </w:r>
      <w:r>
        <w:rPr>
          <w:rFonts w:hint="default" w:ascii="Times New Roman" w:hAnsi="Times New Roman" w:eastAsia="宋体" w:cs="Times New Roman"/>
          <w:sz w:val="24"/>
          <w:szCs w:val="24"/>
        </w:rPr>
        <w:t>月</w:t>
      </w:r>
      <w:r>
        <w:rPr>
          <w:rFonts w:hint="eastAsia" w:ascii="Times New Roman" w:hAnsi="Times New Roman" w:cs="Times New Roman"/>
          <w:sz w:val="24"/>
          <w:szCs w:val="24"/>
          <w:lang w:val="en-US" w:eastAsia="zh-CN"/>
        </w:rPr>
        <w:t>11</w:t>
      </w:r>
      <w:r>
        <w:rPr>
          <w:rFonts w:hint="default" w:ascii="Times New Roman" w:hAnsi="Times New Roman" w:eastAsia="宋体" w:cs="Times New Roman"/>
          <w:sz w:val="24"/>
          <w:szCs w:val="24"/>
          <w:lang w:eastAsia="zh-CN"/>
        </w:rPr>
        <w:t>日</w:t>
      </w:r>
      <w:r>
        <w:rPr>
          <w:rFonts w:hint="eastAsia" w:ascii="Times New Roman" w:hAnsi="Times New Roman" w:cs="Times New Roman"/>
          <w:sz w:val="24"/>
          <w:szCs w:val="24"/>
          <w:lang w:eastAsia="zh-CN"/>
        </w:rPr>
        <w:t>邵阳县承学建材有限公司</w:t>
      </w:r>
      <w:r>
        <w:rPr>
          <w:rFonts w:hint="default" w:ascii="Times New Roman" w:hAnsi="Times New Roman" w:eastAsia="宋体" w:cs="Times New Roman"/>
          <w:sz w:val="24"/>
          <w:szCs w:val="24"/>
          <w:lang w:eastAsia="zh-CN"/>
        </w:rPr>
        <w:t>组织召开了</w:t>
      </w:r>
      <w:r>
        <w:rPr>
          <w:rFonts w:hint="eastAsia" w:ascii="Times New Roman" w:hAnsi="Times New Roman" w:cs="Times New Roman"/>
          <w:sz w:val="24"/>
          <w:szCs w:val="24"/>
          <w:lang w:eastAsia="zh-CN"/>
        </w:rPr>
        <w:t>邵阳县长乐乡排头村砖瓦用页岩加工厂建设项目</w:t>
      </w:r>
      <w:r>
        <w:rPr>
          <w:rFonts w:hint="default" w:ascii="Times New Roman" w:hAnsi="Times New Roman" w:eastAsia="宋体" w:cs="Times New Roman"/>
          <w:sz w:val="24"/>
          <w:szCs w:val="24"/>
          <w:lang w:eastAsia="zh-CN"/>
        </w:rPr>
        <w:t>竣工环境</w:t>
      </w:r>
      <w:r>
        <w:rPr>
          <w:rFonts w:hint="eastAsia" w:ascii="Times New Roman" w:hAnsi="Times New Roman" w:cs="Times New Roman"/>
          <w:sz w:val="24"/>
          <w:szCs w:val="24"/>
          <w:lang w:val="en-US" w:eastAsia="zh-CN"/>
        </w:rPr>
        <w:t>保护</w:t>
      </w:r>
      <w:r>
        <w:rPr>
          <w:rFonts w:hint="default" w:ascii="Times New Roman" w:hAnsi="Times New Roman" w:eastAsia="宋体" w:cs="Times New Roman"/>
          <w:sz w:val="24"/>
          <w:szCs w:val="24"/>
          <w:lang w:eastAsia="zh-CN"/>
        </w:rPr>
        <w:t>验收会议，参加会议的有三位专家、邵阳</w:t>
      </w:r>
      <w:r>
        <w:rPr>
          <w:rFonts w:hint="eastAsia" w:ascii="Times New Roman" w:hAnsi="Times New Roman" w:cs="Times New Roman"/>
          <w:sz w:val="24"/>
          <w:szCs w:val="24"/>
          <w:lang w:val="en-US" w:eastAsia="zh-CN"/>
        </w:rPr>
        <w:t>市生态</w:t>
      </w:r>
      <w:r>
        <w:rPr>
          <w:rFonts w:hint="default" w:ascii="Times New Roman" w:hAnsi="Times New Roman" w:eastAsia="宋体" w:cs="Times New Roman"/>
          <w:sz w:val="24"/>
          <w:szCs w:val="24"/>
          <w:lang w:eastAsia="zh-CN"/>
        </w:rPr>
        <w:t>环境局</w:t>
      </w:r>
      <w:r>
        <w:rPr>
          <w:rFonts w:hint="eastAsia" w:ascii="Times New Roman" w:hAnsi="Times New Roman" w:cs="Times New Roman"/>
          <w:sz w:val="24"/>
          <w:szCs w:val="24"/>
          <w:lang w:val="en-US" w:eastAsia="zh-CN"/>
        </w:rPr>
        <w:t>邵阳县分局</w:t>
      </w:r>
      <w:r>
        <w:rPr>
          <w:rFonts w:hint="default" w:ascii="Times New Roman" w:hAnsi="Times New Roman" w:eastAsia="宋体" w:cs="Times New Roman"/>
          <w:sz w:val="24"/>
          <w:szCs w:val="24"/>
          <w:lang w:eastAsia="zh-CN"/>
        </w:rPr>
        <w:t>等单位的领导和代表（名单附后）。与会代表查看了项目的现场，听取了建设单位和验收监测单位关于该项目竣工环境保护验收有关情况的介绍，审阅了项目竣工</w:t>
      </w:r>
      <w:r>
        <w:rPr>
          <w:rFonts w:hint="eastAsia" w:ascii="Times New Roman" w:hAnsi="Times New Roman" w:cs="Times New Roman"/>
          <w:sz w:val="24"/>
          <w:szCs w:val="24"/>
          <w:lang w:val="en-US" w:eastAsia="zh-CN"/>
        </w:rPr>
        <w:t>环境保护</w:t>
      </w:r>
      <w:r>
        <w:rPr>
          <w:rFonts w:hint="default" w:ascii="Times New Roman" w:hAnsi="Times New Roman" w:eastAsia="宋体" w:cs="Times New Roman"/>
          <w:sz w:val="24"/>
          <w:szCs w:val="24"/>
          <w:lang w:eastAsia="zh-CN"/>
        </w:rPr>
        <w:t>验收资料，</w:t>
      </w:r>
      <w:r>
        <w:rPr>
          <w:rFonts w:hint="default" w:ascii="Times New Roman" w:hAnsi="Times New Roman" w:eastAsia="宋体" w:cs="Times New Roman"/>
          <w:sz w:val="24"/>
          <w:szCs w:val="24"/>
        </w:rPr>
        <w:t>严格依照国家有关法律法规、建设项目竣工环境保护验收技术规范、项目环境影响评价报告表和审批部门审批决定等要求对本项目进行验收</w:t>
      </w:r>
      <w:r>
        <w:rPr>
          <w:rFonts w:hint="default" w:ascii="Times New Roman" w:hAnsi="Times New Roman" w:eastAsia="宋体" w:cs="Times New Roman"/>
          <w:sz w:val="24"/>
          <w:szCs w:val="24"/>
          <w:lang w:eastAsia="zh-CN"/>
        </w:rPr>
        <w:t>。提出意见如下：</w:t>
      </w:r>
    </w:p>
    <w:p>
      <w:pPr>
        <w:spacing w:line="360" w:lineRule="auto"/>
        <w:jc w:val="left"/>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val="en-US" w:eastAsia="zh-CN"/>
        </w:rPr>
        <w:t>一、工程建设基本情况</w:t>
      </w:r>
    </w:p>
    <w:p>
      <w:pPr>
        <w:spacing w:line="360" w:lineRule="auto"/>
        <w:ind w:firstLine="480" w:firstLineChars="200"/>
        <w:jc w:val="left"/>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（一）建设地点、规模、主要建设内容</w:t>
      </w:r>
    </w:p>
    <w:p>
      <w:pPr>
        <w:spacing w:line="360" w:lineRule="auto"/>
        <w:ind w:firstLine="480"/>
        <w:rPr>
          <w:rFonts w:hint="default" w:ascii="Times New Roman" w:hAnsi="Times New Roman" w:cs="Times New Roman" w:eastAsiaTheme="minorEastAsia"/>
          <w:sz w:val="24"/>
          <w:szCs w:val="24"/>
          <w:lang w:val="en-US" w:eastAsia="zh-CN"/>
        </w:rPr>
      </w:pPr>
      <w:r>
        <w:rPr>
          <w:rFonts w:hint="eastAsia" w:ascii="Times New Roman" w:hAnsi="Times New Roman" w:cs="Times New Roman"/>
          <w:sz w:val="24"/>
          <w:szCs w:val="24"/>
          <w:lang w:val="en-US" w:eastAsia="zh-CN"/>
        </w:rPr>
        <w:t>邵阳县承学建材有限公司</w:t>
      </w:r>
      <w:r>
        <w:rPr>
          <w:rFonts w:hint="default" w:ascii="Times New Roman" w:hAnsi="Times New Roman" w:cs="Times New Roman" w:eastAsiaTheme="minorEastAsia"/>
          <w:sz w:val="24"/>
          <w:szCs w:val="24"/>
          <w:lang w:val="en-US" w:eastAsia="zh-CN"/>
        </w:rPr>
        <w:t>位于</w:t>
      </w:r>
      <w:r>
        <w:rPr>
          <w:rFonts w:hint="default" w:ascii="Times New Roman" w:hAnsi="Times New Roman" w:cs="Times New Roman"/>
          <w:sz w:val="24"/>
          <w:szCs w:val="24"/>
        </w:rPr>
        <w:t>邵阳县长乐乡排头村三组</w:t>
      </w:r>
      <w:r>
        <w:rPr>
          <w:rFonts w:hint="default" w:ascii="Times New Roman" w:hAnsi="Times New Roman" w:cs="Times New Roman" w:eastAsiaTheme="minorEastAsia"/>
          <w:sz w:val="24"/>
          <w:szCs w:val="24"/>
          <w:lang w:val="en-US" w:eastAsia="zh-CN"/>
        </w:rPr>
        <w:t>。本项目于202</w:t>
      </w:r>
      <w:r>
        <w:rPr>
          <w:rFonts w:hint="eastAsia" w:ascii="Times New Roman" w:hAnsi="Times New Roman" w:cs="Times New Roman"/>
          <w:sz w:val="24"/>
          <w:szCs w:val="24"/>
          <w:lang w:val="en-US" w:eastAsia="zh-CN"/>
        </w:rPr>
        <w:t>2</w:t>
      </w:r>
      <w:r>
        <w:rPr>
          <w:rFonts w:hint="default" w:ascii="Times New Roman" w:hAnsi="Times New Roman" w:cs="Times New Roman" w:eastAsiaTheme="minorEastAsia"/>
          <w:sz w:val="24"/>
          <w:szCs w:val="24"/>
          <w:lang w:val="en-US" w:eastAsia="zh-CN"/>
        </w:rPr>
        <w:t>年1</w:t>
      </w:r>
      <w:r>
        <w:rPr>
          <w:rFonts w:hint="eastAsia" w:ascii="Times New Roman" w:hAnsi="Times New Roman" w:cs="Times New Roman"/>
          <w:sz w:val="24"/>
          <w:szCs w:val="24"/>
          <w:lang w:val="en-US" w:eastAsia="zh-CN"/>
        </w:rPr>
        <w:t>0</w:t>
      </w:r>
      <w:r>
        <w:rPr>
          <w:rFonts w:hint="default" w:ascii="Times New Roman" w:hAnsi="Times New Roman" w:cs="Times New Roman" w:eastAsiaTheme="minorEastAsia"/>
          <w:sz w:val="24"/>
          <w:szCs w:val="24"/>
          <w:lang w:val="en-US" w:eastAsia="zh-CN"/>
        </w:rPr>
        <w:t>月开始建设，于202</w:t>
      </w:r>
      <w:r>
        <w:rPr>
          <w:rFonts w:hint="eastAsia" w:ascii="Times New Roman" w:hAnsi="Times New Roman" w:cs="Times New Roman"/>
          <w:sz w:val="24"/>
          <w:szCs w:val="24"/>
          <w:lang w:val="en-US" w:eastAsia="zh-CN"/>
        </w:rPr>
        <w:t>3</w:t>
      </w:r>
      <w:r>
        <w:rPr>
          <w:rFonts w:hint="default" w:ascii="Times New Roman" w:hAnsi="Times New Roman" w:cs="Times New Roman" w:eastAsiaTheme="minorEastAsia"/>
          <w:sz w:val="24"/>
          <w:szCs w:val="24"/>
          <w:lang w:val="en-US" w:eastAsia="zh-CN"/>
        </w:rPr>
        <w:t>年</w:t>
      </w:r>
      <w:r>
        <w:rPr>
          <w:rFonts w:hint="eastAsia" w:ascii="Times New Roman" w:hAnsi="Times New Roman" w:cs="Times New Roman"/>
          <w:sz w:val="24"/>
          <w:szCs w:val="24"/>
          <w:lang w:val="en-US" w:eastAsia="zh-CN"/>
        </w:rPr>
        <w:t>2</w:t>
      </w:r>
      <w:r>
        <w:rPr>
          <w:rFonts w:hint="default" w:ascii="Times New Roman" w:hAnsi="Times New Roman" w:cs="Times New Roman" w:eastAsiaTheme="minorEastAsia"/>
          <w:sz w:val="24"/>
          <w:szCs w:val="24"/>
          <w:lang w:val="en-US" w:eastAsia="zh-CN"/>
        </w:rPr>
        <w:t>月建成投产。项目实际总投资1000万元，占地面积15245平方米。主要工程组成如下：生产车间2460m</w:t>
      </w:r>
      <w:r>
        <w:rPr>
          <w:rFonts w:hint="default" w:ascii="Times New Roman" w:hAnsi="Times New Roman" w:cs="Times New Roman" w:eastAsiaTheme="minorEastAsia"/>
          <w:sz w:val="24"/>
          <w:szCs w:val="24"/>
          <w:vertAlign w:val="superscript"/>
          <w:lang w:val="en-US" w:eastAsia="zh-CN"/>
        </w:rPr>
        <w:t>2</w:t>
      </w:r>
      <w:r>
        <w:rPr>
          <w:rFonts w:hint="default" w:ascii="Times New Roman" w:hAnsi="Times New Roman" w:cs="Times New Roman" w:eastAsiaTheme="minorEastAsia"/>
          <w:sz w:val="24"/>
          <w:szCs w:val="24"/>
          <w:lang w:val="en-US" w:eastAsia="zh-CN"/>
        </w:rPr>
        <w:t>，其中原料区600m</w:t>
      </w:r>
      <w:r>
        <w:rPr>
          <w:rFonts w:hint="default" w:ascii="Times New Roman" w:hAnsi="Times New Roman" w:cs="Times New Roman" w:eastAsiaTheme="minorEastAsia"/>
          <w:sz w:val="24"/>
          <w:szCs w:val="24"/>
          <w:vertAlign w:val="superscript"/>
          <w:lang w:val="en-US" w:eastAsia="zh-CN"/>
        </w:rPr>
        <w:t>2</w:t>
      </w:r>
      <w:r>
        <w:rPr>
          <w:rFonts w:hint="default" w:ascii="Times New Roman" w:hAnsi="Times New Roman" w:cs="Times New Roman" w:eastAsiaTheme="minorEastAsia"/>
          <w:sz w:val="24"/>
          <w:szCs w:val="24"/>
          <w:lang w:val="en-US" w:eastAsia="zh-CN"/>
        </w:rPr>
        <w:t>、陈化库160m</w:t>
      </w:r>
      <w:r>
        <w:rPr>
          <w:rFonts w:hint="default" w:ascii="Times New Roman" w:hAnsi="Times New Roman" w:cs="Times New Roman" w:eastAsiaTheme="minorEastAsia"/>
          <w:sz w:val="24"/>
          <w:szCs w:val="24"/>
          <w:vertAlign w:val="superscript"/>
          <w:lang w:val="en-US" w:eastAsia="zh-CN"/>
        </w:rPr>
        <w:t>2</w:t>
      </w:r>
      <w:r>
        <w:rPr>
          <w:rFonts w:hint="default" w:ascii="Times New Roman" w:hAnsi="Times New Roman" w:cs="Times New Roman" w:eastAsiaTheme="minorEastAsia"/>
          <w:sz w:val="24"/>
          <w:szCs w:val="24"/>
          <w:lang w:val="en-US" w:eastAsia="zh-CN"/>
        </w:rPr>
        <w:t>、成型区500m</w:t>
      </w:r>
      <w:r>
        <w:rPr>
          <w:rFonts w:hint="default" w:ascii="Times New Roman" w:hAnsi="Times New Roman" w:cs="Times New Roman" w:eastAsiaTheme="minorEastAsia"/>
          <w:sz w:val="24"/>
          <w:szCs w:val="24"/>
          <w:vertAlign w:val="superscript"/>
          <w:lang w:val="en-US" w:eastAsia="zh-CN"/>
        </w:rPr>
        <w:t>2</w:t>
      </w:r>
      <w:r>
        <w:rPr>
          <w:rFonts w:hint="default" w:ascii="Times New Roman" w:hAnsi="Times New Roman" w:cs="Times New Roman" w:eastAsiaTheme="minorEastAsia"/>
          <w:sz w:val="24"/>
          <w:szCs w:val="24"/>
          <w:lang w:val="en-US" w:eastAsia="zh-CN"/>
        </w:rPr>
        <w:t>、隧道窑（一烘一烧）1200m</w:t>
      </w:r>
      <w:r>
        <w:rPr>
          <w:rFonts w:hint="default" w:ascii="Times New Roman" w:hAnsi="Times New Roman" w:cs="Times New Roman" w:eastAsiaTheme="minorEastAsia"/>
          <w:sz w:val="24"/>
          <w:szCs w:val="24"/>
          <w:vertAlign w:val="superscript"/>
          <w:lang w:val="en-US" w:eastAsia="zh-CN"/>
        </w:rPr>
        <w:t>2</w:t>
      </w:r>
      <w:r>
        <w:rPr>
          <w:rFonts w:hint="default" w:ascii="Times New Roman" w:hAnsi="Times New Roman" w:cs="Times New Roman" w:eastAsiaTheme="minorEastAsia"/>
          <w:sz w:val="24"/>
          <w:szCs w:val="24"/>
          <w:lang w:val="en-US" w:eastAsia="zh-CN"/>
        </w:rPr>
        <w:t>；辅助管理房12m</w:t>
      </w:r>
      <w:r>
        <w:rPr>
          <w:rFonts w:hint="default" w:ascii="Times New Roman" w:hAnsi="Times New Roman" w:cs="Times New Roman" w:eastAsiaTheme="minorEastAsia"/>
          <w:sz w:val="24"/>
          <w:szCs w:val="24"/>
          <w:vertAlign w:val="superscript"/>
          <w:lang w:val="en-US" w:eastAsia="zh-CN"/>
        </w:rPr>
        <w:t>2</w:t>
      </w:r>
      <w:r>
        <w:rPr>
          <w:rFonts w:hint="default" w:ascii="Times New Roman" w:hAnsi="Times New Roman" w:cs="Times New Roman" w:eastAsiaTheme="minorEastAsia"/>
          <w:sz w:val="24"/>
          <w:szCs w:val="24"/>
          <w:lang w:val="en-US" w:eastAsia="zh-CN"/>
        </w:rPr>
        <w:t>、综合办公房160m</w:t>
      </w:r>
      <w:r>
        <w:rPr>
          <w:rFonts w:hint="default" w:ascii="Times New Roman" w:hAnsi="Times New Roman" w:cs="Times New Roman" w:eastAsiaTheme="minorEastAsia"/>
          <w:sz w:val="24"/>
          <w:szCs w:val="24"/>
          <w:vertAlign w:val="superscript"/>
          <w:lang w:val="en-US" w:eastAsia="zh-CN"/>
        </w:rPr>
        <w:t>2</w:t>
      </w:r>
      <w:r>
        <w:rPr>
          <w:rFonts w:hint="default" w:ascii="Times New Roman" w:hAnsi="Times New Roman" w:cs="Times New Roman" w:eastAsiaTheme="minorEastAsia"/>
          <w:sz w:val="24"/>
          <w:szCs w:val="24"/>
          <w:lang w:val="en-US" w:eastAsia="zh-CN"/>
        </w:rPr>
        <w:t>、员工宿舍160m</w:t>
      </w:r>
      <w:r>
        <w:rPr>
          <w:rFonts w:hint="default" w:ascii="Times New Roman" w:hAnsi="Times New Roman" w:cs="Times New Roman" w:eastAsiaTheme="minorEastAsia"/>
          <w:sz w:val="24"/>
          <w:szCs w:val="24"/>
          <w:vertAlign w:val="superscript"/>
          <w:lang w:val="en-US" w:eastAsia="zh-CN"/>
        </w:rPr>
        <w:t>2</w:t>
      </w:r>
      <w:r>
        <w:rPr>
          <w:rFonts w:hint="default" w:ascii="Times New Roman" w:hAnsi="Times New Roman" w:cs="Times New Roman" w:eastAsiaTheme="minorEastAsia"/>
          <w:sz w:val="24"/>
          <w:szCs w:val="24"/>
          <w:lang w:val="en-US" w:eastAsia="zh-CN"/>
        </w:rPr>
        <w:t>和配电间、环保处理设施等。</w:t>
      </w:r>
    </w:p>
    <w:p>
      <w:pPr>
        <w:spacing w:line="360" w:lineRule="auto"/>
        <w:ind w:firstLine="480" w:firstLineChars="200"/>
        <w:jc w:val="left"/>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（二）建设过程及环保审批情况</w:t>
      </w:r>
    </w:p>
    <w:p>
      <w:pPr>
        <w:spacing w:line="360" w:lineRule="auto"/>
        <w:ind w:firstLine="480"/>
        <w:rPr>
          <w:rFonts w:hint="default" w:ascii="Times New Roman" w:hAnsi="Times New Roman" w:cs="Times New Roman"/>
          <w:sz w:val="24"/>
          <w:lang w:val="en-US" w:eastAsia="zh-CN"/>
        </w:rPr>
      </w:pPr>
      <w:r>
        <w:rPr>
          <w:rFonts w:hint="default" w:ascii="Times New Roman" w:hAnsi="Times New Roman" w:cs="Times New Roman"/>
          <w:sz w:val="24"/>
          <w:lang w:val="en-US" w:eastAsia="zh-CN"/>
        </w:rPr>
        <w:t>2022年5月，公司委托湖南朗誉环保科技有限公司编制了《邵阳县长乐乡排头村砖瓦用页岩加工厂建设项目环境影响报告表》并于2022年9月29日取得邵阳市生态环境局邵阳县分局下发的批复（文号《邵市环评（3）[2022]28号》）。本项目于2022年10月开始建设，2023年2月建成投产。2023年1月16日公司已获得邵阳市生态环境局发放的排污许可证，编号为91430523MA4TCT6E80001V。</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480" w:firstLineChars="200"/>
        <w:jc w:val="left"/>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验收范围</w:t>
      </w:r>
    </w:p>
    <w:p>
      <w:pPr>
        <w:numPr>
          <w:ilvl w:val="0"/>
          <w:numId w:val="0"/>
        </w:numPr>
        <w:spacing w:line="360" w:lineRule="auto"/>
        <w:ind w:leftChars="0" w:firstLine="480" w:firstLineChars="200"/>
        <w:jc w:val="left"/>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本项目的主体工程及配套设施、污染防治设施、环保管理制度以及污染物排放情况</w:t>
      </w:r>
      <w:r>
        <w:rPr>
          <w:rFonts w:hint="default" w:ascii="Times New Roman" w:hAnsi="Times New Roman" w:eastAsia="宋体" w:cs="Times New Roman"/>
          <w:b w:val="0"/>
          <w:bCs w:val="0"/>
          <w:color w:val="auto"/>
          <w:kern w:val="0"/>
          <w:sz w:val="24"/>
          <w:szCs w:val="24"/>
          <w:lang w:val="en-US" w:eastAsia="zh-CN"/>
        </w:rPr>
        <w:t>。</w:t>
      </w:r>
    </w:p>
    <w:p>
      <w:pPr>
        <w:numPr>
          <w:ilvl w:val="0"/>
          <w:numId w:val="2"/>
        </w:numPr>
        <w:spacing w:line="360" w:lineRule="auto"/>
        <w:ind w:leftChars="0"/>
        <w:jc w:val="left"/>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工程变动情况</w:t>
      </w:r>
    </w:p>
    <w:p>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对照项目环评报告书和环评批复，本项目性质、生产工艺、规模、地点均符合环评及环评批复要求，不涉及建设项目的性质、规模、地点、生产工艺</w:t>
      </w:r>
      <w:r>
        <w:rPr>
          <w:rFonts w:hint="eastAsia" w:ascii="Times New Roman" w:hAnsi="Times New Roman" w:cs="Times New Roman"/>
          <w:sz w:val="24"/>
          <w:szCs w:val="24"/>
          <w:lang w:val="en-US" w:eastAsia="zh-CN"/>
        </w:rPr>
        <w:t>、环保措施</w:t>
      </w:r>
      <w:r>
        <w:rPr>
          <w:rFonts w:hint="default" w:ascii="Times New Roman" w:hAnsi="Times New Roman" w:cs="Times New Roman" w:eastAsiaTheme="minorEastAsia"/>
          <w:sz w:val="24"/>
          <w:szCs w:val="24"/>
          <w:lang w:val="en-US" w:eastAsia="zh-CN"/>
        </w:rPr>
        <w:t>的变动，建设项目的性质、规模、地点、生产工艺</w:t>
      </w:r>
      <w:r>
        <w:rPr>
          <w:rFonts w:hint="eastAsia" w:ascii="Times New Roman" w:hAnsi="Times New Roman" w:cs="Times New Roman"/>
          <w:sz w:val="24"/>
          <w:szCs w:val="24"/>
          <w:lang w:val="en-US" w:eastAsia="zh-CN"/>
        </w:rPr>
        <w:t>、环保措施</w:t>
      </w:r>
      <w:r>
        <w:rPr>
          <w:rFonts w:hint="eastAsia" w:ascii="Times New Roman" w:hAnsi="Times New Roman" w:cs="Times New Roman" w:eastAsiaTheme="minorEastAsia"/>
          <w:sz w:val="24"/>
          <w:szCs w:val="24"/>
          <w:lang w:val="en-US" w:eastAsia="zh-CN"/>
        </w:rPr>
        <w:t>均</w:t>
      </w:r>
      <w:r>
        <w:rPr>
          <w:rFonts w:hint="default" w:ascii="Times New Roman" w:hAnsi="Times New Roman" w:cs="Times New Roman" w:eastAsiaTheme="minorEastAsia"/>
          <w:sz w:val="24"/>
          <w:szCs w:val="24"/>
          <w:lang w:val="en-US" w:eastAsia="zh-CN"/>
        </w:rPr>
        <w:t>与环评一致；项目主要变动内容见</w:t>
      </w:r>
      <w:r>
        <w:rPr>
          <w:rFonts w:hint="eastAsia" w:ascii="Times New Roman" w:hAnsi="Times New Roman" w:cs="Times New Roman"/>
          <w:sz w:val="24"/>
          <w:szCs w:val="24"/>
          <w:lang w:val="en-US" w:eastAsia="zh-CN"/>
        </w:rPr>
        <w:t>下</w:t>
      </w:r>
      <w:r>
        <w:rPr>
          <w:rFonts w:hint="default" w:ascii="Times New Roman" w:hAnsi="Times New Roman" w:cs="Times New Roman" w:eastAsiaTheme="minorEastAsia"/>
          <w:sz w:val="24"/>
          <w:szCs w:val="24"/>
          <w:lang w:val="en-US" w:eastAsia="zh-CN"/>
        </w:rPr>
        <w:t>表。</w:t>
      </w:r>
    </w:p>
    <w:p>
      <w:pPr>
        <w:pStyle w:val="21"/>
        <w:bidi w:val="0"/>
        <w:spacing w:line="360" w:lineRule="auto"/>
        <w:rPr>
          <w:rFonts w:hint="default" w:ascii="Times New Roman" w:hAnsi="Times New Roman" w:eastAsia="仿宋" w:cs="Times New Roman"/>
          <w:color w:val="auto"/>
          <w:u w:val="none"/>
          <w:lang w:eastAsia="zh-CN"/>
        </w:rPr>
      </w:pPr>
      <w:r>
        <w:rPr>
          <w:rFonts w:hint="default" w:ascii="Times New Roman" w:hAnsi="Times New Roman" w:eastAsia="宋体" w:cs="Times New Roman"/>
          <w:color w:val="auto"/>
          <w:u w:val="none"/>
        </w:rPr>
        <w:t>项目主要变动内容</w:t>
      </w:r>
      <w:r>
        <w:rPr>
          <w:rFonts w:hint="default" w:ascii="Times New Roman" w:hAnsi="Times New Roman" w:eastAsia="宋体" w:cs="Times New Roman"/>
          <w:color w:val="auto"/>
          <w:u w:val="none"/>
          <w:lang w:eastAsia="zh-CN"/>
        </w:rPr>
        <w:t>情况一览表</w:t>
      </w:r>
    </w:p>
    <w:tbl>
      <w:tblPr>
        <w:tblStyle w:val="12"/>
        <w:tblW w:w="8251"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76"/>
        <w:gridCol w:w="5659"/>
        <w:gridCol w:w="1816"/>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776" w:type="dxa"/>
            <w:tcBorders>
              <w:tl2br w:val="nil"/>
              <w:tr2bl w:val="nil"/>
            </w:tcBorders>
            <w:noWrap w:val="0"/>
            <w:vAlign w:val="center"/>
          </w:tcPr>
          <w:p>
            <w:pPr>
              <w:bidi w:val="0"/>
              <w:spacing w:line="240" w:lineRule="auto"/>
              <w:ind w:left="0" w:leftChars="0" w:firstLine="0" w:firstLineChars="0"/>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序号</w:t>
            </w:r>
          </w:p>
        </w:tc>
        <w:tc>
          <w:tcPr>
            <w:tcW w:w="5659" w:type="dxa"/>
            <w:tcBorders>
              <w:tl2br w:val="nil"/>
              <w:tr2bl w:val="nil"/>
            </w:tcBorders>
            <w:noWrap w:val="0"/>
            <w:vAlign w:val="center"/>
          </w:tcPr>
          <w:p>
            <w:pPr>
              <w:bidi w:val="0"/>
              <w:spacing w:line="240" w:lineRule="auto"/>
              <w:ind w:left="0" w:leftChars="0" w:firstLine="0" w:firstLineChars="0"/>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变动内容</w:t>
            </w:r>
          </w:p>
        </w:tc>
        <w:tc>
          <w:tcPr>
            <w:tcW w:w="1816" w:type="dxa"/>
            <w:tcBorders>
              <w:tl2br w:val="nil"/>
              <w:tr2bl w:val="nil"/>
            </w:tcBorders>
            <w:noWrap w:val="0"/>
            <w:vAlign w:val="center"/>
          </w:tcPr>
          <w:p>
            <w:pPr>
              <w:bidi w:val="0"/>
              <w:spacing w:line="240" w:lineRule="auto"/>
              <w:ind w:left="0" w:leftChars="0" w:firstLine="0" w:firstLineChars="0"/>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是否为重大变动</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776" w:type="dxa"/>
            <w:tcBorders>
              <w:tl2br w:val="nil"/>
              <w:tr2bl w:val="nil"/>
            </w:tcBorders>
            <w:noWrap w:val="0"/>
            <w:vAlign w:val="center"/>
          </w:tcPr>
          <w:p>
            <w:pPr>
              <w:bidi w:val="0"/>
              <w:spacing w:line="240" w:lineRule="auto"/>
              <w:ind w:left="0" w:leftChars="0" w:firstLine="0" w:firstLineChars="0"/>
              <w:jc w:val="center"/>
              <w:rPr>
                <w:rFonts w:hint="default" w:ascii="Times New Roman" w:hAnsi="Times New Roman" w:cs="Times New Roman"/>
                <w:sz w:val="21"/>
                <w:szCs w:val="21"/>
                <w:lang w:val="en-US" w:eastAsia="zh-CN"/>
              </w:rPr>
            </w:pPr>
            <w:r>
              <w:rPr>
                <w:rFonts w:hint="eastAsia" w:cs="Times New Roman"/>
                <w:sz w:val="21"/>
                <w:szCs w:val="21"/>
                <w:lang w:val="en-US" w:eastAsia="zh-CN"/>
              </w:rPr>
              <w:t>1</w:t>
            </w:r>
          </w:p>
        </w:tc>
        <w:tc>
          <w:tcPr>
            <w:tcW w:w="5659" w:type="dxa"/>
            <w:tcBorders>
              <w:tl2br w:val="nil"/>
              <w:tr2bl w:val="nil"/>
            </w:tcBorders>
            <w:noWrap w:val="0"/>
            <w:vAlign w:val="center"/>
          </w:tcPr>
          <w:p>
            <w:pPr>
              <w:bidi w:val="0"/>
              <w:spacing w:line="240" w:lineRule="auto"/>
              <w:ind w:left="0" w:leftChars="0" w:firstLine="0" w:firstLineChars="0"/>
              <w:jc w:val="center"/>
              <w:rPr>
                <w:rFonts w:hint="default" w:ascii="Times New Roman" w:hAnsi="Times New Roman" w:cs="Times New Roman"/>
                <w:sz w:val="21"/>
                <w:szCs w:val="21"/>
                <w:lang w:val="en-US" w:eastAsia="zh-CN"/>
              </w:rPr>
            </w:pPr>
            <w:r>
              <w:rPr>
                <w:rFonts w:hint="eastAsia" w:cs="Times New Roman"/>
                <w:sz w:val="21"/>
                <w:szCs w:val="21"/>
                <w:lang w:val="en-US" w:eastAsia="zh-CN"/>
              </w:rPr>
              <w:t>未建设食堂，故未建设油烟净化器等设施</w:t>
            </w:r>
          </w:p>
        </w:tc>
        <w:tc>
          <w:tcPr>
            <w:tcW w:w="1816" w:type="dxa"/>
            <w:tcBorders>
              <w:tl2br w:val="nil"/>
              <w:tr2bl w:val="nil"/>
            </w:tcBorders>
            <w:noWrap w:val="0"/>
            <w:vAlign w:val="center"/>
          </w:tcPr>
          <w:p>
            <w:pPr>
              <w:bidi w:val="0"/>
              <w:spacing w:line="240" w:lineRule="auto"/>
              <w:ind w:left="0" w:leftChars="0" w:firstLine="0" w:firstLineChars="0"/>
              <w:jc w:val="center"/>
              <w:rPr>
                <w:rFonts w:hint="default" w:ascii="Times New Roman" w:hAnsi="Times New Roman" w:cs="Times New Roman"/>
                <w:sz w:val="21"/>
                <w:szCs w:val="21"/>
                <w:lang w:val="en-US" w:eastAsia="zh-CN"/>
              </w:rPr>
            </w:pPr>
            <w:r>
              <w:rPr>
                <w:rFonts w:hint="eastAsia" w:cs="Times New Roman"/>
                <w:sz w:val="21"/>
                <w:szCs w:val="21"/>
                <w:lang w:val="en-US" w:eastAsia="zh-CN"/>
              </w:rPr>
              <w:t>否</w:t>
            </w:r>
          </w:p>
        </w:tc>
      </w:tr>
    </w:tbl>
    <w:p>
      <w:pPr>
        <w:spacing w:line="360" w:lineRule="auto"/>
        <w:ind w:firstLine="480"/>
        <w:rPr>
          <w:rFonts w:hint="eastAsia" w:ascii="Times New Roman" w:hAnsi="Times New Roman" w:cs="Times New Roman" w:eastAsiaTheme="minorEastAsia"/>
          <w:sz w:val="24"/>
          <w:szCs w:val="24"/>
          <w:lang w:val="en-US" w:eastAsia="zh-CN"/>
        </w:rPr>
      </w:pPr>
      <w:r>
        <w:rPr>
          <w:rFonts w:hint="eastAsia" w:ascii="Times New Roman" w:hAnsi="Times New Roman" w:cs="Times New Roman" w:eastAsiaTheme="minorEastAsia"/>
          <w:sz w:val="24"/>
          <w:szCs w:val="24"/>
          <w:lang w:val="en-US" w:eastAsia="zh-CN"/>
        </w:rPr>
        <w:t>公司未建设食堂，故公司未建设油烟净化器。此项变动会减少污染物排放，因此公司未建设食堂，未设置油烟净化器不属于重大变动。</w:t>
      </w:r>
    </w:p>
    <w:p>
      <w:pPr>
        <w:numPr>
          <w:ilvl w:val="0"/>
          <w:numId w:val="0"/>
        </w:numPr>
        <w:spacing w:line="360" w:lineRule="auto"/>
        <w:jc w:val="left"/>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三、环境保护设施建设情况</w:t>
      </w:r>
    </w:p>
    <w:p>
      <w:pPr>
        <w:numPr>
          <w:ilvl w:val="0"/>
          <w:numId w:val="0"/>
        </w:numPr>
        <w:spacing w:line="360" w:lineRule="auto"/>
        <w:ind w:firstLine="480" w:firstLineChars="200"/>
        <w:jc w:val="left"/>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（一）废水</w:t>
      </w:r>
    </w:p>
    <w:p>
      <w:pPr>
        <w:pStyle w:val="18"/>
        <w:keepNext w:val="0"/>
        <w:keepLines w:val="0"/>
        <w:pageBreakBefore w:val="0"/>
        <w:widowControl w:val="0"/>
        <w:kinsoku/>
        <w:wordWrap/>
        <w:overflowPunct/>
        <w:topLinePunct w:val="0"/>
        <w:autoSpaceDE/>
        <w:autoSpaceDN/>
        <w:bidi w:val="0"/>
        <w:adjustRightInd w:val="0"/>
        <w:snapToGrid w:val="0"/>
        <w:spacing w:line="460" w:lineRule="exact"/>
        <w:ind w:left="0" w:right="0" w:firstLine="48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本项目生产相关废水（脱硫除尘废水）通过脱硫废水</w:t>
      </w:r>
      <w:r>
        <w:rPr>
          <w:rFonts w:hint="default" w:ascii="Times New Roman" w:hAnsi="Times New Roman" w:eastAsia="宋体" w:cs="Times New Roman"/>
          <w:sz w:val="24"/>
          <w:szCs w:val="24"/>
          <w:lang w:eastAsia="zh-CN"/>
        </w:rPr>
        <w:t>循环水池</w:t>
      </w:r>
      <w:r>
        <w:rPr>
          <w:rFonts w:hint="default" w:ascii="Times New Roman" w:hAnsi="Times New Roman" w:eastAsia="宋体" w:cs="Times New Roman"/>
          <w:sz w:val="24"/>
          <w:szCs w:val="24"/>
          <w:lang w:val="en-US" w:eastAsia="zh-CN"/>
        </w:rPr>
        <w:t>处理后循环使用，不外排。本项目生活污水采用化粪池等处理后由交由周边农户用作农肥。生产喷淋用水均蒸发损耗；制砖用水在烧结过程中全部蒸发损耗，无生产废水产生</w:t>
      </w:r>
      <w:r>
        <w:rPr>
          <w:rFonts w:hint="default" w:ascii="Times New Roman" w:hAnsi="Times New Roman" w:eastAsia="宋体" w:cs="Times New Roman"/>
          <w:sz w:val="24"/>
          <w:szCs w:val="24"/>
        </w:rPr>
        <w:t>。</w:t>
      </w:r>
    </w:p>
    <w:p>
      <w:pPr>
        <w:numPr>
          <w:ilvl w:val="0"/>
          <w:numId w:val="0"/>
        </w:numPr>
        <w:spacing w:line="360" w:lineRule="auto"/>
        <w:ind w:firstLine="480" w:firstLineChars="200"/>
        <w:jc w:val="left"/>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（二）废气</w:t>
      </w:r>
    </w:p>
    <w:p>
      <w:pPr>
        <w:spacing w:line="360" w:lineRule="auto"/>
        <w:ind w:firstLine="480"/>
        <w:jc w:val="both"/>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项目营运期产生的废气主要为粉尘（主要可分为原料堆放、装卸中产生的粉尘，原料破碎、筛分过程中产生的粉尘和交通运输粉尘）、隧道窑内产生的焙烧废气。</w:t>
      </w:r>
    </w:p>
    <w:p>
      <w:pPr>
        <w:spacing w:line="360" w:lineRule="auto"/>
        <w:ind w:firstLine="480"/>
        <w:jc w:val="both"/>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（1）原料堆放、装卸中产生的粉尘</w:t>
      </w:r>
    </w:p>
    <w:p>
      <w:pPr>
        <w:spacing w:line="360" w:lineRule="auto"/>
        <w:ind w:firstLine="480"/>
        <w:jc w:val="both"/>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项目原料堆场堆放页岩、煤矸石制砖原料，页岩和煤矸石呈块状，卸料前喷洒少量水，保证原料表面湿润，不会在卸料过程中产生大量粉尘。公司通过对原料堆场地面硬化、堆场设置三面封闭+加盖顶棚、喷淋降尘及人工洒水降尘、并在大风干燥天气遮盖防尘网等措施，可有效降低粉尘的排放量。</w:t>
      </w:r>
    </w:p>
    <w:p>
      <w:pPr>
        <w:spacing w:line="360" w:lineRule="auto"/>
        <w:ind w:firstLine="480"/>
        <w:jc w:val="both"/>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（2）原料破碎、筛分过程中产生的粉尘</w:t>
      </w:r>
    </w:p>
    <w:p>
      <w:pPr>
        <w:spacing w:line="360" w:lineRule="auto"/>
        <w:ind w:firstLine="480"/>
        <w:jc w:val="both"/>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建设单位对破碎、筛分车间进行地面硬化，车间设置三面封闭+加盖顶棚，并通过喷淋设施在破碎工段、筛分工段喷水以实施湿法作业，同时对原料破碎、筛分过程中使用的供料机、颚式破碎机、圆滚筛等设备进行封闭，并设置布袋除尘器进行收集处理后15米高排气筒排放，布袋所收集的粉尘作为原料投入陈化库回用于生产。</w:t>
      </w:r>
    </w:p>
    <w:p>
      <w:pPr>
        <w:spacing w:line="360" w:lineRule="auto"/>
        <w:ind w:firstLine="480"/>
        <w:jc w:val="both"/>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（3）交通运输粉尘</w:t>
      </w:r>
    </w:p>
    <w:p>
      <w:pPr>
        <w:spacing w:line="360" w:lineRule="auto"/>
        <w:ind w:firstLine="480"/>
        <w:jc w:val="both"/>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建设单位加强对运输过程粉尘量的控制，对进场道路和厂区地面实施硬化，所有出场运输车辆必须密闭（用帆布遮盖），同时限值车辆在场内行驶的速度，加大对路面的清扫和洒水频率，可减少颗粒物产生量。</w:t>
      </w:r>
    </w:p>
    <w:p>
      <w:pPr>
        <w:spacing w:line="360" w:lineRule="auto"/>
        <w:ind w:firstLine="480"/>
        <w:jc w:val="both"/>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（4）焙烧废气</w:t>
      </w:r>
    </w:p>
    <w:p>
      <w:pPr>
        <w:spacing w:line="360" w:lineRule="auto"/>
        <w:ind w:firstLine="480"/>
        <w:jc w:val="both"/>
        <w:rPr>
          <w:rFonts w:hint="default" w:ascii="Times New Roman" w:hAnsi="Times New Roman" w:cs="Times New Roman" w:eastAsiaTheme="minorEastAsia"/>
          <w:sz w:val="24"/>
          <w:szCs w:val="24"/>
          <w:lang w:val="en-US" w:eastAsia="zh-CN"/>
        </w:rPr>
      </w:pPr>
      <w:r>
        <w:rPr>
          <w:rFonts w:hint="default" w:ascii="Times New Roman" w:hAnsi="Times New Roman" w:cs="Times New Roman" w:eastAsiaTheme="minorEastAsia"/>
          <w:sz w:val="24"/>
          <w:szCs w:val="24"/>
          <w:lang w:val="en-US" w:eastAsia="zh-CN"/>
        </w:rPr>
        <w:t>项目使用煤矸石、页岩为主要原料，用隧道窑生产页岩砖。焙烧过程经正常点火燃烧后利用煤矸石的热值能满足生产过程中的热能供需，无需添加其他燃料。项目在焙烧过程中页岩燃烧基本不产生NOx、颗粒物等污染物，烟尘、NOx、SO</w:t>
      </w:r>
      <w:r>
        <w:rPr>
          <w:rFonts w:hint="default" w:ascii="Times New Roman" w:hAnsi="Times New Roman" w:cs="Times New Roman" w:eastAsiaTheme="minorEastAsia"/>
          <w:sz w:val="24"/>
          <w:szCs w:val="24"/>
          <w:vertAlign w:val="subscript"/>
          <w:lang w:val="en-US" w:eastAsia="zh-CN"/>
        </w:rPr>
        <w:t>2</w:t>
      </w:r>
      <w:r>
        <w:rPr>
          <w:rFonts w:hint="default" w:ascii="Times New Roman" w:hAnsi="Times New Roman" w:cs="Times New Roman" w:eastAsiaTheme="minorEastAsia"/>
          <w:sz w:val="24"/>
          <w:szCs w:val="24"/>
          <w:lang w:val="en-US" w:eastAsia="zh-CN"/>
        </w:rPr>
        <w:t>和氟化物等污染物主要为煤矸石的燃烧产生。焙烧废气通过封闭管道系统导入双碱法脱硫除尘处理后通过75米烟囱排放，废气传输过程中基本上全程封闭，几乎可以完全收集，无组织逸散量极小。</w:t>
      </w:r>
    </w:p>
    <w:p>
      <w:pPr>
        <w:numPr>
          <w:ilvl w:val="0"/>
          <w:numId w:val="0"/>
        </w:numPr>
        <w:spacing w:line="360" w:lineRule="auto"/>
        <w:ind w:leftChars="0" w:firstLine="480" w:firstLineChars="200"/>
        <w:jc w:val="left"/>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（三）噪声</w:t>
      </w:r>
    </w:p>
    <w:p>
      <w:pPr>
        <w:pStyle w:val="10"/>
        <w:spacing w:line="360" w:lineRule="auto"/>
        <w:ind w:left="0" w:leftChars="0" w:firstLine="0" w:firstLineChars="0"/>
        <w:rPr>
          <w:rFonts w:hint="eastAsia"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   </w:t>
      </w:r>
      <w:r>
        <w:rPr>
          <w:rFonts w:hint="eastAsia" w:ascii="Times New Roman" w:hAnsi="Times New Roman" w:eastAsia="宋体" w:cs="Times New Roman"/>
          <w:sz w:val="24"/>
          <w:szCs w:val="24"/>
          <w:lang w:val="en-US" w:eastAsia="zh-CN"/>
        </w:rPr>
        <w:t xml:space="preserve"> 本项目噪声主要来自生产设备颚式破碎机、滚筒筛、制砖机等，噪声源强为85-105dB（A）。项目主要采用基础减震的方式削弱源强。</w:t>
      </w:r>
    </w:p>
    <w:p>
      <w:pPr>
        <w:pStyle w:val="10"/>
        <w:spacing w:line="360" w:lineRule="auto"/>
        <w:ind w:left="0" w:leftChars="0" w:firstLine="480" w:firstLineChars="200"/>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（1）尽量选用低噪声、振动小的生产设备，采取合理布设高噪声设备及利用建筑物屏蔽等措施减少噪声；</w:t>
      </w:r>
    </w:p>
    <w:p>
      <w:pPr>
        <w:pStyle w:val="10"/>
        <w:spacing w:line="360" w:lineRule="auto"/>
        <w:ind w:left="0" w:leftChars="0" w:firstLine="480" w:firstLineChars="200"/>
        <w:rPr>
          <w:rFonts w:hint="default" w:ascii="Times New Roman" w:hAnsi="Times New Roman" w:eastAsia="宋体" w:cs="Times New Roman"/>
          <w:kern w:val="2"/>
          <w:sz w:val="24"/>
          <w:szCs w:val="24"/>
          <w:lang w:val="en-US" w:eastAsia="zh-CN" w:bidi="ar-SA"/>
        </w:rPr>
      </w:pPr>
      <w:r>
        <w:rPr>
          <w:rFonts w:hint="eastAsia" w:ascii="Times New Roman" w:hAnsi="Times New Roman" w:eastAsia="宋体" w:cs="Times New Roman"/>
          <w:sz w:val="24"/>
          <w:szCs w:val="24"/>
          <w:lang w:val="en-US" w:eastAsia="zh-CN"/>
        </w:rPr>
        <w:t>（2）在对设备设置减振基础或减振垫的基础上，加强机械设备的日常维护，生产设备要注意润滑，并对老化和性能降低的旧设备进行及时更换，以此降低磨擦，减小噪声强度；对设备定期进行检查和维修。</w:t>
      </w:r>
    </w:p>
    <w:p>
      <w:pPr>
        <w:numPr>
          <w:ilvl w:val="0"/>
          <w:numId w:val="0"/>
        </w:numPr>
        <w:spacing w:line="360" w:lineRule="auto"/>
        <w:ind w:leftChars="0" w:firstLine="480" w:firstLineChars="200"/>
        <w:jc w:val="left"/>
        <w:rPr>
          <w:rFonts w:hint="default" w:ascii="Times New Roman" w:hAnsi="Times New Roman" w:eastAsia="宋体" w:cs="Times New Roman"/>
          <w:kern w:val="2"/>
          <w:sz w:val="24"/>
          <w:szCs w:val="24"/>
          <w:lang w:val="en-US" w:eastAsia="zh-CN" w:bidi="ar-SA"/>
        </w:rPr>
      </w:pPr>
      <w:r>
        <w:rPr>
          <w:rFonts w:hint="default" w:ascii="Times New Roman" w:hAnsi="Times New Roman" w:eastAsia="宋体" w:cs="Times New Roman"/>
          <w:kern w:val="2"/>
          <w:sz w:val="24"/>
          <w:szCs w:val="24"/>
          <w:lang w:val="en-US" w:eastAsia="zh-CN" w:bidi="ar-SA"/>
        </w:rPr>
        <w:t>（四）固体废物</w:t>
      </w:r>
    </w:p>
    <w:p>
      <w:pPr>
        <w:tabs>
          <w:tab w:val="left" w:pos="1635"/>
        </w:tabs>
        <w:spacing w:line="360" w:lineRule="auto"/>
        <w:ind w:firstLine="482"/>
        <w:rPr>
          <w:rFonts w:hint="default" w:ascii="Times New Roman" w:hAnsi="Times New Roman" w:cs="Times New Roman"/>
          <w:sz w:val="24"/>
          <w:lang w:val="en-US"/>
        </w:rPr>
      </w:pPr>
      <w:r>
        <w:rPr>
          <w:rFonts w:hint="default" w:ascii="Times New Roman" w:hAnsi="Times New Roman" w:cs="Times New Roman"/>
          <w:sz w:val="24"/>
          <w:lang w:val="en-US"/>
        </w:rPr>
        <w:t>本项目</w:t>
      </w:r>
      <w:r>
        <w:rPr>
          <w:rFonts w:hint="default" w:ascii="Times New Roman" w:hAnsi="Times New Roman" w:cs="Times New Roman"/>
          <w:sz w:val="24"/>
          <w:lang w:val="en-US" w:eastAsia="zh-CN"/>
        </w:rPr>
        <w:t>营运期固废主要为废泥坯、废砖坯、废砖块、布袋除尘器收集的粉尘和生活垃圾。</w:t>
      </w:r>
    </w:p>
    <w:p>
      <w:pPr>
        <w:tabs>
          <w:tab w:val="left" w:pos="1635"/>
        </w:tabs>
        <w:spacing w:line="360" w:lineRule="auto"/>
        <w:ind w:firstLine="482"/>
        <w:rPr>
          <w:rFonts w:hint="default" w:ascii="Times New Roman" w:hAnsi="Times New Roman" w:cs="Times New Roman"/>
          <w:sz w:val="24"/>
          <w:lang w:val="en-US"/>
        </w:rPr>
      </w:pPr>
      <w:r>
        <w:rPr>
          <w:rFonts w:hint="default" w:ascii="Times New Roman" w:hAnsi="Times New Roman" w:cs="Times New Roman"/>
          <w:sz w:val="24"/>
          <w:lang w:val="en-US" w:eastAsia="zh-CN"/>
        </w:rPr>
        <w:t>（1）</w:t>
      </w:r>
      <w:r>
        <w:rPr>
          <w:rFonts w:hint="default" w:ascii="Times New Roman" w:hAnsi="Times New Roman" w:cs="Times New Roman"/>
          <w:sz w:val="24"/>
          <w:lang w:val="en-US"/>
        </w:rPr>
        <w:t>废泥坯、废砖坯：</w:t>
      </w:r>
      <w:r>
        <w:rPr>
          <w:rFonts w:hint="default" w:ascii="Times New Roman" w:hAnsi="Times New Roman" w:cs="Times New Roman"/>
          <w:sz w:val="24"/>
          <w:lang w:val="en-US" w:eastAsia="zh-CN"/>
        </w:rPr>
        <w:t>本项目</w:t>
      </w:r>
      <w:r>
        <w:rPr>
          <w:rFonts w:hint="default" w:ascii="Times New Roman" w:hAnsi="Times New Roman" w:cs="Times New Roman"/>
          <w:sz w:val="24"/>
          <w:lang w:val="en-US"/>
        </w:rPr>
        <w:t>制砖过程中</w:t>
      </w:r>
      <w:r>
        <w:rPr>
          <w:rFonts w:hint="default" w:ascii="Times New Roman" w:hAnsi="Times New Roman" w:cs="Times New Roman"/>
          <w:sz w:val="24"/>
          <w:lang w:val="en-US" w:eastAsia="zh-CN"/>
        </w:rPr>
        <w:t>会产生</w:t>
      </w:r>
      <w:r>
        <w:rPr>
          <w:rFonts w:hint="default" w:ascii="Times New Roman" w:hAnsi="Times New Roman" w:cs="Times New Roman"/>
          <w:sz w:val="24"/>
          <w:lang w:val="en-US"/>
        </w:rPr>
        <w:t>废泥坯和不合格砖坯，全部作为原料回用于生产。</w:t>
      </w:r>
    </w:p>
    <w:p>
      <w:pPr>
        <w:tabs>
          <w:tab w:val="left" w:pos="1635"/>
        </w:tabs>
        <w:spacing w:line="360" w:lineRule="auto"/>
        <w:ind w:firstLine="482"/>
        <w:rPr>
          <w:rFonts w:hint="default" w:ascii="Times New Roman" w:hAnsi="Times New Roman" w:cs="Times New Roman"/>
          <w:sz w:val="24"/>
          <w:lang w:val="en-US"/>
        </w:rPr>
      </w:pPr>
      <w:r>
        <w:rPr>
          <w:rFonts w:hint="default" w:ascii="Times New Roman" w:hAnsi="Times New Roman" w:cs="Times New Roman"/>
          <w:sz w:val="24"/>
          <w:lang w:val="en-US" w:eastAsia="zh-CN"/>
        </w:rPr>
        <w:t>（2）</w:t>
      </w:r>
      <w:r>
        <w:rPr>
          <w:rFonts w:hint="default" w:ascii="Times New Roman" w:hAnsi="Times New Roman" w:cs="Times New Roman"/>
          <w:sz w:val="24"/>
          <w:lang w:val="en-US"/>
        </w:rPr>
        <w:t>废砖块：砖坯焙烧后废砖块全部作为原料回用于生产。</w:t>
      </w:r>
    </w:p>
    <w:p>
      <w:pPr>
        <w:tabs>
          <w:tab w:val="left" w:pos="1635"/>
        </w:tabs>
        <w:spacing w:line="360" w:lineRule="auto"/>
        <w:ind w:firstLine="482"/>
        <w:rPr>
          <w:rFonts w:hint="default" w:ascii="Times New Roman" w:hAnsi="Times New Roman" w:cs="Times New Roman"/>
          <w:sz w:val="24"/>
          <w:lang w:val="en-US" w:eastAsia="zh-CN"/>
        </w:rPr>
      </w:pPr>
      <w:r>
        <w:rPr>
          <w:rFonts w:hint="default" w:ascii="Times New Roman" w:hAnsi="Times New Roman" w:cs="Times New Roman"/>
          <w:sz w:val="24"/>
          <w:lang w:val="en-US" w:eastAsia="zh-CN"/>
        </w:rPr>
        <w:t>（3）</w:t>
      </w:r>
      <w:r>
        <w:rPr>
          <w:rFonts w:hint="default" w:ascii="Times New Roman" w:hAnsi="Times New Roman" w:cs="Times New Roman"/>
          <w:sz w:val="24"/>
          <w:lang w:val="en-US"/>
        </w:rPr>
        <w:t>脱硫除尘渣：脱硫除尘渣中的主要成分为亚硫酸钙和硫酸钙，全部作为原料回用于生产</w:t>
      </w:r>
      <w:r>
        <w:rPr>
          <w:rFonts w:hint="default" w:ascii="Times New Roman" w:hAnsi="Times New Roman" w:cs="Times New Roman"/>
          <w:sz w:val="24"/>
          <w:lang w:val="en-US" w:eastAsia="zh-CN"/>
        </w:rPr>
        <w:t>。</w:t>
      </w:r>
    </w:p>
    <w:p>
      <w:pPr>
        <w:tabs>
          <w:tab w:val="left" w:pos="1635"/>
        </w:tabs>
        <w:spacing w:line="360" w:lineRule="auto"/>
        <w:ind w:firstLine="482"/>
        <w:rPr>
          <w:rFonts w:hint="default" w:ascii="Times New Roman" w:hAnsi="Times New Roman" w:cs="Times New Roman"/>
          <w:sz w:val="24"/>
          <w:lang w:val="en-US"/>
        </w:rPr>
      </w:pPr>
      <w:r>
        <w:rPr>
          <w:rFonts w:hint="default" w:ascii="Times New Roman" w:hAnsi="Times New Roman" w:cs="Times New Roman"/>
          <w:sz w:val="24"/>
          <w:lang w:val="en-US" w:eastAsia="zh-CN"/>
        </w:rPr>
        <w:t>（4）</w:t>
      </w:r>
      <w:r>
        <w:rPr>
          <w:rFonts w:hint="default" w:ascii="Times New Roman" w:hAnsi="Times New Roman" w:cs="Times New Roman"/>
          <w:sz w:val="24"/>
          <w:lang w:val="en-US"/>
        </w:rPr>
        <w:t>布袋除尘器收集的粉尘：布袋除尘器收集的粉尘全部作为原料回用于生产。</w:t>
      </w:r>
    </w:p>
    <w:p>
      <w:pPr>
        <w:tabs>
          <w:tab w:val="left" w:pos="1635"/>
        </w:tabs>
        <w:spacing w:line="360" w:lineRule="auto"/>
        <w:ind w:firstLine="482"/>
        <w:rPr>
          <w:rFonts w:hint="default" w:ascii="Times New Roman" w:hAnsi="Times New Roman" w:cs="Times New Roman"/>
          <w:sz w:val="24"/>
          <w:lang w:val="en-US"/>
        </w:rPr>
      </w:pPr>
      <w:r>
        <w:rPr>
          <w:rFonts w:hint="default" w:ascii="Times New Roman" w:hAnsi="Times New Roman" w:cs="Times New Roman"/>
          <w:sz w:val="24"/>
          <w:lang w:val="en-US" w:eastAsia="zh-CN"/>
        </w:rPr>
        <w:t>（5）</w:t>
      </w:r>
      <w:r>
        <w:rPr>
          <w:rFonts w:hint="default" w:ascii="Times New Roman" w:hAnsi="Times New Roman" w:cs="Times New Roman"/>
          <w:sz w:val="24"/>
          <w:lang w:val="en-US"/>
        </w:rPr>
        <w:t>生活垃圾：生活垃圾经收集后交由当地环卫部门处理</w:t>
      </w:r>
      <w:r>
        <w:rPr>
          <w:rFonts w:hint="default" w:ascii="Times New Roman" w:hAnsi="Times New Roman" w:cs="Times New Roman"/>
          <w:sz w:val="24"/>
          <w:lang w:val="en-US" w:eastAsia="zh-CN"/>
        </w:rPr>
        <w:t>。</w:t>
      </w:r>
    </w:p>
    <w:p>
      <w:pPr>
        <w:numPr>
          <w:ilvl w:val="0"/>
          <w:numId w:val="0"/>
        </w:numPr>
        <w:spacing w:line="360" w:lineRule="auto"/>
        <w:jc w:val="left"/>
        <w:rPr>
          <w:rFonts w:hint="default" w:ascii="Times New Roman" w:hAnsi="Times New Roman" w:cs="Times New Roman"/>
          <w:b/>
          <w:bCs/>
          <w:color w:val="auto"/>
          <w:sz w:val="24"/>
          <w:szCs w:val="24"/>
          <w:lang w:val="en-US" w:eastAsia="zh-CN"/>
        </w:rPr>
      </w:pPr>
      <w:r>
        <w:rPr>
          <w:rFonts w:hint="default" w:ascii="Times New Roman" w:hAnsi="Times New Roman" w:eastAsia="宋体" w:cs="Times New Roman"/>
          <w:kern w:val="2"/>
          <w:sz w:val="24"/>
          <w:szCs w:val="24"/>
          <w:lang w:val="en-US" w:eastAsia="zh-CN" w:bidi="ar-SA"/>
        </w:rPr>
        <w:t xml:space="preserve"> </w:t>
      </w:r>
      <w:r>
        <w:rPr>
          <w:rFonts w:hint="default" w:ascii="Times New Roman" w:hAnsi="Times New Roman" w:cs="Times New Roman"/>
          <w:b/>
          <w:bCs/>
          <w:color w:val="auto"/>
          <w:sz w:val="24"/>
          <w:szCs w:val="24"/>
          <w:lang w:val="en-US" w:eastAsia="zh-CN"/>
        </w:rPr>
        <w:t>四、环境保护设施调试效果</w:t>
      </w:r>
    </w:p>
    <w:p>
      <w:pPr>
        <w:numPr>
          <w:ilvl w:val="0"/>
          <w:numId w:val="0"/>
        </w:numPr>
        <w:spacing w:line="360" w:lineRule="auto"/>
        <w:ind w:leftChars="0" w:firstLine="240" w:firstLineChars="100"/>
        <w:jc w:val="left"/>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（一）污染物达标排放情况</w:t>
      </w:r>
    </w:p>
    <w:p>
      <w:pPr>
        <w:pStyle w:val="17"/>
        <w:spacing w:before="0" w:beforeLines="0" w:beforeAutospacing="0" w:after="0" w:afterLines="0" w:afterAutospacing="0" w:line="360" w:lineRule="auto"/>
        <w:ind w:firstLine="480" w:firstLineChars="200"/>
        <w:jc w:val="both"/>
        <w:outlineLvl w:val="0"/>
        <w:rPr>
          <w:rFonts w:hint="default" w:ascii="Times New Roman" w:hAnsi="Times New Roman" w:eastAsia="宋体" w:cs="Times New Roman"/>
          <w:kern w:val="2"/>
          <w:sz w:val="24"/>
          <w:szCs w:val="24"/>
          <w:lang w:val="en-US" w:eastAsia="zh-CN" w:bidi="ar-SA"/>
        </w:rPr>
      </w:pPr>
      <w:r>
        <w:rPr>
          <w:rFonts w:hint="default" w:ascii="Times New Roman" w:hAnsi="Times New Roman" w:eastAsia="宋体" w:cs="Times New Roman"/>
          <w:kern w:val="2"/>
          <w:sz w:val="24"/>
          <w:szCs w:val="24"/>
          <w:lang w:val="en-US" w:eastAsia="zh-CN" w:bidi="ar-SA"/>
        </w:rPr>
        <w:t>1.废水</w:t>
      </w:r>
    </w:p>
    <w:p>
      <w:pPr>
        <w:spacing w:line="360" w:lineRule="auto"/>
        <w:ind w:firstLine="480"/>
        <w:jc w:val="left"/>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val="en-US" w:eastAsia="zh-CN"/>
        </w:rPr>
        <w:t>公司已按照“雨污分流”原则，修建场区排水和污水处理系统，初期雨水已经雨水收集系统收集沉淀处理后综合利用。脱硫除尘废水已经沉淀、中和处理后循环使用，不外排。生活污水已化粪池有效处理后用做农肥综合利用，不外排。</w:t>
      </w:r>
    </w:p>
    <w:p>
      <w:pPr>
        <w:pStyle w:val="17"/>
        <w:spacing w:before="0" w:beforeLines="0" w:beforeAutospacing="0" w:after="0" w:afterLines="0" w:afterAutospacing="0" w:line="360" w:lineRule="auto"/>
        <w:ind w:firstLine="480" w:firstLineChars="200"/>
        <w:jc w:val="both"/>
        <w:outlineLvl w:val="0"/>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2.废气</w:t>
      </w:r>
    </w:p>
    <w:p>
      <w:pPr>
        <w:spacing w:line="360" w:lineRule="auto"/>
        <w:ind w:firstLine="480"/>
        <w:jc w:val="both"/>
        <w:rPr>
          <w:rFonts w:hint="default" w:ascii="Times New Roman" w:hAnsi="Times New Roman" w:cs="Times New Roman"/>
          <w:color w:val="000000"/>
          <w:sz w:val="24"/>
          <w:szCs w:val="24"/>
          <w:lang w:val="en-US" w:eastAsia="zh-CN"/>
        </w:rPr>
      </w:pPr>
      <w:r>
        <w:rPr>
          <w:rFonts w:hint="default" w:ascii="Times New Roman" w:hAnsi="Times New Roman" w:cs="Times New Roman"/>
          <w:color w:val="000000"/>
          <w:sz w:val="24"/>
          <w:szCs w:val="24"/>
          <w:lang w:val="en-US" w:eastAsia="zh-CN"/>
        </w:rPr>
        <w:t>验收监测期间，炉窑废气检测口处监测点位处的颗粒物、二氧化硫、氮氧化物、氟化物浓度符合《砖瓦工业大气污染物排放标准》（GB29620-2013）表2人工干燥及焙烧标准及修改单标准限值。</w:t>
      </w:r>
    </w:p>
    <w:p>
      <w:pPr>
        <w:spacing w:line="360" w:lineRule="auto"/>
        <w:ind w:firstLine="480"/>
        <w:jc w:val="both"/>
        <w:rPr>
          <w:rFonts w:hint="default" w:ascii="Times New Roman" w:hAnsi="Times New Roman" w:cs="Times New Roman"/>
          <w:color w:val="000000"/>
          <w:sz w:val="24"/>
          <w:szCs w:val="24"/>
          <w:lang w:val="en-US" w:eastAsia="zh-CN"/>
        </w:rPr>
      </w:pPr>
      <w:r>
        <w:rPr>
          <w:rFonts w:hint="default" w:ascii="Times New Roman" w:hAnsi="Times New Roman" w:cs="Times New Roman"/>
          <w:color w:val="000000"/>
          <w:sz w:val="24"/>
          <w:szCs w:val="24"/>
          <w:lang w:val="en-US" w:eastAsia="zh-CN"/>
        </w:rPr>
        <w:t>验收监测期间，破碎工序废气检测口处监测点位处的颗粒物浓度符合《砖瓦工业大气污染物排放标准》（GB29620-2013）表2人工干燥及焙烧标准及修改单标准限值。</w:t>
      </w:r>
    </w:p>
    <w:p>
      <w:pPr>
        <w:spacing w:line="360" w:lineRule="auto"/>
        <w:ind w:firstLine="480"/>
        <w:jc w:val="both"/>
        <w:rPr>
          <w:rFonts w:hint="default" w:ascii="Times New Roman" w:hAnsi="Times New Roman" w:cs="Times New Roman"/>
          <w:color w:val="000000"/>
          <w:sz w:val="24"/>
          <w:szCs w:val="24"/>
          <w:lang w:val="en-US" w:eastAsia="zh-CN"/>
        </w:rPr>
      </w:pPr>
      <w:r>
        <w:rPr>
          <w:rFonts w:hint="default" w:ascii="Times New Roman" w:hAnsi="Times New Roman" w:cs="Times New Roman"/>
          <w:color w:val="000000"/>
          <w:sz w:val="24"/>
          <w:szCs w:val="24"/>
          <w:lang w:val="en-US" w:eastAsia="zh-CN"/>
        </w:rPr>
        <w:t>验收监测期间，本项目无组织废气下风向各监控点监测因子颗粒物、二氧化硫、氟化物浓度符合《砖瓦工业大气污染物排放标准》（GB 29620-2013）表3标准限值。</w:t>
      </w:r>
    </w:p>
    <w:p>
      <w:pPr>
        <w:pStyle w:val="17"/>
        <w:spacing w:before="0" w:beforeLines="0" w:beforeAutospacing="0" w:after="0" w:afterLines="0" w:afterAutospacing="0" w:line="360" w:lineRule="auto"/>
        <w:ind w:firstLine="480" w:firstLineChars="200"/>
        <w:jc w:val="both"/>
        <w:outlineLvl w:val="0"/>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3.厂界噪声</w:t>
      </w:r>
    </w:p>
    <w:p>
      <w:pPr>
        <w:spacing w:line="360" w:lineRule="auto"/>
        <w:ind w:firstLine="480"/>
        <w:jc w:val="both"/>
        <w:rPr>
          <w:rFonts w:hint="default" w:ascii="Times New Roman" w:hAnsi="Times New Roman" w:cs="Times New Roman"/>
          <w:color w:val="000000"/>
          <w:sz w:val="24"/>
          <w:szCs w:val="24"/>
          <w:lang w:val="en-US" w:eastAsia="zh-CN"/>
        </w:rPr>
      </w:pPr>
      <w:r>
        <w:rPr>
          <w:rFonts w:hint="default" w:ascii="Times New Roman" w:hAnsi="Times New Roman" w:cs="Times New Roman"/>
          <w:color w:val="000000"/>
          <w:sz w:val="24"/>
          <w:szCs w:val="24"/>
          <w:lang w:val="en-US" w:eastAsia="zh-CN"/>
        </w:rPr>
        <w:t>本项目验收监测期间，东、南、西、北面厂界昼、夜间噪声等效声级最大值均符合《声环境质量标准》（GB3096-2008）</w:t>
      </w:r>
      <w:r>
        <w:rPr>
          <w:rFonts w:hint="eastAsia" w:ascii="Times New Roman" w:hAnsi="Times New Roman" w:cs="Times New Roman"/>
          <w:color w:val="000000"/>
          <w:sz w:val="24"/>
          <w:szCs w:val="24"/>
          <w:lang w:val="en-US" w:eastAsia="zh-CN"/>
        </w:rPr>
        <w:t>2</w:t>
      </w:r>
      <w:r>
        <w:rPr>
          <w:rFonts w:hint="default" w:ascii="Times New Roman" w:hAnsi="Times New Roman" w:cs="Times New Roman"/>
          <w:color w:val="000000"/>
          <w:sz w:val="24"/>
          <w:szCs w:val="24"/>
          <w:lang w:val="en-US" w:eastAsia="zh-CN"/>
        </w:rPr>
        <w:t>类标准限值。</w:t>
      </w:r>
    </w:p>
    <w:p>
      <w:pPr>
        <w:pStyle w:val="17"/>
        <w:spacing w:before="0" w:beforeLines="0" w:beforeAutospacing="0" w:after="0" w:afterLines="0" w:afterAutospacing="0" w:line="360" w:lineRule="auto"/>
        <w:ind w:firstLine="480" w:firstLineChars="200"/>
        <w:jc w:val="both"/>
        <w:outlineLvl w:val="0"/>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4.固体废物</w:t>
      </w:r>
    </w:p>
    <w:p>
      <w:pPr>
        <w:spacing w:line="360" w:lineRule="auto"/>
        <w:ind w:firstLine="480"/>
        <w:jc w:val="both"/>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公司生活垃圾经分类收集后已交由环卫部门定期统一规范处理。集尘灰、废泥坯、废砖、沉淀池泥沙、脱硫除尘废渣经收集后已回收综合利用；脱硫剂废包装经收集后已外售处置。</w:t>
      </w:r>
    </w:p>
    <w:p>
      <w:pPr>
        <w:pStyle w:val="17"/>
        <w:numPr>
          <w:ilvl w:val="0"/>
          <w:numId w:val="3"/>
        </w:numPr>
        <w:spacing w:before="0" w:beforeAutospacing="0" w:after="0" w:afterAutospacing="0" w:line="360" w:lineRule="auto"/>
        <w:ind w:firstLine="482" w:firstLineChars="200"/>
        <w:jc w:val="both"/>
        <w:outlineLvl w:val="0"/>
        <w:rPr>
          <w:rFonts w:hint="default" w:ascii="Times New Roman" w:hAnsi="Times New Roman" w:cs="Times New Roman"/>
          <w:b/>
          <w:sz w:val="24"/>
          <w:szCs w:val="24"/>
        </w:rPr>
      </w:pPr>
      <w:r>
        <w:rPr>
          <w:rFonts w:hint="default" w:ascii="Times New Roman" w:hAnsi="Times New Roman" w:cs="Times New Roman"/>
          <w:b/>
          <w:sz w:val="24"/>
          <w:szCs w:val="24"/>
        </w:rPr>
        <w:t>工程建设对环境的影响</w:t>
      </w:r>
    </w:p>
    <w:p>
      <w:pPr>
        <w:pStyle w:val="17"/>
        <w:numPr>
          <w:ilvl w:val="0"/>
          <w:numId w:val="0"/>
        </w:numPr>
        <w:spacing w:before="0" w:beforeAutospacing="0" w:after="0" w:afterAutospacing="0" w:line="360" w:lineRule="auto"/>
        <w:ind w:firstLine="480" w:firstLineChars="200"/>
        <w:jc w:val="both"/>
        <w:outlineLvl w:val="0"/>
        <w:rPr>
          <w:rFonts w:hint="default" w:ascii="Times New Roman" w:hAnsi="Times New Roman" w:eastAsia="宋体" w:cs="Times New Roman"/>
          <w:b w:val="0"/>
          <w:bCs/>
          <w:sz w:val="24"/>
          <w:szCs w:val="24"/>
          <w:lang w:eastAsia="zh-CN"/>
        </w:rPr>
      </w:pPr>
      <w:r>
        <w:rPr>
          <w:rFonts w:hint="default" w:ascii="Times New Roman" w:hAnsi="Times New Roman" w:cs="Times New Roman"/>
          <w:b w:val="0"/>
          <w:bCs/>
          <w:sz w:val="24"/>
          <w:szCs w:val="24"/>
          <w:lang w:eastAsia="zh-CN"/>
        </w:rPr>
        <w:t>本项目已按照环评及批复要求落实了各项污染防治措施，验收监测期间各类污染物均可以做到达标排放，对周围环境影响较小。</w:t>
      </w:r>
    </w:p>
    <w:p>
      <w:pPr>
        <w:pStyle w:val="17"/>
        <w:spacing w:before="0" w:beforeAutospacing="0" w:after="0" w:afterAutospacing="0" w:line="360" w:lineRule="auto"/>
        <w:ind w:firstLine="482" w:firstLineChars="200"/>
        <w:jc w:val="both"/>
        <w:outlineLvl w:val="0"/>
        <w:rPr>
          <w:rFonts w:hint="default" w:ascii="Times New Roman" w:hAnsi="Times New Roman" w:eastAsia="宋体" w:cs="Times New Roman"/>
          <w:b/>
          <w:color w:val="000000"/>
          <w:sz w:val="24"/>
          <w:szCs w:val="24"/>
          <w:lang w:eastAsia="zh-CN"/>
        </w:rPr>
      </w:pPr>
      <w:r>
        <w:rPr>
          <w:rFonts w:hint="default" w:ascii="Times New Roman" w:hAnsi="Times New Roman" w:cs="Times New Roman"/>
          <w:b/>
          <w:color w:val="000000"/>
          <w:sz w:val="24"/>
          <w:szCs w:val="24"/>
        </w:rPr>
        <w:t>六、验收结论</w:t>
      </w:r>
    </w:p>
    <w:p>
      <w:pPr>
        <w:spacing w:line="360" w:lineRule="auto"/>
        <w:ind w:firstLine="480" w:firstLineChars="200"/>
        <w:rPr>
          <w:rFonts w:hint="default" w:ascii="Times New Roman" w:hAnsi="Times New Roman" w:cs="Times New Roman"/>
          <w:b w:val="0"/>
          <w:bCs/>
          <w:sz w:val="24"/>
          <w:szCs w:val="24"/>
          <w:lang w:eastAsia="zh-CN"/>
        </w:rPr>
      </w:pPr>
      <w:r>
        <w:rPr>
          <w:rFonts w:hint="default" w:ascii="Times New Roman" w:hAnsi="Times New Roman" w:cs="Times New Roman"/>
          <w:b w:val="0"/>
          <w:bCs/>
          <w:sz w:val="24"/>
          <w:szCs w:val="24"/>
          <w:lang w:eastAsia="zh-CN"/>
        </w:rPr>
        <w:t>本项目已按照环评及批复要求落实了各项污染防治措施，验收期间</w:t>
      </w:r>
      <w:r>
        <w:rPr>
          <w:rFonts w:hint="eastAsia" w:ascii="Times New Roman" w:hAnsi="Times New Roman" w:cs="Times New Roman"/>
          <w:b w:val="0"/>
          <w:bCs/>
          <w:sz w:val="24"/>
          <w:szCs w:val="24"/>
          <w:lang w:val="en-US" w:eastAsia="zh-CN"/>
        </w:rPr>
        <w:t>有组织</w:t>
      </w:r>
      <w:r>
        <w:rPr>
          <w:rFonts w:hint="default" w:ascii="Times New Roman" w:hAnsi="Times New Roman" w:cs="Times New Roman"/>
          <w:b w:val="0"/>
          <w:bCs/>
          <w:sz w:val="24"/>
          <w:szCs w:val="24"/>
          <w:lang w:eastAsia="zh-CN"/>
        </w:rPr>
        <w:t>废气、</w:t>
      </w:r>
      <w:r>
        <w:rPr>
          <w:rFonts w:hint="eastAsia" w:ascii="Times New Roman" w:hAnsi="Times New Roman" w:cs="Times New Roman"/>
          <w:b w:val="0"/>
          <w:bCs/>
          <w:sz w:val="24"/>
          <w:szCs w:val="24"/>
          <w:lang w:val="en-US" w:eastAsia="zh-CN"/>
        </w:rPr>
        <w:t>厂界无组织废气、</w:t>
      </w:r>
      <w:r>
        <w:rPr>
          <w:rFonts w:hint="default" w:ascii="Times New Roman" w:hAnsi="Times New Roman" w:cs="Times New Roman"/>
          <w:b w:val="0"/>
          <w:bCs/>
          <w:sz w:val="24"/>
          <w:szCs w:val="24"/>
          <w:lang w:eastAsia="zh-CN"/>
        </w:rPr>
        <w:t>噪声均达到相关标准要求，固体废物合理处置，</w:t>
      </w:r>
      <w:r>
        <w:rPr>
          <w:rFonts w:hint="eastAsia" w:ascii="Times New Roman" w:hAnsi="Times New Roman" w:cs="Times New Roman"/>
          <w:b w:val="0"/>
          <w:bCs/>
          <w:sz w:val="24"/>
          <w:szCs w:val="24"/>
          <w:lang w:val="en-US" w:eastAsia="zh-CN"/>
        </w:rPr>
        <w:t>废水不外排，</w:t>
      </w:r>
      <w:r>
        <w:rPr>
          <w:rFonts w:hint="default" w:ascii="Times New Roman" w:hAnsi="Times New Roman" w:cs="Times New Roman"/>
          <w:b w:val="0"/>
          <w:bCs/>
          <w:sz w:val="24"/>
          <w:szCs w:val="24"/>
          <w:lang w:eastAsia="zh-CN"/>
        </w:rPr>
        <w:t>验收组同意本项目通过竣工环保验收。</w:t>
      </w:r>
    </w:p>
    <w:p>
      <w:pPr>
        <w:pStyle w:val="10"/>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textAlignment w:val="auto"/>
        <w:outlineLvl w:val="9"/>
        <w:rPr>
          <w:rFonts w:hint="default" w:ascii="Times New Roman" w:hAnsi="Times New Roman" w:cs="Times New Roman"/>
          <w:b w:val="0"/>
          <w:bCs/>
          <w:color w:val="000000"/>
          <w:sz w:val="24"/>
          <w:szCs w:val="24"/>
          <w:lang w:val="en-US" w:eastAsia="zh-CN"/>
        </w:rPr>
      </w:pPr>
      <w:r>
        <w:rPr>
          <w:rFonts w:hint="default" w:ascii="Times New Roman" w:hAnsi="Times New Roman" w:cs="Times New Roman"/>
          <w:b/>
          <w:color w:val="000000"/>
          <w:sz w:val="24"/>
          <w:szCs w:val="24"/>
        </w:rPr>
        <w:t>七、</w:t>
      </w:r>
      <w:r>
        <w:rPr>
          <w:rFonts w:hint="default" w:ascii="Times New Roman" w:hAnsi="Times New Roman" w:cs="Times New Roman"/>
          <w:b/>
          <w:color w:val="000000"/>
          <w:sz w:val="24"/>
          <w:szCs w:val="24"/>
          <w:lang w:eastAsia="zh-CN"/>
        </w:rPr>
        <w:t>验收建议</w:t>
      </w:r>
    </w:p>
    <w:p>
      <w:pPr>
        <w:pStyle w:val="10"/>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outlineLvl w:val="9"/>
        <w:rPr>
          <w:rFonts w:hint="default" w:ascii="Times New Roman" w:hAnsi="Times New Roman" w:cs="Times New Roman"/>
        </w:rPr>
      </w:pPr>
      <w:r>
        <w:rPr>
          <w:rFonts w:hint="default" w:ascii="Times New Roman" w:hAnsi="Times New Roman" w:cs="Times New Roman"/>
          <w:b w:val="0"/>
          <w:bCs/>
          <w:color w:val="000000"/>
          <w:sz w:val="24"/>
          <w:szCs w:val="24"/>
          <w:lang w:val="en-US" w:eastAsia="zh-CN"/>
        </w:rPr>
        <w:t>（1）设专人负责环保设施的运行和管理，保证设施正常运转。</w:t>
      </w:r>
    </w:p>
    <w:p>
      <w:pPr>
        <w:pStyle w:val="10"/>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outlineLvl w:val="9"/>
        <w:rPr>
          <w:rFonts w:hint="default" w:ascii="Times New Roman" w:hAnsi="Times New Roman" w:cs="Times New Roman"/>
          <w:b w:val="0"/>
          <w:bCs/>
          <w:color w:val="000000"/>
          <w:sz w:val="24"/>
          <w:szCs w:val="24"/>
          <w:lang w:val="en-US" w:eastAsia="zh-CN"/>
        </w:rPr>
      </w:pPr>
      <w:r>
        <w:rPr>
          <w:rFonts w:hint="default" w:ascii="Times New Roman" w:hAnsi="Times New Roman" w:cs="Times New Roman"/>
          <w:b w:val="0"/>
          <w:bCs/>
          <w:color w:val="000000"/>
          <w:sz w:val="24"/>
          <w:szCs w:val="24"/>
          <w:lang w:val="en-US" w:eastAsia="zh-CN"/>
        </w:rPr>
        <w:t>（2）加强环保设施的运行管理和维护，确保各项污染物长期、稳定达标排放。</w:t>
      </w:r>
    </w:p>
    <w:p>
      <w:pPr>
        <w:pStyle w:val="17"/>
        <w:spacing w:before="0" w:beforeAutospacing="0" w:after="0" w:afterAutospacing="0" w:line="360" w:lineRule="auto"/>
        <w:ind w:firstLine="482" w:firstLineChars="200"/>
        <w:jc w:val="both"/>
        <w:outlineLvl w:val="0"/>
        <w:rPr>
          <w:rFonts w:hint="default" w:ascii="Times New Roman" w:hAnsi="Times New Roman" w:cs="Times New Roman"/>
          <w:b/>
          <w:color w:val="000000"/>
          <w:sz w:val="24"/>
          <w:szCs w:val="24"/>
        </w:rPr>
      </w:pPr>
      <w:r>
        <w:rPr>
          <w:rFonts w:hint="default" w:ascii="Times New Roman" w:hAnsi="Times New Roman" w:cs="Times New Roman"/>
          <w:b/>
          <w:color w:val="000000"/>
          <w:sz w:val="24"/>
          <w:szCs w:val="24"/>
          <w:lang w:eastAsia="zh-CN"/>
        </w:rPr>
        <w:t>八</w:t>
      </w:r>
      <w:r>
        <w:rPr>
          <w:rFonts w:hint="default" w:ascii="Times New Roman" w:hAnsi="Times New Roman" w:cs="Times New Roman"/>
          <w:b/>
          <w:color w:val="000000"/>
          <w:sz w:val="24"/>
          <w:szCs w:val="24"/>
        </w:rPr>
        <w:t>、验收人员信息</w:t>
      </w:r>
    </w:p>
    <w:p>
      <w:pPr>
        <w:pStyle w:val="17"/>
        <w:spacing w:before="0" w:beforeAutospacing="0" w:after="0" w:afterAutospacing="0" w:line="360" w:lineRule="auto"/>
        <w:ind w:firstLine="480" w:firstLineChars="200"/>
        <w:jc w:val="both"/>
        <w:outlineLvl w:val="0"/>
        <w:rPr>
          <w:rFonts w:hint="default" w:ascii="Times New Roman" w:hAnsi="Times New Roman" w:eastAsia="宋体" w:cs="Times New Roman"/>
          <w:color w:val="000000"/>
          <w:sz w:val="24"/>
          <w:szCs w:val="24"/>
          <w:lang w:eastAsia="zh-CN"/>
        </w:rPr>
      </w:pPr>
      <w:r>
        <w:rPr>
          <w:rFonts w:hint="default" w:ascii="Times New Roman" w:hAnsi="Times New Roman" w:cs="Times New Roman"/>
          <w:color w:val="000000"/>
          <w:sz w:val="24"/>
          <w:szCs w:val="24"/>
          <w:lang w:eastAsia="zh-CN"/>
        </w:rPr>
        <w:t>验收负责人和参加验收人员信息见附表。</w:t>
      </w:r>
    </w:p>
    <w:p>
      <w:pPr>
        <w:pStyle w:val="17"/>
        <w:spacing w:before="0" w:beforeAutospacing="0" w:after="0" w:afterAutospacing="0" w:line="360" w:lineRule="auto"/>
        <w:ind w:firstLine="480" w:firstLineChars="200"/>
        <w:jc w:val="both"/>
        <w:outlineLvl w:val="0"/>
        <w:rPr>
          <w:rFonts w:hint="default" w:ascii="Times New Roman" w:hAnsi="Times New Roman" w:cs="Times New Roman"/>
          <w:color w:val="000000"/>
          <w:sz w:val="24"/>
          <w:szCs w:val="24"/>
          <w:lang w:val="en-US" w:eastAsia="zh-CN"/>
        </w:rPr>
      </w:pPr>
      <w:r>
        <w:rPr>
          <w:rFonts w:hint="default" w:ascii="Times New Roman" w:hAnsi="Times New Roman" w:cs="Times New Roman"/>
          <w:color w:val="000000"/>
          <w:sz w:val="24"/>
          <w:szCs w:val="24"/>
          <w:lang w:val="en-US" w:eastAsia="zh-CN"/>
        </w:rPr>
        <w:t xml:space="preserve"> </w:t>
      </w:r>
    </w:p>
    <w:p>
      <w:pPr>
        <w:pStyle w:val="17"/>
        <w:spacing w:before="0" w:beforeAutospacing="0" w:after="0" w:afterAutospacing="0" w:line="360" w:lineRule="auto"/>
        <w:ind w:firstLine="480" w:firstLineChars="200"/>
        <w:jc w:val="both"/>
        <w:outlineLvl w:val="0"/>
        <w:rPr>
          <w:rFonts w:hint="default" w:ascii="Times New Roman" w:hAnsi="Times New Roman" w:cs="Times New Roman"/>
          <w:color w:val="000000"/>
          <w:sz w:val="24"/>
          <w:szCs w:val="24"/>
          <w:lang w:val="en-US" w:eastAsia="zh-CN"/>
        </w:rPr>
      </w:pPr>
    </w:p>
    <w:p>
      <w:pPr>
        <w:pStyle w:val="17"/>
        <w:spacing w:before="0" w:beforeAutospacing="0" w:after="0" w:afterAutospacing="0" w:line="360" w:lineRule="auto"/>
        <w:ind w:firstLine="480" w:firstLineChars="200"/>
        <w:jc w:val="both"/>
        <w:outlineLvl w:val="0"/>
        <w:rPr>
          <w:rFonts w:hint="default" w:ascii="Times New Roman" w:hAnsi="Times New Roman" w:cs="Times New Roman"/>
          <w:color w:val="000000"/>
          <w:sz w:val="24"/>
          <w:szCs w:val="24"/>
          <w:lang w:val="en-US" w:eastAsia="zh-CN"/>
        </w:rPr>
      </w:pPr>
    </w:p>
    <w:p>
      <w:pPr>
        <w:pStyle w:val="17"/>
        <w:spacing w:before="0" w:beforeAutospacing="0" w:after="0" w:afterAutospacing="0" w:line="360" w:lineRule="auto"/>
        <w:ind w:firstLine="480" w:firstLineChars="200"/>
        <w:jc w:val="both"/>
        <w:outlineLvl w:val="0"/>
        <w:rPr>
          <w:rFonts w:hint="default" w:ascii="Times New Roman" w:hAnsi="Times New Roman" w:cs="Times New Roman"/>
          <w:color w:val="000000"/>
          <w:sz w:val="24"/>
          <w:szCs w:val="24"/>
          <w:lang w:val="en-US" w:eastAsia="zh-CN"/>
        </w:rPr>
      </w:pPr>
    </w:p>
    <w:p>
      <w:pPr>
        <w:pStyle w:val="17"/>
        <w:spacing w:before="0" w:beforeAutospacing="0" w:after="0" w:afterAutospacing="0" w:line="360" w:lineRule="auto"/>
        <w:ind w:firstLine="480" w:firstLineChars="200"/>
        <w:jc w:val="both"/>
        <w:outlineLvl w:val="0"/>
        <w:rPr>
          <w:rFonts w:hint="default" w:ascii="Times New Roman" w:hAnsi="Times New Roman" w:cs="Times New Roman"/>
          <w:color w:val="000000"/>
          <w:sz w:val="24"/>
          <w:szCs w:val="24"/>
          <w:lang w:val="en-US" w:eastAsia="zh-CN"/>
        </w:rPr>
      </w:pPr>
    </w:p>
    <w:p>
      <w:pPr>
        <w:pStyle w:val="17"/>
        <w:spacing w:before="0" w:beforeAutospacing="0" w:after="0" w:afterAutospacing="0" w:line="360" w:lineRule="auto"/>
        <w:ind w:firstLine="480" w:firstLineChars="200"/>
        <w:jc w:val="both"/>
        <w:outlineLvl w:val="0"/>
        <w:rPr>
          <w:rFonts w:hint="default" w:ascii="Times New Roman" w:hAnsi="Times New Roman" w:cs="Times New Roman"/>
          <w:color w:val="000000"/>
          <w:sz w:val="24"/>
          <w:szCs w:val="24"/>
          <w:lang w:val="en-US" w:eastAsia="zh-CN"/>
        </w:rPr>
      </w:pPr>
    </w:p>
    <w:p>
      <w:pPr>
        <w:pStyle w:val="17"/>
        <w:spacing w:before="0" w:beforeAutospacing="0" w:after="0" w:afterAutospacing="0" w:line="360" w:lineRule="auto"/>
        <w:ind w:firstLine="480" w:firstLineChars="200"/>
        <w:jc w:val="both"/>
        <w:outlineLvl w:val="0"/>
        <w:rPr>
          <w:rFonts w:hint="default" w:ascii="Times New Roman" w:hAnsi="Times New Roman" w:cs="Times New Roman"/>
          <w:color w:val="000000"/>
          <w:sz w:val="24"/>
          <w:szCs w:val="24"/>
          <w:lang w:val="en-US" w:eastAsia="zh-CN"/>
        </w:rPr>
      </w:pPr>
    </w:p>
    <w:p>
      <w:pPr>
        <w:pStyle w:val="17"/>
        <w:spacing w:before="0" w:beforeAutospacing="0" w:after="0" w:afterAutospacing="0" w:line="360" w:lineRule="auto"/>
        <w:ind w:firstLine="480" w:firstLineChars="200"/>
        <w:jc w:val="both"/>
        <w:outlineLvl w:val="0"/>
        <w:rPr>
          <w:rFonts w:hint="default" w:ascii="Times New Roman" w:hAnsi="Times New Roman" w:cs="Times New Roman"/>
          <w:color w:val="000000"/>
          <w:sz w:val="24"/>
          <w:szCs w:val="24"/>
          <w:lang w:val="en-US" w:eastAsia="zh-CN"/>
        </w:rPr>
      </w:pPr>
    </w:p>
    <w:p>
      <w:pPr>
        <w:pStyle w:val="17"/>
        <w:spacing w:before="0" w:beforeAutospacing="0" w:after="0" w:afterAutospacing="0" w:line="360" w:lineRule="auto"/>
        <w:ind w:firstLine="480" w:firstLineChars="200"/>
        <w:jc w:val="both"/>
        <w:outlineLvl w:val="0"/>
        <w:rPr>
          <w:rFonts w:hint="default" w:ascii="Times New Roman" w:hAnsi="Times New Roman" w:cs="Times New Roman"/>
          <w:color w:val="000000"/>
          <w:sz w:val="24"/>
          <w:szCs w:val="24"/>
          <w:lang w:val="en-US" w:eastAsia="zh-CN"/>
        </w:rPr>
      </w:pPr>
    </w:p>
    <w:p>
      <w:pPr>
        <w:pStyle w:val="17"/>
        <w:spacing w:before="0" w:beforeAutospacing="0" w:after="0" w:afterAutospacing="0" w:line="360" w:lineRule="auto"/>
        <w:ind w:firstLine="480" w:firstLineChars="200"/>
        <w:jc w:val="both"/>
        <w:outlineLvl w:val="0"/>
        <w:rPr>
          <w:rFonts w:hint="default" w:ascii="Times New Roman" w:hAnsi="Times New Roman" w:cs="Times New Roman"/>
          <w:color w:val="000000"/>
          <w:sz w:val="24"/>
          <w:szCs w:val="24"/>
          <w:lang w:val="en-US" w:eastAsia="zh-CN"/>
        </w:rPr>
      </w:pPr>
    </w:p>
    <w:p>
      <w:pPr>
        <w:pStyle w:val="17"/>
        <w:spacing w:before="0" w:beforeAutospacing="0" w:after="0" w:afterAutospacing="0" w:line="360" w:lineRule="auto"/>
        <w:ind w:firstLine="480" w:firstLineChars="200"/>
        <w:jc w:val="both"/>
        <w:outlineLvl w:val="0"/>
        <w:rPr>
          <w:rFonts w:hint="default" w:ascii="Times New Roman" w:hAnsi="Times New Roman" w:cs="Times New Roman"/>
          <w:color w:val="000000"/>
          <w:sz w:val="24"/>
          <w:szCs w:val="24"/>
          <w:lang w:val="en-US" w:eastAsia="zh-CN"/>
        </w:rPr>
      </w:pPr>
    </w:p>
    <w:p>
      <w:pPr>
        <w:pStyle w:val="17"/>
        <w:spacing w:before="0" w:beforeAutospacing="0" w:after="0" w:afterAutospacing="0" w:line="360" w:lineRule="auto"/>
        <w:ind w:firstLine="240" w:firstLineChars="100"/>
        <w:jc w:val="right"/>
        <w:outlineLvl w:val="0"/>
        <w:rPr>
          <w:rFonts w:hint="default" w:ascii="Times New Roman" w:hAnsi="Times New Roman" w:cs="Times New Roman"/>
          <w:sz w:val="24"/>
          <w:szCs w:val="24"/>
          <w:u w:val="single"/>
          <w:lang w:val="en-US" w:eastAsia="zh-CN"/>
        </w:rPr>
      </w:pPr>
      <w:r>
        <w:rPr>
          <w:rFonts w:hint="eastAsia" w:ascii="Times New Roman" w:hAnsi="Times New Roman" w:cs="Times New Roman"/>
          <w:color w:val="000000"/>
          <w:sz w:val="24"/>
          <w:szCs w:val="24"/>
          <w:lang w:val="en-US" w:eastAsia="zh-CN"/>
        </w:rPr>
        <w:t>邵阳县承学建材有限公司</w:t>
      </w:r>
      <w:r>
        <w:rPr>
          <w:rFonts w:hint="default" w:ascii="Times New Roman" w:hAnsi="Times New Roman" w:cs="Times New Roman"/>
          <w:color w:val="000000"/>
          <w:sz w:val="24"/>
          <w:szCs w:val="24"/>
          <w:lang w:val="en-US" w:eastAsia="zh-CN"/>
        </w:rPr>
        <w:t xml:space="preserve">                                            </w:t>
      </w:r>
      <w:r>
        <w:rPr>
          <w:rFonts w:hint="default" w:ascii="Times New Roman" w:hAnsi="Times New Roman" w:cs="Times New Roman"/>
          <w:color w:val="000000"/>
          <w:sz w:val="24"/>
          <w:szCs w:val="24"/>
          <w:u w:val="none"/>
          <w:lang w:val="en-US" w:eastAsia="zh-CN"/>
        </w:rPr>
        <w:t>20</w:t>
      </w:r>
      <w:r>
        <w:rPr>
          <w:rFonts w:hint="eastAsia" w:ascii="Times New Roman" w:hAnsi="Times New Roman" w:cs="Times New Roman"/>
          <w:color w:val="000000"/>
          <w:sz w:val="24"/>
          <w:szCs w:val="24"/>
          <w:u w:val="none"/>
          <w:lang w:val="en-US" w:eastAsia="zh-CN"/>
        </w:rPr>
        <w:t>23</w:t>
      </w:r>
      <w:r>
        <w:rPr>
          <w:rFonts w:hint="default" w:ascii="Times New Roman" w:hAnsi="Times New Roman" w:cs="Times New Roman"/>
          <w:color w:val="000000"/>
          <w:sz w:val="24"/>
          <w:szCs w:val="24"/>
          <w:u w:val="none"/>
        </w:rPr>
        <w:t>年</w:t>
      </w:r>
      <w:r>
        <w:rPr>
          <w:rFonts w:hint="eastAsia" w:ascii="Times New Roman" w:hAnsi="Times New Roman" w:cs="Times New Roman"/>
          <w:color w:val="000000"/>
          <w:sz w:val="24"/>
          <w:szCs w:val="24"/>
          <w:u w:val="none"/>
          <w:lang w:val="en-US" w:eastAsia="zh-CN"/>
        </w:rPr>
        <w:t>8</w:t>
      </w:r>
      <w:bookmarkStart w:id="0" w:name="_GoBack"/>
      <w:bookmarkEnd w:id="0"/>
      <w:r>
        <w:rPr>
          <w:rFonts w:hint="default" w:ascii="Times New Roman" w:hAnsi="Times New Roman" w:cs="Times New Roman"/>
          <w:color w:val="000000"/>
          <w:sz w:val="24"/>
          <w:szCs w:val="24"/>
          <w:u w:val="none"/>
        </w:rPr>
        <w:t>月</w:t>
      </w:r>
      <w:r>
        <w:rPr>
          <w:rFonts w:hint="eastAsia" w:ascii="Times New Roman" w:hAnsi="Times New Roman" w:cs="Times New Roman"/>
          <w:color w:val="000000"/>
          <w:sz w:val="24"/>
          <w:szCs w:val="24"/>
          <w:u w:val="none"/>
          <w:lang w:val="en-US" w:eastAsia="zh-CN"/>
        </w:rPr>
        <w:t>11</w:t>
      </w:r>
      <w:r>
        <w:rPr>
          <w:rFonts w:hint="default" w:ascii="Times New Roman" w:hAnsi="Times New Roman" w:cs="Times New Roman"/>
          <w:color w:val="000000"/>
          <w:sz w:val="24"/>
          <w:szCs w:val="24"/>
          <w:u w:val="none"/>
          <w:lang w:val="en-US" w:eastAsia="zh-CN"/>
        </w:rPr>
        <w:t>日</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firstLine="36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7"/>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AAFE159"/>
    <w:multiLevelType w:val="singleLevel"/>
    <w:tmpl w:val="0AAFE159"/>
    <w:lvl w:ilvl="0" w:tentative="0">
      <w:start w:val="3"/>
      <w:numFmt w:val="chineseCounting"/>
      <w:suff w:val="nothing"/>
      <w:lvlText w:val="（%1）"/>
      <w:lvlJc w:val="left"/>
      <w:rPr>
        <w:rFonts w:hint="eastAsia"/>
      </w:rPr>
    </w:lvl>
  </w:abstractNum>
  <w:abstractNum w:abstractNumId="1">
    <w:nsid w:val="6EC25134"/>
    <w:multiLevelType w:val="singleLevel"/>
    <w:tmpl w:val="6EC25134"/>
    <w:lvl w:ilvl="0" w:tentative="0">
      <w:start w:val="5"/>
      <w:numFmt w:val="chineseCounting"/>
      <w:suff w:val="nothing"/>
      <w:lvlText w:val="%1、"/>
      <w:lvlJc w:val="left"/>
      <w:rPr>
        <w:rFonts w:hint="eastAsia"/>
      </w:rPr>
    </w:lvl>
  </w:abstractNum>
  <w:abstractNum w:abstractNumId="2">
    <w:nsid w:val="7554AF9B"/>
    <w:multiLevelType w:val="singleLevel"/>
    <w:tmpl w:val="7554AF9B"/>
    <w:lvl w:ilvl="0" w:tentative="0">
      <w:start w:val="2"/>
      <w:numFmt w:val="chineseCounting"/>
      <w:suff w:val="nothing"/>
      <w:lvlText w:val="%1、"/>
      <w:lvlJc w:val="left"/>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isplayBackgroundShape w:val="1"/>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IwMjUzZTJkOTE2MDQxZGRhNjU0MmM0YTc1ZWEwYmEifQ=="/>
  </w:docVars>
  <w:rsids>
    <w:rsidRoot w:val="30736BF9"/>
    <w:rsid w:val="00335C52"/>
    <w:rsid w:val="0436194D"/>
    <w:rsid w:val="07233FAD"/>
    <w:rsid w:val="0B2337CA"/>
    <w:rsid w:val="0D13458B"/>
    <w:rsid w:val="0D916DB2"/>
    <w:rsid w:val="0E027E14"/>
    <w:rsid w:val="0F136BA4"/>
    <w:rsid w:val="10280E92"/>
    <w:rsid w:val="18166B3E"/>
    <w:rsid w:val="190169B2"/>
    <w:rsid w:val="191C1122"/>
    <w:rsid w:val="1C8211DF"/>
    <w:rsid w:val="1EFB6FCE"/>
    <w:rsid w:val="1FBB2916"/>
    <w:rsid w:val="252A5133"/>
    <w:rsid w:val="25877079"/>
    <w:rsid w:val="270A1F04"/>
    <w:rsid w:val="270A52FB"/>
    <w:rsid w:val="2F2A68ED"/>
    <w:rsid w:val="30736BF9"/>
    <w:rsid w:val="3355009F"/>
    <w:rsid w:val="377177E5"/>
    <w:rsid w:val="38B73D95"/>
    <w:rsid w:val="38F436E0"/>
    <w:rsid w:val="3E1B58FF"/>
    <w:rsid w:val="3FC73216"/>
    <w:rsid w:val="408D617B"/>
    <w:rsid w:val="409A5BCA"/>
    <w:rsid w:val="488072D5"/>
    <w:rsid w:val="4D736991"/>
    <w:rsid w:val="4F2770BE"/>
    <w:rsid w:val="50265CBC"/>
    <w:rsid w:val="50E6102E"/>
    <w:rsid w:val="528046A7"/>
    <w:rsid w:val="54136C77"/>
    <w:rsid w:val="55102CD0"/>
    <w:rsid w:val="56CE28FE"/>
    <w:rsid w:val="57163C34"/>
    <w:rsid w:val="5F6E4222"/>
    <w:rsid w:val="63271AB0"/>
    <w:rsid w:val="63F60FCB"/>
    <w:rsid w:val="65CA0593"/>
    <w:rsid w:val="68536BF4"/>
    <w:rsid w:val="68BD42CF"/>
    <w:rsid w:val="68EB6D6E"/>
    <w:rsid w:val="69105C2F"/>
    <w:rsid w:val="6D535020"/>
    <w:rsid w:val="6E152C53"/>
    <w:rsid w:val="6E6F0007"/>
    <w:rsid w:val="6FC952B1"/>
    <w:rsid w:val="705E2DCB"/>
    <w:rsid w:val="72F65104"/>
    <w:rsid w:val="75CC36F5"/>
    <w:rsid w:val="764A2A98"/>
    <w:rsid w:val="77252A6B"/>
    <w:rsid w:val="79975C89"/>
    <w:rsid w:val="7B3A2A2E"/>
    <w:rsid w:val="7CA26F5B"/>
    <w:rsid w:val="7D375CBE"/>
    <w:rsid w:val="7FB429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w:basedOn w:val="1"/>
    <w:next w:val="1"/>
    <w:unhideWhenUsed/>
    <w:qFormat/>
    <w:uiPriority w:val="0"/>
    <w:pPr>
      <w:spacing w:after="120"/>
    </w:pPr>
  </w:style>
  <w:style w:type="paragraph" w:styleId="4">
    <w:name w:val="caption"/>
    <w:basedOn w:val="1"/>
    <w:next w:val="1"/>
    <w:qFormat/>
    <w:uiPriority w:val="0"/>
    <w:rPr>
      <w:rFonts w:ascii="Cambria" w:hAnsi="Cambria" w:eastAsia="黑体" w:cs="Times New Roman"/>
      <w:sz w:val="20"/>
      <w:szCs w:val="20"/>
    </w:rPr>
  </w:style>
  <w:style w:type="paragraph" w:styleId="5">
    <w:name w:val="Body Text Indent"/>
    <w:basedOn w:val="1"/>
    <w:qFormat/>
    <w:uiPriority w:val="0"/>
    <w:pPr>
      <w:spacing w:after="120" w:afterLines="0"/>
      <w:ind w:left="420" w:leftChars="200"/>
    </w:pPr>
  </w:style>
  <w:style w:type="paragraph" w:styleId="6">
    <w:name w:val="Plain Text"/>
    <w:basedOn w:val="1"/>
    <w:qFormat/>
    <w:uiPriority w:val="0"/>
    <w:rPr>
      <w:rFonts w:ascii="宋体" w:hAnsi="Courier New" w:cs="Courier New"/>
      <w:kern w:val="2"/>
      <w:sz w:val="21"/>
      <w:szCs w:val="21"/>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Body Text First Indent"/>
    <w:basedOn w:val="2"/>
    <w:next w:val="1"/>
    <w:qFormat/>
    <w:uiPriority w:val="0"/>
    <w:rPr>
      <w:rFonts w:ascii="Calibri" w:hAnsi="Calibri" w:eastAsia="宋体" w:cs="Times New Roman"/>
      <w:szCs w:val="20"/>
    </w:rPr>
  </w:style>
  <w:style w:type="paragraph" w:styleId="10">
    <w:name w:val="Body Text First Indent 2"/>
    <w:basedOn w:val="5"/>
    <w:qFormat/>
    <w:uiPriority w:val="0"/>
    <w:pPr>
      <w:ind w:firstLine="420" w:firstLineChars="200"/>
    </w:pPr>
    <w:rPr>
      <w:sz w:val="21"/>
    </w:rPr>
  </w:style>
  <w:style w:type="table" w:styleId="12">
    <w:name w:val="Table Grid"/>
    <w:basedOn w:val="11"/>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annotation reference"/>
    <w:basedOn w:val="13"/>
    <w:semiHidden/>
    <w:unhideWhenUsed/>
    <w:qFormat/>
    <w:uiPriority w:val="99"/>
    <w:rPr>
      <w:sz w:val="21"/>
      <w:szCs w:val="21"/>
    </w:rPr>
  </w:style>
  <w:style w:type="character" w:customStyle="1" w:styleId="15">
    <w:name w:val="content1"/>
    <w:qFormat/>
    <w:uiPriority w:val="0"/>
    <w:rPr>
      <w:color w:val="000000"/>
      <w:sz w:val="20"/>
      <w:szCs w:val="20"/>
    </w:rPr>
  </w:style>
  <w:style w:type="paragraph" w:customStyle="1" w:styleId="16">
    <w:name w:val="列出段落1"/>
    <w:basedOn w:val="1"/>
    <w:qFormat/>
    <w:uiPriority w:val="34"/>
    <w:pPr>
      <w:ind w:firstLine="420"/>
    </w:pPr>
  </w:style>
  <w:style w:type="paragraph" w:customStyle="1" w:styleId="17">
    <w:name w:val="Normal (Web)"/>
    <w:basedOn w:val="1"/>
    <w:qFormat/>
    <w:uiPriority w:val="0"/>
    <w:pPr>
      <w:adjustRightInd/>
      <w:snapToGrid/>
      <w:spacing w:before="100" w:beforeLines="0" w:beforeAutospacing="1" w:after="100" w:afterLines="0" w:afterAutospacing="1"/>
    </w:pPr>
    <w:rPr>
      <w:rFonts w:ascii="宋体" w:hAnsi="宋体" w:eastAsia="宋体" w:cs="宋体"/>
      <w:sz w:val="24"/>
      <w:szCs w:val="24"/>
    </w:rPr>
  </w:style>
  <w:style w:type="paragraph" w:customStyle="1" w:styleId="18">
    <w:name w:val="正文内容"/>
    <w:basedOn w:val="1"/>
    <w:qFormat/>
    <w:uiPriority w:val="0"/>
    <w:pPr>
      <w:spacing w:line="360" w:lineRule="auto"/>
      <w:ind w:firstLine="200" w:firstLineChars="200"/>
    </w:pPr>
    <w:rPr>
      <w:kern w:val="0"/>
      <w:sz w:val="24"/>
      <w:szCs w:val="21"/>
    </w:rPr>
  </w:style>
  <w:style w:type="paragraph" w:customStyle="1" w:styleId="19">
    <w:name w:val="Default"/>
    <w:basedOn w:val="20"/>
    <w:next w:val="1"/>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0">
    <w:name w:val="纯文本1"/>
    <w:basedOn w:val="1"/>
    <w:qFormat/>
    <w:uiPriority w:val="0"/>
    <w:rPr>
      <w:rFonts w:ascii="宋体" w:hAnsi="Courier New"/>
    </w:rPr>
  </w:style>
  <w:style w:type="paragraph" w:customStyle="1" w:styleId="21">
    <w:name w:val="表格标题"/>
    <w:basedOn w:val="4"/>
    <w:next w:val="1"/>
    <w:qFormat/>
    <w:uiPriority w:val="0"/>
    <w:pPr>
      <w:keepNext/>
      <w:widowControl w:val="0"/>
      <w:spacing w:line="240" w:lineRule="auto"/>
      <w:ind w:firstLine="0" w:firstLineChars="0"/>
      <w:jc w:val="center"/>
    </w:pPr>
    <w:rPr>
      <w:rFonts w:ascii="Times New Roman" w:hAnsi="Times New Roman" w:eastAsia="宋体"/>
      <w:b/>
      <w:kern w:val="2"/>
      <w:sz w:val="21"/>
    </w:rPr>
  </w:style>
  <w:style w:type="paragraph" w:customStyle="1" w:styleId="22">
    <w:name w:val="正文啊"/>
    <w:basedOn w:val="1"/>
    <w:link w:val="24"/>
    <w:qFormat/>
    <w:uiPriority w:val="0"/>
    <w:pPr>
      <w:spacing w:line="360" w:lineRule="auto"/>
      <w:ind w:firstLine="560"/>
      <w:jc w:val="both"/>
    </w:pPr>
    <w:rPr>
      <w:sz w:val="28"/>
      <w:szCs w:val="22"/>
    </w:rPr>
  </w:style>
  <w:style w:type="paragraph" w:customStyle="1" w:styleId="23">
    <w:name w:val="环评正文文字"/>
    <w:basedOn w:val="1"/>
    <w:qFormat/>
    <w:uiPriority w:val="0"/>
    <w:pPr>
      <w:spacing w:line="360" w:lineRule="auto"/>
      <w:ind w:firstLine="480"/>
      <w:jc w:val="both"/>
    </w:pPr>
    <w:rPr>
      <w:kern w:val="0"/>
      <w:szCs w:val="20"/>
    </w:rPr>
  </w:style>
  <w:style w:type="character" w:customStyle="1" w:styleId="24">
    <w:name w:val="正文啊 Char"/>
    <w:link w:val="22"/>
    <w:qFormat/>
    <w:locked/>
    <w:uiPriority w:val="0"/>
    <w:rPr>
      <w:sz w:val="28"/>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5</Pages>
  <Words>3415</Words>
  <Characters>3590</Characters>
  <Lines>0</Lines>
  <Paragraphs>0</Paragraphs>
  <TotalTime>0</TotalTime>
  <ScaleCrop>false</ScaleCrop>
  <LinksUpToDate>false</LinksUpToDate>
  <CharactersWithSpaces>3641</CharactersWithSpaces>
  <Application>WPS Office_12.1.0.15120_F1E327BC-269C-435d-A152-05C5408002CA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2018-08-07T08:35:00Z</dcterms:created>
  <dc:creator>扶琴为谁汝了素颜</dc:creator>
  <cp:lastModifiedBy>Administrator</cp:lastModifiedBy>
  <cp:lastPrinted>2021-08-19T07:57:00Z</cp:lastPrinted>
  <dcterms:modified xsi:type="dcterms:W3CDTF">2023-08-10T09:47:28Z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6B39D33349A0433491A2EB27A8672797</vt:lpwstr>
  </property>
</Properties>
</file>