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before="0" w:beforeLines="0" w:after="0" w:afterLines="0"/>
        <w:ind w:firstLine="0" w:firstLineChars="0"/>
        <w:rPr>
          <w:rFonts w:hint="default" w:ascii="Times New Roman" w:hAnsi="Times New Roman" w:cs="Times New Roman"/>
          <w:color w:val="auto"/>
          <w:u w:val="none"/>
        </w:rPr>
      </w:pPr>
      <w:bookmarkStart w:id="0" w:name="_Toc35273201"/>
      <w:bookmarkStart w:id="1" w:name="_Toc98421993"/>
      <w:bookmarkStart w:id="2" w:name="_Toc13744"/>
      <w:bookmarkStart w:id="3" w:name="_Toc102135319"/>
      <w:bookmarkStart w:id="4" w:name="_Toc18522"/>
      <w:bookmarkStart w:id="5" w:name="_Toc4814"/>
      <w:bookmarkStart w:id="6" w:name="_Toc7606"/>
      <w:bookmarkStart w:id="7" w:name="_Toc35258342"/>
      <w:bookmarkStart w:id="8" w:name="_Toc35439868"/>
      <w:bookmarkStart w:id="9" w:name="_Toc99093248"/>
      <w:bookmarkStart w:id="10" w:name="_Toc206"/>
      <w:bookmarkStart w:id="11" w:name="_Toc92785910"/>
      <w:bookmarkStart w:id="12" w:name="_Toc92797985"/>
      <w:bookmarkStart w:id="13" w:name="_Toc24172"/>
      <w:bookmarkStart w:id="14" w:name="_Toc78876584"/>
      <w:bookmarkStart w:id="15" w:name="_Toc76568956"/>
      <w:bookmarkStart w:id="16" w:name="_Toc25826325"/>
      <w:bookmarkStart w:id="17" w:name="_Toc92879286"/>
      <w:r>
        <w:rPr>
          <w:rFonts w:hint="default" w:ascii="Times New Roman" w:hAnsi="Times New Roman" w:eastAsia="黑体" w:cs="Times New Roman"/>
          <w:color w:val="auto"/>
          <w:u w:val="none"/>
        </w:rPr>
        <w:t>摘要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firstLine="480"/>
        <w:contextualSpacing w:val="0"/>
        <w:textAlignment w:val="auto"/>
        <w:outlineLvl w:val="9"/>
        <w:rPr>
          <w:rFonts w:hint="default" w:ascii="Times New Roman" w:hAnsi="Times New Roman" w:eastAsia="宋体" w:cs="Times New Roman"/>
          <w:b/>
          <w:bCs/>
          <w:color w:val="auto"/>
          <w:szCs w:val="24"/>
          <w:u w:val="none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szCs w:val="24"/>
          <w:u w:val="none"/>
        </w:rPr>
        <w:t>一、基本情况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outlineLvl w:val="9"/>
        <w:rPr>
          <w:rFonts w:hint="default" w:ascii="Times New Roman" w:hAnsi="Times New Roman" w:eastAsia="宋体" w:cs="Times New Roman"/>
          <w:color w:val="auto"/>
          <w:szCs w:val="24"/>
          <w:u w:val="none"/>
          <w:lang w:eastAsia="zh-CN"/>
        </w:rPr>
      </w:pP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地块名称：</w:t>
      </w:r>
      <w:r>
        <w:rPr>
          <w:rFonts w:hint="eastAsia" w:eastAsia="宋体" w:cs="Times New Roman"/>
          <w:color w:val="auto"/>
          <w:szCs w:val="24"/>
          <w:u w:val="none"/>
          <w:lang w:eastAsia="zh-CN"/>
        </w:rPr>
        <w:t>广东工商职业技术大学北侧地块。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outlineLvl w:val="9"/>
        <w:rPr>
          <w:rFonts w:hint="default" w:ascii="Times New Roman" w:hAnsi="Times New Roman" w:eastAsia="宋体" w:cs="Times New Roman"/>
          <w:color w:val="auto"/>
          <w:szCs w:val="24"/>
          <w:u w:val="none"/>
          <w:vertAlign w:val="baseline"/>
          <w:lang w:eastAsia="zh-CN"/>
        </w:rPr>
      </w:pPr>
      <w:r>
        <w:rPr>
          <w:rFonts w:hint="default" w:ascii="Times New Roman" w:hAnsi="Times New Roman" w:eastAsia="宋体" w:cs="Times New Roman"/>
          <w:color w:val="auto"/>
          <w:szCs w:val="24"/>
          <w:u w:val="none"/>
          <w:lang w:val="en-US" w:eastAsia="zh-CN"/>
        </w:rPr>
        <w:t>总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占地面积：</w:t>
      </w:r>
      <w:r>
        <w:rPr>
          <w:rFonts w:hint="eastAsia" w:eastAsia="宋体" w:cs="Times New Roman"/>
          <w:color w:val="auto"/>
          <w:szCs w:val="24"/>
          <w:u w:val="none"/>
          <w:lang w:val="en-US" w:eastAsia="zh-CN"/>
        </w:rPr>
        <w:t>65406.00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m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  <w:vertAlign w:val="superscript"/>
        </w:rPr>
        <w:t>2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  <w:vertAlign w:val="baseli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outlineLvl w:val="9"/>
        <w:rPr>
          <w:rFonts w:hint="default" w:ascii="Times New Roman" w:hAnsi="Times New Roman" w:eastAsia="宋体" w:cs="Times New Roman"/>
          <w:color w:val="auto"/>
          <w:szCs w:val="24"/>
          <w:u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地理位置：</w:t>
      </w:r>
      <w:r>
        <w:rPr>
          <w:rFonts w:hint="eastAsia" w:eastAsia="宋体" w:cs="Times New Roman"/>
          <w:color w:val="auto"/>
          <w:szCs w:val="24"/>
          <w:u w:val="none"/>
          <w:lang w:eastAsia="zh-CN"/>
        </w:rPr>
        <w:t>肇庆市端州区北岭二路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outlineLvl w:val="9"/>
        <w:rPr>
          <w:rFonts w:hint="default" w:ascii="Times New Roman" w:hAnsi="Times New Roman" w:eastAsia="宋体" w:cs="Times New Roman"/>
          <w:color w:val="auto"/>
          <w:szCs w:val="24"/>
          <w:u w:val="none"/>
          <w:lang w:eastAsia="zh-CN"/>
        </w:rPr>
      </w:pP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土地使用权人：</w:t>
      </w:r>
      <w:r>
        <w:rPr>
          <w:rFonts w:hint="eastAsia" w:eastAsia="宋体" w:cs="Times New Roman"/>
          <w:color w:val="auto"/>
          <w:szCs w:val="24"/>
          <w:u w:val="none"/>
          <w:lang w:eastAsia="zh-CN"/>
        </w:rPr>
        <w:t>肇庆市土地储备中心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outlineLvl w:val="9"/>
        <w:rPr>
          <w:rFonts w:hint="default" w:ascii="Times New Roman" w:hAnsi="Times New Roman" w:eastAsia="宋体" w:cs="Times New Roman"/>
          <w:color w:val="auto"/>
          <w:szCs w:val="24"/>
          <w:u w:val="none"/>
        </w:rPr>
      </w:pP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未来规划：</w:t>
      </w:r>
      <w:r>
        <w:rPr>
          <w:rFonts w:hint="eastAsia" w:eastAsia="宋体" w:cs="Times New Roman"/>
          <w:color w:val="auto"/>
          <w:szCs w:val="24"/>
          <w:u w:val="none"/>
          <w:lang w:val="en-US" w:eastAsia="zh-CN"/>
        </w:rPr>
        <w:t>根据</w:t>
      </w:r>
      <w:r>
        <w:rPr>
          <w:rFonts w:hint="eastAsia" w:eastAsia="宋体" w:cs="Times New Roman"/>
          <w:color w:val="auto"/>
          <w:szCs w:val="24"/>
          <w:u w:val="none"/>
          <w:lang w:eastAsia="zh-CN"/>
        </w:rPr>
        <w:t>“</w:t>
      </w:r>
      <w:r>
        <w:rPr>
          <w:rStyle w:val="14"/>
          <w:rFonts w:hint="eastAsia" w:eastAsia="宋体" w:cs="Times New Roman"/>
          <w:color w:val="auto"/>
          <w:sz w:val="24"/>
          <w:szCs w:val="24"/>
          <w:u w:val="none"/>
          <w:lang w:eastAsia="zh-CN"/>
        </w:rPr>
        <w:t>肇庆市端州区北岭片区控制性详细规划D1管理单元修改文件</w:t>
      </w:r>
      <w:r>
        <w:rPr>
          <w:rFonts w:hint="eastAsia" w:eastAsia="宋体" w:cs="Times New Roman"/>
          <w:color w:val="auto"/>
          <w:szCs w:val="24"/>
          <w:u w:val="none"/>
          <w:lang w:eastAsia="zh-CN"/>
        </w:rPr>
        <w:t>”</w:t>
      </w:r>
      <w:r>
        <w:rPr>
          <w:rStyle w:val="14"/>
          <w:rFonts w:hint="default" w:ascii="Times New Roman" w:hAnsi="Times New Roman" w:eastAsia="宋体" w:cs="Times New Roman"/>
          <w:color w:val="auto"/>
          <w:sz w:val="24"/>
          <w:szCs w:val="24"/>
          <w:u w:val="none"/>
          <w:lang w:eastAsia="zh-CN"/>
        </w:rPr>
        <w:t>可知，本地块</w:t>
      </w:r>
      <w:r>
        <w:rPr>
          <w:rStyle w:val="14"/>
          <w:rFonts w:hint="eastAsia" w:eastAsia="宋体" w:cs="Times New Roman"/>
          <w:color w:val="auto"/>
          <w:sz w:val="24"/>
          <w:szCs w:val="24"/>
          <w:u w:val="none"/>
          <w:lang w:val="en-US" w:eastAsia="zh-CN"/>
        </w:rPr>
        <w:t>未来</w:t>
      </w:r>
      <w:r>
        <w:rPr>
          <w:rStyle w:val="14"/>
          <w:rFonts w:hint="default" w:ascii="Times New Roman" w:hAnsi="Times New Roman" w:eastAsia="宋体" w:cs="Times New Roman"/>
          <w:color w:val="auto"/>
          <w:sz w:val="24"/>
          <w:szCs w:val="24"/>
          <w:u w:val="none"/>
          <w:lang w:val="en-US" w:eastAsia="zh-CN"/>
        </w:rPr>
        <w:t>规划为</w:t>
      </w:r>
      <w:r>
        <w:rPr>
          <w:rStyle w:val="14"/>
          <w:rFonts w:hint="eastAsia" w:eastAsia="宋体" w:cs="Times New Roman"/>
          <w:color w:val="auto"/>
          <w:sz w:val="24"/>
          <w:szCs w:val="24"/>
          <w:u w:val="none"/>
          <w:lang w:eastAsia="zh-CN"/>
        </w:rPr>
        <w:t>高等院校用地（A31）及公园绿地（G1）</w:t>
      </w:r>
      <w:r>
        <w:rPr>
          <w:rStyle w:val="14"/>
          <w:rFonts w:hint="default" w:ascii="Times New Roman" w:hAnsi="Times New Roman" w:eastAsia="宋体" w:cs="Times New Roman"/>
          <w:color w:val="auto"/>
          <w:sz w:val="24"/>
          <w:szCs w:val="24"/>
          <w:u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outlineLvl w:val="9"/>
        <w:rPr>
          <w:rFonts w:hint="default" w:ascii="Times New Roman" w:hAnsi="Times New Roman" w:eastAsia="宋体" w:cs="Times New Roman"/>
          <w:color w:val="auto"/>
          <w:szCs w:val="24"/>
          <w:u w:val="none"/>
          <w:lang w:eastAsia="zh-CN"/>
        </w:rPr>
      </w:pP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调查单位：</w:t>
      </w:r>
      <w:r>
        <w:rPr>
          <w:rFonts w:hint="eastAsia" w:eastAsia="宋体" w:cs="Times New Roman"/>
          <w:color w:val="auto"/>
          <w:szCs w:val="24"/>
          <w:u w:val="none"/>
          <w:lang w:eastAsia="zh-CN"/>
        </w:rPr>
        <w:t>广东省中鼎检测技术有限公司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outlineLvl w:val="9"/>
        <w:rPr>
          <w:rFonts w:eastAsia="宋体" w:cs="Times New Roman"/>
          <w:szCs w:val="24"/>
        </w:rPr>
      </w:pPr>
      <w:r>
        <w:rPr>
          <w:rFonts w:eastAsia="宋体" w:cs="Times New Roman"/>
          <w:szCs w:val="24"/>
        </w:rPr>
        <w:t>调查缘由：</w:t>
      </w:r>
      <w:r>
        <w:rPr>
          <w:rFonts w:eastAsia="宋体" w:cs="Times New Roman"/>
          <w:color w:val="auto"/>
          <w:szCs w:val="24"/>
        </w:rPr>
        <w:t>地块原用地性质为</w:t>
      </w:r>
      <w:r>
        <w:rPr>
          <w:rFonts w:hint="eastAsia" w:eastAsia="宋体" w:cs="Times New Roman"/>
          <w:color w:val="auto"/>
          <w:szCs w:val="24"/>
          <w:lang w:val="en-US" w:eastAsia="zh-CN"/>
        </w:rPr>
        <w:t>商住用地</w:t>
      </w:r>
      <w:r>
        <w:rPr>
          <w:rFonts w:eastAsia="宋体" w:cs="Times New Roman"/>
          <w:color w:val="auto"/>
          <w:szCs w:val="24"/>
        </w:rPr>
        <w:t>，规划用途变更为</w:t>
      </w:r>
      <w:r>
        <w:rPr>
          <w:rStyle w:val="14"/>
          <w:rFonts w:hint="eastAsia" w:eastAsia="宋体" w:cs="Times New Roman"/>
          <w:color w:val="auto"/>
          <w:sz w:val="24"/>
          <w:szCs w:val="24"/>
          <w:u w:val="none"/>
          <w:lang w:eastAsia="zh-CN"/>
        </w:rPr>
        <w:t>高等院校用地（A31）及公园绿地（G1）</w:t>
      </w:r>
      <w:r>
        <w:rPr>
          <w:rStyle w:val="14"/>
          <w:rFonts w:hint="eastAsia" w:eastAsia="宋体" w:cs="Times New Roman"/>
          <w:color w:val="auto"/>
          <w:sz w:val="24"/>
          <w:szCs w:val="24"/>
          <w:u w:val="none"/>
          <w:lang w:val="en-US" w:eastAsia="zh-CN"/>
        </w:rPr>
        <w:t>用地</w:t>
      </w:r>
      <w:r>
        <w:rPr>
          <w:rFonts w:eastAsia="宋体" w:cs="Times New Roman"/>
          <w:color w:val="auto"/>
          <w:szCs w:val="24"/>
        </w:rPr>
        <w:t>，变更前应当按照规定进行土壤污染状况调查。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firstLine="480"/>
        <w:contextualSpacing w:val="0"/>
        <w:textAlignment w:val="auto"/>
        <w:outlineLvl w:val="9"/>
        <w:rPr>
          <w:rFonts w:hint="default" w:ascii="Times New Roman" w:hAnsi="Times New Roman" w:eastAsia="宋体" w:cs="Times New Roman"/>
          <w:b/>
          <w:bCs/>
          <w:color w:val="auto"/>
          <w:szCs w:val="24"/>
          <w:u w:val="none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szCs w:val="24"/>
          <w:u w:val="none"/>
        </w:rPr>
        <w:t>二、第一阶段调查</w:t>
      </w:r>
    </w:p>
    <w:p>
      <w:pPr>
        <w:ind w:firstLine="480"/>
        <w:rPr>
          <w:rFonts w:hint="default" w:ascii="Times New Roman" w:hAnsi="Times New Roman" w:eastAsia="宋体" w:cs="Times New Roman"/>
          <w:color w:val="auto"/>
          <w:szCs w:val="24"/>
          <w:u w:val="none"/>
        </w:rPr>
      </w:pP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第一阶段调查工作开展时间为202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年</w:t>
      </w:r>
      <w:r>
        <w:rPr>
          <w:rFonts w:hint="eastAsia" w:eastAsia="宋体" w:cs="Times New Roman"/>
          <w:color w:val="auto"/>
          <w:szCs w:val="24"/>
          <w:u w:val="none"/>
          <w:lang w:val="en-US" w:eastAsia="zh-CN"/>
        </w:rPr>
        <w:t>9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月。根据调查情况，地块历史沿革如下：</w:t>
      </w:r>
    </w:p>
    <w:p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jc w:val="both"/>
        <w:textAlignment w:val="auto"/>
        <w:rPr>
          <w:rFonts w:hint="default" w:ascii="Times New Roman" w:hAnsi="Times New Roman" w:cs="Times New Roman"/>
          <w:color w:val="auto"/>
          <w:u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u w:val="none"/>
          <w:lang w:val="en-US" w:eastAsia="zh-CN"/>
        </w:rPr>
        <w:t>2005年前，地块为荒地。2005年~2006年，</w:t>
      </w:r>
      <w:r>
        <w:rPr>
          <w:rFonts w:hint="eastAsia" w:cs="Times New Roman"/>
          <w:color w:val="auto"/>
          <w:u w:val="none"/>
          <w:lang w:val="en-US" w:eastAsia="zh-CN"/>
        </w:rPr>
        <w:t>学校开始建设，</w:t>
      </w:r>
      <w:r>
        <w:rPr>
          <w:rFonts w:hint="default" w:ascii="Times New Roman" w:hAnsi="Times New Roman" w:cs="Times New Roman"/>
          <w:color w:val="auto"/>
          <w:u w:val="none"/>
          <w:lang w:val="en-US" w:eastAsia="zh-CN"/>
        </w:rPr>
        <w:t>东南侧区域建设为食堂，南侧区域进行了土地平整工作，同时南侧及东南侧搭建了工程的临时项目部，其余区域为荒地。2006年~20</w:t>
      </w:r>
      <w:r>
        <w:rPr>
          <w:rFonts w:hint="eastAsia" w:cs="Times New Roman"/>
          <w:color w:val="auto"/>
          <w:u w:val="none"/>
          <w:lang w:val="en-US" w:eastAsia="zh-CN"/>
        </w:rPr>
        <w:t>07</w:t>
      </w:r>
      <w:r>
        <w:rPr>
          <w:rFonts w:hint="default" w:ascii="Times New Roman" w:hAnsi="Times New Roman" w:cs="Times New Roman"/>
          <w:color w:val="auto"/>
          <w:u w:val="none"/>
          <w:lang w:val="en-US" w:eastAsia="zh-CN"/>
        </w:rPr>
        <w:t>年，南侧土地平整区域建设为广东工商职业技术大学宿舍楼；南侧及东南侧临时项目部拆除，并在南侧重新搭建有工程项目部；中部区域进行了土地平整工作。20</w:t>
      </w:r>
      <w:r>
        <w:rPr>
          <w:rFonts w:hint="eastAsia" w:cs="Times New Roman"/>
          <w:color w:val="auto"/>
          <w:u w:val="none"/>
          <w:lang w:val="en-US" w:eastAsia="zh-CN"/>
        </w:rPr>
        <w:t>07</w:t>
      </w:r>
      <w:r>
        <w:rPr>
          <w:rFonts w:hint="default" w:ascii="Times New Roman" w:hAnsi="Times New Roman" w:cs="Times New Roman"/>
          <w:color w:val="auto"/>
          <w:u w:val="none"/>
          <w:lang w:val="en-US" w:eastAsia="zh-CN"/>
        </w:rPr>
        <w:t>年~2014年，地块中部及东北侧进行了土地平整工作。2015年~2016年，地块外北侧北岭二路进行开发进行建设，建设过程中对地块</w:t>
      </w:r>
      <w:r>
        <w:rPr>
          <w:rFonts w:hint="eastAsia" w:cs="Times New Roman"/>
          <w:color w:val="auto"/>
          <w:u w:val="none"/>
          <w:lang w:val="en-US" w:eastAsia="zh-CN"/>
        </w:rPr>
        <w:t>内</w:t>
      </w:r>
      <w:r>
        <w:rPr>
          <w:rFonts w:hint="default" w:ascii="Times New Roman" w:hAnsi="Times New Roman" w:cs="Times New Roman"/>
          <w:color w:val="auto"/>
          <w:u w:val="none"/>
          <w:lang w:val="en-US" w:eastAsia="zh-CN"/>
        </w:rPr>
        <w:t>北侧区域存在土方扰动情况。2016年~2018年，地块无明显变化。2018年~2020年，地块中部土地平整区域建设为篮球场；东北侧区域建设为私人农庄。2020年至今，地块西侧及西南侧荒地区域进行了土地平整工作，其余区域无明显变化，现今为</w:t>
      </w:r>
      <w:r>
        <w:rPr>
          <w:rFonts w:hint="eastAsia" w:cs="Times New Roman"/>
          <w:color w:val="auto"/>
          <w:u w:val="none"/>
          <w:lang w:val="en-US" w:eastAsia="zh-CN"/>
        </w:rPr>
        <w:t>学校</w:t>
      </w:r>
      <w:r>
        <w:rPr>
          <w:rFonts w:hint="default" w:ascii="Times New Roman" w:hAnsi="Times New Roman" w:cs="Times New Roman"/>
          <w:color w:val="auto"/>
          <w:u w:val="none"/>
          <w:lang w:val="en-US" w:eastAsia="zh-CN"/>
        </w:rPr>
        <w:t>篮球场、工程项目部、宿舍楼、生活服务区等。</w:t>
      </w:r>
    </w:p>
    <w:p>
      <w:pPr>
        <w:pStyle w:val="9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jc w:val="both"/>
        <w:textAlignment w:val="auto"/>
        <w:rPr>
          <w:rFonts w:hint="default" w:ascii="Times New Roman" w:hAnsi="Times New Roman" w:cs="Times New Roman"/>
          <w:color w:val="auto"/>
          <w:u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u w:val="none"/>
          <w:lang w:val="en-US" w:eastAsia="zh-CN"/>
        </w:rPr>
        <w:t>地块现状：经现场踏勘了解，</w:t>
      </w:r>
      <w:r>
        <w:rPr>
          <w:rFonts w:hint="eastAsia" w:ascii="Times New Roman" w:hAnsi="Times New Roman" w:cs="Times New Roman"/>
          <w:color w:val="auto"/>
          <w:u w:val="none"/>
          <w:lang w:val="en-US" w:eastAsia="zh-CN"/>
        </w:rPr>
        <w:t>地块现为荒地、篮球场、工程项目部、宿舍楼、生活服务区等，工程项目部主要用于工人住宿及建筑木方、建筑钢材等建筑材料的堆放。</w:t>
      </w:r>
      <w:r>
        <w:rPr>
          <w:rFonts w:hint="default" w:ascii="Times New Roman" w:hAnsi="Times New Roman" w:cs="Times New Roman"/>
          <w:color w:val="auto"/>
          <w:u w:val="none"/>
          <w:lang w:val="en-US" w:eastAsia="zh-CN"/>
        </w:rPr>
        <w:t>现场未发现非法倾倒垃圾、危险废物等污染地块现象；地块未发现固体废物、危险废物遗留，土壤无污染或腐蚀痕迹，无其他明现污染情况，未闻到化学品、刺激性气味。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color w:val="auto"/>
          <w:szCs w:val="24"/>
          <w:u w:val="none"/>
          <w:lang w:val="en-US"/>
        </w:rPr>
      </w:pP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根据相邻地块土地利用历史沿革，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  <w:lang w:val="en-US" w:eastAsia="zh-CN"/>
        </w:rPr>
        <w:t>地块周边历年来主要为荒地、</w:t>
      </w:r>
      <w:r>
        <w:rPr>
          <w:rFonts w:hint="eastAsia" w:eastAsia="宋体" w:cs="Times New Roman"/>
          <w:color w:val="auto"/>
          <w:szCs w:val="24"/>
          <w:u w:val="none"/>
          <w:lang w:val="en-US" w:eastAsia="zh-CN"/>
        </w:rPr>
        <w:t>道路及学校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  <w:lang w:val="en-US" w:eastAsia="zh-CN"/>
        </w:rPr>
        <w:t>，无工业生产活动等。</w:t>
      </w:r>
    </w:p>
    <w:p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firstLine="480" w:firstLineChars="200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4"/>
          <w:szCs w:val="24"/>
          <w:u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u w:val="none"/>
        </w:rPr>
        <w:t>202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u w:val="none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u w:val="none"/>
        </w:rPr>
        <w:t>年</w:t>
      </w:r>
      <w:r>
        <w:rPr>
          <w:rFonts w:hint="eastAsia" w:cs="Times New Roman"/>
          <w:color w:val="auto"/>
          <w:sz w:val="24"/>
          <w:szCs w:val="24"/>
          <w:u w:val="none"/>
          <w:lang w:val="en-US" w:eastAsia="zh-CN"/>
        </w:rPr>
        <w:t>9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u w:val="none"/>
        </w:rPr>
        <w:t>月，</w:t>
      </w:r>
      <w:r>
        <w:rPr>
          <w:rFonts w:hint="eastAsia" w:cs="Times New Roman"/>
          <w:color w:val="auto"/>
          <w:sz w:val="24"/>
          <w:szCs w:val="24"/>
          <w:u w:val="none"/>
          <w:lang w:eastAsia="zh-CN"/>
        </w:rPr>
        <w:t>中鼎检测项目组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u w:val="none"/>
        </w:rPr>
        <w:t>进行现场踏勘、人员访谈和资料收集，得出污染识别的结果。</w:t>
      </w:r>
    </w:p>
    <w:p>
      <w:pPr>
        <w:pStyle w:val="9"/>
        <w:bidi w:val="0"/>
        <w:rPr>
          <w:rFonts w:hint="default" w:ascii="Times New Roman" w:hAnsi="Times New Roman" w:cs="Times New Roman"/>
          <w:color w:val="auto"/>
          <w:u w:val="none"/>
          <w:lang w:val="en-US" w:eastAsia="zh-CN"/>
        </w:rPr>
      </w:pPr>
      <w:r>
        <w:rPr>
          <w:rFonts w:hint="eastAsia"/>
          <w:lang w:val="en-US" w:eastAsia="zh-CN"/>
        </w:rPr>
        <w:t>地块及地块周边历史上不涉及工业企业生产，主要以学校、居民区、道路、荒地为主，对地块造成污染的可能性较小。</w:t>
      </w:r>
    </w:p>
    <w:p>
      <w:pPr>
        <w:pStyle w:val="9"/>
        <w:bidi w:val="0"/>
        <w:rPr>
          <w:rFonts w:hint="default" w:ascii="Times New Roman" w:hAnsi="Times New Roman" w:cs="Times New Roman"/>
          <w:color w:val="auto"/>
          <w:u w:val="none"/>
          <w:lang w:val="en-US" w:eastAsia="zh-CN"/>
        </w:rPr>
      </w:pPr>
      <w:r>
        <w:rPr>
          <w:rFonts w:hint="default" w:ascii="Times New Roman" w:hAnsi="Times New Roman" w:cs="Times New Roman"/>
          <w:bCs/>
          <w:color w:val="auto"/>
          <w:sz w:val="24"/>
          <w:szCs w:val="24"/>
          <w:u w:val="none"/>
          <w:lang w:val="en-US" w:eastAsia="zh-CN"/>
        </w:rPr>
        <w:t>因此</w:t>
      </w:r>
      <w:r>
        <w:rPr>
          <w:rFonts w:hint="default" w:ascii="Times New Roman" w:hAnsi="Times New Roman" w:eastAsia="宋体" w:cs="Times New Roman"/>
          <w:bCs/>
          <w:color w:val="auto"/>
          <w:sz w:val="24"/>
          <w:szCs w:val="24"/>
          <w:u w:val="none"/>
        </w:rPr>
        <w:t>本地块可以认定为无污染和污染隐患的地块，本次调查地块环境状况在可接受范围，满足</w:t>
      </w:r>
      <w:r>
        <w:rPr>
          <w:rStyle w:val="14"/>
          <w:rFonts w:hint="eastAsia" w:eastAsia="宋体" w:cs="Times New Roman"/>
          <w:color w:val="auto"/>
          <w:sz w:val="24"/>
          <w:szCs w:val="24"/>
          <w:u w:val="none"/>
          <w:lang w:eastAsia="zh-CN"/>
        </w:rPr>
        <w:t>高等院校用地（A31）及公园绿地（G1）</w:t>
      </w:r>
      <w:r>
        <w:rPr>
          <w:rFonts w:hint="default" w:ascii="Times New Roman" w:hAnsi="Times New Roman" w:eastAsia="宋体" w:cs="Times New Roman"/>
          <w:bCs/>
          <w:color w:val="auto"/>
          <w:sz w:val="24"/>
          <w:szCs w:val="24"/>
          <w:u w:val="none"/>
        </w:rPr>
        <w:t>要求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  <w:u w:val="none"/>
          <w:lang w:eastAsia="zh-CN"/>
        </w:rPr>
        <w:t>，按《建设用地土壤污染状况调查技术导则》（HJ 25.1-2019）要求，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  <w:u w:val="none"/>
          <w:lang w:val="en-US" w:eastAsia="zh-CN"/>
        </w:rPr>
        <w:t>可结束调查工作，</w:t>
      </w:r>
      <w:r>
        <w:rPr>
          <w:rFonts w:hint="default" w:ascii="Times New Roman" w:hAnsi="Times New Roman" w:eastAsia="宋体" w:cs="Times New Roman"/>
          <w:bCs/>
          <w:color w:val="auto"/>
          <w:sz w:val="24"/>
          <w:szCs w:val="24"/>
          <w:u w:val="none"/>
        </w:rPr>
        <w:t>不需要开展第二阶段土壤污染状况调查工作。</w:t>
      </w:r>
    </w:p>
    <w:p>
      <w:pPr>
        <w:pStyle w:val="5"/>
        <w:ind w:left="1440"/>
        <w:rPr>
          <w:rFonts w:hint="default" w:ascii="Times New Roman" w:hAnsi="Times New Roman" w:cs="Times New Roman"/>
          <w:color w:val="auto"/>
          <w:u w:val="none"/>
        </w:rPr>
        <w:sectPr>
          <w:headerReference r:id="rId5" w:type="default"/>
          <w:footerReference r:id="rId6" w:type="default"/>
          <w:pgSz w:w="11906" w:h="16838"/>
          <w:pgMar w:top="1440" w:right="1440" w:bottom="1440" w:left="1440" w:header="851" w:footer="850" w:gutter="0"/>
          <w:pgNumType w:fmt="upperRoman" w:start="1"/>
          <w:cols w:space="425" w:num="1"/>
          <w:docGrid w:linePitch="326" w:charSpace="0"/>
        </w:sectPr>
      </w:pPr>
    </w:p>
    <w:p>
      <w:bookmarkStart w:id="18" w:name="_GoBack"/>
      <w:bookmarkEnd w:id="18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95114113"/>
    </w:sdtPr>
    <w:sdtContent>
      <w:p>
        <w:pPr>
          <w:pStyle w:val="3"/>
          <w:ind w:firstLine="0" w:firstLineChars="0"/>
          <w:jc w:val="center"/>
          <w:rPr>
            <w:rFonts w:eastAsia="宋体"/>
          </w:rPr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II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480"/>
      </w:pPr>
      <w:r>
        <w:separator/>
      </w:r>
    </w:p>
  </w:footnote>
  <w:footnote w:type="continuationSeparator" w:id="1">
    <w:p>
      <w:pPr>
        <w:spacing w:before="0" w:after="0"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left" w:pos="374"/>
        <w:tab w:val="left" w:pos="3414"/>
        <w:tab w:val="center" w:pos="4513"/>
        <w:tab w:val="right" w:pos="9026"/>
      </w:tabs>
      <w:snapToGrid/>
      <w:ind w:firstLine="0" w:firstLineChars="0"/>
      <w:rPr>
        <w:rFonts w:hint="default" w:eastAsiaTheme="minorEastAsia"/>
        <w:lang w:val="en-US" w:eastAsia="zh-CN"/>
      </w:rPr>
    </w:pPr>
    <w:r>
      <w:rPr>
        <w:rFonts w:hint="eastAsia" w:eastAsia="宋体" w:cs="Times New Roman"/>
        <w:lang w:eastAsia="zh-CN"/>
      </w:rPr>
      <w:t>广东工商职业技术大学北侧地块土壤污染状况初步调查报告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A5Mjc0ZDBkY2FlZDFkYzkwM2U4NzQyYTllMTRjOTEifQ=="/>
  </w:docVars>
  <w:rsids>
    <w:rsidRoot w:val="73A16A2A"/>
    <w:rsid w:val="071A267A"/>
    <w:rsid w:val="07F30270"/>
    <w:rsid w:val="152B76CD"/>
    <w:rsid w:val="238555C7"/>
    <w:rsid w:val="23C161CD"/>
    <w:rsid w:val="4EFA4B18"/>
    <w:rsid w:val="5F5311CF"/>
    <w:rsid w:val="6C216A66"/>
    <w:rsid w:val="73A16A2A"/>
    <w:rsid w:val="7480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before="10" w:after="10" w:line="360" w:lineRule="auto"/>
      <w:ind w:firstLine="200" w:firstLineChars="200"/>
      <w:contextualSpacing/>
      <w:jc w:val="both"/>
    </w:pPr>
    <w:rPr>
      <w:rFonts w:ascii="Times New Roman" w:hAnsi="Times New Roman" w:eastAsiaTheme="minorEastAsia" w:cstheme="minorBidi"/>
      <w:kern w:val="2"/>
      <w:sz w:val="24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pacing w:before="135" w:after="0"/>
      <w:ind w:left="120"/>
      <w:contextualSpacing w:val="0"/>
    </w:pPr>
    <w:rPr>
      <w:rFonts w:eastAsia="宋体"/>
      <w:kern w:val="0"/>
      <w:szCs w:val="24"/>
      <w:lang w:eastAsia="en-US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oc 4"/>
    <w:basedOn w:val="1"/>
    <w:next w:val="1"/>
    <w:unhideWhenUsed/>
    <w:qFormat/>
    <w:uiPriority w:val="39"/>
    <w:pPr>
      <w:spacing w:before="0" w:after="0" w:line="240" w:lineRule="auto"/>
      <w:ind w:left="1260" w:leftChars="600" w:firstLine="0" w:firstLineChars="0"/>
      <w:contextualSpacing w:val="0"/>
    </w:pPr>
    <w:rPr>
      <w:rFonts w:asciiTheme="minorHAnsi" w:hAnsiTheme="minorHAnsi"/>
      <w:sz w:val="21"/>
    </w:rPr>
  </w:style>
  <w:style w:type="paragraph" w:styleId="6">
    <w:name w:val="Title"/>
    <w:basedOn w:val="1"/>
    <w:next w:val="1"/>
    <w:qFormat/>
    <w:uiPriority w:val="10"/>
    <w:pPr>
      <w:spacing w:before="50" w:beforeLines="50" w:after="50" w:afterLines="5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paragraph" w:customStyle="1" w:styleId="9">
    <w:name w:val="土调正文"/>
    <w:basedOn w:val="1"/>
    <w:link w:val="12"/>
    <w:qFormat/>
    <w:uiPriority w:val="0"/>
    <w:pPr>
      <w:widowControl/>
      <w:shd w:val="clear" w:fill="FFFFFF"/>
      <w:spacing w:line="360" w:lineRule="auto"/>
      <w:ind w:firstLine="480" w:firstLineChars="200"/>
      <w:jc w:val="both"/>
    </w:pPr>
    <w:rPr>
      <w:rFonts w:hint="eastAsia" w:ascii="Times New Roman" w:hAnsi="Times New Roman" w:eastAsia="宋体" w:cs="Times New Roman"/>
      <w:sz w:val="24"/>
      <w:szCs w:val="24"/>
    </w:rPr>
  </w:style>
  <w:style w:type="paragraph" w:customStyle="1" w:styleId="10">
    <w:name w:val="表格内容"/>
    <w:basedOn w:val="1"/>
    <w:link w:val="13"/>
    <w:qFormat/>
    <w:uiPriority w:val="0"/>
    <w:pPr>
      <w:spacing w:line="240" w:lineRule="auto"/>
      <w:ind w:firstLine="0" w:firstLineChars="0"/>
    </w:pPr>
    <w:rPr>
      <w:rFonts w:ascii="Times New Roman" w:hAnsi="Times New Roman" w:eastAsia="宋体" w:cs="Times New Roman"/>
      <w:kern w:val="0"/>
      <w:sz w:val="21"/>
      <w:szCs w:val="21"/>
    </w:rPr>
  </w:style>
  <w:style w:type="paragraph" w:customStyle="1" w:styleId="11">
    <w:name w:val="样式36"/>
    <w:basedOn w:val="1"/>
    <w:qFormat/>
    <w:uiPriority w:val="0"/>
    <w:pPr>
      <w:adjustRightInd w:val="0"/>
      <w:snapToGrid w:val="0"/>
      <w:spacing w:before="0" w:after="0" w:line="240" w:lineRule="auto"/>
      <w:ind w:left="0" w:right="0" w:firstLine="0" w:firstLineChars="0"/>
      <w:contextualSpacing w:val="0"/>
      <w:jc w:val="center"/>
    </w:pPr>
    <w:rPr>
      <w:rFonts w:ascii="Times New Roman" w:hAnsi="Times New Roman" w:eastAsia="宋体" w:cs="Times New Roman"/>
      <w:kern w:val="0"/>
      <w:sz w:val="21"/>
      <w:szCs w:val="21"/>
      <w:lang w:eastAsia="en-US"/>
    </w:rPr>
  </w:style>
  <w:style w:type="character" w:customStyle="1" w:styleId="12">
    <w:name w:val="土调正文 Char"/>
    <w:link w:val="9"/>
    <w:qFormat/>
    <w:uiPriority w:val="0"/>
    <w:rPr>
      <w:rFonts w:hint="eastAsia" w:ascii="Times New Roman" w:hAnsi="Times New Roman" w:eastAsia="宋体" w:cs="Times New Roman"/>
      <w:sz w:val="24"/>
      <w:szCs w:val="24"/>
    </w:rPr>
  </w:style>
  <w:style w:type="character" w:customStyle="1" w:styleId="13">
    <w:name w:val="表格内容 Char"/>
    <w:link w:val="10"/>
    <w:qFormat/>
    <w:uiPriority w:val="0"/>
    <w:rPr>
      <w:rFonts w:ascii="Times New Roman" w:hAnsi="Times New Roman" w:eastAsia="宋体" w:cs="Times New Roman"/>
      <w:kern w:val="0"/>
      <w:sz w:val="21"/>
      <w:szCs w:val="21"/>
    </w:rPr>
  </w:style>
  <w:style w:type="character" w:customStyle="1" w:styleId="14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2023-10-29T05:11:00Z</dcterms:created>
  <dc:creator>D0819-USER</dc:creator>
  <cp:lastModifiedBy>D0819-USER</cp:lastModifiedBy>
  <dcterms:modified xsi:type="dcterms:W3CDTF">2023-10-29T05:11:50Z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DD821A0DC5E74997B522B79A15C55011_11</vt:lpwstr>
  </property>
</Properties>
</file>