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00" w:firstLineChars="200"/>
        <w:textAlignment w:val="auto"/>
        <w:rPr>
          <w:rFonts w:hint="default" w:ascii="Times New Roman" w:hAnsi="Times New Roman" w:cs="Times New Roman"/>
          <w:sz w:val="20"/>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00" w:firstLineChars="200"/>
        <w:textAlignment w:val="auto"/>
        <w:rPr>
          <w:rFonts w:hint="default" w:ascii="Times New Roman" w:hAnsi="Times New Roman" w:cs="Times New Roman"/>
          <w:sz w:val="20"/>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00" w:firstLineChars="200"/>
        <w:textAlignment w:val="auto"/>
        <w:rPr>
          <w:rFonts w:hint="default" w:ascii="Times New Roman" w:hAnsi="Times New Roman" w:cs="Times New Roman"/>
          <w:sz w:val="20"/>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00" w:firstLineChars="200"/>
        <w:textAlignment w:val="auto"/>
        <w:rPr>
          <w:rFonts w:hint="default" w:ascii="Times New Roman" w:hAnsi="Times New Roman" w:cs="Times New Roman"/>
          <w:sz w:val="20"/>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00" w:firstLineChars="200"/>
        <w:textAlignment w:val="auto"/>
        <w:rPr>
          <w:rFonts w:hint="default" w:ascii="Times New Roman" w:hAnsi="Times New Roman" w:cs="Times New Roman"/>
          <w:sz w:val="20"/>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outlineLvl w:val="0"/>
        <w:rPr>
          <w:rFonts w:hint="default" w:ascii="Times New Roman" w:hAnsi="Times New Roman" w:eastAsia="黑体" w:cs="Times New Roman"/>
          <w:sz w:val="44"/>
          <w:lang w:eastAsia="zh-CN"/>
        </w:rPr>
      </w:pPr>
      <w:bookmarkStart w:id="0" w:name="_Toc28426"/>
      <w:bookmarkStart w:id="1" w:name="_Toc20827"/>
      <w:r>
        <w:rPr>
          <w:rFonts w:hint="eastAsia" w:ascii="Times New Roman" w:hAnsi="Times New Roman" w:eastAsia="黑体" w:cs="Times New Roman"/>
          <w:sz w:val="44"/>
          <w:lang w:eastAsia="zh-CN"/>
        </w:rPr>
        <w:t>江西中天智能装备股份有限公司</w:t>
      </w:r>
      <w:bookmarkEnd w:id="0"/>
      <w:bookmarkEnd w:id="1"/>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default" w:ascii="Times New Roman" w:hAnsi="Times New Roman" w:eastAsia="Microsoft JhengHei" w:cs="Times New Roman"/>
          <w:b/>
          <w:sz w:val="72"/>
        </w:rPr>
      </w:pPr>
      <w:r>
        <w:rPr>
          <w:rFonts w:hint="default" w:ascii="Times New Roman" w:hAnsi="Times New Roman" w:eastAsia="Microsoft JhengHei" w:cs="Times New Roman"/>
          <w:b/>
          <w:sz w:val="72"/>
        </w:rPr>
        <w:t>环境风险评估报告</w:t>
      </w: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1446" w:firstLineChars="200"/>
        <w:textAlignment w:val="auto"/>
        <w:rPr>
          <w:rFonts w:hint="default" w:ascii="Times New Roman" w:hAnsi="Times New Roman" w:cs="Times New Roman"/>
          <w:b/>
          <w:sz w:val="72"/>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1446" w:firstLineChars="200"/>
        <w:textAlignment w:val="auto"/>
        <w:rPr>
          <w:rFonts w:hint="default" w:ascii="Times New Roman" w:hAnsi="Times New Roman" w:cs="Times New Roman"/>
          <w:b/>
          <w:sz w:val="72"/>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textAlignment w:val="auto"/>
        <w:rPr>
          <w:rFonts w:hint="default" w:ascii="Times New Roman" w:hAnsi="Times New Roman" w:cs="Times New Roman"/>
          <w:b/>
          <w:sz w:val="24"/>
          <w:szCs w:val="24"/>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textAlignment w:val="auto"/>
        <w:rPr>
          <w:rFonts w:hint="default" w:ascii="Times New Roman" w:hAnsi="Times New Roman" w:cs="Times New Roman"/>
          <w:b/>
          <w:sz w:val="24"/>
          <w:szCs w:val="24"/>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textAlignment w:val="auto"/>
        <w:rPr>
          <w:rFonts w:hint="default" w:ascii="Times New Roman" w:hAnsi="Times New Roman" w:cs="Times New Roman"/>
          <w:b/>
          <w:sz w:val="24"/>
          <w:szCs w:val="24"/>
        </w:r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482" w:firstLineChars="200"/>
        <w:textAlignment w:val="auto"/>
        <w:rPr>
          <w:rFonts w:hint="default" w:ascii="Times New Roman" w:hAnsi="Times New Roman" w:cs="Times New Roman"/>
          <w:b/>
          <w:sz w:val="24"/>
          <w:szCs w:val="24"/>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Times New Roman" w:hAnsi="Times New Roman" w:eastAsia="黑体" w:cs="Times New Roman"/>
          <w:sz w:val="36"/>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Times New Roman" w:hAnsi="Times New Roman" w:eastAsia="黑体" w:cs="Times New Roman"/>
          <w:sz w:val="36"/>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Times New Roman" w:hAnsi="Times New Roman" w:eastAsia="黑体" w:cs="Times New Roman"/>
          <w:sz w:val="36"/>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Times New Roman" w:hAnsi="Times New Roman" w:eastAsia="黑体" w:cs="Times New Roman"/>
          <w:sz w:val="36"/>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eastAsia" w:ascii="Times New Roman" w:hAnsi="Times New Roman" w:eastAsia="黑体" w:cs="Times New Roman"/>
          <w:sz w:val="36"/>
          <w:lang w:eastAsia="zh-CN"/>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outlineLvl w:val="0"/>
        <w:rPr>
          <w:rFonts w:hint="default" w:ascii="Times New Roman" w:hAnsi="Times New Roman" w:eastAsia="黑体" w:cs="Times New Roman"/>
          <w:sz w:val="36"/>
          <w:lang w:eastAsia="zh-CN"/>
        </w:rPr>
      </w:pPr>
      <w:bookmarkStart w:id="2" w:name="_Toc24667"/>
      <w:bookmarkStart w:id="3" w:name="_Toc17068"/>
      <w:r>
        <w:rPr>
          <w:rFonts w:hint="eastAsia" w:ascii="Times New Roman" w:hAnsi="Times New Roman" w:eastAsia="黑体" w:cs="Times New Roman"/>
          <w:sz w:val="36"/>
          <w:lang w:eastAsia="zh-CN"/>
        </w:rPr>
        <w:t>江西中天智能装备股份有限公司</w:t>
      </w:r>
      <w:bookmarkEnd w:id="2"/>
      <w:bookmarkEnd w:id="3"/>
    </w:p>
    <w:p>
      <w:pPr>
        <w:keepNext w:val="0"/>
        <w:keepLines w:val="0"/>
        <w:pageBreakBefore w:val="0"/>
        <w:widowControl w:val="0"/>
        <w:kinsoku/>
        <w:wordWrap/>
        <w:overflowPunct/>
        <w:topLinePunct w:val="0"/>
        <w:autoSpaceDE w:val="0"/>
        <w:autoSpaceDN w:val="0"/>
        <w:bidi w:val="0"/>
        <w:adjustRightInd/>
        <w:snapToGrid/>
        <w:spacing w:line="360" w:lineRule="auto"/>
        <w:ind w:leftChars="0" w:right="0" w:firstLine="720" w:firstLineChars="200"/>
        <w:jc w:val="center"/>
        <w:textAlignment w:val="auto"/>
        <w:rPr>
          <w:rFonts w:hint="default" w:ascii="Times New Roman" w:hAnsi="Times New Roman" w:eastAsia="黑体" w:cs="Times New Roman"/>
          <w:sz w:val="36"/>
        </w:rPr>
      </w:pPr>
    </w:p>
    <w:p>
      <w:pPr>
        <w:keepNext w:val="0"/>
        <w:keepLines w:val="0"/>
        <w:pageBreakBefore w:val="0"/>
        <w:widowControl w:val="0"/>
        <w:kinsoku/>
        <w:wordWrap/>
        <w:overflowPunct/>
        <w:topLinePunct w:val="0"/>
        <w:autoSpaceDE w:val="0"/>
        <w:autoSpaceDN w:val="0"/>
        <w:bidi w:val="0"/>
        <w:adjustRightInd/>
        <w:snapToGrid/>
        <w:spacing w:line="360" w:lineRule="auto"/>
        <w:ind w:right="0"/>
        <w:jc w:val="center"/>
        <w:textAlignment w:val="auto"/>
        <w:rPr>
          <w:rFonts w:hint="default" w:ascii="Times New Roman" w:hAnsi="Times New Roman" w:eastAsia="黑体" w:cs="Times New Roman"/>
          <w:sz w:val="36"/>
        </w:rPr>
      </w:pPr>
      <w:r>
        <w:rPr>
          <w:rFonts w:hint="default" w:ascii="Times New Roman" w:hAnsi="Times New Roman" w:eastAsia="黑体" w:cs="Times New Roman"/>
          <w:sz w:val="36"/>
        </w:rPr>
        <w:t>二〇二</w:t>
      </w:r>
      <w:r>
        <w:rPr>
          <w:rFonts w:hint="eastAsia" w:ascii="Times New Roman" w:hAnsi="Times New Roman" w:eastAsia="黑体" w:cs="Times New Roman"/>
          <w:sz w:val="36"/>
          <w:lang w:val="en-US" w:eastAsia="zh-CN"/>
        </w:rPr>
        <w:t>三</w:t>
      </w:r>
      <w:r>
        <w:rPr>
          <w:rFonts w:hint="default" w:ascii="Times New Roman" w:hAnsi="Times New Roman" w:eastAsia="黑体" w:cs="Times New Roman"/>
          <w:sz w:val="36"/>
        </w:rPr>
        <w:t>年</w:t>
      </w:r>
      <w:r>
        <w:rPr>
          <w:rFonts w:hint="eastAsia" w:ascii="Times New Roman" w:hAnsi="Times New Roman" w:eastAsia="黑体" w:cs="Times New Roman"/>
          <w:sz w:val="36"/>
          <w:lang w:val="en-US" w:eastAsia="zh-CN"/>
        </w:rPr>
        <w:t>七</w:t>
      </w:r>
      <w:r>
        <w:rPr>
          <w:rFonts w:hint="default" w:ascii="Times New Roman" w:hAnsi="Times New Roman" w:eastAsia="黑体" w:cs="Times New Roman"/>
          <w:sz w:val="36"/>
        </w:rPr>
        <w:t>月</w:t>
      </w:r>
    </w:p>
    <w:p>
      <w:pPr>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720" w:firstLineChars="200"/>
        <w:jc w:val="center"/>
        <w:textAlignment w:val="auto"/>
        <w:rPr>
          <w:rFonts w:hint="default" w:ascii="Times New Roman" w:hAnsi="Times New Roman" w:eastAsia="黑体" w:cs="Times New Roman"/>
          <w:sz w:val="36"/>
        </w:rPr>
        <w:sectPr>
          <w:type w:val="continuous"/>
          <w:pgSz w:w="11900" w:h="16840"/>
          <w:pgMar w:top="1440" w:right="1417" w:bottom="1440" w:left="1417" w:header="720" w:footer="720" w:gutter="0"/>
          <w:pgBorders>
            <w:top w:val="none" w:sz="0" w:space="0"/>
            <w:left w:val="none" w:sz="0" w:space="0"/>
            <w:bottom w:val="none" w:sz="0" w:space="0"/>
            <w:right w:val="none" w:sz="0" w:space="0"/>
          </w:pgBorders>
          <w:pgNumType w:fmt="decimal"/>
          <w:cols w:space="720" w:num="1"/>
        </w:sectPr>
      </w:pPr>
    </w:p>
    <w:p>
      <w:pPr>
        <w:pStyle w:val="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160" w:firstLineChars="200"/>
        <w:textAlignment w:val="auto"/>
        <w:rPr>
          <w:rFonts w:hint="default" w:ascii="Times New Roman" w:hAnsi="Times New Roman" w:cs="Times New Roman"/>
          <w:sz w:val="8"/>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center"/>
        <w:textAlignment w:val="auto"/>
        <w:outlineLvl w:val="9"/>
        <w:rPr>
          <w:rFonts w:hint="eastAsia" w:ascii="Times New Roman" w:hAnsi="Times New Roman" w:eastAsia="宋体" w:cs="Times New Roman"/>
          <w:lang w:val="en-US" w:eastAsia="zh-CN"/>
        </w:rPr>
      </w:pPr>
    </w:p>
    <w:sdt>
      <w:sdtPr>
        <w:rPr>
          <w:rFonts w:ascii="宋体" w:hAnsi="宋体" w:eastAsia="宋体" w:cs="宋体"/>
          <w:sz w:val="21"/>
          <w:szCs w:val="22"/>
          <w:lang w:val="zh-CN" w:eastAsia="zh-CN" w:bidi="zh-CN"/>
        </w:rPr>
        <w:id w:val="147468836"/>
        <w15:color w:val="DBDBDB"/>
        <w:docPartObj>
          <w:docPartGallery w:val="Table of Contents"/>
          <w:docPartUnique/>
        </w:docPartObj>
      </w:sdtPr>
      <w:sdtEndPr>
        <w:rPr>
          <w:rFonts w:hint="eastAsia" w:ascii="Times New Roman" w:hAnsi="Times New Roman" w:eastAsia="宋体" w:cs="Times New Roman"/>
          <w:b/>
          <w:bCs/>
          <w:sz w:val="32"/>
          <w:szCs w:val="32"/>
          <w:lang w:val="en-US" w:eastAsia="zh-CN" w:bidi="zh-CN"/>
        </w:rPr>
      </w:sdtEndPr>
      <w:sdtContent>
        <w:p>
          <w:pPr>
            <w:spacing w:before="0" w:beforeLines="0" w:after="0" w:afterLines="0" w:line="240" w:lineRule="auto"/>
            <w:ind w:left="0" w:leftChars="0" w:right="0" w:rightChars="0" w:firstLine="0" w:firstLine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目录</w:t>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TOC \o "1-2" \h \u </w:instrText>
          </w:r>
          <w:r>
            <w:rPr>
              <w:rFonts w:hint="eastAsia" w:asciiTheme="minorEastAsia" w:hAnsiTheme="minorEastAsia" w:eastAsiaTheme="minorEastAsia" w:cstheme="minorEastAsia"/>
              <w:b/>
              <w:bCs/>
              <w:sz w:val="24"/>
              <w:szCs w:val="24"/>
              <w:lang w:val="en-US" w:eastAsia="zh-CN" w:bidi="zh-CN"/>
            </w:rPr>
            <w:fldChar w:fldCharType="separate"/>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_Toc27654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1前言</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_Toc27654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1</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_Toc23531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2总则</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_Toc23531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1</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_Toc32334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2.1编制目的</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_Toc32334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_Toc24351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2.2编制依据</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_Toc24351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_Toc18988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bCs/>
              <w:sz w:val="24"/>
              <w:szCs w:val="24"/>
            </w:rPr>
            <w:t>法律法规及相关规定：</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_Toc18988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_Toc28725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bCs/>
              <w:sz w:val="24"/>
              <w:szCs w:val="24"/>
            </w:rPr>
            <w:t>执行标准及技术规范：</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_Toc28725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_Toc22907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2.3工作原则</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_Toc22907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_Toc593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3资料准备与风险识别</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_Toc593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4</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_Toc17991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3.1企业基本信息</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_Toc17991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_Toc21506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lang w:val="en-US" w:eastAsia="zh-CN"/>
            </w:rPr>
            <w:t>3.2</w:t>
          </w:r>
          <w:r>
            <w:rPr>
              <w:rFonts w:hint="eastAsia" w:asciiTheme="minorEastAsia" w:hAnsiTheme="minorEastAsia" w:eastAsiaTheme="minorEastAsia" w:cstheme="minorEastAsia"/>
              <w:sz w:val="24"/>
              <w:szCs w:val="24"/>
            </w:rPr>
            <w:t>周边环境状况及环境保护目标情况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_Toc21506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_Toc18987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3.3 涉及环境风险物质情况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_Toc18987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_Toc17687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 安全生产管理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_Toc17687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_Toc18890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 xml:space="preserve"> 现有环境风险防控与应急措施情况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_Toc18890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8</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_Toc29239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3.7 现有应急物资与装备、救援队伍情况</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_Toc29239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_Toc32012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4突发环境事件及其后果分析</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_Toc32012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19</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_Toc30118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4.1 突发环境事件情景分析</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_Toc30118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_Toc21426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4.2 突发环境事件情景源强分析</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_Toc21426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_Toc17306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highlight w:val="none"/>
            </w:rPr>
            <w:t>4.3 释放环境风险物质的扩散途径、涉及环境风险防控与应急措施、应急资源情况分析</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_Toc17306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_Toc9296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 xml:space="preserve">4 </w:t>
          </w:r>
          <w:r>
            <w:rPr>
              <w:rFonts w:hint="eastAsia" w:asciiTheme="minorEastAsia" w:hAnsiTheme="minorEastAsia" w:eastAsiaTheme="minorEastAsia" w:cstheme="minorEastAsia"/>
              <w:sz w:val="24"/>
              <w:szCs w:val="24"/>
            </w:rPr>
            <w:t>突发环境事件危害后果分析</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_Toc9296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_Toc21223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5现有环境风险防控和应急措施差距分析</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_Toc21223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24</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_Toc19271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5.1历史经验教训总结</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_Toc19271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25</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_Toc26114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5.2 需要整改的短期、中期和长期项目内容</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_Toc26114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26</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_Toc8557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6完善环境风险防控和应急措施的实施计划</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_Toc8557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26</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8"/>
            <w:tabs>
              <w:tab w:val="right" w:leader="dot" w:pos="9122"/>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val="en-US" w:eastAsia="zh-CN" w:bidi="zh-CN"/>
            </w:rPr>
            <w:fldChar w:fldCharType="begin"/>
          </w:r>
          <w:r>
            <w:rPr>
              <w:rFonts w:hint="eastAsia" w:asciiTheme="minorEastAsia" w:hAnsiTheme="minorEastAsia" w:eastAsiaTheme="minorEastAsia" w:cstheme="minorEastAsia"/>
              <w:b/>
              <w:bCs/>
              <w:sz w:val="24"/>
              <w:szCs w:val="24"/>
              <w:lang w:val="en-US" w:eastAsia="zh-CN" w:bidi="zh-CN"/>
            </w:rPr>
            <w:instrText xml:space="preserve"> HYPERLINK \l _Toc18121 </w:instrText>
          </w:r>
          <w:r>
            <w:rPr>
              <w:rFonts w:hint="eastAsia" w:asciiTheme="minorEastAsia" w:hAnsiTheme="minorEastAsia" w:eastAsiaTheme="minorEastAsia" w:cstheme="minorEastAsia"/>
              <w:b/>
              <w:bCs/>
              <w:sz w:val="24"/>
              <w:szCs w:val="24"/>
              <w:lang w:val="en-US" w:eastAsia="zh-CN" w:bidi="zh-CN"/>
            </w:rPr>
            <w:fldChar w:fldCharType="separate"/>
          </w:r>
          <w:r>
            <w:rPr>
              <w:rFonts w:hint="eastAsia" w:asciiTheme="minorEastAsia" w:hAnsiTheme="minorEastAsia" w:eastAsiaTheme="minorEastAsia" w:cstheme="minorEastAsia"/>
              <w:b/>
              <w:sz w:val="24"/>
              <w:szCs w:val="24"/>
            </w:rPr>
            <w:t>7 企业突发环境事件风险等级</w:t>
          </w:r>
          <w:r>
            <w:rPr>
              <w:rFonts w:hint="eastAsia" w:asciiTheme="minorEastAsia" w:hAnsiTheme="minorEastAsia" w:eastAsiaTheme="minorEastAsia" w:cstheme="minorEastAsia"/>
              <w:b/>
              <w:sz w:val="24"/>
              <w:szCs w:val="24"/>
            </w:rPr>
            <w:tab/>
          </w:r>
          <w:r>
            <w:rPr>
              <w:rFonts w:hint="eastAsia" w:asciiTheme="minorEastAsia" w:hAnsiTheme="minorEastAsia" w:eastAsiaTheme="minorEastAsia" w:cstheme="minorEastAsia"/>
              <w:b/>
              <w:sz w:val="24"/>
              <w:szCs w:val="24"/>
            </w:rPr>
            <w:fldChar w:fldCharType="begin"/>
          </w:r>
          <w:r>
            <w:rPr>
              <w:rFonts w:hint="eastAsia" w:asciiTheme="minorEastAsia" w:hAnsiTheme="minorEastAsia" w:eastAsiaTheme="minorEastAsia" w:cstheme="minorEastAsia"/>
              <w:b/>
              <w:sz w:val="24"/>
              <w:szCs w:val="24"/>
            </w:rPr>
            <w:instrText xml:space="preserve"> PAGEREF _Toc18121 \h </w:instrText>
          </w:r>
          <w:r>
            <w:rPr>
              <w:rFonts w:hint="eastAsia" w:asciiTheme="minorEastAsia" w:hAnsiTheme="minorEastAsia" w:eastAsiaTheme="minorEastAsia" w:cstheme="minorEastAsia"/>
              <w:b/>
              <w:sz w:val="24"/>
              <w:szCs w:val="24"/>
            </w:rPr>
            <w:fldChar w:fldCharType="separate"/>
          </w:r>
          <w:r>
            <w:rPr>
              <w:rFonts w:hint="eastAsia" w:asciiTheme="minorEastAsia" w:hAnsiTheme="minorEastAsia" w:eastAsiaTheme="minorEastAsia" w:cstheme="minorEastAsia"/>
              <w:b/>
              <w:sz w:val="24"/>
              <w:szCs w:val="24"/>
            </w:rPr>
            <w:t>27</w:t>
          </w:r>
          <w:r>
            <w:rPr>
              <w:rFonts w:hint="eastAsia" w:asciiTheme="minorEastAsia" w:hAnsiTheme="minorEastAsia" w:eastAsiaTheme="minorEastAsia" w:cstheme="minorEastAsia"/>
              <w:b/>
              <w:sz w:val="24"/>
              <w:szCs w:val="24"/>
            </w:rPr>
            <w:fldChar w:fldCharType="end"/>
          </w:r>
          <w:r>
            <w:rPr>
              <w:rFonts w:hint="eastAsia" w:asciiTheme="minorEastAsia" w:hAnsiTheme="minorEastAsia" w:eastAsiaTheme="minorEastAsia" w:cstheme="minorEastAsia"/>
              <w:b/>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_Toc8334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7.1企业突发环境事件风险等级划分方法</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_Toc8334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_Toc929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7.2企业突发环境事件风险等级</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_Toc929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27</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_Toc24439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7.3 生产工艺与环境风险控制水平（M）</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_Toc24439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28</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_Toc31283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7.4环境风险受体敏感性（E）</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_Toc31283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99"/>
            <w:tabs>
              <w:tab w:val="right" w:leader="dot" w:pos="9122"/>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lang w:val="en-US" w:eastAsia="zh-CN" w:bidi="zh-CN"/>
            </w:rPr>
            <w:fldChar w:fldCharType="begin"/>
          </w:r>
          <w:r>
            <w:rPr>
              <w:rFonts w:hint="eastAsia" w:asciiTheme="minorEastAsia" w:hAnsiTheme="minorEastAsia" w:eastAsiaTheme="minorEastAsia" w:cstheme="minorEastAsia"/>
              <w:bCs/>
              <w:sz w:val="24"/>
              <w:szCs w:val="24"/>
              <w:lang w:val="en-US" w:eastAsia="zh-CN" w:bidi="zh-CN"/>
            </w:rPr>
            <w:instrText xml:space="preserve"> HYPERLINK \l _Toc9974 </w:instrText>
          </w:r>
          <w:r>
            <w:rPr>
              <w:rFonts w:hint="eastAsia" w:asciiTheme="minorEastAsia" w:hAnsiTheme="minorEastAsia" w:eastAsiaTheme="minorEastAsia" w:cstheme="minorEastAsia"/>
              <w:bCs/>
              <w:sz w:val="24"/>
              <w:szCs w:val="24"/>
              <w:lang w:val="en-US" w:eastAsia="zh-CN" w:bidi="zh-CN"/>
            </w:rPr>
            <w:fldChar w:fldCharType="separate"/>
          </w:r>
          <w:r>
            <w:rPr>
              <w:rFonts w:hint="eastAsia" w:asciiTheme="minorEastAsia" w:hAnsiTheme="minorEastAsia" w:eastAsiaTheme="minorEastAsia" w:cstheme="minorEastAsia"/>
              <w:sz w:val="24"/>
              <w:szCs w:val="24"/>
            </w:rPr>
            <w:t>7.5企业环境风险等级划分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_Toc9974 \h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bCs/>
              <w:sz w:val="24"/>
              <w:szCs w:val="24"/>
              <w:lang w:val="en-US" w:eastAsia="zh-CN" w:bidi="zh-CN"/>
            </w:rPr>
            <w:fldChar w:fldCharType="end"/>
          </w:r>
        </w:p>
        <w:p>
          <w:pPr>
            <w:pStyle w:val="41"/>
            <w:keepNext w:val="0"/>
            <w:keepLines w:val="0"/>
            <w:pageBreakBefore w:val="0"/>
            <w:widowControl w:val="0"/>
            <w:numPr>
              <w:ilvl w:val="0"/>
              <w:numId w:val="0"/>
            </w:numPr>
            <w:tabs>
              <w:tab w:val="left" w:pos="656"/>
            </w:tabs>
            <w:kinsoku/>
            <w:wordWrap/>
            <w:overflowPunct/>
            <w:topLinePunct w:val="0"/>
            <w:autoSpaceDE w:val="0"/>
            <w:autoSpaceDN w:val="0"/>
            <w:bidi w:val="0"/>
            <w:adjustRightInd/>
            <w:snapToGrid/>
            <w:spacing w:line="360" w:lineRule="auto"/>
            <w:ind w:leftChars="200" w:right="0" w:rightChars="0"/>
            <w:jc w:val="both"/>
            <w:textAlignment w:val="auto"/>
            <w:outlineLvl w:val="9"/>
            <w:rPr>
              <w:rFonts w:hint="eastAsia" w:ascii="Times New Roman" w:hAnsi="Times New Roman" w:eastAsia="宋体" w:cs="Times New Roman"/>
              <w:b/>
              <w:bCs/>
              <w:sz w:val="32"/>
              <w:szCs w:val="32"/>
              <w:lang w:val="en-US" w:eastAsia="zh-CN" w:bidi="zh-CN"/>
            </w:rPr>
            <w:sectPr>
              <w:headerReference r:id="rId3" w:type="default"/>
              <w:footerReference r:id="rId4" w:type="default"/>
              <w:pgSz w:w="11900" w:h="16840"/>
              <w:pgMar w:top="1680" w:right="1412" w:bottom="1340" w:left="1366" w:header="850" w:footer="992" w:gutter="0"/>
              <w:pgBorders>
                <w:top w:val="none" w:sz="0" w:space="0"/>
                <w:left w:val="none" w:sz="0" w:space="0"/>
                <w:bottom w:val="none" w:sz="0" w:space="0"/>
                <w:right w:val="none" w:sz="0" w:space="0"/>
              </w:pgBorders>
              <w:pgNumType w:fmt="decimal" w:start="1"/>
              <w:cols w:space="720" w:num="1"/>
            </w:sectPr>
          </w:pPr>
          <w:r>
            <w:rPr>
              <w:rFonts w:hint="eastAsia" w:asciiTheme="minorEastAsia" w:hAnsiTheme="minorEastAsia" w:eastAsiaTheme="minorEastAsia" w:cstheme="minorEastAsia"/>
              <w:b/>
              <w:bCs/>
              <w:sz w:val="24"/>
              <w:szCs w:val="24"/>
              <w:lang w:val="en-US" w:eastAsia="zh-CN" w:bidi="zh-CN"/>
            </w:rPr>
            <w:fldChar w:fldCharType="end"/>
          </w:r>
        </w:p>
      </w:sdtContent>
    </w:sdt>
    <w:p>
      <w:pPr>
        <w:pStyle w:val="4"/>
        <w:rPr>
          <w:rFonts w:hint="default" w:ascii="Times New Roman" w:hAnsi="Times New Roman" w:cs="Times New Roman" w:eastAsiaTheme="minorEastAsia"/>
          <w:color w:val="auto"/>
        </w:rPr>
      </w:pPr>
      <w:bookmarkStart w:id="4" w:name="_Toc11035"/>
      <w:bookmarkStart w:id="5" w:name="_Toc20414"/>
      <w:bookmarkStart w:id="6" w:name="_Toc27654"/>
      <w:bookmarkStart w:id="7" w:name="_Toc12399"/>
      <w:bookmarkStart w:id="8" w:name="_Toc26869"/>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sectPr>
          <w:footerReference r:id="rId5" w:type="default"/>
          <w:pgSz w:w="11900" w:h="16840"/>
          <w:pgMar w:top="1451" w:right="1757" w:bottom="1340" w:left="1757" w:header="850" w:footer="992" w:gutter="0"/>
          <w:pgBorders>
            <w:top w:val="none" w:sz="0" w:space="0"/>
            <w:left w:val="none" w:sz="0" w:space="0"/>
            <w:bottom w:val="none" w:sz="0" w:space="0"/>
            <w:right w:val="none" w:sz="0" w:space="0"/>
          </w:pgBorders>
          <w:pgNumType w:fmt="decimal" w:start="1"/>
          <w:cols w:space="720" w:num="1"/>
        </w:sectPr>
      </w:pP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1前言</w:t>
      </w:r>
      <w:bookmarkEnd w:id="4"/>
      <w:bookmarkEnd w:id="5"/>
      <w:bookmarkEnd w:id="6"/>
      <w:bookmarkEnd w:id="7"/>
      <w:bookmarkEnd w:id="8"/>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9" w:name="_Toc16229"/>
      <w:bookmarkStart w:id="10" w:name="_Toc19672"/>
      <w:bookmarkStart w:id="11" w:name="_Toc10859"/>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环境风险是指突发性事故造成的重大环境污染的事件，其特点是危害大、影响范围广、发生概率具有很大的不确定性。环境风险评价目的是分析和预测存在的潜在危险、有害因素，可能发生的突发性事件或事故，引起有毒有害和易燃易爆等物质泄漏，所造成的人身安全与环境影响和损害程度，提出合理可行的防范、应急与减缓措施，以使事故率、损失和环境影响达到可接受水平。</w:t>
      </w:r>
      <w:bookmarkEnd w:id="9"/>
      <w:bookmarkEnd w:id="10"/>
      <w:bookmarkEnd w:id="11"/>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12" w:name="_Toc2480"/>
      <w:bookmarkStart w:id="13" w:name="_Toc21421"/>
      <w:bookmarkStart w:id="14" w:name="_Toc10234"/>
      <w:r>
        <w:rPr>
          <w:rFonts w:hint="default" w:ascii="Times New Roman" w:hAnsi="Times New Roman" w:cs="Times New Roman" w:eastAsiaTheme="minorEastAsia"/>
          <w:color w:val="auto"/>
          <w:sz w:val="24"/>
          <w:szCs w:val="24"/>
        </w:rPr>
        <w:t>环境风险评估的最终目的是确定各种政策法规或生态环境的风险大小，以及确定什么样的风险水平是社会和公众可接受的，如何将无法接受的风险水平降至社会可接受的最低限度。 环境风险评估是环境管理的科学基础和重要依据。环境风险评估主要评价人为环境风险，即预测人类活动引起的危害生态环境事件的发生概率，以及在不同概率下时间后果的严重性，并决定采取适宜的对策。</w:t>
      </w:r>
      <w:bookmarkEnd w:id="12"/>
      <w:bookmarkEnd w:id="13"/>
      <w:bookmarkEnd w:id="14"/>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15" w:name="_Toc30372"/>
      <w:bookmarkStart w:id="16" w:name="_Toc5199"/>
      <w:r>
        <w:rPr>
          <w:rFonts w:hint="default" w:ascii="Times New Roman" w:hAnsi="Times New Roman" w:cs="Times New Roman" w:eastAsiaTheme="minorEastAsia"/>
          <w:color w:val="auto"/>
          <w:sz w:val="24"/>
          <w:szCs w:val="24"/>
        </w:rPr>
        <w:t>公司运行过程中涉及的原材料部分为具有可燃性并具有毒性的物料，这些物料具有一定的潜在危险性。在突发性的事故状态下，如果不采取有效措施，一旦释放出来，将会对环境造成不利影响。通过评价，了解全厂主要风险事故隐患、主要危险源和危害程度，提出可行的环境风险防范措施和应急预案。</w:t>
      </w:r>
      <w:bookmarkEnd w:id="15"/>
      <w:bookmarkEnd w:id="16"/>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bookmarkStart w:id="17" w:name="_Toc29989"/>
      <w:bookmarkStart w:id="18" w:name="_Toc13281"/>
      <w:bookmarkStart w:id="19" w:name="_Toc2454"/>
      <w:bookmarkStart w:id="20" w:name="_Toc28272"/>
      <w:bookmarkStart w:id="21" w:name="_Toc23531"/>
      <w:bookmarkStart w:id="22" w:name="_Toc24763"/>
      <w:bookmarkStart w:id="23" w:name="_Toc6749"/>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2总则</w:t>
      </w:r>
      <w:bookmarkEnd w:id="17"/>
      <w:bookmarkEnd w:id="18"/>
      <w:bookmarkEnd w:id="19"/>
      <w:bookmarkEnd w:id="20"/>
      <w:bookmarkEnd w:id="21"/>
      <w:bookmarkEnd w:id="22"/>
      <w:bookmarkEnd w:id="23"/>
    </w:p>
    <w:p>
      <w:pPr>
        <w:pStyle w:val="5"/>
        <w:outlineLvl w:val="1"/>
        <w:rPr>
          <w:rFonts w:hint="default" w:ascii="Times New Roman" w:hAnsi="Times New Roman" w:cs="Times New Roman" w:eastAsiaTheme="minorEastAsia"/>
          <w:color w:val="auto"/>
        </w:rPr>
      </w:pPr>
      <w:bookmarkStart w:id="24" w:name="_Toc21946"/>
      <w:bookmarkStart w:id="25" w:name="_Toc21496"/>
      <w:bookmarkStart w:id="26" w:name="_Toc9883"/>
      <w:bookmarkStart w:id="27" w:name="_Toc26202"/>
      <w:bookmarkStart w:id="28" w:name="_Toc32334"/>
      <w:bookmarkStart w:id="29" w:name="_Toc3304"/>
      <w:bookmarkStart w:id="30" w:name="_Toc25317"/>
      <w:r>
        <w:rPr>
          <w:rFonts w:hint="default" w:ascii="Times New Roman" w:hAnsi="Times New Roman" w:cs="Times New Roman" w:eastAsiaTheme="minorEastAsia"/>
          <w:color w:val="auto"/>
        </w:rPr>
        <w:t>2.1编制目的</w:t>
      </w:r>
      <w:bookmarkEnd w:id="24"/>
      <w:bookmarkEnd w:id="25"/>
      <w:bookmarkEnd w:id="26"/>
      <w:bookmarkEnd w:id="27"/>
      <w:bookmarkEnd w:id="28"/>
      <w:bookmarkEnd w:id="29"/>
      <w:bookmarkEnd w:id="30"/>
    </w:p>
    <w:p>
      <w:pPr>
        <w:pStyle w:val="14"/>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31" w:name="_Toc6158"/>
      <w:bookmarkStart w:id="32" w:name="_Toc22531"/>
      <w:r>
        <w:rPr>
          <w:rFonts w:hint="default" w:ascii="Times New Roman" w:hAnsi="Times New Roman" w:cs="Times New Roman" w:eastAsiaTheme="minorEastAsia"/>
          <w:color w:val="auto"/>
          <w:sz w:val="24"/>
          <w:szCs w:val="24"/>
        </w:rPr>
        <w:t>为贯彻《中华人民共和国突发事件应对法》及其他国家法律、法规和有关文件的要求，有效预防、快速控制和及时消除突发性环境污染事件的危害，进一步增强公司对突发环境事件的应急反应能力，有效防范环境污染事故，防止重大生产安全事故发生，完善应急管理机制，迅速有效地控制和处置可能发生的事故，切实加强和规范环境风险源的监控和环境污染事件应急的措施，全面控制和消除污染，维护自然生态环境，保障人民身心健康，确保社会稳定和环境安全，将事故造成的环境影响降至最小，维护社会稳定，制定了《</w:t>
      </w:r>
      <w:r>
        <w:rPr>
          <w:rFonts w:hint="eastAsia" w:cs="Times New Roman" w:eastAsiaTheme="minorEastAsia"/>
          <w:color w:val="auto"/>
          <w:sz w:val="24"/>
          <w:szCs w:val="24"/>
          <w:lang w:eastAsia="zh-CN"/>
        </w:rPr>
        <w:t>江西中天智能装备股份有限公司突发环境事件应急预案</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Cs w:val="28"/>
        </w:rPr>
      </w:pPr>
      <w:r>
        <w:rPr>
          <w:rFonts w:hint="default" w:ascii="Times New Roman" w:hAnsi="Times New Roman" w:cs="Times New Roman" w:eastAsiaTheme="minorEastAsia"/>
          <w:color w:val="auto"/>
          <w:sz w:val="24"/>
          <w:szCs w:val="24"/>
        </w:rPr>
        <w:t>该预案是本单位生产过程中实施突发环境事件应急预案救援的规范性文件，用于指导单位在该项目生产过程中突发环境事件应急预案救援行动。</w:t>
      </w:r>
    </w:p>
    <w:p>
      <w:pPr>
        <w:pStyle w:val="5"/>
        <w:ind w:firstLine="643"/>
        <w:outlineLvl w:val="1"/>
        <w:rPr>
          <w:rFonts w:hint="default" w:ascii="Times New Roman" w:hAnsi="Times New Roman" w:cs="Times New Roman" w:eastAsiaTheme="minorEastAsia"/>
          <w:color w:val="auto"/>
        </w:rPr>
      </w:pPr>
      <w:bookmarkStart w:id="33" w:name="_Toc17790"/>
      <w:bookmarkStart w:id="34" w:name="_Toc23625"/>
      <w:bookmarkStart w:id="35" w:name="_Toc14965"/>
      <w:bookmarkStart w:id="36" w:name="_Toc24088"/>
      <w:bookmarkStart w:id="37" w:name="_Toc24351"/>
      <w:r>
        <w:rPr>
          <w:rFonts w:hint="default" w:ascii="Times New Roman" w:hAnsi="Times New Roman" w:cs="Times New Roman" w:eastAsiaTheme="minorEastAsia"/>
          <w:color w:val="auto"/>
        </w:rPr>
        <w:t>2.2编制依据</w:t>
      </w:r>
      <w:bookmarkEnd w:id="31"/>
      <w:bookmarkEnd w:id="32"/>
      <w:bookmarkEnd w:id="33"/>
      <w:bookmarkEnd w:id="34"/>
      <w:bookmarkEnd w:id="35"/>
      <w:bookmarkEnd w:id="36"/>
      <w:bookmarkEnd w:id="37"/>
    </w:p>
    <w:p>
      <w:pPr>
        <w:keepNext w:val="0"/>
        <w:keepLines w:val="0"/>
        <w:pageBreakBefore w:val="0"/>
        <w:widowControl w:val="0"/>
        <w:kinsoku/>
        <w:wordWrap/>
        <w:overflowPunct/>
        <w:topLinePunct w:val="0"/>
        <w:autoSpaceDE w:val="0"/>
        <w:autoSpaceDN w:val="0"/>
        <w:bidi w:val="0"/>
        <w:adjustRightInd/>
        <w:snapToGrid/>
        <w:spacing w:line="360" w:lineRule="auto"/>
        <w:ind w:firstLine="442" w:firstLineChars="200"/>
        <w:textAlignment w:val="auto"/>
        <w:outlineLvl w:val="1"/>
        <w:rPr>
          <w:rFonts w:hint="default" w:ascii="Times New Roman" w:hAnsi="Times New Roman" w:cs="Times New Roman" w:eastAsiaTheme="minorEastAsia"/>
          <w:color w:val="auto"/>
        </w:rPr>
      </w:pPr>
      <w:bookmarkStart w:id="38" w:name="_Toc894"/>
      <w:bookmarkStart w:id="39" w:name="_Toc5605"/>
      <w:bookmarkStart w:id="40" w:name="_Toc25003"/>
      <w:bookmarkStart w:id="41" w:name="_Toc6435"/>
      <w:bookmarkStart w:id="42" w:name="_Toc5241"/>
      <w:bookmarkStart w:id="43" w:name="_Toc18988"/>
      <w:r>
        <w:rPr>
          <w:rFonts w:hint="default" w:ascii="Times New Roman" w:hAnsi="Times New Roman" w:cs="Times New Roman" w:eastAsiaTheme="minorEastAsia"/>
          <w:b/>
          <w:bCs/>
          <w:color w:val="auto"/>
        </w:rPr>
        <w:t>法律法规及相关规定：</w:t>
      </w:r>
      <w:bookmarkEnd w:id="38"/>
      <w:bookmarkEnd w:id="39"/>
      <w:bookmarkEnd w:id="40"/>
      <w:bookmarkEnd w:id="41"/>
      <w:bookmarkEnd w:id="42"/>
      <w:bookmarkEnd w:id="43"/>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(1)《中华人民共和国环境保护法》，2015年1月1日起施行；</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(2)《中华人民共和国大气污染防治法》，2018年10月26日起施行；</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(3)</w:t>
      </w:r>
      <w:r>
        <w:rPr>
          <w:rFonts w:hint="default" w:ascii="Times New Roman" w:hAnsi="Times New Roman" w:cs="Times New Roman" w:eastAsiaTheme="minorEastAsia"/>
          <w:color w:val="auto"/>
          <w:sz w:val="24"/>
          <w:szCs w:val="24"/>
        </w:rPr>
        <w:t>《中华人民共和国水污染防治法》（2017年修正）；</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sz w:val="24"/>
          <w:szCs w:val="22"/>
          <w:lang w:val="en-US"/>
        </w:rPr>
        <w:t>(4)《中华人民共和国固体废物污染环境防治法</w:t>
      </w:r>
      <w:r>
        <w:rPr>
          <w:rFonts w:hint="default" w:ascii="Times New Roman" w:hAnsi="Times New Roman" w:cs="Times New Roman" w:eastAsiaTheme="minorEastAsia"/>
          <w:color w:val="auto"/>
          <w:kern w:val="2"/>
          <w:sz w:val="24"/>
          <w:szCs w:val="24"/>
          <w:lang w:val="en-US" w:eastAsia="zh-CN" w:bidi="ar-SA"/>
        </w:rPr>
        <w:t>》(20</w:t>
      </w:r>
      <w:r>
        <w:rPr>
          <w:rFonts w:hint="eastAsia" w:ascii="Times New Roman" w:hAnsi="Times New Roman" w:cs="Times New Roman" w:eastAsiaTheme="minorEastAsia"/>
          <w:color w:val="auto"/>
          <w:kern w:val="2"/>
          <w:sz w:val="24"/>
          <w:szCs w:val="24"/>
          <w:lang w:val="en-US" w:eastAsia="zh-CN" w:bidi="ar-SA"/>
        </w:rPr>
        <w:t>20年9月1号施行</w:t>
      </w:r>
      <w:r>
        <w:rPr>
          <w:rFonts w:hint="default" w:ascii="Times New Roman" w:hAnsi="Times New Roman" w:cs="Times New Roman" w:eastAsiaTheme="minorEastAsia"/>
          <w:color w:val="auto"/>
          <w:kern w:val="2"/>
          <w:sz w:val="24"/>
          <w:szCs w:val="24"/>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(5)《中华人民共和国安全生产法》(</w:t>
      </w:r>
      <w:r>
        <w:rPr>
          <w:rFonts w:hint="eastAsia" w:ascii="Times New Roman" w:hAnsi="Times New Roman" w:cs="Times New Roman" w:eastAsiaTheme="minorEastAsia"/>
          <w:color w:val="auto"/>
          <w:kern w:val="2"/>
          <w:sz w:val="24"/>
          <w:szCs w:val="24"/>
          <w:lang w:val="en-US" w:eastAsia="zh-CN" w:bidi="ar-SA"/>
        </w:rPr>
        <w:t>2021年9月1日实施</w:t>
      </w:r>
      <w:r>
        <w:rPr>
          <w:rFonts w:hint="default" w:ascii="Times New Roman" w:hAnsi="Times New Roman" w:cs="Times New Roman" w:eastAsiaTheme="minorEastAsia"/>
          <w:color w:val="auto"/>
          <w:kern w:val="2"/>
          <w:sz w:val="24"/>
          <w:szCs w:val="24"/>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(6)《中华人民共和国突发事件应对法》，2007年11月1日起施行；</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(7)《国务院关于全面加强应急管理工作的意见》，国发[2006]24号，2006年6月15日；</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(8)《国务院办公厅关于加强基层应急管理工作的意见》，国办发[2007]52号，2007年7月31日；</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(9)《关于进一步加强环境影响评价管理防范环境风险的通知》，环发[2012]77号，2012年07月03日生成；</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(10)《关于印发&lt;突发环境事件应急处置阶段污染损害评估工作程序规定&gt;的通知》，环发[2013]85号，2013年8月30日；</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(11)《使用有毒物品作业场所劳动保护条例》，国务院令第352号，2002年5月12日公布并施行；</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(12)《关于印发&lt;突发环境事件应急预案管理暂行办法&gt;的通知》，环发[2010]113号，2010年9月28日；</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(13)关于印发《企业事业单位突发环境事件应急预案备案管理办法（试行）》的通知，环发[2015]4号；</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(14)《突发环境事件应急管理办法》（环境保护部34号令），2015年6月5日起施行；</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(15)《突发环境事件信息报告办法》(环境保护部第17号令)；</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(16）《突发环境事件应急管理办法》(环境保护部令第34号)；</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(17）《建设项目环境风险评价技术导则》（HJ/T169-2018）；</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(18)《国家危险废物名录》（</w:t>
      </w:r>
      <w:r>
        <w:rPr>
          <w:rFonts w:hint="eastAsia" w:cs="Times New Roman" w:eastAsiaTheme="minorEastAsia"/>
          <w:color w:val="auto"/>
          <w:sz w:val="24"/>
          <w:szCs w:val="24"/>
          <w:lang w:val="en-US" w:eastAsia="zh-CN"/>
        </w:rPr>
        <w:t>2021版</w:t>
      </w:r>
      <w:r>
        <w:rPr>
          <w:rFonts w:hint="default" w:ascii="Times New Roman" w:hAnsi="Times New Roman" w:cs="Times New Roman" w:eastAsiaTheme="minorEastAsia"/>
          <w:color w:val="auto"/>
          <w:sz w:val="24"/>
          <w:szCs w:val="24"/>
        </w:rPr>
        <w:t>）；</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(19)《危险化学品目录》（2018版）；</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(20)《重点监管危险化工工艺目录》（2013版）；</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(21)《危险化学品重大危险源辨识》（GB18218-2018）；</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(22)《国家突发环境事件应急预案》（国办函〔2014〕119号）；</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(23)《工作场所有害因素职业接触限值第1部分：化学有害因素》（GBZ2.1-2007）；</w:t>
      </w:r>
    </w:p>
    <w:p>
      <w:pPr>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outlineLvl w:val="1"/>
        <w:rPr>
          <w:rFonts w:hint="default" w:ascii="Times New Roman" w:hAnsi="Times New Roman" w:cs="Times New Roman" w:eastAsiaTheme="minorEastAsia"/>
          <w:b/>
          <w:bCs/>
          <w:color w:val="auto"/>
          <w:sz w:val="24"/>
          <w:szCs w:val="24"/>
        </w:rPr>
      </w:pPr>
      <w:bookmarkStart w:id="44" w:name="_Toc1060"/>
      <w:bookmarkStart w:id="45" w:name="_Toc26336"/>
      <w:bookmarkStart w:id="46" w:name="_Toc28725"/>
      <w:bookmarkStart w:id="47" w:name="_Toc32558"/>
      <w:bookmarkStart w:id="48" w:name="_Toc11491"/>
      <w:bookmarkStart w:id="49" w:name="_Toc6784"/>
      <w:r>
        <w:rPr>
          <w:rFonts w:hint="default" w:ascii="Times New Roman" w:hAnsi="Times New Roman" w:cs="Times New Roman" w:eastAsiaTheme="minorEastAsia"/>
          <w:b/>
          <w:bCs/>
          <w:color w:val="auto"/>
          <w:sz w:val="24"/>
          <w:szCs w:val="24"/>
        </w:rPr>
        <w:t>执行标准及技术规范：</w:t>
      </w:r>
      <w:bookmarkEnd w:id="44"/>
      <w:bookmarkEnd w:id="45"/>
      <w:bookmarkEnd w:id="46"/>
      <w:bookmarkEnd w:id="47"/>
      <w:bookmarkEnd w:id="48"/>
      <w:bookmarkEnd w:id="49"/>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（1）《地表水环境质量标准》（GB3838-2002）；</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（2）《环境空气质量标准》（GB3095-2012）；</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（3）《地下水质量标准》（GB/T14848-2017）；</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（4）《突发环境事件应急监测技术规范》（HJ589-20</w:t>
      </w:r>
      <w:r>
        <w:rPr>
          <w:rFonts w:hint="eastAsia" w:ascii="Times New Roman" w:hAnsi="Times New Roman" w:cs="Times New Roman" w:eastAsiaTheme="minorEastAsia"/>
          <w:color w:val="auto"/>
          <w:sz w:val="24"/>
          <w:szCs w:val="24"/>
          <w:lang w:val="en-US" w:eastAsia="zh-CN"/>
        </w:rPr>
        <w:t>21</w:t>
      </w:r>
      <w:r>
        <w:rPr>
          <w:rFonts w:hint="default" w:ascii="Times New Roman" w:hAnsi="Times New Roman" w:cs="Times New Roman" w:eastAsiaTheme="minorEastAsia"/>
          <w:color w:val="auto"/>
          <w:sz w:val="24"/>
          <w:szCs w:val="24"/>
        </w:rPr>
        <w:t>）；</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（5）《危险化学品重大危险源安全监控通用技术规范》（AQ3035-2010）；</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（6）《大气污染物综合排放标准》（GB16297-1996）；</w:t>
      </w:r>
    </w:p>
    <w:p>
      <w:pPr>
        <w:pStyle w:val="48"/>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（7）《污水综合排放标准》（GB8978-1996）；</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（8）《危险化学品应急救援指南》（ERG2000）；</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（9）《常用危险化学品贮存通则》（GB15603-1995）；</w:t>
      </w:r>
    </w:p>
    <w:p>
      <w:pPr>
        <w:keepNext w:val="0"/>
        <w:keepLines w:val="0"/>
        <w:pageBreakBefore w:val="0"/>
        <w:widowControl w:val="0"/>
        <w:kinsoku/>
        <w:wordWrap/>
        <w:overflowPunct/>
        <w:topLinePunct w:val="0"/>
        <w:autoSpaceDE w:val="0"/>
        <w:autoSpaceDN w:val="0"/>
        <w:bidi w:val="0"/>
        <w:adjustRightInd/>
        <w:snapToGrid/>
        <w:spacing w:line="360" w:lineRule="auto"/>
        <w:ind w:left="0" w:firstLine="480" w:firstLineChars="200"/>
        <w:textAlignment w:val="auto"/>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（10）《一般工业固体废物贮存、处置场污染控制标准》(GB18599-20</w:t>
      </w:r>
      <w:r>
        <w:rPr>
          <w:rFonts w:hint="eastAsia" w:cs="Times New Roman" w:eastAsiaTheme="minorEastAsia"/>
          <w:color w:val="auto"/>
          <w:sz w:val="24"/>
          <w:szCs w:val="24"/>
          <w:lang w:val="en-US" w:eastAsia="zh-CN"/>
        </w:rPr>
        <w:t>20</w:t>
      </w:r>
      <w:r>
        <w:rPr>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lang w:eastAsia="zh-CN"/>
        </w:rPr>
        <w:t>；</w:t>
      </w:r>
    </w:p>
    <w:p>
      <w:pPr>
        <w:pStyle w:val="5"/>
        <w:ind w:firstLine="643"/>
        <w:outlineLvl w:val="1"/>
        <w:rPr>
          <w:rFonts w:hint="default" w:ascii="Times New Roman" w:hAnsi="Times New Roman" w:cs="Times New Roman" w:eastAsiaTheme="minorEastAsia"/>
          <w:color w:val="auto"/>
        </w:rPr>
      </w:pPr>
      <w:bookmarkStart w:id="50" w:name="_Toc11225"/>
      <w:bookmarkStart w:id="51" w:name="_Toc25314"/>
      <w:bookmarkStart w:id="52" w:name="_Toc16568"/>
      <w:bookmarkStart w:id="53" w:name="_Toc25590"/>
      <w:bookmarkStart w:id="54" w:name="_Toc15964"/>
      <w:bookmarkStart w:id="55" w:name="_Toc18353"/>
      <w:bookmarkStart w:id="56" w:name="_Toc22907"/>
      <w:r>
        <w:rPr>
          <w:rFonts w:hint="default" w:ascii="Times New Roman" w:hAnsi="Times New Roman" w:cs="Times New Roman" w:eastAsiaTheme="minorEastAsia"/>
          <w:color w:val="auto"/>
        </w:rPr>
        <w:t>2.3工作原则</w:t>
      </w:r>
      <w:bookmarkEnd w:id="50"/>
      <w:bookmarkEnd w:id="51"/>
      <w:bookmarkEnd w:id="52"/>
      <w:bookmarkEnd w:id="53"/>
      <w:bookmarkEnd w:id="54"/>
      <w:bookmarkEnd w:id="55"/>
      <w:bookmarkEnd w:id="56"/>
    </w:p>
    <w:p>
      <w:pPr>
        <w:ind w:firstLine="560"/>
        <w:outlineLvl w:val="0"/>
        <w:rPr>
          <w:rFonts w:hint="default" w:ascii="Times New Roman" w:hAnsi="Times New Roman" w:cs="Times New Roman" w:eastAsiaTheme="minorEastAsia"/>
          <w:color w:val="auto"/>
          <w:sz w:val="24"/>
          <w:szCs w:val="22"/>
        </w:rPr>
      </w:pPr>
      <w:bookmarkStart w:id="57" w:name="_Toc8263"/>
      <w:bookmarkStart w:id="58" w:name="_Toc6326"/>
      <w:r>
        <w:rPr>
          <w:rFonts w:hint="default" w:ascii="Times New Roman" w:hAnsi="Times New Roman" w:cs="Times New Roman" w:eastAsiaTheme="minorEastAsia"/>
          <w:color w:val="auto"/>
          <w:sz w:val="24"/>
          <w:szCs w:val="22"/>
        </w:rPr>
        <w:t>编制应急预案的依据原则</w:t>
      </w:r>
      <w:bookmarkEnd w:id="57"/>
      <w:bookmarkEnd w:id="58"/>
    </w:p>
    <w:p>
      <w:pPr>
        <w:ind w:firstLine="560"/>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（一）以人为本，安全第一原则。以落实实践科学发展观为准绳，把保障人民群众生命财产安全， 最大限度地预防和减少突发事件所造成的损失作为首要任务。</w:t>
      </w:r>
    </w:p>
    <w:p>
      <w:pPr>
        <w:ind w:firstLine="560"/>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（二）统一领导，分级负责原则。在本单位领导统一组织下，发挥各职能部门作用，逐级落实安全生产责任，建立完善的突发事件应急管理机制。</w:t>
      </w:r>
    </w:p>
    <w:p>
      <w:pPr>
        <w:ind w:firstLine="560"/>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（三）依靠科学，依法规范原则。科学技术是第一生产力， 利用现代科学技术，发挥专业技术人员作用，依照行业安全生产法规，规范应急救援工作。</w:t>
      </w:r>
    </w:p>
    <w:p>
      <w:pPr>
        <w:ind w:firstLine="560"/>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四）预防为主，平战结合原则。认真贯彻安全第一，预防为主，综合治理的基本方针，坚持突发事件应急与预防工作相结合，重点做好预防、预测、预警、预报和常态下风险评估、应急准备、应急队伍建设、应急演练等项工作。确保应急预案的科学性、权威性、规范性和可操作性。</w:t>
      </w: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bookmarkStart w:id="59" w:name="_Toc3289"/>
      <w:bookmarkStart w:id="60" w:name="_Toc1349"/>
      <w:bookmarkStart w:id="61" w:name="_Toc9257"/>
      <w:bookmarkStart w:id="62" w:name="_Toc6763"/>
      <w:bookmarkStart w:id="63" w:name="_Toc24391"/>
      <w:bookmarkStart w:id="64" w:name="_Toc593"/>
      <w:bookmarkStart w:id="65" w:name="_Toc22854"/>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p>
    <w:p>
      <w:pPr>
        <w:pStyle w:val="4"/>
        <w:spacing w:after="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3</w:t>
      </w:r>
      <w:bookmarkEnd w:id="59"/>
      <w:bookmarkEnd w:id="60"/>
      <w:r>
        <w:rPr>
          <w:rFonts w:hint="default" w:ascii="Times New Roman" w:hAnsi="Times New Roman" w:cs="Times New Roman" w:eastAsiaTheme="minorEastAsia"/>
          <w:color w:val="auto"/>
        </w:rPr>
        <w:t>资料准备与风险识别</w:t>
      </w:r>
      <w:bookmarkEnd w:id="61"/>
      <w:bookmarkEnd w:id="62"/>
      <w:bookmarkEnd w:id="63"/>
      <w:bookmarkEnd w:id="64"/>
      <w:bookmarkEnd w:id="65"/>
    </w:p>
    <w:p>
      <w:pPr>
        <w:pStyle w:val="5"/>
        <w:ind w:firstLine="643"/>
        <w:outlineLvl w:val="1"/>
        <w:rPr>
          <w:rFonts w:hint="default" w:ascii="Times New Roman" w:hAnsi="Times New Roman" w:cs="Times New Roman" w:eastAsiaTheme="minorEastAsia"/>
          <w:color w:val="auto"/>
        </w:rPr>
      </w:pPr>
      <w:bookmarkStart w:id="66" w:name="_Toc23132"/>
      <w:bookmarkStart w:id="67" w:name="_Toc17991"/>
      <w:bookmarkStart w:id="68" w:name="_Toc22250"/>
      <w:bookmarkStart w:id="69" w:name="_Toc20149"/>
      <w:bookmarkStart w:id="70" w:name="_Toc22857"/>
      <w:bookmarkStart w:id="71" w:name="_Toc2332"/>
      <w:bookmarkStart w:id="72" w:name="_Toc7615"/>
      <w:r>
        <w:rPr>
          <w:rFonts w:hint="default" w:ascii="Times New Roman" w:hAnsi="Times New Roman" w:cs="Times New Roman" w:eastAsiaTheme="minorEastAsia"/>
          <w:color w:val="auto"/>
        </w:rPr>
        <w:t>3.1企业基本信息</w:t>
      </w:r>
      <w:bookmarkEnd w:id="66"/>
      <w:bookmarkEnd w:id="67"/>
      <w:bookmarkEnd w:id="68"/>
      <w:bookmarkEnd w:id="69"/>
      <w:bookmarkEnd w:id="70"/>
      <w:bookmarkEnd w:id="71"/>
      <w:bookmarkEnd w:id="72"/>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lang w:val="en-US" w:eastAsia="zh-CN"/>
        </w:rPr>
      </w:pPr>
      <w:bookmarkStart w:id="73" w:name="_Toc22454"/>
      <w:bookmarkStart w:id="74" w:name="_Toc26046"/>
      <w:r>
        <w:rPr>
          <w:rFonts w:hint="eastAsia"/>
          <w:sz w:val="24"/>
          <w:szCs w:val="24"/>
          <w:lang w:val="en-US" w:eastAsia="zh-CN"/>
        </w:rPr>
        <w:t>江西中天智能装备股份有限公司位于江西省宜春经济技术开发区（厂区中心地理位置坐标东经 114°23′19.807″、北纬 27°53′50.653″），建设年产 2000 台塔式起重机、施工电梯、立体车库机械制造项目；以及年喷涂60000件塔机标准节项目等。</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sz w:val="24"/>
          <w:szCs w:val="24"/>
          <w:lang w:eastAsia="zh-CN"/>
        </w:rPr>
      </w:pPr>
      <w:r>
        <w:rPr>
          <w:rFonts w:hint="eastAsia"/>
          <w:sz w:val="24"/>
          <w:szCs w:val="24"/>
          <w:lang w:eastAsia="zh-CN"/>
        </w:rPr>
        <w:t>江西中天智能装备股份有限公司是以国家大型国防兵工企业为背景成立的民 营股份制有限公司，公司自 2003 年成立起生产起重机至今。公司原名为江西中天机械有限公司，2020 年7月变更为现有名称江西中天智能装备股份有限公司。项目建设地点位于江西省宜春经济开发区,地理坐标东经 114°23′</w:t>
      </w:r>
      <w:r>
        <w:rPr>
          <w:rFonts w:hint="eastAsia"/>
          <w:sz w:val="24"/>
          <w:szCs w:val="24"/>
          <w:lang w:val="en-US" w:eastAsia="zh-CN"/>
        </w:rPr>
        <w:t>19.807</w:t>
      </w:r>
      <w:r>
        <w:rPr>
          <w:rFonts w:hint="eastAsia"/>
          <w:sz w:val="24"/>
          <w:szCs w:val="24"/>
          <w:lang w:eastAsia="zh-CN"/>
        </w:rPr>
        <w:t>″、北纬 27°53′</w:t>
      </w:r>
      <w:r>
        <w:rPr>
          <w:rFonts w:hint="eastAsia"/>
          <w:sz w:val="24"/>
          <w:szCs w:val="24"/>
          <w:lang w:val="en-US" w:eastAsia="zh-CN"/>
        </w:rPr>
        <w:t>50.653</w:t>
      </w:r>
      <w:r>
        <w:rPr>
          <w:rFonts w:hint="eastAsia"/>
          <w:sz w:val="24"/>
          <w:szCs w:val="24"/>
          <w:lang w:eastAsia="zh-CN"/>
        </w:rPr>
        <w:t>″。项目于2012年 1月委托宜春市环境科学研究所编制完成《江西中天机械有限公司年产 2000 台塔式起重机、施工电梯、立体车库机械制造项目环境影响报告书》。2012 年 1 月 18 日得到宜春市环境保护局《关于对江西中天机械有限公司年产 2000 台塔式起重机、施工电梯、立体车库机械制造项目环境影响报告书的批复》（宜环评字【2012】11 号）。</w:t>
      </w:r>
      <w:r>
        <w:rPr>
          <w:rFonts w:hint="eastAsia"/>
          <w:sz w:val="24"/>
          <w:szCs w:val="24"/>
          <w:lang w:val="en-US" w:eastAsia="zh-CN"/>
        </w:rPr>
        <w:t>2022年10月委托宜春市宜春市益鑫环保科技有限公司编制了《</w:t>
      </w:r>
      <w:r>
        <w:rPr>
          <w:rFonts w:hint="eastAsia"/>
          <w:sz w:val="24"/>
          <w:szCs w:val="24"/>
          <w:lang w:eastAsia="zh-CN"/>
        </w:rPr>
        <w:t>江西中天智能装备股份有限公司年喷涂60000件塔机标准节项目</w:t>
      </w:r>
      <w:r>
        <w:rPr>
          <w:rFonts w:hint="eastAsia"/>
          <w:sz w:val="24"/>
          <w:szCs w:val="24"/>
          <w:lang w:val="en-US" w:eastAsia="zh-CN"/>
        </w:rPr>
        <w:t>》并获得相应的批复。</w:t>
      </w:r>
      <w:r>
        <w:rPr>
          <w:rFonts w:hint="eastAsia"/>
          <w:sz w:val="24"/>
          <w:szCs w:val="24"/>
          <w:lang w:eastAsia="zh-CN"/>
        </w:rPr>
        <w:t>环保设施与主体工程同时设计、 同时施工、同时投入使用，基本执行了国家有关建设项目环保审批手续及“三同时 ”制度。 项 目 已 于 2020 年 7 月 23 日 申 领 了 排 污 许 可 证 ， 许 可 证 编 号 为91360900751126819N001Q，</w:t>
      </w:r>
      <w:r>
        <w:rPr>
          <w:rFonts w:hint="eastAsia"/>
          <w:sz w:val="24"/>
          <w:szCs w:val="24"/>
          <w:lang w:val="en-US" w:eastAsia="zh-CN"/>
        </w:rPr>
        <w:t>详见附件</w:t>
      </w:r>
      <w:r>
        <w:rPr>
          <w:rFonts w:hint="eastAsia"/>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sz w:val="24"/>
          <w:szCs w:val="24"/>
          <w:lang w:eastAsia="zh-CN"/>
        </w:rPr>
      </w:pPr>
      <w:r>
        <w:rPr>
          <w:rFonts w:hint="eastAsia"/>
          <w:sz w:val="24"/>
          <w:szCs w:val="24"/>
        </w:rPr>
        <w:t>主要建设内容包括：生产系统、储运系统、公用系统、环保污水系统。项目以</w:t>
      </w:r>
      <w:r>
        <w:rPr>
          <w:rFonts w:hint="eastAsia"/>
          <w:sz w:val="24"/>
          <w:szCs w:val="24"/>
          <w:lang w:val="en-US" w:eastAsia="zh-CN"/>
        </w:rPr>
        <w:t>为冷轧钢、热轧钢、除油剂、硅烷处理剂、塑粉、电梯组装套件、焊条、水、电、油漆、稀释剂、柴油（不储存）、天然气</w:t>
      </w:r>
      <w:r>
        <w:rPr>
          <w:rFonts w:hint="eastAsia"/>
          <w:sz w:val="24"/>
          <w:szCs w:val="24"/>
          <w:lang w:eastAsia="zh-CN"/>
        </w:rPr>
        <w:t>为主要原辅材料</w:t>
      </w:r>
      <w:r>
        <w:rPr>
          <w:rFonts w:hint="default"/>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sz w:val="24"/>
          <w:szCs w:val="24"/>
          <w:lang w:val="en-US" w:eastAsia="zh-CN"/>
        </w:rPr>
      </w:pPr>
      <w:r>
        <w:rPr>
          <w:rFonts w:hint="eastAsia"/>
          <w:sz w:val="24"/>
          <w:szCs w:val="24"/>
          <w:lang w:val="en-US" w:eastAsia="zh-CN"/>
        </w:rPr>
        <w:t>本公司员工人数为150人，年工作日300天，每天二班制，每班8小时。</w:t>
      </w:r>
    </w:p>
    <w:p>
      <w:pPr>
        <w:pStyle w:val="5"/>
        <w:outlineLvl w:val="1"/>
        <w:rPr>
          <w:rFonts w:hint="default" w:ascii="Times New Roman" w:hAnsi="Times New Roman" w:cs="Times New Roman" w:eastAsiaTheme="minorEastAsia"/>
          <w:color w:val="FF0000"/>
        </w:rPr>
      </w:pPr>
      <w:bookmarkStart w:id="75" w:name="_Toc17683"/>
      <w:bookmarkStart w:id="76" w:name="_Toc22045"/>
      <w:bookmarkStart w:id="77" w:name="_Toc21506"/>
      <w:r>
        <w:rPr>
          <w:rFonts w:hint="default" w:ascii="Times New Roman" w:hAnsi="Times New Roman" w:cs="Times New Roman" w:eastAsiaTheme="minorEastAsia"/>
          <w:color w:val="FF0000"/>
          <w:lang w:val="en-US" w:eastAsia="zh-CN"/>
        </w:rPr>
        <w:t>3.2</w:t>
      </w:r>
      <w:r>
        <w:rPr>
          <w:rFonts w:hint="default" w:ascii="Times New Roman" w:hAnsi="Times New Roman" w:cs="Times New Roman" w:eastAsiaTheme="minorEastAsia"/>
          <w:color w:val="FF0000"/>
        </w:rPr>
        <w:t>周边环境状况及环境保护目标情况</w:t>
      </w:r>
      <w:bookmarkEnd w:id="73"/>
      <w:bookmarkEnd w:id="74"/>
      <w:bookmarkEnd w:id="75"/>
      <w:bookmarkEnd w:id="76"/>
      <w:bookmarkEnd w:id="77"/>
    </w:p>
    <w:p>
      <w:pPr>
        <w:keepNext w:val="0"/>
        <w:keepLines w:val="0"/>
        <w:pageBreakBefore w:val="0"/>
        <w:widowControl/>
        <w:kinsoku w:val="0"/>
        <w:wordWrap/>
        <w:overflowPunct/>
        <w:topLinePunct w:val="0"/>
        <w:autoSpaceDE w:val="0"/>
        <w:autoSpaceDN w:val="0"/>
        <w:bidi w:val="0"/>
        <w:adjustRightInd w:val="0"/>
        <w:snapToGrid w:val="0"/>
        <w:spacing w:line="360" w:lineRule="auto"/>
        <w:ind w:right="-22" w:rightChars="-10" w:firstLine="524" w:firstLineChars="200"/>
        <w:textAlignment w:val="baseline"/>
        <w:rPr>
          <w:rFonts w:ascii="宋体" w:hAnsi="宋体" w:eastAsia="宋体" w:cs="宋体"/>
          <w:color w:val="FF0000"/>
          <w:sz w:val="24"/>
          <w:szCs w:val="24"/>
        </w:rPr>
      </w:pPr>
      <w:bookmarkStart w:id="78" w:name="_Toc24226"/>
      <w:bookmarkStart w:id="79" w:name="_Toc6521"/>
      <w:r>
        <w:rPr>
          <w:rFonts w:ascii="宋体" w:hAnsi="宋体" w:eastAsia="宋体" w:cs="宋体"/>
          <w:color w:val="FF0000"/>
          <w:spacing w:val="11"/>
          <w:sz w:val="24"/>
          <w:szCs w:val="24"/>
        </w:rPr>
        <w:t>项目位于宜春经济技术开发区经发大道</w:t>
      </w:r>
      <w:r>
        <w:rPr>
          <w:rFonts w:hint="eastAsia" w:ascii="宋体" w:hAnsi="宋体" w:eastAsia="宋体" w:cs="宋体"/>
          <w:color w:val="FF0000"/>
          <w:spacing w:val="11"/>
          <w:sz w:val="24"/>
          <w:szCs w:val="24"/>
          <w:lang w:val="en-US" w:eastAsia="zh-CN"/>
        </w:rPr>
        <w:t>西侧</w:t>
      </w:r>
      <w:r>
        <w:rPr>
          <w:rFonts w:ascii="宋体" w:hAnsi="宋体" w:eastAsia="宋体" w:cs="宋体"/>
          <w:color w:val="FF0000"/>
          <w:spacing w:val="11"/>
          <w:sz w:val="24"/>
          <w:szCs w:val="24"/>
        </w:rPr>
        <w:t xml:space="preserve"> (春一路以南，</w:t>
      </w:r>
      <w:r>
        <w:rPr>
          <w:rFonts w:hint="eastAsia" w:ascii="宋体" w:hAnsi="宋体" w:eastAsia="宋体" w:cs="宋体"/>
          <w:color w:val="FF0000"/>
          <w:spacing w:val="11"/>
          <w:sz w:val="24"/>
          <w:szCs w:val="24"/>
          <w:lang w:val="en-US" w:eastAsia="zh-CN"/>
        </w:rPr>
        <w:t>宜春</w:t>
      </w:r>
      <w:r>
        <w:rPr>
          <w:rFonts w:ascii="宋体" w:hAnsi="宋体" w:eastAsia="宋体" w:cs="宋体"/>
          <w:color w:val="FF0000"/>
          <w:spacing w:val="11"/>
          <w:sz w:val="24"/>
          <w:szCs w:val="24"/>
        </w:rPr>
        <w:t>大道以</w:t>
      </w:r>
      <w:r>
        <w:rPr>
          <w:rFonts w:hint="eastAsia" w:ascii="宋体" w:hAnsi="宋体" w:eastAsia="宋体" w:cs="宋体"/>
          <w:color w:val="FF0000"/>
          <w:spacing w:val="5"/>
          <w:sz w:val="24"/>
          <w:szCs w:val="24"/>
          <w:lang w:val="en-US" w:eastAsia="zh-CN"/>
        </w:rPr>
        <w:t>东</w:t>
      </w:r>
      <w:r>
        <w:rPr>
          <w:rFonts w:ascii="宋体" w:hAnsi="宋体" w:eastAsia="宋体" w:cs="宋体"/>
          <w:color w:val="FF0000"/>
          <w:spacing w:val="5"/>
          <w:sz w:val="24"/>
          <w:szCs w:val="24"/>
        </w:rPr>
        <w:t>)，项目评价范围内无名胜古迹、风景名胜区、 自然保护区、生</w:t>
      </w:r>
      <w:r>
        <w:rPr>
          <w:rFonts w:ascii="宋体" w:hAnsi="宋体" w:eastAsia="宋体" w:cs="宋体"/>
          <w:color w:val="FF0000"/>
          <w:spacing w:val="22"/>
          <w:sz w:val="24"/>
          <w:szCs w:val="24"/>
        </w:rPr>
        <w:t>态</w:t>
      </w:r>
      <w:r>
        <w:rPr>
          <w:rFonts w:ascii="宋体" w:hAnsi="宋体" w:eastAsia="宋体" w:cs="宋体"/>
          <w:color w:val="FF0000"/>
          <w:spacing w:val="12"/>
          <w:sz w:val="24"/>
          <w:szCs w:val="24"/>
        </w:rPr>
        <w:t>功</w:t>
      </w:r>
      <w:r>
        <w:rPr>
          <w:rFonts w:ascii="宋体" w:hAnsi="宋体" w:eastAsia="宋体" w:cs="宋体"/>
          <w:color w:val="FF0000"/>
          <w:spacing w:val="11"/>
          <w:sz w:val="24"/>
          <w:szCs w:val="24"/>
        </w:rPr>
        <w:t>能保护区和生活饮用水水源地保护区等环境敏感区，</w:t>
      </w:r>
      <w:r>
        <w:rPr>
          <w:rFonts w:hint="eastAsia" w:eastAsia="宋体"/>
          <w:color w:val="FF0000"/>
          <w:sz w:val="24"/>
          <w:lang w:val="en-US" w:eastAsia="zh-CN"/>
        </w:rPr>
        <w:t>污水处理厂尾</w:t>
      </w:r>
      <w:r>
        <w:rPr>
          <w:rFonts w:hint="eastAsia" w:eastAsia="宋体"/>
          <w:color w:val="FF0000"/>
          <w:sz w:val="24"/>
        </w:rPr>
        <w:t>水入袁河排污口下游最近取水口为下游25km袁州自来水厂取水口，取水规模4万m</w:t>
      </w:r>
      <w:r>
        <w:rPr>
          <w:rFonts w:hint="eastAsia" w:eastAsia="宋体"/>
          <w:color w:val="FF0000"/>
          <w:sz w:val="24"/>
          <w:vertAlign w:val="superscript"/>
        </w:rPr>
        <w:t>3</w:t>
      </w:r>
      <w:r>
        <w:rPr>
          <w:rFonts w:hint="eastAsia" w:eastAsia="宋体"/>
          <w:color w:val="FF0000"/>
          <w:sz w:val="24"/>
        </w:rPr>
        <w:t>/d</w:t>
      </w:r>
      <w:r>
        <w:rPr>
          <w:rFonts w:hint="eastAsia" w:eastAsia="宋体"/>
          <w:color w:val="FF0000"/>
          <w:sz w:val="24"/>
          <w:lang w:eastAsia="zh-CN"/>
        </w:rPr>
        <w:t>，</w:t>
      </w:r>
      <w:r>
        <w:rPr>
          <w:rFonts w:ascii="宋体" w:hAnsi="宋体" w:eastAsia="宋体" w:cs="宋体"/>
          <w:color w:val="FF0000"/>
          <w:spacing w:val="11"/>
          <w:sz w:val="24"/>
          <w:szCs w:val="24"/>
        </w:rPr>
        <w:t>具体环境保护目标分</w:t>
      </w:r>
      <w:r>
        <w:rPr>
          <w:rFonts w:ascii="宋体" w:hAnsi="宋体" w:eastAsia="宋体" w:cs="宋体"/>
          <w:color w:val="FF0000"/>
          <w:spacing w:val="7"/>
          <w:sz w:val="24"/>
          <w:szCs w:val="24"/>
        </w:rPr>
        <w:t>布情况见表</w:t>
      </w:r>
      <w:r>
        <w:rPr>
          <w:rFonts w:hint="default" w:ascii="Times New Roman" w:hAnsi="Times New Roman" w:eastAsia="宋体" w:cs="Times New Roman"/>
          <w:color w:val="FF0000"/>
          <w:spacing w:val="7"/>
          <w:sz w:val="24"/>
          <w:szCs w:val="24"/>
          <w:lang w:val="en-US" w:eastAsia="zh-CN"/>
        </w:rPr>
        <w:t>3-4</w:t>
      </w:r>
      <w:r>
        <w:rPr>
          <w:rFonts w:hint="default" w:ascii="Times New Roman" w:hAnsi="Times New Roman" w:eastAsia="宋体" w:cs="Times New Roman"/>
          <w:color w:val="FF0000"/>
          <w:spacing w:val="7"/>
          <w:sz w:val="24"/>
          <w:szCs w:val="24"/>
        </w:rPr>
        <w:t>。</w:t>
      </w:r>
    </w:p>
    <w:p>
      <w:pPr>
        <w:pStyle w:val="93"/>
        <w:ind w:firstLine="482"/>
        <w:rPr>
          <w:rFonts w:hint="eastAsia" w:ascii="Times New Roman" w:hAnsi="Times New Roman" w:eastAsia="宋体" w:cs="Times New Roman"/>
          <w:b/>
          <w:snapToGrid w:val="0"/>
          <w:color w:val="auto"/>
          <w:spacing w:val="4"/>
          <w:kern w:val="2"/>
          <w:sz w:val="21"/>
          <w:szCs w:val="21"/>
          <w:lang w:val="en-US" w:eastAsia="zh-CN" w:bidi="ar-SA"/>
        </w:rPr>
      </w:pPr>
      <w:r>
        <w:rPr>
          <w:rFonts w:hint="eastAsia" w:ascii="Times New Roman" w:hAnsi="Times New Roman" w:eastAsia="宋体" w:cs="Times New Roman"/>
          <w:b/>
          <w:snapToGrid w:val="0"/>
          <w:color w:val="auto"/>
          <w:spacing w:val="4"/>
          <w:kern w:val="2"/>
          <w:sz w:val="21"/>
          <w:szCs w:val="21"/>
          <w:lang w:val="en-US" w:eastAsia="zh-CN" w:bidi="ar-SA"/>
        </w:rPr>
        <w:t>表 3-4    环境保护目标一览表</w:t>
      </w:r>
    </w:p>
    <w:p>
      <w:pPr>
        <w:spacing w:line="118" w:lineRule="auto"/>
        <w:rPr>
          <w:rFonts w:ascii="Arial"/>
          <w:color w:val="auto"/>
          <w:sz w:val="2"/>
        </w:rPr>
      </w:pPr>
    </w:p>
    <w:tbl>
      <w:tblPr>
        <w:tblStyle w:val="40"/>
        <w:tblW w:w="9436"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1"/>
        <w:gridCol w:w="1455"/>
        <w:gridCol w:w="960"/>
        <w:gridCol w:w="810"/>
        <w:gridCol w:w="690"/>
        <w:gridCol w:w="960"/>
        <w:gridCol w:w="1290"/>
        <w:gridCol w:w="22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1021" w:type="dxa"/>
            <w:vMerge w:val="restart"/>
            <w:tcBorders>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环境要素</w:t>
            </w:r>
          </w:p>
        </w:tc>
        <w:tc>
          <w:tcPr>
            <w:tcW w:w="1455"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环境保护目标</w:t>
            </w:r>
          </w:p>
        </w:tc>
        <w:tc>
          <w:tcPr>
            <w:tcW w:w="1770" w:type="dxa"/>
            <w:gridSpan w:val="2"/>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坐标</w:t>
            </w:r>
          </w:p>
        </w:tc>
        <w:tc>
          <w:tcPr>
            <w:tcW w:w="690"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方位</w:t>
            </w:r>
          </w:p>
        </w:tc>
        <w:tc>
          <w:tcPr>
            <w:tcW w:w="960"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距离</w:t>
            </w:r>
            <w:r>
              <w:rPr>
                <w:rFonts w:hint="eastAsia" w:ascii="宋体" w:hAnsi="宋体" w:eastAsia="宋体" w:cs="宋体"/>
                <w:b/>
                <w:bCs/>
                <w:snapToGrid w:val="0"/>
                <w:color w:val="auto"/>
                <w:spacing w:val="6"/>
                <w:kern w:val="0"/>
                <w:sz w:val="20"/>
                <w:szCs w:val="20"/>
                <w:lang w:val="en-US" w:eastAsia="zh-CN"/>
              </w:rPr>
              <w:t>本项目</w:t>
            </w:r>
            <w:r>
              <w:rPr>
                <w:rFonts w:ascii="宋体" w:hAnsi="宋体" w:eastAsia="宋体" w:cs="宋体"/>
                <w:b/>
                <w:bCs/>
                <w:snapToGrid w:val="0"/>
                <w:color w:val="auto"/>
                <w:spacing w:val="6"/>
                <w:kern w:val="0"/>
                <w:sz w:val="20"/>
                <w:szCs w:val="20"/>
              </w:rPr>
              <w:t>最近距离/m</w:t>
            </w:r>
          </w:p>
        </w:tc>
        <w:tc>
          <w:tcPr>
            <w:tcW w:w="1290"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规模/人</w:t>
            </w:r>
          </w:p>
        </w:tc>
        <w:tc>
          <w:tcPr>
            <w:tcW w:w="2250" w:type="dxa"/>
            <w:vMerge w:val="restart"/>
            <w:tcBorders>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保护级别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021" w:type="dxa"/>
            <w:vMerge w:val="continue"/>
            <w:tcBorders>
              <w:top w:val="nil"/>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X</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Y</w:t>
            </w:r>
          </w:p>
        </w:tc>
        <w:tc>
          <w:tcPr>
            <w:tcW w:w="690"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960"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290"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250" w:type="dxa"/>
            <w:vMerge w:val="continue"/>
            <w:tcBorders>
              <w:top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1" w:type="dxa"/>
            <w:vMerge w:val="restart"/>
            <w:tcBorders>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大气环境</w:t>
            </w: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八号安置小区</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9</w:t>
            </w:r>
            <w:r>
              <w:rPr>
                <w:rFonts w:ascii="宋体" w:hAnsi="宋体" w:eastAsia="宋体" w:cs="宋体"/>
                <w:snapToGrid w:val="0"/>
                <w:color w:val="auto"/>
                <w:spacing w:val="6"/>
                <w:kern w:val="0"/>
                <w:sz w:val="20"/>
                <w:szCs w:val="20"/>
              </w:rPr>
              <w:t>0</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- 1</w:t>
            </w:r>
            <w:r>
              <w:rPr>
                <w:rFonts w:hint="eastAsia" w:ascii="宋体" w:hAnsi="宋体" w:eastAsia="宋体" w:cs="宋体"/>
                <w:snapToGrid w:val="0"/>
                <w:color w:val="auto"/>
                <w:spacing w:val="6"/>
                <w:kern w:val="0"/>
                <w:sz w:val="20"/>
                <w:szCs w:val="20"/>
                <w:lang w:val="en-US" w:eastAsia="zh-CN"/>
              </w:rPr>
              <w:t>7</w:t>
            </w:r>
            <w:r>
              <w:rPr>
                <w:rFonts w:ascii="宋体" w:hAnsi="宋体" w:eastAsia="宋体" w:cs="宋体"/>
                <w:snapToGrid w:val="0"/>
                <w:color w:val="auto"/>
                <w:spacing w:val="6"/>
                <w:kern w:val="0"/>
                <w:sz w:val="20"/>
                <w:szCs w:val="20"/>
              </w:rPr>
              <w:t>0</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210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1200 人</w:t>
            </w:r>
          </w:p>
        </w:tc>
        <w:tc>
          <w:tcPr>
            <w:tcW w:w="2250" w:type="dxa"/>
            <w:vMerge w:val="restart"/>
            <w:tcBorders>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(GB3095-2012) 二级标准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1"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千鸿花苑</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- 1</w:t>
            </w:r>
            <w:r>
              <w:rPr>
                <w:rFonts w:hint="eastAsia" w:ascii="宋体" w:hAnsi="宋体" w:eastAsia="宋体" w:cs="宋体"/>
                <w:snapToGrid w:val="0"/>
                <w:color w:val="auto"/>
                <w:spacing w:val="6"/>
                <w:kern w:val="0"/>
                <w:sz w:val="20"/>
                <w:szCs w:val="20"/>
                <w:lang w:val="en-US" w:eastAsia="zh-CN"/>
              </w:rPr>
              <w:t>23</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62</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1</w:t>
            </w:r>
            <w:r>
              <w:rPr>
                <w:rFonts w:hint="eastAsia" w:ascii="宋体" w:hAnsi="宋体" w:eastAsia="宋体" w:cs="宋体"/>
                <w:snapToGrid w:val="0"/>
                <w:color w:val="auto"/>
                <w:spacing w:val="6"/>
                <w:kern w:val="0"/>
                <w:sz w:val="20"/>
                <w:szCs w:val="20"/>
                <w:lang w:val="en-US" w:eastAsia="zh-CN"/>
              </w:rPr>
              <w:t>25</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800 人</w:t>
            </w:r>
          </w:p>
        </w:tc>
        <w:tc>
          <w:tcPr>
            <w:tcW w:w="2250"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21"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石岭布小坑组</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-3</w:t>
            </w:r>
            <w:r>
              <w:rPr>
                <w:rFonts w:hint="eastAsia" w:ascii="宋体" w:hAnsi="宋体" w:eastAsia="宋体" w:cs="宋体"/>
                <w:snapToGrid w:val="0"/>
                <w:color w:val="auto"/>
                <w:spacing w:val="6"/>
                <w:kern w:val="0"/>
                <w:sz w:val="20"/>
                <w:szCs w:val="20"/>
                <w:lang w:val="en-US" w:eastAsia="zh-CN"/>
              </w:rPr>
              <w:t>23</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38</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hint="eastAsia" w:ascii="宋体" w:hAnsi="宋体" w:eastAsia="宋体" w:cs="宋体"/>
                <w:snapToGrid w:val="0"/>
                <w:color w:val="auto"/>
                <w:spacing w:val="6"/>
                <w:kern w:val="0"/>
                <w:sz w:val="20"/>
                <w:szCs w:val="20"/>
                <w:lang w:val="en-US" w:eastAsia="zh-CN"/>
              </w:rPr>
              <w:t>32</w:t>
            </w:r>
            <w:r>
              <w:rPr>
                <w:rFonts w:ascii="宋体" w:hAnsi="宋体" w:eastAsia="宋体" w:cs="宋体"/>
                <w:snapToGrid w:val="0"/>
                <w:color w:val="auto"/>
                <w:spacing w:val="6"/>
                <w:kern w:val="0"/>
                <w:sz w:val="20"/>
                <w:szCs w:val="20"/>
              </w:rPr>
              <w:t>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120 人</w:t>
            </w:r>
          </w:p>
        </w:tc>
        <w:tc>
          <w:tcPr>
            <w:tcW w:w="2250"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21"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家具城</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158</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223</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eastAsia"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26</w:t>
            </w:r>
            <w:r>
              <w:rPr>
                <w:rFonts w:ascii="宋体" w:hAnsi="宋体" w:eastAsia="宋体" w:cs="宋体"/>
                <w:snapToGrid w:val="0"/>
                <w:color w:val="auto"/>
                <w:spacing w:val="6"/>
                <w:kern w:val="0"/>
                <w:sz w:val="20"/>
                <w:szCs w:val="20"/>
              </w:rPr>
              <w:t>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w:t>
            </w:r>
            <w:r>
              <w:rPr>
                <w:rFonts w:hint="eastAsia" w:ascii="宋体" w:hAnsi="宋体" w:eastAsia="宋体" w:cs="宋体"/>
                <w:snapToGrid w:val="0"/>
                <w:color w:val="auto"/>
                <w:spacing w:val="6"/>
                <w:kern w:val="0"/>
                <w:sz w:val="20"/>
                <w:szCs w:val="20"/>
                <w:lang w:val="en-US" w:eastAsia="zh-CN"/>
              </w:rPr>
              <w:t>0</w:t>
            </w:r>
            <w:r>
              <w:rPr>
                <w:rFonts w:ascii="宋体" w:hAnsi="宋体" w:eastAsia="宋体" w:cs="宋体"/>
                <w:snapToGrid w:val="0"/>
                <w:color w:val="auto"/>
                <w:spacing w:val="6"/>
                <w:kern w:val="0"/>
                <w:sz w:val="20"/>
                <w:szCs w:val="20"/>
              </w:rPr>
              <w:t>00 人</w:t>
            </w:r>
          </w:p>
        </w:tc>
        <w:tc>
          <w:tcPr>
            <w:tcW w:w="2250"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1021"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宜</w:t>
            </w:r>
            <w:r>
              <w:rPr>
                <w:rFonts w:hint="eastAsia" w:ascii="宋体" w:hAnsi="宋体" w:eastAsia="宋体" w:cs="宋体"/>
                <w:snapToGrid w:val="0"/>
                <w:color w:val="auto"/>
                <w:spacing w:val="6"/>
                <w:kern w:val="0"/>
                <w:sz w:val="20"/>
                <w:szCs w:val="20"/>
                <w:lang w:val="en-US" w:eastAsia="zh-CN"/>
              </w:rPr>
              <w:t>安</w:t>
            </w:r>
            <w:r>
              <w:rPr>
                <w:rFonts w:ascii="宋体" w:hAnsi="宋体" w:eastAsia="宋体" w:cs="宋体"/>
                <w:snapToGrid w:val="0"/>
                <w:color w:val="auto"/>
                <w:spacing w:val="6"/>
                <w:kern w:val="0"/>
                <w:sz w:val="20"/>
                <w:szCs w:val="20"/>
              </w:rPr>
              <w:t>小区</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-310</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-424</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西南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500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600 人</w:t>
            </w:r>
          </w:p>
        </w:tc>
        <w:tc>
          <w:tcPr>
            <w:tcW w:w="2250"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1"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石岭布</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 xml:space="preserve">- </w:t>
            </w:r>
            <w:r>
              <w:rPr>
                <w:rFonts w:hint="eastAsia" w:ascii="宋体" w:hAnsi="宋体" w:eastAsia="宋体" w:cs="宋体"/>
                <w:snapToGrid w:val="0"/>
                <w:color w:val="auto"/>
                <w:spacing w:val="6"/>
                <w:kern w:val="0"/>
                <w:sz w:val="20"/>
                <w:szCs w:val="20"/>
                <w:lang w:val="en-US" w:eastAsia="zh-CN"/>
              </w:rPr>
              <w:t>94</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227</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2</w:t>
            </w:r>
            <w:r>
              <w:rPr>
                <w:rFonts w:hint="eastAsia" w:ascii="宋体" w:hAnsi="宋体" w:eastAsia="宋体" w:cs="宋体"/>
                <w:snapToGrid w:val="0"/>
                <w:color w:val="auto"/>
                <w:spacing w:val="6"/>
                <w:kern w:val="0"/>
                <w:sz w:val="20"/>
                <w:szCs w:val="20"/>
                <w:lang w:val="en-US" w:eastAsia="zh-CN"/>
              </w:rPr>
              <w:t>00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150 人</w:t>
            </w:r>
          </w:p>
        </w:tc>
        <w:tc>
          <w:tcPr>
            <w:tcW w:w="2250"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1021" w:type="dxa"/>
            <w:vMerge w:val="continue"/>
            <w:tcBorders>
              <w:top w:val="nil"/>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润达美墅</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eastAsia" w:ascii="宋体" w:hAnsi="宋体" w:eastAsia="宋体" w:cs="宋体"/>
                <w:snapToGrid w:val="0"/>
                <w:color w:val="auto"/>
                <w:spacing w:val="6"/>
                <w:kern w:val="0"/>
                <w:sz w:val="20"/>
                <w:szCs w:val="20"/>
                <w:lang w:eastAsia="zh-CN"/>
              </w:rPr>
            </w:pPr>
            <w:r>
              <w:rPr>
                <w:rFonts w:ascii="宋体" w:hAnsi="宋体" w:eastAsia="宋体" w:cs="宋体"/>
                <w:snapToGrid w:val="0"/>
                <w:color w:val="auto"/>
                <w:spacing w:val="6"/>
                <w:kern w:val="0"/>
                <w:sz w:val="20"/>
                <w:szCs w:val="20"/>
              </w:rPr>
              <w:t>-45</w:t>
            </w:r>
            <w:r>
              <w:rPr>
                <w:rFonts w:hint="eastAsia" w:ascii="宋体" w:hAnsi="宋体" w:eastAsia="宋体" w:cs="宋体"/>
                <w:snapToGrid w:val="0"/>
                <w:color w:val="auto"/>
                <w:spacing w:val="6"/>
                <w:kern w:val="0"/>
                <w:sz w:val="20"/>
                <w:szCs w:val="20"/>
                <w:lang w:val="en-US" w:eastAsia="zh-CN"/>
              </w:rPr>
              <w:t>9</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1</w:t>
            </w:r>
            <w:r>
              <w:rPr>
                <w:rFonts w:hint="eastAsia" w:ascii="宋体" w:hAnsi="宋体" w:eastAsia="宋体" w:cs="宋体"/>
                <w:snapToGrid w:val="0"/>
                <w:color w:val="auto"/>
                <w:spacing w:val="6"/>
                <w:kern w:val="0"/>
                <w:sz w:val="20"/>
                <w:szCs w:val="20"/>
                <w:lang w:val="en-US" w:eastAsia="zh-CN"/>
              </w:rPr>
              <w:t>30</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475</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150 人</w:t>
            </w:r>
          </w:p>
        </w:tc>
        <w:tc>
          <w:tcPr>
            <w:tcW w:w="2250" w:type="dxa"/>
            <w:vMerge w:val="continue"/>
            <w:tcBorders>
              <w:top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1021" w:type="dxa"/>
            <w:vMerge w:val="restart"/>
            <w:tcBorders>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水环境</w:t>
            </w: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三阳河</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r>
              <w:rPr>
                <w:rFonts w:hint="default" w:ascii="宋体" w:hAnsi="宋体" w:eastAsia="宋体" w:cs="宋体"/>
                <w:snapToGrid w:val="0"/>
                <w:color w:val="auto"/>
                <w:spacing w:val="6"/>
                <w:kern w:val="0"/>
                <w:sz w:val="20"/>
                <w:szCs w:val="20"/>
              </w:rPr>
              <w:t>/</w:t>
            </w: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r>
              <w:rPr>
                <w:rFonts w:hint="default" w:ascii="宋体" w:hAnsi="宋体" w:eastAsia="宋体" w:cs="宋体"/>
                <w:snapToGrid w:val="0"/>
                <w:color w:val="auto"/>
                <w:spacing w:val="6"/>
                <w:kern w:val="0"/>
                <w:sz w:val="20"/>
                <w:szCs w:val="20"/>
              </w:rPr>
              <w:t>/</w:t>
            </w: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r>
              <w:rPr>
                <w:rFonts w:hint="default" w:ascii="宋体" w:hAnsi="宋体" w:eastAsia="宋体" w:cs="宋体"/>
                <w:snapToGrid w:val="0"/>
                <w:color w:val="auto"/>
                <w:spacing w:val="6"/>
                <w:kern w:val="0"/>
                <w:sz w:val="20"/>
                <w:szCs w:val="20"/>
              </w:rPr>
              <w:t>东</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1150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r>
              <w:rPr>
                <w:rFonts w:hint="default" w:ascii="宋体" w:hAnsi="宋体" w:eastAsia="宋体" w:cs="宋体"/>
                <w:snapToGrid w:val="0"/>
                <w:color w:val="auto"/>
                <w:spacing w:val="6"/>
                <w:kern w:val="0"/>
                <w:sz w:val="20"/>
                <w:szCs w:val="20"/>
              </w:rPr>
              <w:t>小河</w:t>
            </w:r>
          </w:p>
        </w:tc>
        <w:tc>
          <w:tcPr>
            <w:tcW w:w="2250" w:type="dxa"/>
            <w:vMerge w:val="restart"/>
            <w:tcBorders>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(GB3838-2002) Ⅲ类标准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1021" w:type="dxa"/>
            <w:vMerge w:val="continue"/>
            <w:tcBorders>
              <w:lef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渥江</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东南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5500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r>
              <w:rPr>
                <w:rFonts w:hint="default" w:ascii="宋体" w:hAnsi="宋体" w:eastAsia="宋体" w:cs="宋体"/>
                <w:snapToGrid w:val="0"/>
                <w:color w:val="auto"/>
                <w:spacing w:val="6"/>
                <w:kern w:val="0"/>
                <w:sz w:val="20"/>
                <w:szCs w:val="20"/>
              </w:rPr>
              <w:t>小河</w:t>
            </w:r>
          </w:p>
        </w:tc>
        <w:tc>
          <w:tcPr>
            <w:tcW w:w="2250" w:type="dxa"/>
            <w:vMerge w:val="continue"/>
            <w:tcBorders>
              <w:righ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1021" w:type="dxa"/>
            <w:vMerge w:val="continue"/>
            <w:tcBorders>
              <w:lef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袁河</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东南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8000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中河</w:t>
            </w:r>
          </w:p>
        </w:tc>
        <w:tc>
          <w:tcPr>
            <w:tcW w:w="2250" w:type="dxa"/>
            <w:vMerge w:val="continue"/>
            <w:tcBorders>
              <w:righ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1021" w:type="dxa"/>
            <w:vMerge w:val="continue"/>
            <w:tcBorders>
              <w:lef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圩塘江水库</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西南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470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小型</w:t>
            </w:r>
          </w:p>
        </w:tc>
        <w:tc>
          <w:tcPr>
            <w:tcW w:w="2250" w:type="dxa"/>
            <w:vMerge w:val="restart"/>
            <w:tcBorders>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 xml:space="preserve">(GB3838-2002) </w:t>
            </w:r>
            <w:r>
              <w:rPr>
                <w:rFonts w:ascii="宋体" w:hAnsi="宋体" w:eastAsia="宋体" w:cs="宋体"/>
                <w:snapToGrid w:val="0"/>
                <w:color w:val="auto"/>
                <w:spacing w:val="6"/>
                <w:kern w:val="0"/>
                <w:sz w:val="20"/>
                <w:szCs w:val="20"/>
              </w:rPr>
              <w:fldChar w:fldCharType="begin"/>
            </w:r>
            <w:r>
              <w:rPr>
                <w:rFonts w:ascii="宋体" w:hAnsi="宋体" w:eastAsia="宋体" w:cs="宋体"/>
                <w:snapToGrid w:val="0"/>
                <w:color w:val="auto"/>
                <w:spacing w:val="6"/>
                <w:kern w:val="0"/>
                <w:sz w:val="20"/>
                <w:szCs w:val="20"/>
              </w:rPr>
              <w:instrText xml:space="preserve"> = 4 \* ROMAN \* MERGEFORMAT </w:instrText>
            </w:r>
            <w:r>
              <w:rPr>
                <w:rFonts w:ascii="宋体" w:hAnsi="宋体" w:eastAsia="宋体" w:cs="宋体"/>
                <w:snapToGrid w:val="0"/>
                <w:color w:val="auto"/>
                <w:spacing w:val="6"/>
                <w:kern w:val="0"/>
                <w:sz w:val="20"/>
                <w:szCs w:val="20"/>
              </w:rPr>
              <w:fldChar w:fldCharType="separate"/>
            </w:r>
            <w:r>
              <w:rPr>
                <w:rFonts w:ascii="宋体" w:hAnsi="宋体" w:eastAsia="宋体" w:cs="宋体"/>
                <w:snapToGrid w:val="0"/>
                <w:color w:val="auto"/>
                <w:spacing w:val="6"/>
                <w:kern w:val="0"/>
                <w:sz w:val="20"/>
                <w:szCs w:val="20"/>
              </w:rPr>
              <w:t>IV</w:t>
            </w:r>
            <w:r>
              <w:rPr>
                <w:rFonts w:ascii="宋体" w:hAnsi="宋体" w:eastAsia="宋体" w:cs="宋体"/>
                <w:snapToGrid w:val="0"/>
                <w:color w:val="auto"/>
                <w:spacing w:val="6"/>
                <w:kern w:val="0"/>
                <w:sz w:val="20"/>
                <w:szCs w:val="20"/>
              </w:rPr>
              <w:fldChar w:fldCharType="end"/>
            </w:r>
            <w:r>
              <w:rPr>
                <w:rFonts w:ascii="宋体" w:hAnsi="宋体" w:eastAsia="宋体" w:cs="宋体"/>
                <w:snapToGrid w:val="0"/>
                <w:color w:val="auto"/>
                <w:spacing w:val="6"/>
                <w:kern w:val="0"/>
                <w:sz w:val="20"/>
                <w:szCs w:val="20"/>
              </w:rPr>
              <w:t>类标准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1021" w:type="dxa"/>
            <w:vMerge w:val="continue"/>
            <w:tcBorders>
              <w:left w:val="nil"/>
            </w:tcBorders>
            <w:vAlign w:val="top"/>
          </w:tcPr>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p>
        </w:tc>
        <w:tc>
          <w:tcPr>
            <w:tcW w:w="145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总路线水库</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81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rPr>
            </w:pPr>
          </w:p>
        </w:tc>
        <w:tc>
          <w:tcPr>
            <w:tcW w:w="6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西北</w:t>
            </w:r>
          </w:p>
        </w:tc>
        <w:tc>
          <w:tcPr>
            <w:tcW w:w="96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1100</w:t>
            </w:r>
          </w:p>
        </w:tc>
        <w:tc>
          <w:tcPr>
            <w:tcW w:w="129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default" w:ascii="宋体" w:hAnsi="宋体" w:eastAsia="宋体" w:cs="宋体"/>
                <w:snapToGrid w:val="0"/>
                <w:color w:val="auto"/>
                <w:spacing w:val="6"/>
                <w:kern w:val="0"/>
                <w:sz w:val="20"/>
                <w:szCs w:val="20"/>
                <w:lang w:val="en-US" w:eastAsia="zh-CN"/>
              </w:rPr>
              <w:t>小型</w:t>
            </w:r>
          </w:p>
        </w:tc>
        <w:tc>
          <w:tcPr>
            <w:tcW w:w="2250" w:type="dxa"/>
            <w:vMerge w:val="continue"/>
            <w:tcBorders>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021" w:type="dxa"/>
            <w:tcBorders>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声环境</w:t>
            </w:r>
          </w:p>
        </w:tc>
        <w:tc>
          <w:tcPr>
            <w:tcW w:w="6165" w:type="dxa"/>
            <w:gridSpan w:val="6"/>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厂界外 50m</w:t>
            </w:r>
          </w:p>
        </w:tc>
        <w:tc>
          <w:tcPr>
            <w:tcW w:w="2250" w:type="dxa"/>
            <w:tcBorders>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(GB3096-2008)</w:t>
            </w: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3 类标准</w:t>
            </w:r>
          </w:p>
        </w:tc>
      </w:tr>
    </w:tbl>
    <w:p>
      <w:pPr>
        <w:widowControl/>
        <w:kinsoku w:val="0"/>
        <w:autoSpaceDE w:val="0"/>
        <w:autoSpaceDN w:val="0"/>
        <w:adjustRightInd w:val="0"/>
        <w:snapToGrid w:val="0"/>
        <w:spacing w:before="172" w:line="228" w:lineRule="auto"/>
        <w:ind w:left="28" w:firstLine="0" w:firstLineChars="0"/>
        <w:jc w:val="left"/>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注：本评价以</w:t>
      </w:r>
      <w:r>
        <w:rPr>
          <w:rFonts w:hint="eastAsia" w:ascii="宋体" w:hAnsi="宋体" w:eastAsia="宋体" w:cs="宋体"/>
          <w:snapToGrid w:val="0"/>
          <w:color w:val="auto"/>
          <w:spacing w:val="6"/>
          <w:kern w:val="0"/>
          <w:sz w:val="20"/>
          <w:szCs w:val="20"/>
          <w:lang w:val="en-US" w:eastAsia="zh-CN"/>
        </w:rPr>
        <w:t>扩建车间西南角</w:t>
      </w:r>
      <w:r>
        <w:rPr>
          <w:rFonts w:ascii="宋体" w:hAnsi="宋体" w:eastAsia="宋体" w:cs="宋体"/>
          <w:snapToGrid w:val="0"/>
          <w:color w:val="auto"/>
          <w:spacing w:val="6"/>
          <w:kern w:val="0"/>
          <w:sz w:val="20"/>
          <w:szCs w:val="20"/>
        </w:rPr>
        <w:t>为原点坐标(</w:t>
      </w:r>
      <w:r>
        <w:rPr>
          <w:rFonts w:hint="eastAsia" w:ascii="宋体" w:hAnsi="宋体" w:eastAsia="宋体" w:cs="宋体"/>
          <w:snapToGrid w:val="0"/>
          <w:color w:val="auto"/>
          <w:spacing w:val="6"/>
          <w:kern w:val="0"/>
          <w:sz w:val="20"/>
          <w:szCs w:val="20"/>
        </w:rPr>
        <w:t>114.388274609</w:t>
      </w: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rPr>
        <w:t>27.897141152</w:t>
      </w:r>
      <w:r>
        <w:rPr>
          <w:rFonts w:ascii="宋体" w:hAnsi="宋体" w:eastAsia="宋体" w:cs="宋体"/>
          <w:snapToGrid w:val="0"/>
          <w:color w:val="auto"/>
          <w:spacing w:val="6"/>
          <w:kern w:val="0"/>
          <w:sz w:val="20"/>
          <w:szCs w:val="20"/>
        </w:rPr>
        <w:t>)正东为X轴正方向，正北为Y轴正方向建立直角坐标系。</w:t>
      </w:r>
    </w:p>
    <w:p>
      <w:pPr>
        <w:pStyle w:val="5"/>
        <w:bidi w:val="0"/>
        <w:rPr>
          <w:rFonts w:hint="default"/>
        </w:rPr>
      </w:pPr>
      <w:bookmarkStart w:id="80" w:name="_Toc18987"/>
      <w:bookmarkStart w:id="81" w:name="_Toc22784"/>
      <w:bookmarkStart w:id="82" w:name="_Toc9339"/>
      <w:r>
        <w:rPr>
          <w:rFonts w:hint="default"/>
        </w:rPr>
        <w:t>3.3 涉及环境风险物质情况</w:t>
      </w:r>
      <w:bookmarkEnd w:id="78"/>
      <w:bookmarkEnd w:id="79"/>
      <w:bookmarkEnd w:id="80"/>
      <w:bookmarkEnd w:id="81"/>
      <w:bookmarkEnd w:id="82"/>
    </w:p>
    <w:p>
      <w:pPr>
        <w:ind w:firstLine="482"/>
        <w:jc w:val="center"/>
        <w:rPr>
          <w:rFonts w:hint="eastAsia" w:ascii="Times New Roman" w:hAnsi="Times New Roman" w:cs="Times New Roman" w:eastAsiaTheme="minorEastAsia"/>
          <w:b/>
          <w:bCs/>
          <w:color w:val="auto"/>
          <w:sz w:val="24"/>
          <w:szCs w:val="32"/>
          <w:lang w:eastAsia="zh-CN"/>
        </w:rPr>
      </w:pPr>
      <w:r>
        <w:rPr>
          <w:rFonts w:hint="default" w:ascii="Times New Roman" w:hAnsi="Times New Roman" w:cs="Times New Roman" w:eastAsiaTheme="minorEastAsia"/>
          <w:b/>
          <w:bCs/>
          <w:color w:val="auto"/>
          <w:sz w:val="24"/>
          <w:szCs w:val="32"/>
        </w:rPr>
        <w:t>表3.3--1 项目涉及危险物质</w:t>
      </w:r>
      <w:r>
        <w:rPr>
          <w:rFonts w:hint="eastAsia" w:cs="Times New Roman" w:eastAsiaTheme="minorEastAsia"/>
          <w:b/>
          <w:bCs/>
          <w:color w:val="auto"/>
          <w:sz w:val="24"/>
          <w:szCs w:val="32"/>
          <w:lang w:eastAsia="zh-CN"/>
        </w:rPr>
        <w:t>情况</w:t>
      </w:r>
    </w:p>
    <w:tbl>
      <w:tblPr>
        <w:tblStyle w:val="21"/>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893"/>
        <w:gridCol w:w="894"/>
        <w:gridCol w:w="1508"/>
        <w:gridCol w:w="1559"/>
        <w:gridCol w:w="1418"/>
        <w:gridCol w:w="1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bookmarkStart w:id="83" w:name="_Toc9234"/>
            <w:bookmarkStart w:id="84" w:name="_Toc110"/>
            <w:bookmarkStart w:id="85" w:name="_Toc6129"/>
            <w:bookmarkStart w:id="86" w:name="_Toc7243"/>
            <w:r>
              <w:rPr>
                <w:rFonts w:hint="default" w:hAnsiTheme="minorEastAsia" w:eastAsiaTheme="minorEastAsia"/>
                <w:color w:val="auto"/>
                <w:kern w:val="2"/>
                <w:sz w:val="24"/>
                <w:szCs w:val="24"/>
              </w:rPr>
              <w:t>序号</w:t>
            </w:r>
          </w:p>
        </w:tc>
        <w:tc>
          <w:tcPr>
            <w:tcW w:w="1787" w:type="dxa"/>
            <w:gridSpan w:val="2"/>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hAnsiTheme="minorEastAsia" w:eastAsiaTheme="minorEastAsia"/>
                <w:color w:val="auto"/>
                <w:kern w:val="2"/>
                <w:sz w:val="24"/>
                <w:szCs w:val="24"/>
              </w:rPr>
              <w:t>危险物质名称</w:t>
            </w:r>
          </w:p>
        </w:tc>
        <w:tc>
          <w:tcPr>
            <w:tcW w:w="1508"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CAS 号</w:t>
            </w:r>
          </w:p>
        </w:tc>
        <w:tc>
          <w:tcPr>
            <w:tcW w:w="1559"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hAnsiTheme="minorEastAsia" w:eastAsiaTheme="minorEastAsia"/>
                <w:color w:val="auto"/>
                <w:kern w:val="2"/>
                <w:sz w:val="24"/>
                <w:szCs w:val="24"/>
              </w:rPr>
              <w:t>分布情况</w:t>
            </w:r>
          </w:p>
        </w:tc>
        <w:tc>
          <w:tcPr>
            <w:tcW w:w="1418"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eastAsia" w:hAnsiTheme="minorEastAsia" w:eastAsiaTheme="minorEastAsia"/>
                <w:color w:val="auto"/>
                <w:kern w:val="2"/>
                <w:sz w:val="24"/>
                <w:szCs w:val="24"/>
                <w:lang w:eastAsia="zh-CN"/>
              </w:rPr>
              <w:t>最大</w:t>
            </w:r>
            <w:r>
              <w:rPr>
                <w:rFonts w:hint="default" w:hAnsiTheme="minorEastAsia" w:eastAsiaTheme="minorEastAsia"/>
                <w:color w:val="auto"/>
                <w:kern w:val="2"/>
                <w:sz w:val="24"/>
                <w:szCs w:val="24"/>
              </w:rPr>
              <w:t>储存量</w:t>
            </w:r>
            <w:r>
              <w:rPr>
                <w:rFonts w:hint="default" w:eastAsiaTheme="minorEastAsia"/>
                <w:color w:val="auto"/>
                <w:kern w:val="2"/>
                <w:sz w:val="24"/>
                <w:szCs w:val="24"/>
              </w:rPr>
              <w:t>(t)</w:t>
            </w:r>
          </w:p>
        </w:tc>
        <w:tc>
          <w:tcPr>
            <w:tcW w:w="197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hAnsiTheme="minorEastAsia" w:eastAsiaTheme="minorEastAsia"/>
                <w:color w:val="auto"/>
                <w:kern w:val="2"/>
                <w:sz w:val="24"/>
                <w:szCs w:val="24"/>
              </w:rPr>
              <w:t>存储方式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eastAsiaTheme="minorEastAsia"/>
                <w:color w:val="auto"/>
                <w:kern w:val="2"/>
                <w:sz w:val="24"/>
                <w:szCs w:val="24"/>
              </w:rPr>
              <w:t>1</w:t>
            </w:r>
          </w:p>
        </w:tc>
        <w:tc>
          <w:tcPr>
            <w:tcW w:w="1787" w:type="dxa"/>
            <w:gridSpan w:val="2"/>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hAnsi="Times New Roman" w:cs="Times New Roman" w:eastAsiaTheme="minorEastAsia"/>
                <w:color w:val="auto"/>
                <w:kern w:val="2"/>
                <w:sz w:val="24"/>
                <w:szCs w:val="24"/>
                <w:lang w:eastAsia="zh-CN"/>
              </w:rPr>
            </w:pPr>
            <w:r>
              <w:rPr>
                <w:rFonts w:hint="eastAsia" w:hAnsiTheme="minorEastAsia" w:eastAsiaTheme="minorEastAsia"/>
                <w:color w:val="auto"/>
                <w:kern w:val="2"/>
                <w:sz w:val="24"/>
                <w:szCs w:val="24"/>
                <w:lang w:eastAsia="zh-CN"/>
              </w:rPr>
              <w:t>天然气</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000000" w:themeColor="text1"/>
                <w:kern w:val="2"/>
                <w:sz w:val="24"/>
                <w:szCs w:val="24"/>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74-82-8</w:t>
            </w:r>
          </w:p>
        </w:tc>
        <w:tc>
          <w:tcPr>
            <w:tcW w:w="1559"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eastAsiaTheme="minorEastAsia"/>
                <w:color w:val="auto"/>
                <w:kern w:val="2"/>
                <w:sz w:val="24"/>
                <w:szCs w:val="24"/>
                <w:lang w:eastAsia="zh-CN"/>
              </w:rPr>
            </w:pPr>
            <w:r>
              <w:rPr>
                <w:rFonts w:hint="eastAsia" w:hAnsiTheme="minorEastAsia" w:eastAsiaTheme="minorEastAsia"/>
                <w:color w:val="auto"/>
                <w:kern w:val="2"/>
                <w:sz w:val="24"/>
                <w:szCs w:val="24"/>
                <w:lang w:eastAsia="zh-CN"/>
              </w:rPr>
              <w:t>管道天然气</w:t>
            </w:r>
          </w:p>
        </w:tc>
        <w:tc>
          <w:tcPr>
            <w:tcW w:w="141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eastAsiaTheme="minorEastAsia"/>
                <w:color w:val="auto"/>
                <w:kern w:val="2"/>
                <w:sz w:val="24"/>
                <w:szCs w:val="24"/>
                <w:lang w:eastAsia="zh-CN"/>
              </w:rPr>
            </w:pPr>
            <w:r>
              <w:rPr>
                <w:rFonts w:hint="eastAsia" w:eastAsiaTheme="minorEastAsia"/>
                <w:color w:val="auto"/>
                <w:kern w:val="2"/>
                <w:sz w:val="24"/>
                <w:szCs w:val="24"/>
                <w:lang w:val="en-US" w:eastAsia="zh-CN"/>
              </w:rPr>
              <w:t>不储存</w:t>
            </w:r>
          </w:p>
        </w:tc>
        <w:tc>
          <w:tcPr>
            <w:tcW w:w="197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eastAsiaTheme="minorEastAsia"/>
                <w:color w:val="auto"/>
                <w:kern w:val="2"/>
                <w:sz w:val="24"/>
                <w:szCs w:val="24"/>
                <w:lang w:eastAsia="zh-CN"/>
              </w:rPr>
            </w:pPr>
            <w:r>
              <w:rPr>
                <w:rFonts w:hint="eastAsia" w:hAnsiTheme="minorEastAsia" w:eastAsiaTheme="minorEastAsia"/>
                <w:color w:val="auto"/>
                <w:kern w:val="2"/>
                <w:sz w:val="24"/>
                <w:szCs w:val="24"/>
                <w:lang w:eastAsia="zh-CN"/>
              </w:rPr>
              <w:t>管道天然气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eastAsiaTheme="minorEastAsia"/>
                <w:color w:val="auto"/>
                <w:kern w:val="2"/>
                <w:sz w:val="24"/>
                <w:szCs w:val="24"/>
              </w:rPr>
              <w:t>2</w:t>
            </w:r>
          </w:p>
        </w:tc>
        <w:tc>
          <w:tcPr>
            <w:tcW w:w="1787" w:type="dxa"/>
            <w:gridSpan w:val="2"/>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eastAsia="zh-CN"/>
              </w:rPr>
            </w:pPr>
            <w:r>
              <w:rPr>
                <w:rFonts w:hint="eastAsia" w:ascii="Times New Roman" w:cs="Times New Roman" w:hAnsiTheme="minorEastAsia" w:eastAsiaTheme="minorEastAsia"/>
                <w:color w:val="auto"/>
                <w:kern w:val="2"/>
                <w:sz w:val="24"/>
                <w:szCs w:val="24"/>
                <w:lang w:eastAsia="zh-CN"/>
              </w:rPr>
              <w:t>除油剂</w:t>
            </w:r>
          </w:p>
        </w:tc>
        <w:tc>
          <w:tcPr>
            <w:tcW w:w="150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w:t>
            </w:r>
          </w:p>
        </w:tc>
        <w:tc>
          <w:tcPr>
            <w:tcW w:w="1559"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生产车间</w:t>
            </w:r>
          </w:p>
        </w:tc>
        <w:tc>
          <w:tcPr>
            <w:tcW w:w="141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4.5</w:t>
            </w:r>
          </w:p>
        </w:tc>
        <w:tc>
          <w:tcPr>
            <w:tcW w:w="197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eastAsiaTheme="minorEastAsia"/>
                <w:color w:val="auto"/>
                <w:kern w:val="2"/>
                <w:sz w:val="24"/>
                <w:szCs w:val="24"/>
                <w:lang w:val="en-US" w:eastAsia="zh-CN"/>
              </w:rPr>
            </w:pPr>
            <w:r>
              <w:rPr>
                <w:rFonts w:hint="eastAsia" w:eastAsiaTheme="minorEastAsia"/>
                <w:color w:val="auto"/>
                <w:kern w:val="2"/>
                <w:sz w:val="24"/>
                <w:szCs w:val="24"/>
                <w:lang w:val="en-US" w:eastAsia="zh-CN"/>
              </w:rPr>
              <w:t>3</w:t>
            </w:r>
          </w:p>
        </w:tc>
        <w:tc>
          <w:tcPr>
            <w:tcW w:w="1787" w:type="dxa"/>
            <w:gridSpan w:val="2"/>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硅烷</w:t>
            </w:r>
          </w:p>
        </w:tc>
        <w:tc>
          <w:tcPr>
            <w:tcW w:w="150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7803-62-5</w:t>
            </w:r>
          </w:p>
        </w:tc>
        <w:tc>
          <w:tcPr>
            <w:tcW w:w="1559"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生产车间</w:t>
            </w:r>
          </w:p>
        </w:tc>
        <w:tc>
          <w:tcPr>
            <w:tcW w:w="141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3.75</w:t>
            </w:r>
          </w:p>
        </w:tc>
        <w:tc>
          <w:tcPr>
            <w:tcW w:w="197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4</w:t>
            </w:r>
          </w:p>
        </w:tc>
        <w:tc>
          <w:tcPr>
            <w:tcW w:w="1787" w:type="dxa"/>
            <w:gridSpan w:val="2"/>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eastAsia="zh-CN"/>
              </w:rPr>
              <w:t>废活性炭</w:t>
            </w:r>
          </w:p>
        </w:tc>
        <w:tc>
          <w:tcPr>
            <w:tcW w:w="150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zh-CN" w:eastAsia="zh-CN"/>
              </w:rPr>
            </w:pPr>
            <w:r>
              <w:rPr>
                <w:rFonts w:hint="eastAsia" w:ascii="Times New Roman" w:cs="Times New Roman" w:hAnsiTheme="minorEastAsia" w:eastAsiaTheme="minorEastAsia"/>
                <w:color w:val="auto"/>
                <w:kern w:val="2"/>
                <w:sz w:val="24"/>
                <w:szCs w:val="24"/>
                <w:lang w:val="en-US" w:eastAsia="zh-CN"/>
              </w:rPr>
              <w:t>/</w:t>
            </w:r>
          </w:p>
        </w:tc>
        <w:tc>
          <w:tcPr>
            <w:tcW w:w="1559"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eastAsia="zh-CN"/>
              </w:rPr>
              <w:t>危废间</w:t>
            </w:r>
          </w:p>
        </w:tc>
        <w:tc>
          <w:tcPr>
            <w:tcW w:w="141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val="en-US" w:eastAsia="zh-CN"/>
              </w:rPr>
              <w:t>0.1</w:t>
            </w:r>
          </w:p>
        </w:tc>
        <w:tc>
          <w:tcPr>
            <w:tcW w:w="197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rPr>
            </w:pPr>
            <w:r>
              <w:rPr>
                <w:rFonts w:hint="eastAsia" w:ascii="Times New Roman" w:cs="Times New Roman" w:hAnsiTheme="minorEastAsia" w:eastAsiaTheme="minorEastAsia"/>
                <w:color w:val="auto"/>
                <w:kern w:val="2"/>
                <w:sz w:val="24"/>
                <w:szCs w:val="24"/>
                <w:lang w:eastAsia="zh-CN"/>
              </w:rPr>
              <w:t>铁桶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5</w:t>
            </w:r>
          </w:p>
        </w:tc>
        <w:tc>
          <w:tcPr>
            <w:tcW w:w="893" w:type="dxa"/>
            <w:vMerge w:val="restart"/>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油漆</w:t>
            </w:r>
          </w:p>
        </w:tc>
        <w:tc>
          <w:tcPr>
            <w:tcW w:w="894"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环氧树脂</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63148-69-6</w:t>
            </w:r>
          </w:p>
        </w:tc>
        <w:tc>
          <w:tcPr>
            <w:tcW w:w="1559"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41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0.18</w:t>
            </w:r>
          </w:p>
        </w:tc>
        <w:tc>
          <w:tcPr>
            <w:tcW w:w="1970" w:type="dxa"/>
            <w:vAlign w:val="top"/>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6</w:t>
            </w:r>
          </w:p>
        </w:tc>
        <w:tc>
          <w:tcPr>
            <w:tcW w:w="893" w:type="dxa"/>
            <w:vMerge w:val="continue"/>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p>
        </w:tc>
        <w:tc>
          <w:tcPr>
            <w:tcW w:w="894"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二甲苯</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1330</w:t>
            </w: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w:t>
            </w: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20</w:t>
            </w: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w:t>
            </w: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7</w:t>
            </w:r>
          </w:p>
        </w:tc>
        <w:tc>
          <w:tcPr>
            <w:tcW w:w="1559"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418" w:type="dxa"/>
            <w:vAlign w:val="top"/>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0.06</w:t>
            </w:r>
          </w:p>
        </w:tc>
        <w:tc>
          <w:tcPr>
            <w:tcW w:w="1970" w:type="dxa"/>
            <w:vAlign w:val="top"/>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7</w:t>
            </w:r>
          </w:p>
        </w:tc>
        <w:tc>
          <w:tcPr>
            <w:tcW w:w="893" w:type="dxa"/>
            <w:vMerge w:val="continue"/>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p>
        </w:tc>
        <w:tc>
          <w:tcPr>
            <w:tcW w:w="894"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助剂</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w:t>
            </w:r>
          </w:p>
        </w:tc>
        <w:tc>
          <w:tcPr>
            <w:tcW w:w="1559"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418" w:type="dxa"/>
            <w:vAlign w:val="top"/>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0.06</w:t>
            </w:r>
          </w:p>
        </w:tc>
        <w:tc>
          <w:tcPr>
            <w:tcW w:w="1970" w:type="dxa"/>
            <w:vAlign w:val="top"/>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8</w:t>
            </w:r>
          </w:p>
        </w:tc>
        <w:tc>
          <w:tcPr>
            <w:tcW w:w="893" w:type="dxa"/>
            <w:vMerge w:val="restart"/>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稀释剂</w:t>
            </w:r>
          </w:p>
        </w:tc>
        <w:tc>
          <w:tcPr>
            <w:tcW w:w="894"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溶剂油</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64742-94-5</w:t>
            </w:r>
          </w:p>
        </w:tc>
        <w:tc>
          <w:tcPr>
            <w:tcW w:w="1559"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418" w:type="dxa"/>
            <w:vAlign w:val="top"/>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0.18</w:t>
            </w:r>
          </w:p>
        </w:tc>
        <w:tc>
          <w:tcPr>
            <w:tcW w:w="1970" w:type="dxa"/>
            <w:vAlign w:val="top"/>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9</w:t>
            </w:r>
          </w:p>
        </w:tc>
        <w:tc>
          <w:tcPr>
            <w:tcW w:w="893" w:type="dxa"/>
            <w:vMerge w:val="continue"/>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p>
        </w:tc>
        <w:tc>
          <w:tcPr>
            <w:tcW w:w="894"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醋酸丁酯</w:t>
            </w:r>
          </w:p>
        </w:tc>
        <w:tc>
          <w:tcPr>
            <w:tcW w:w="1508" w:type="dxa"/>
            <w:vAlign w:val="center"/>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123-86-4</w:t>
            </w:r>
          </w:p>
        </w:tc>
        <w:tc>
          <w:tcPr>
            <w:tcW w:w="1559" w:type="dxa"/>
            <w:vAlign w:val="center"/>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418" w:type="dxa"/>
            <w:vAlign w:val="top"/>
          </w:tcPr>
          <w:p>
            <w:pPr>
              <w:pStyle w:val="48"/>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0.12</w:t>
            </w:r>
          </w:p>
        </w:tc>
        <w:tc>
          <w:tcPr>
            <w:tcW w:w="1970" w:type="dxa"/>
            <w:vAlign w:val="top"/>
          </w:tcPr>
          <w:p>
            <w:pPr>
              <w:pStyle w:val="48"/>
              <w:keepNext w:val="0"/>
              <w:keepLines w:val="0"/>
              <w:suppressLineNumbers w:val="0"/>
              <w:spacing w:before="0" w:beforeAutospacing="0" w:after="0" w:afterAutospacing="0"/>
              <w:ind w:left="0" w:right="0" w:firstLine="0" w:firstLineChars="0"/>
              <w:jc w:val="cente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桶装</w:t>
            </w:r>
          </w:p>
        </w:tc>
      </w:tr>
    </w:tbl>
    <w:p>
      <w:pPr>
        <w:pStyle w:val="5"/>
        <w:ind w:firstLine="643"/>
        <w:rPr>
          <w:rFonts w:hint="default" w:ascii="Times New Roman" w:hAnsi="Times New Roman" w:cs="Times New Roman" w:eastAsiaTheme="minorEastAsia"/>
          <w:color w:val="auto"/>
        </w:rPr>
      </w:pPr>
      <w:bookmarkStart w:id="87" w:name="_Toc14932"/>
      <w:bookmarkStart w:id="88" w:name="_Toc17687"/>
      <w:bookmarkStart w:id="89" w:name="_Toc19787"/>
      <w:r>
        <w:rPr>
          <w:rFonts w:hint="default" w:ascii="Times New Roman" w:hAnsi="Times New Roman" w:cs="Times New Roman" w:eastAsiaTheme="minorEastAsia"/>
          <w:color w:val="auto"/>
        </w:rPr>
        <w:t>3.</w:t>
      </w:r>
      <w:r>
        <w:rPr>
          <w:rFonts w:hint="eastAsia" w:cs="Times New Roman" w:eastAsiaTheme="minorEastAsia"/>
          <w:color w:val="auto"/>
          <w:lang w:val="en-US" w:eastAsia="zh-CN"/>
        </w:rPr>
        <w:t>4</w:t>
      </w:r>
      <w:r>
        <w:rPr>
          <w:rFonts w:hint="default" w:ascii="Times New Roman" w:hAnsi="Times New Roman" w:cs="Times New Roman" w:eastAsiaTheme="minorEastAsia"/>
          <w:color w:val="auto"/>
        </w:rPr>
        <w:t xml:space="preserve"> 安全生产管理</w:t>
      </w:r>
      <w:bookmarkEnd w:id="83"/>
      <w:bookmarkEnd w:id="84"/>
      <w:bookmarkEnd w:id="85"/>
      <w:bookmarkEnd w:id="86"/>
      <w:bookmarkEnd w:id="87"/>
      <w:bookmarkEnd w:id="88"/>
      <w:bookmarkEnd w:id="89"/>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1）企业已经建立、健全各级、各类人员安全生产责任制，主要包括主要负责人安全生产责任制，分管责任人安全生产责任制、安全生产管理人员安全生产责任制、职能部门安全生产责任制度、岗位安全生产责任制。</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2）企业已经建立、健全各项安全管理制度，至少应包括安全教育制度、安全培训制度、劳动保护用品(具)发放制度、保健食品发放制度、安全设施设备管理制度、作业场所防火管理制度、作业场所防爆制度、作业场所防毒制度、职业卫生管理制度、安全检查制度、隐患整改制度、事故调查处理制度、安全奖惩制度。</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3）企业每年定期召开安委会，一般每年二次，有重大事情临时召集；公司每月召开安全例会。组织制定电源、火源、易燃易爆物品的安全管理和值班巡逻等制度，落实逐级防火责任制和岗位防火责任制；领导专职、义务消防队组织和专职、兼职消防人员，制定灭火应急方案，组织扑救火灾。</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（4）仓库保管员应当熟悉储存物品的分类、性质、保管业务知识和防火安全制度，掌握消防器材的操作使用和维护保养方法，做好本岗位的防火工作。</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（5）对仓库新职工应当进行仓储业务和消防知识的培训，经考试合格，方可上岗作业。</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（6）仓库严格执行夜间值班、巡逻制度，带班人员应当认真检查，督促落实。</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r>
        <w:rPr>
          <w:rFonts w:hint="default" w:ascii="Times New Roman" w:hAnsi="Times New Roman" w:cs="Times New Roman" w:eastAsiaTheme="minorEastAsia"/>
          <w:color w:val="auto"/>
          <w:sz w:val="24"/>
          <w:szCs w:val="22"/>
        </w:rPr>
        <w:t>（7）原辅料应当牢固、密封，发现破损、残缺，变形和物品变质、分解等情况时，应当及时进行安全处理；严防跑、冒、滴、漏。搬运、装卸化学危险品时应按照有关规定进行，做到轻装、轻卸。严禁摔、碰、撞、击、拖、拉、倾斜和滚动。</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Cs w:val="28"/>
        </w:rPr>
      </w:pPr>
      <w:r>
        <w:rPr>
          <w:rFonts w:hint="default" w:ascii="Times New Roman" w:hAnsi="Times New Roman" w:cs="Times New Roman" w:eastAsiaTheme="minorEastAsia"/>
          <w:color w:val="auto"/>
          <w:sz w:val="24"/>
          <w:szCs w:val="22"/>
        </w:rPr>
        <w:t>（8）针对本企业事故危害时间短暂、事故危害区域较小的特点，事故应急对策主要应为：一旦发生泄漏或火灾事故，应立即向领导</w:t>
      </w:r>
      <w:r>
        <w:rPr>
          <w:rFonts w:hint="default" w:ascii="Times New Roman" w:hAnsi="Times New Roman" w:cs="Times New Roman" w:eastAsiaTheme="minorEastAsia"/>
          <w:color w:val="auto"/>
          <w:sz w:val="24"/>
          <w:szCs w:val="24"/>
        </w:rPr>
        <w:t>和安全部门报告组织事故抢救工作、及时通知医务人员进行救护工作、通知与组织非救险人员紧急疏散到上风向或及时紧闭门窗与戴上防毒器具，避过短暂的浓度高峰期。</w:t>
      </w:r>
    </w:p>
    <w:p>
      <w:pPr>
        <w:pStyle w:val="5"/>
        <w:rPr>
          <w:rFonts w:hint="default" w:ascii="Times New Roman" w:hAnsi="Times New Roman" w:cs="Times New Roman" w:eastAsiaTheme="minorEastAsia"/>
          <w:color w:val="auto"/>
          <w:highlight w:val="none"/>
        </w:rPr>
      </w:pPr>
      <w:bookmarkStart w:id="90" w:name="_Toc28865"/>
      <w:bookmarkStart w:id="91" w:name="_Toc18890"/>
      <w:bookmarkStart w:id="92" w:name="_Toc4369"/>
      <w:bookmarkStart w:id="93" w:name="_Toc20967"/>
      <w:bookmarkStart w:id="94" w:name="_Toc19638"/>
      <w:bookmarkStart w:id="95" w:name="_Toc15073"/>
      <w:bookmarkStart w:id="96" w:name="_Toc8527"/>
      <w:r>
        <w:rPr>
          <w:rFonts w:hint="default" w:ascii="Times New Roman" w:hAnsi="Times New Roman" w:cs="Times New Roman" w:eastAsiaTheme="minorEastAsia"/>
          <w:color w:val="auto"/>
          <w:highlight w:val="none"/>
        </w:rPr>
        <w:t>3.</w:t>
      </w:r>
      <w:r>
        <w:rPr>
          <w:rFonts w:hint="eastAsia" w:cs="Times New Roman" w:eastAsiaTheme="minorEastAsia"/>
          <w:color w:val="auto"/>
          <w:highlight w:val="none"/>
          <w:lang w:val="en-US" w:eastAsia="zh-CN"/>
        </w:rPr>
        <w:t>5</w:t>
      </w:r>
      <w:r>
        <w:rPr>
          <w:rFonts w:hint="default" w:ascii="Times New Roman" w:hAnsi="Times New Roman" w:cs="Times New Roman" w:eastAsiaTheme="minorEastAsia"/>
          <w:color w:val="auto"/>
          <w:highlight w:val="none"/>
        </w:rPr>
        <w:t xml:space="preserve"> 现有环境风险防控与应急措施情况</w:t>
      </w:r>
      <w:bookmarkEnd w:id="90"/>
      <w:bookmarkEnd w:id="91"/>
      <w:bookmarkEnd w:id="92"/>
      <w:bookmarkEnd w:id="93"/>
      <w:bookmarkEnd w:id="94"/>
      <w:bookmarkEnd w:id="95"/>
      <w:bookmarkEnd w:id="96"/>
    </w:p>
    <w:p>
      <w:pPr>
        <w:pStyle w:val="6"/>
        <w:rPr>
          <w:rFonts w:hint="default" w:ascii="Times New Roman" w:hAnsi="Times New Roman" w:cs="Times New Roman" w:eastAsiaTheme="minorEastAsia"/>
          <w:color w:val="auto"/>
        </w:rPr>
      </w:pPr>
      <w:bookmarkStart w:id="97" w:name="_Toc197858261"/>
      <w:bookmarkStart w:id="98" w:name="_Toc1285"/>
      <w:bookmarkStart w:id="99" w:name="_Toc201495139"/>
      <w:bookmarkStart w:id="100" w:name="_Toc3955"/>
      <w:bookmarkStart w:id="101" w:name="_Toc12457"/>
      <w:bookmarkStart w:id="102" w:name="_Toc30034"/>
      <w:bookmarkStart w:id="103" w:name="_Toc206223363"/>
      <w:bookmarkStart w:id="104" w:name="_Toc14270"/>
      <w:r>
        <w:rPr>
          <w:rFonts w:hint="default" w:ascii="Times New Roman" w:hAnsi="Times New Roman" w:cs="Times New Roman" w:eastAsiaTheme="minorEastAsia"/>
          <w:color w:val="auto"/>
        </w:rPr>
        <w:t>3.</w:t>
      </w:r>
      <w:r>
        <w:rPr>
          <w:rFonts w:hint="eastAsia" w:cs="Times New Roman" w:eastAsiaTheme="minorEastAsia"/>
          <w:color w:val="auto"/>
          <w:lang w:val="en-US" w:eastAsia="zh-CN"/>
        </w:rPr>
        <w:t>5</w:t>
      </w:r>
      <w:r>
        <w:rPr>
          <w:rFonts w:hint="default" w:ascii="Times New Roman" w:hAnsi="Times New Roman" w:cs="Times New Roman" w:eastAsiaTheme="minorEastAsia"/>
          <w:color w:val="auto"/>
        </w:rPr>
        <w:t>.1 现有风险防范措施</w:t>
      </w:r>
      <w:bookmarkEnd w:id="97"/>
      <w:bookmarkEnd w:id="98"/>
      <w:bookmarkEnd w:id="99"/>
      <w:bookmarkEnd w:id="100"/>
      <w:bookmarkEnd w:id="101"/>
      <w:bookmarkEnd w:id="102"/>
      <w:bookmarkEnd w:id="103"/>
      <w:bookmarkEnd w:id="104"/>
    </w:p>
    <w:p>
      <w:pPr>
        <w:pStyle w:val="7"/>
        <w:bidi w:val="0"/>
        <w:rPr>
          <w:rFonts w:hint="default"/>
        </w:rPr>
      </w:pPr>
      <w:r>
        <w:rPr>
          <w:rFonts w:hint="default"/>
        </w:rPr>
        <w:t>3.</w:t>
      </w:r>
      <w:r>
        <w:rPr>
          <w:rFonts w:hint="eastAsia"/>
          <w:lang w:val="en-US" w:eastAsia="zh-CN"/>
        </w:rPr>
        <w:t>5</w:t>
      </w:r>
      <w:r>
        <w:rPr>
          <w:rFonts w:hint="default"/>
        </w:rPr>
        <w:t>.1.1 建设管理</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(1)本公司严格遵照国家有关的法令、法规、设计规范、操作规程进行选购、设计、施工、安装、建设。</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color w:val="auto"/>
          <w:sz w:val="24"/>
          <w:szCs w:val="24"/>
        </w:rPr>
        <w:t>(2)工程建成后，须经化工、劳动安全、消防、环保等有关部门全面验收合格后方可开工。</w:t>
      </w:r>
    </w:p>
    <w:p>
      <w:pPr>
        <w:pStyle w:val="7"/>
        <w:pageBreakBefore w:val="0"/>
        <w:widowControl w:val="0"/>
        <w:kinsoku/>
        <w:wordWrap/>
        <w:overflowPunct/>
        <w:topLinePunct w:val="0"/>
        <w:autoSpaceDE/>
        <w:autoSpaceDN/>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3.</w:t>
      </w:r>
      <w:r>
        <w:rPr>
          <w:rFonts w:hint="eastAsia" w:ascii="Times New Roman" w:hAnsi="Times New Roman" w:cs="Times New Roman"/>
          <w:color w:val="auto"/>
          <w:lang w:val="en-US" w:eastAsia="zh-CN"/>
        </w:rPr>
        <w:t>5</w:t>
      </w:r>
      <w:r>
        <w:rPr>
          <w:rFonts w:hint="default" w:ascii="Times New Roman" w:hAnsi="Times New Roman" w:cs="Times New Roman"/>
          <w:color w:val="auto"/>
        </w:rPr>
        <w:t>.1.2 工艺控制措施</w:t>
      </w:r>
    </w:p>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(1)企业实行计算机管理</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采取以集中监控为主、现场操作为辅的原则</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凡温度、压力、计量、重量、阀门的开放等</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均实行遥控操作</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并在中央控制室设立闭路监控系统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对生产现场实行自动监控</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并自动指挥各装置的生产活动。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公司设置值班人员，对重点危险源（</w:t>
      </w:r>
      <w:r>
        <w:rPr>
          <w:rFonts w:hint="eastAsia" w:asciiTheme="minorEastAsia" w:hAnsiTheme="minorEastAsia" w:eastAsiaTheme="minorEastAsia" w:cstheme="minorEastAsia"/>
          <w:color w:val="auto"/>
          <w:sz w:val="24"/>
          <w:szCs w:val="24"/>
          <w:lang w:val="en-US" w:eastAsia="zh-CN"/>
        </w:rPr>
        <w:t>废水处理站、燃气锅炉、</w:t>
      </w:r>
      <w:r>
        <w:rPr>
          <w:rFonts w:hint="eastAsia" w:asciiTheme="minorEastAsia" w:hAnsiTheme="minorEastAsia" w:eastAsiaTheme="minorEastAsia" w:cstheme="minorEastAsia"/>
          <w:color w:val="auto"/>
          <w:sz w:val="24"/>
          <w:szCs w:val="24"/>
          <w:lang w:eastAsia="zh-CN"/>
        </w:rPr>
        <w:t>原料仓库、生产车间</w:t>
      </w:r>
      <w:r>
        <w:rPr>
          <w:rFonts w:hint="eastAsia" w:asciiTheme="minorEastAsia" w:hAnsiTheme="minorEastAsia" w:eastAsiaTheme="minorEastAsia" w:cstheme="minorEastAsia"/>
          <w:color w:val="auto"/>
          <w:sz w:val="24"/>
          <w:szCs w:val="24"/>
        </w:rPr>
        <w:t>）实行巡回检查</w:t>
      </w:r>
      <w:r>
        <w:rPr>
          <w:rFonts w:hint="eastAsia" w:asciiTheme="minorEastAsia" w:hAnsiTheme="minorEastAsia" w:eastAsiaTheme="minorEastAsia" w:cstheme="minorEastAsia"/>
          <w:color w:val="auto"/>
          <w:sz w:val="24"/>
          <w:szCs w:val="24"/>
          <w:lang w:eastAsia="zh-CN"/>
        </w:rPr>
        <w:t>，但未设巡回检查记录、检查台账等。</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（3）对于现场巡视及开停车时在现场观察的参数设就地仪表，主要操作点设置必要的事故停车开关，以保证安全操作。</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公司制定有</w:t>
      </w:r>
      <w:r>
        <w:rPr>
          <w:rFonts w:hint="eastAsia" w:asciiTheme="minorEastAsia" w:hAnsiTheme="minorEastAsia" w:eastAsiaTheme="minorEastAsia" w:cstheme="minorEastAsia"/>
          <w:color w:val="auto"/>
          <w:sz w:val="24"/>
          <w:szCs w:val="24"/>
        </w:rPr>
        <w:t>设备检修制度，每半个月对设备进行定期检修，及时发现问题，防患于未然。</w:t>
      </w:r>
    </w:p>
    <w:p>
      <w:pPr>
        <w:keepNext w:val="0"/>
        <w:keepLines w:val="0"/>
        <w:pageBreakBefore w:val="0"/>
        <w:widowControl w:val="0"/>
        <w:kinsoku/>
        <w:wordWrap/>
        <w:overflowPunct/>
        <w:topLinePunct w:val="0"/>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lang w:eastAsia="zh-CN"/>
        </w:rPr>
        <w:t>）公司</w:t>
      </w:r>
      <w:r>
        <w:rPr>
          <w:rFonts w:hint="eastAsia" w:asciiTheme="minorEastAsia" w:hAnsiTheme="minorEastAsia" w:eastAsiaTheme="minorEastAsia" w:cstheme="minorEastAsia"/>
          <w:color w:val="auto"/>
          <w:sz w:val="24"/>
          <w:szCs w:val="24"/>
        </w:rPr>
        <w:t>重点要求</w:t>
      </w:r>
      <w:r>
        <w:rPr>
          <w:rFonts w:hint="eastAsia" w:asciiTheme="minorEastAsia" w:hAnsiTheme="minorEastAsia" w:eastAsiaTheme="minorEastAsia" w:cstheme="minorEastAsia"/>
          <w:color w:val="auto"/>
          <w:sz w:val="24"/>
          <w:szCs w:val="24"/>
          <w:lang w:eastAsia="zh-CN"/>
        </w:rPr>
        <w:t>储存物质</w:t>
      </w:r>
      <w:r>
        <w:rPr>
          <w:rFonts w:hint="eastAsia" w:asciiTheme="minorEastAsia" w:hAnsiTheme="minorEastAsia" w:eastAsiaTheme="minorEastAsia" w:cstheme="minorEastAsia"/>
          <w:color w:val="auto"/>
          <w:sz w:val="24"/>
          <w:szCs w:val="24"/>
        </w:rPr>
        <w:t>设备的防腐和密封。</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lang w:eastAsia="zh-CN"/>
        </w:rPr>
        <w:t>）危废间、污水处理站等</w:t>
      </w:r>
      <w:r>
        <w:rPr>
          <w:rFonts w:hint="eastAsia" w:asciiTheme="minorEastAsia" w:hAnsiTheme="minorEastAsia" w:eastAsiaTheme="minorEastAsia" w:cstheme="minorEastAsia"/>
          <w:color w:val="auto"/>
          <w:sz w:val="24"/>
          <w:szCs w:val="24"/>
        </w:rPr>
        <w:t>采用防腐、防渗漏设计，</w:t>
      </w:r>
      <w:r>
        <w:rPr>
          <w:rFonts w:hint="eastAsia" w:asciiTheme="minorEastAsia" w:hAnsiTheme="minorEastAsia" w:eastAsiaTheme="minorEastAsia" w:cstheme="minorEastAsia"/>
          <w:color w:val="auto"/>
          <w:sz w:val="24"/>
          <w:szCs w:val="24"/>
          <w:lang w:eastAsia="zh-CN"/>
        </w:rPr>
        <w:t>危废间、污水处理站</w:t>
      </w:r>
      <w:r>
        <w:rPr>
          <w:rFonts w:hint="eastAsia" w:asciiTheme="minorEastAsia" w:hAnsiTheme="minorEastAsia" w:eastAsiaTheme="minorEastAsia" w:cstheme="minorEastAsia"/>
          <w:color w:val="auto"/>
          <w:sz w:val="24"/>
          <w:szCs w:val="24"/>
        </w:rPr>
        <w:t>还应修建地沟和储槽，当</w:t>
      </w:r>
      <w:r>
        <w:rPr>
          <w:rFonts w:hint="eastAsia" w:asciiTheme="minorEastAsia" w:hAnsiTheme="minorEastAsia" w:eastAsiaTheme="minorEastAsia" w:cstheme="minorEastAsia"/>
          <w:color w:val="auto"/>
          <w:sz w:val="24"/>
          <w:szCs w:val="24"/>
          <w:lang w:eastAsia="zh-CN"/>
        </w:rPr>
        <w:t>发生</w:t>
      </w:r>
      <w:r>
        <w:rPr>
          <w:rFonts w:hint="eastAsia" w:asciiTheme="minorEastAsia" w:hAnsiTheme="minorEastAsia" w:eastAsiaTheme="minorEastAsia" w:cstheme="minorEastAsia"/>
          <w:color w:val="auto"/>
          <w:sz w:val="24"/>
          <w:szCs w:val="24"/>
        </w:rPr>
        <w:t>泄漏时，液体能自动流入</w:t>
      </w:r>
      <w:r>
        <w:rPr>
          <w:rFonts w:hint="eastAsia" w:asciiTheme="minorEastAsia" w:hAnsiTheme="minorEastAsia" w:eastAsiaTheme="minorEastAsia" w:cstheme="minorEastAsia"/>
          <w:color w:val="auto"/>
          <w:sz w:val="24"/>
          <w:szCs w:val="24"/>
          <w:lang w:eastAsia="zh-CN"/>
        </w:rPr>
        <w:t>事故应急池</w:t>
      </w:r>
      <w:r>
        <w:rPr>
          <w:rFonts w:hint="eastAsia" w:asciiTheme="minorEastAsia" w:hAnsiTheme="minorEastAsia" w:eastAsiaTheme="minorEastAsia" w:cstheme="minorEastAsia"/>
          <w:color w:val="auto"/>
          <w:sz w:val="24"/>
          <w:szCs w:val="24"/>
        </w:rPr>
        <w:t>，地沟及储槽作防腐防渗处理</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b w:val="0"/>
          <w:bCs w:val="0"/>
          <w:color w:val="auto"/>
          <w:sz w:val="24"/>
          <w:szCs w:val="24"/>
          <w:lang w:eastAsia="zh-CN"/>
        </w:rPr>
        <w:t>公司目已</w:t>
      </w:r>
      <w:r>
        <w:rPr>
          <w:rFonts w:hint="eastAsia" w:asciiTheme="minorEastAsia" w:hAnsiTheme="minorEastAsia" w:eastAsiaTheme="minorEastAsia" w:cstheme="minorEastAsia"/>
          <w:b w:val="0"/>
          <w:bCs w:val="0"/>
          <w:color w:val="auto"/>
          <w:sz w:val="24"/>
          <w:szCs w:val="24"/>
        </w:rPr>
        <w:t>制定危险废物管理制定和规范，</w:t>
      </w:r>
      <w:r>
        <w:rPr>
          <w:rFonts w:hint="eastAsia" w:asciiTheme="minorEastAsia" w:hAnsiTheme="minorEastAsia" w:eastAsiaTheme="minorEastAsia" w:cstheme="minorEastAsia"/>
          <w:b w:val="0"/>
          <w:bCs w:val="0"/>
          <w:color w:val="auto"/>
          <w:sz w:val="24"/>
          <w:szCs w:val="24"/>
          <w:lang w:eastAsia="zh-CN"/>
        </w:rPr>
        <w:t>建立</w:t>
      </w:r>
      <w:r>
        <w:rPr>
          <w:rFonts w:hint="eastAsia" w:asciiTheme="minorEastAsia" w:hAnsiTheme="minorEastAsia" w:eastAsiaTheme="minorEastAsia" w:cstheme="minorEastAsia"/>
          <w:b w:val="0"/>
          <w:bCs w:val="0"/>
          <w:color w:val="auto"/>
          <w:sz w:val="24"/>
          <w:szCs w:val="24"/>
        </w:rPr>
        <w:t>进出库台账管理，</w:t>
      </w:r>
      <w:r>
        <w:rPr>
          <w:rFonts w:hint="eastAsia" w:asciiTheme="minorEastAsia" w:hAnsiTheme="minorEastAsia" w:eastAsiaTheme="minorEastAsia" w:cstheme="minorEastAsia"/>
          <w:b w:val="0"/>
          <w:bCs w:val="0"/>
          <w:color w:val="auto"/>
          <w:sz w:val="24"/>
          <w:szCs w:val="24"/>
          <w:lang w:eastAsia="zh-CN"/>
        </w:rPr>
        <w:t>并</w:t>
      </w:r>
      <w:r>
        <w:rPr>
          <w:rFonts w:hint="eastAsia" w:asciiTheme="minorEastAsia" w:hAnsiTheme="minorEastAsia" w:eastAsiaTheme="minorEastAsia" w:cstheme="minorEastAsia"/>
          <w:b w:val="0"/>
          <w:bCs w:val="0"/>
          <w:color w:val="auto"/>
          <w:sz w:val="24"/>
          <w:szCs w:val="24"/>
        </w:rPr>
        <w:t>严格实行分类管理，集中处置原则</w:t>
      </w:r>
      <w:r>
        <w:rPr>
          <w:rFonts w:hint="eastAsia" w:asciiTheme="minorEastAsia" w:hAnsiTheme="minorEastAsia" w:eastAsiaTheme="minorEastAsia" w:cstheme="minorEastAsia"/>
          <w:b w:val="0"/>
          <w:bCs w:val="0"/>
          <w:color w:val="auto"/>
          <w:sz w:val="24"/>
          <w:szCs w:val="24"/>
          <w:lang w:eastAsia="zh-CN"/>
        </w:rPr>
        <w:t>。</w:t>
      </w:r>
    </w:p>
    <w:p>
      <w:pPr>
        <w:pStyle w:val="7"/>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3.</w:t>
      </w:r>
      <w:r>
        <w:rPr>
          <w:rFonts w:hint="eastAsia" w:ascii="Times New Roman" w:hAnsi="Times New Roman" w:cs="Times New Roman" w:eastAsiaTheme="minorEastAsia"/>
          <w:color w:val="auto"/>
          <w:lang w:val="en-US" w:eastAsia="zh-CN"/>
        </w:rPr>
        <w:t>5</w:t>
      </w:r>
      <w:r>
        <w:rPr>
          <w:rFonts w:hint="default" w:ascii="Times New Roman" w:hAnsi="Times New Roman" w:cs="Times New Roman" w:eastAsiaTheme="minorEastAsia"/>
          <w:color w:val="auto"/>
        </w:rPr>
        <w:t>.1.3 建筑等级与设备方面的防范措施</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(1)厂区外供电采用</w:t>
      </w:r>
      <w:r>
        <w:rPr>
          <w:rFonts w:hint="eastAsia" w:cs="Times New Roman" w:eastAsiaTheme="minorEastAsia"/>
          <w:color w:val="auto"/>
          <w:sz w:val="24"/>
          <w:szCs w:val="24"/>
          <w:lang w:eastAsia="zh-CN"/>
        </w:rPr>
        <w:t>单</w:t>
      </w:r>
      <w:r>
        <w:rPr>
          <w:rFonts w:hint="default" w:ascii="Times New Roman" w:hAnsi="Times New Roman" w:cs="Times New Roman" w:eastAsiaTheme="minorEastAsia"/>
          <w:color w:val="auto"/>
          <w:sz w:val="24"/>
          <w:szCs w:val="24"/>
        </w:rPr>
        <w:t>回路电源供电以及备用电源</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以保证供电的连续性</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(2)各装置按生产类别划分</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主要生产厂房耐火等级不低于二级</w:t>
      </w:r>
      <w:r>
        <w:rPr>
          <w:rFonts w:hint="eastAsia"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建筑物设计按《建筑设计防火规范》GBJ16-87(修订本)执行。各建构筑物之间、建构筑物与道路、电杆及厂房之间</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要按火灾危险类别和环境情况保持环境保护距离</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(3)所有设备的设计、选购、安装均应按有关规范、标准进行</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(4)管材、壁厚、阀门选择及管道安装时严格把关</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以防物料泄露</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lang w:val="en-US" w:eastAsia="zh-CN"/>
        </w:rPr>
        <w:t>5</w:t>
      </w:r>
      <w:r>
        <w:rPr>
          <w:rFonts w:hint="default" w:ascii="Times New Roman" w:hAnsi="Times New Roman" w:cs="Times New Roman" w:eastAsiaTheme="minorEastAsia"/>
          <w:color w:val="auto"/>
          <w:sz w:val="24"/>
          <w:szCs w:val="24"/>
        </w:rPr>
        <w:t>)所有压力容器的设计均按有关规范、标准进行</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并配有安全阀、爆破片、紧急放空阀、紧急切断装置等超压保护装置</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Times New Roman" w:hAnsi="Times New Roman" w:cs="Times New Roman" w:eastAsiaTheme="minorEastAsia"/>
          <w:color w:val="auto"/>
          <w:sz w:val="24"/>
          <w:szCs w:val="24"/>
          <w:lang w:eastAsia="zh-CN"/>
        </w:rPr>
      </w:pPr>
      <w:r>
        <w:rPr>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lang w:val="en-US" w:eastAsia="zh-CN"/>
        </w:rPr>
        <w:t>6</w:t>
      </w:r>
      <w:r>
        <w:rPr>
          <w:rFonts w:hint="default" w:ascii="Times New Roman" w:hAnsi="Times New Roman" w:cs="Times New Roman" w:eastAsiaTheme="minorEastAsia"/>
          <w:color w:val="auto"/>
          <w:sz w:val="24"/>
          <w:szCs w:val="24"/>
        </w:rPr>
        <w:t>)对可产生有毒气体积累的场所</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设置机械通风设施进行通风换气</w:t>
      </w:r>
      <w:r>
        <w:rPr>
          <w:rFonts w:hint="eastAsia" w:cs="Times New Roman" w:eastAsiaTheme="minorEastAsia"/>
          <w:color w:val="auto"/>
          <w:sz w:val="24"/>
          <w:szCs w:val="24"/>
          <w:lang w:eastAsia="zh-CN"/>
        </w:rPr>
        <w:t>；</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w:t>
      </w:r>
      <w:r>
        <w:rPr>
          <w:rFonts w:hint="default" w:ascii="Times New Roman" w:hAnsi="Times New Roman"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rPr>
        <w:t>)较高厂房均设避雷装置及防雷接地设施</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所有高出厂房的设备、设施均设有避雷装置。所有用电设备的金属外壳均采取保护接地</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各厂房及整个装置区构成接地网络</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对易产生静电的场所采取接地干线以起保护作用。工艺生产过程中产生静电的设备和管道及输送易燃、易爆的物料管线作防静电接地。</w:t>
      </w:r>
    </w:p>
    <w:p>
      <w:pPr>
        <w:pStyle w:val="7"/>
        <w:pageBreakBefore w:val="0"/>
        <w:widowControl w:val="0"/>
        <w:kinsoku/>
        <w:wordWrap/>
        <w:overflowPunct/>
        <w:topLinePunct w:val="0"/>
        <w:autoSpaceDE/>
        <w:autoSpaceDN/>
        <w:bidi w:val="0"/>
        <w:adjustRightInd/>
        <w:snapToGrid/>
        <w:textAlignment w:val="auto"/>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3.</w:t>
      </w:r>
      <w:r>
        <w:rPr>
          <w:rFonts w:hint="eastAsia" w:ascii="Times New Roman" w:hAnsi="Times New Roman" w:cs="Times New Roman" w:eastAsiaTheme="minorEastAsia"/>
          <w:color w:val="auto"/>
          <w:lang w:val="en-US" w:eastAsia="zh-CN"/>
        </w:rPr>
        <w:t>5</w:t>
      </w:r>
      <w:r>
        <w:rPr>
          <w:rFonts w:hint="default" w:ascii="Times New Roman" w:hAnsi="Times New Roman" w:cs="Times New Roman" w:eastAsiaTheme="minorEastAsia"/>
          <w:color w:val="auto"/>
        </w:rPr>
        <w:t>.1.4 生产安全管理</w:t>
      </w:r>
    </w:p>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(1)加强工艺管理，严格控制工艺指标。工厂应建立科学、严格的生产操作规程和安全管理体系，做到各车间、工段生产、安全都有专业人员专职负责。</w:t>
      </w:r>
    </w:p>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加强安全生产教育。安全生产教育包括厂级、车间、班组三级安全教育、特殊工种安全教育、日常安全教育、装置开工前安全教育和外来人员安全教育五部分内容。让所有员工了解本厂各种原材料、化学制品、添加剂、中间产品、最终产品以及废料的物理、化学和生理</w:t>
      </w:r>
      <w:bookmarkStart w:id="105" w:name="_Toc5294_WPSOffice_Level3"/>
      <w:r>
        <w:rPr>
          <w:rFonts w:hint="default" w:ascii="Times New Roman" w:hAnsi="Times New Roman" w:cs="Times New Roman" w:eastAsiaTheme="minorEastAsia"/>
          <w:color w:val="auto"/>
          <w:sz w:val="24"/>
          <w:szCs w:val="24"/>
        </w:rPr>
        <w:t>特性及其毒性，所有防护措施、环境影</w:t>
      </w:r>
      <w:bookmarkEnd w:id="105"/>
      <w:r>
        <w:rPr>
          <w:rFonts w:hint="default" w:ascii="Times New Roman" w:hAnsi="Times New Roman" w:cs="Times New Roman" w:eastAsiaTheme="minorEastAsia"/>
          <w:color w:val="auto"/>
          <w:sz w:val="24"/>
          <w:szCs w:val="24"/>
        </w:rPr>
        <w:t>响等。</w:t>
      </w:r>
    </w:p>
    <w:p>
      <w:pPr>
        <w:pStyle w:val="9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(3)把好设备进厂关，将隐患消灭在正式投入使用前。同时加强容器、设备、管道、阀门等密封检查与维护，发现问题及时解决，保证设备完好。</w:t>
      </w:r>
    </w:p>
    <w:p>
      <w:pPr>
        <w:keepNext w:val="0"/>
        <w:keepLines w:val="0"/>
        <w:pageBreakBefore w:val="0"/>
        <w:widowControl w:val="0"/>
        <w:kinsoku/>
        <w:wordWrap/>
        <w:overflowPunct/>
        <w:topLinePunct w:val="0"/>
        <w:bidi w:val="0"/>
        <w:adjustRightInd/>
        <w:snapToGrid/>
        <w:spacing w:line="360" w:lineRule="auto"/>
        <w:ind w:firstLine="440" w:firstLineChars="200"/>
        <w:textAlignment w:val="auto"/>
        <w:rPr>
          <w:rFonts w:hint="default" w:ascii="Times New Roman" w:hAnsi="Times New Roman" w:cs="Times New Roman"/>
        </w:rPr>
      </w:pPr>
      <w:r>
        <w:rPr>
          <w:rFonts w:hint="default" w:ascii="Times New Roman" w:hAnsi="Times New Roman" w:cs="Times New Roman"/>
        </w:rPr>
        <w:t>(4)严格执行《化学工业部安全生产禁令》。</w:t>
      </w:r>
    </w:p>
    <w:p>
      <w:pPr>
        <w:pStyle w:val="7"/>
        <w:bidi w:val="0"/>
        <w:rPr>
          <w:rFonts w:hint="default" w:ascii="Times New Roman" w:hAnsi="Times New Roman" w:cs="Times New Roman"/>
        </w:rPr>
      </w:pPr>
      <w:r>
        <w:rPr>
          <w:rFonts w:hint="default" w:ascii="Times New Roman" w:hAnsi="Times New Roman" w:cs="Times New Roman"/>
        </w:rPr>
        <w:t>3.</w:t>
      </w:r>
      <w:r>
        <w:rPr>
          <w:rFonts w:hint="eastAsia" w:ascii="Times New Roman" w:hAnsi="Times New Roman" w:cs="Times New Roman"/>
          <w:lang w:val="en-US" w:eastAsia="zh-CN"/>
        </w:rPr>
        <w:t>5</w:t>
      </w:r>
      <w:r>
        <w:rPr>
          <w:rFonts w:hint="default" w:ascii="Times New Roman" w:hAnsi="Times New Roman" w:cs="Times New Roman"/>
        </w:rPr>
        <w:t>.1.5 劳动保护</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(1)对在岗工人及邻近有关人员进行普及性自我救护教育，一旦发生事故迅速进行自我救护，如佩戴防毒面具</w:t>
      </w:r>
      <w:bookmarkStart w:id="106" w:name="_Toc23533_WPSOffice_Level2"/>
      <w:r>
        <w:rPr>
          <w:rFonts w:hint="default" w:ascii="Times New Roman" w:hAnsi="Times New Roman" w:cs="Times New Roman" w:eastAsiaTheme="minorEastAsia"/>
          <w:color w:val="auto"/>
          <w:sz w:val="24"/>
          <w:szCs w:val="24"/>
        </w:rPr>
        <w:t>。敞开门窗等。同时还要加强防护器</w:t>
      </w:r>
      <w:bookmarkEnd w:id="106"/>
      <w:r>
        <w:rPr>
          <w:rFonts w:hint="default" w:ascii="Times New Roman" w:hAnsi="Times New Roman" w:cs="Times New Roman" w:eastAsiaTheme="minorEastAsia"/>
          <w:color w:val="auto"/>
          <w:sz w:val="24"/>
          <w:szCs w:val="24"/>
        </w:rPr>
        <w:t>材</w:t>
      </w:r>
      <w:bookmarkStart w:id="107" w:name="_Toc32083_WPSOffice_Level2"/>
      <w:r>
        <w:rPr>
          <w:rFonts w:hint="default" w:ascii="Times New Roman" w:hAnsi="Times New Roman" w:cs="Times New Roman" w:eastAsiaTheme="minorEastAsia"/>
          <w:color w:val="auto"/>
          <w:sz w:val="24"/>
          <w:szCs w:val="24"/>
        </w:rPr>
        <w:t>的维护保养，保证器材随时处于备用状态。</w:t>
      </w:r>
      <w:bookmarkEnd w:id="107"/>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(2)要加强设备的密封性和车间的通风，防止跑、冒、滴、漏，最大限度地降低车间中有害物质的浓度。同时进行定期检测使之达到国家卫生标准的要求。</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(3)在必须靠近敞开的设备和接触物料，如</w:t>
      </w:r>
      <w:r>
        <w:rPr>
          <w:rFonts w:hint="default" w:ascii="Times New Roman" w:hAnsi="Times New Roman" w:cs="Times New Roman" w:eastAsiaTheme="minorEastAsia"/>
          <w:color w:val="auto"/>
          <w:sz w:val="24"/>
          <w:szCs w:val="24"/>
          <w:lang w:eastAsia="zh-CN"/>
        </w:rPr>
        <w:t>搅拌罐</w:t>
      </w:r>
      <w:r>
        <w:rPr>
          <w:rFonts w:hint="default" w:ascii="Times New Roman" w:hAnsi="Times New Roman" w:cs="Times New Roman" w:eastAsiaTheme="minorEastAsia"/>
          <w:color w:val="auto"/>
          <w:sz w:val="24"/>
          <w:szCs w:val="24"/>
        </w:rPr>
        <w:t>，操作人员应按规定佩戴防护用具。</w:t>
      </w:r>
    </w:p>
    <w:p>
      <w:pPr>
        <w:pStyle w:val="94"/>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(4)厂房内采用自然通风或局部机械通风措施，使有害气体的浓度低于卫生标准，并对于有毒岗位配置洗眼器和防尘口罩、防毒呼吸器等个人防护用具。</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108" w:name="_Toc11778"/>
      <w:bookmarkStart w:id="109" w:name="_Toc3925"/>
      <w:r>
        <w:rPr>
          <w:rFonts w:hint="default" w:ascii="Times New Roman" w:hAnsi="Times New Roman" w:cs="Times New Roman" w:eastAsiaTheme="minorEastAsia"/>
          <w:color w:val="auto"/>
          <w:sz w:val="24"/>
          <w:szCs w:val="24"/>
        </w:rPr>
        <w:t>(5)设计中尽量选用低噪设备</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对较大噪声源可采用基础减震、消声器消声、建筑物隔音等</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使噪声降至标准值以下。另外</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这些高噪设备的操作要在控制室进行</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操作工人按规定进行必要的巡检时应配戴防护耳罩、耳塞等劳保用品</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以进一步削减噪声</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保护工人的身心健康。</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(6)凡易发生坠落危险的操作岗位</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按规定设计便于操作、巡检和维修作业的扶梯、平台、围栏等附属设施。</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(7)对有毒</w:t>
      </w:r>
      <w:r>
        <w:rPr>
          <w:rFonts w:hint="eastAsia" w:cs="Times New Roman" w:eastAsiaTheme="minorEastAsia"/>
          <w:color w:val="auto"/>
          <w:sz w:val="24"/>
          <w:szCs w:val="24"/>
          <w:lang w:eastAsia="zh-CN"/>
        </w:rPr>
        <w:t>气体</w:t>
      </w:r>
      <w:r>
        <w:rPr>
          <w:rFonts w:hint="default" w:ascii="Times New Roman" w:hAnsi="Times New Roman" w:cs="Times New Roman" w:eastAsiaTheme="minorEastAsia"/>
          <w:color w:val="auto"/>
          <w:sz w:val="24"/>
          <w:szCs w:val="24"/>
        </w:rPr>
        <w:t>岗位安有气体检测仪</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用于生产场所的安全监测及卫生标准的监测。</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(8)所有工人上岗前均按规定进行就业体检</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特殊岗位工人需持证上岗。</w:t>
      </w:r>
    </w:p>
    <w:p>
      <w:pPr>
        <w:pStyle w:val="7"/>
        <w:bidi w:val="0"/>
        <w:rPr>
          <w:rFonts w:hint="eastAsia"/>
          <w:lang w:val="en-US" w:eastAsia="zh-CN"/>
        </w:rPr>
      </w:pPr>
      <w:r>
        <w:rPr>
          <w:rFonts w:hint="eastAsia"/>
          <w:lang w:val="en-US" w:eastAsia="zh-CN"/>
        </w:rPr>
        <w:t xml:space="preserve">3.5.1.6 </w:t>
      </w:r>
      <w:r>
        <w:rPr>
          <w:rFonts w:hint="default" w:ascii="Times New Roman" w:hAnsi="Times New Roman" w:eastAsia="STSongStd-Light-Acro" w:cs="Times New Roman"/>
          <w:color w:val="000000"/>
          <w:kern w:val="0"/>
          <w:sz w:val="24"/>
          <w:szCs w:val="24"/>
          <w:lang w:val="en-US" w:eastAsia="zh-CN" w:bidi="ar"/>
        </w:rPr>
        <w:t>风险管理措施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sz w:val="24"/>
          <w:szCs w:val="24"/>
        </w:rPr>
      </w:pPr>
      <w:r>
        <w:rPr>
          <w:rFonts w:hint="default" w:ascii="Times New Roman" w:hAnsi="Times New Roman" w:eastAsia="STSongStd-Light-Acro" w:cs="Times New Roman"/>
          <w:color w:val="000000"/>
          <w:kern w:val="0"/>
          <w:sz w:val="24"/>
          <w:szCs w:val="24"/>
          <w:lang w:val="en-US" w:eastAsia="zh-CN" w:bidi="ar"/>
        </w:rPr>
        <w:t>①厂区安全卫生工作设专人负责，并建立</w:t>
      </w:r>
      <w:r>
        <w:rPr>
          <w:rFonts w:hint="default" w:ascii="Times New Roman" w:hAnsi="Times New Roman" w:eastAsia="Helvetica" w:cs="Times New Roman"/>
          <w:color w:val="000000"/>
          <w:kern w:val="0"/>
          <w:sz w:val="24"/>
          <w:szCs w:val="24"/>
          <w:lang w:val="en-US" w:eastAsia="zh-CN" w:bidi="ar"/>
        </w:rPr>
        <w:t>HSE</w:t>
      </w:r>
      <w:r>
        <w:rPr>
          <w:rFonts w:hint="default" w:ascii="Times New Roman" w:hAnsi="Times New Roman" w:eastAsia="STSongStd-Light-Acro" w:cs="Times New Roman"/>
          <w:color w:val="000000"/>
          <w:kern w:val="0"/>
          <w:sz w:val="24"/>
          <w:szCs w:val="24"/>
          <w:lang w:val="en-US" w:eastAsia="zh-CN" w:bidi="ar"/>
        </w:rPr>
        <w:t>管理体系、建立健全岗位操作规程，相关人员应熟悉和掌握规程的内容，并严格按照规程进行作业。</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sz w:val="24"/>
          <w:szCs w:val="24"/>
        </w:rPr>
      </w:pPr>
      <w:r>
        <w:rPr>
          <w:rFonts w:hint="default" w:ascii="Times New Roman" w:hAnsi="Times New Roman" w:eastAsia="STSongStd-Light-Acro" w:cs="Times New Roman"/>
          <w:color w:val="000000"/>
          <w:kern w:val="0"/>
          <w:sz w:val="24"/>
          <w:szCs w:val="24"/>
          <w:lang w:val="en-US" w:eastAsia="zh-CN" w:bidi="ar"/>
        </w:rPr>
        <w:t>②对厂区内的重大危险源</w:t>
      </w:r>
      <w:r>
        <w:rPr>
          <w:rFonts w:hint="default" w:ascii="Times New Roman" w:hAnsi="Times New Roman" w:eastAsia="STSongStd-Light-Acro" w:cs="Times New Roman"/>
          <w:color w:val="auto"/>
          <w:kern w:val="0"/>
          <w:sz w:val="24"/>
          <w:szCs w:val="24"/>
          <w:lang w:val="en-US" w:eastAsia="zh-CN" w:bidi="ar"/>
        </w:rPr>
        <w:t>（</w:t>
      </w:r>
      <w:r>
        <w:rPr>
          <w:rFonts w:hint="eastAsia" w:cs="Times New Roman"/>
          <w:color w:val="auto"/>
          <w:sz w:val="24"/>
          <w:szCs w:val="24"/>
          <w:lang w:val="en-US" w:eastAsia="zh-CN"/>
        </w:rPr>
        <w:t>废水处理站、燃气锅炉、</w:t>
      </w:r>
      <w:r>
        <w:rPr>
          <w:rFonts w:hint="eastAsia" w:cs="Times New Roman"/>
          <w:color w:val="auto"/>
          <w:sz w:val="24"/>
          <w:szCs w:val="24"/>
          <w:lang w:eastAsia="zh-CN"/>
        </w:rPr>
        <w:t>原料车间、生产车间</w:t>
      </w:r>
      <w:r>
        <w:rPr>
          <w:rFonts w:hint="default" w:ascii="Times New Roman" w:hAnsi="Times New Roman" w:eastAsia="STSongStd-Light-Acro" w:cs="Times New Roman"/>
          <w:color w:val="auto"/>
          <w:kern w:val="0"/>
          <w:sz w:val="24"/>
          <w:szCs w:val="24"/>
          <w:lang w:val="en-US" w:eastAsia="zh-CN" w:bidi="ar"/>
        </w:rPr>
        <w:t>）应当登记建档，进</w:t>
      </w:r>
      <w:r>
        <w:rPr>
          <w:rFonts w:hint="default" w:ascii="Times New Roman" w:hAnsi="Times New Roman" w:eastAsia="STSongStd-Light-Acro" w:cs="Times New Roman"/>
          <w:color w:val="000000"/>
          <w:kern w:val="0"/>
          <w:sz w:val="24"/>
          <w:szCs w:val="24"/>
          <w:lang w:val="en-US" w:eastAsia="zh-CN" w:bidi="ar"/>
        </w:rPr>
        <w:t>行定期检测、评估、监控，并制定应急预案，告知从业人员和相关人员在紧急情况下应采取的应急措施。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sz w:val="24"/>
          <w:szCs w:val="24"/>
        </w:rPr>
      </w:pPr>
      <w:r>
        <w:rPr>
          <w:rFonts w:hint="default" w:ascii="Times New Roman" w:hAnsi="Times New Roman" w:eastAsia="STSongStd-Light-Acro" w:cs="Times New Roman"/>
          <w:color w:val="000000"/>
          <w:kern w:val="0"/>
          <w:sz w:val="24"/>
          <w:szCs w:val="24"/>
          <w:lang w:val="en-US" w:eastAsia="zh-CN" w:bidi="ar"/>
        </w:rPr>
        <w:t>③加强安全设施、 消防设施及检测报警及控制仪表的定期检测与日常维护、保养，若发现质量缺陷或故障，应及时排除，确保运行状态良好，杜绝由于设备劳损、折旧带来的事故隐患。</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STSongStd-Light-Acro" w:cs="Times New Roman"/>
          <w:color w:val="000000"/>
          <w:kern w:val="0"/>
          <w:sz w:val="24"/>
          <w:szCs w:val="24"/>
          <w:lang w:val="en-US" w:eastAsia="zh-CN" w:bidi="ar"/>
        </w:rPr>
      </w:pPr>
      <w:r>
        <w:rPr>
          <w:rFonts w:hint="default" w:ascii="Times New Roman" w:hAnsi="Times New Roman" w:eastAsia="STSongStd-Light-Acro" w:cs="Times New Roman"/>
          <w:color w:val="000000"/>
          <w:kern w:val="0"/>
          <w:sz w:val="24"/>
          <w:szCs w:val="24"/>
          <w:lang w:val="en-US" w:eastAsia="zh-CN" w:bidi="ar"/>
        </w:rPr>
        <w:t>④加强对厂区职工的教育培训，实行上岗证制度，增强职工风险意识，提高事故自救能力，制定和强化各种安全管理、安全生产的规程，减少人为风险事故（如误操作）的发生。</w:t>
      </w:r>
    </w:p>
    <w:p>
      <w:pPr>
        <w:keepNext w:val="0"/>
        <w:keepLines w:val="0"/>
        <w:pageBreakBefore w:val="0"/>
        <w:widowControl/>
        <w:suppressLineNumbers w:val="0"/>
        <w:kinsoku/>
        <w:wordWrap/>
        <w:overflowPunct/>
        <w:topLinePunct w:val="0"/>
        <w:bidi w:val="0"/>
        <w:snapToGrid/>
        <w:spacing w:line="360" w:lineRule="auto"/>
        <w:ind w:firstLine="480" w:firstLineChars="200"/>
        <w:jc w:val="left"/>
        <w:textAlignment w:val="auto"/>
        <w:rPr>
          <w:rFonts w:hint="default" w:ascii="Times New Roman" w:hAnsi="Times New Roman" w:cs="Times New Roman" w:eastAsiaTheme="minorEastAsia"/>
          <w:color w:val="000000"/>
          <w:kern w:val="0"/>
          <w:sz w:val="24"/>
          <w:szCs w:val="24"/>
          <w:lang w:val="en-US" w:eastAsia="zh-CN" w:bidi="ar"/>
        </w:rPr>
      </w:pPr>
      <w:r>
        <w:rPr>
          <w:rFonts w:hint="default" w:ascii="Times New Roman" w:hAnsi="Times New Roman" w:cs="Times New Roman" w:eastAsiaTheme="minorEastAsia"/>
          <w:color w:val="000000"/>
          <w:kern w:val="0"/>
          <w:sz w:val="24"/>
          <w:szCs w:val="24"/>
          <w:lang w:val="en-US" w:eastAsia="zh-CN" w:bidi="ar"/>
        </w:rPr>
        <w:t xml:space="preserve">⑤严格执行危险化学品安全管理制度，落实安全责任制，坚持岗位培训和持证上岗制度，加强操作工人的个人防护（如佩戴防护用具、穿防护服护目镜等）。 </w:t>
      </w:r>
    </w:p>
    <w:p>
      <w:pPr>
        <w:pStyle w:val="30"/>
        <w:keepNext w:val="0"/>
        <w:keepLines w:val="0"/>
        <w:pageBreakBefore w:val="0"/>
        <w:kinsoku/>
        <w:wordWrap/>
        <w:overflowPunct/>
        <w:topLinePunct w:val="0"/>
        <w:bidi w:val="0"/>
        <w:snapToGrid/>
        <w:spacing w:line="360" w:lineRule="auto"/>
        <w:ind w:firstLine="480" w:firstLineChars="200"/>
        <w:textAlignment w:val="auto"/>
        <w:rPr>
          <w:rFonts w:hint="default"/>
          <w:lang w:val="en-US" w:eastAsia="zh-CN"/>
        </w:rPr>
      </w:pPr>
      <w:r>
        <w:rPr>
          <w:rFonts w:hint="default" w:ascii="Times New Roman" w:hAnsi="Times New Roman" w:eastAsia="微软雅黑" w:cs="Times New Roman"/>
          <w:color w:val="000000"/>
          <w:kern w:val="0"/>
          <w:sz w:val="24"/>
          <w:szCs w:val="24"/>
          <w:lang w:val="en-US" w:eastAsia="zh-CN" w:bidi="ar"/>
        </w:rPr>
        <w:t>⑥</w:t>
      </w:r>
      <w:r>
        <w:rPr>
          <w:rFonts w:hint="eastAsia" w:ascii="Times New Roman" w:hAnsi="Times New Roman" w:cs="Times New Roman" w:eastAsiaTheme="minorEastAsia"/>
          <w:color w:val="000000"/>
          <w:kern w:val="0"/>
          <w:sz w:val="24"/>
          <w:szCs w:val="24"/>
          <w:lang w:val="en-US" w:eastAsia="zh-CN" w:bidi="ar"/>
        </w:rPr>
        <w:t>加强厂内罐区危险化学品泄漏监控，配备足够防护设备，对生产车间等配备护目、呼吸罩、防毒面具、耐酸碱手套等防护用品，事故发生时可及时避免危险物质对人体造成中毒或其他伤害。</w:t>
      </w:r>
    </w:p>
    <w:bookmarkEnd w:id="108"/>
    <w:bookmarkEnd w:id="109"/>
    <w:p>
      <w:pPr>
        <w:pStyle w:val="6"/>
        <w:ind w:firstLine="602"/>
        <w:rPr>
          <w:rFonts w:hint="eastAsia" w:ascii="Times New Roman" w:hAnsi="Times New Roman" w:cs="Times New Roman" w:eastAsiaTheme="minorEastAsia"/>
          <w:color w:val="auto"/>
          <w:lang w:eastAsia="zh-CN"/>
        </w:rPr>
      </w:pPr>
      <w:bookmarkStart w:id="110" w:name="_Toc4185"/>
      <w:bookmarkStart w:id="111" w:name="_Toc6061"/>
      <w:bookmarkStart w:id="112" w:name="_Toc7109"/>
      <w:bookmarkStart w:id="113" w:name="_Toc29014"/>
      <w:bookmarkStart w:id="114" w:name="_Toc17966"/>
      <w:r>
        <w:rPr>
          <w:rFonts w:hint="default" w:ascii="Times New Roman" w:hAnsi="Times New Roman" w:cs="Times New Roman" w:eastAsiaTheme="minorEastAsia"/>
          <w:color w:val="auto"/>
        </w:rPr>
        <w:t>3.</w:t>
      </w:r>
      <w:r>
        <w:rPr>
          <w:rFonts w:hint="eastAsia" w:cs="Times New Roman" w:eastAsiaTheme="minorEastAsia"/>
          <w:color w:val="auto"/>
          <w:lang w:val="en-US" w:eastAsia="zh-CN"/>
        </w:rPr>
        <w:t>5</w:t>
      </w:r>
      <w:r>
        <w:rPr>
          <w:rFonts w:hint="default" w:ascii="Times New Roman" w:hAnsi="Times New Roman" w:cs="Times New Roman" w:eastAsiaTheme="minorEastAsia"/>
          <w:color w:val="auto"/>
        </w:rPr>
        <w:t xml:space="preserve">.2 </w:t>
      </w:r>
      <w:bookmarkEnd w:id="110"/>
      <w:bookmarkEnd w:id="111"/>
      <w:bookmarkEnd w:id="112"/>
      <w:bookmarkEnd w:id="113"/>
      <w:r>
        <w:rPr>
          <w:rFonts w:hint="eastAsia" w:cs="Times New Roman" w:eastAsiaTheme="minorEastAsia"/>
          <w:color w:val="auto"/>
          <w:lang w:eastAsia="zh-CN"/>
        </w:rPr>
        <w:t>危险品泄漏现有应急措施</w:t>
      </w:r>
      <w:bookmarkEnd w:id="114"/>
    </w:p>
    <w:p>
      <w:pPr>
        <w:pStyle w:val="9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szCs w:val="24"/>
        </w:rPr>
      </w:pPr>
      <w:bookmarkStart w:id="115" w:name="_Toc19903"/>
      <w:bookmarkStart w:id="116" w:name="_Toc29300"/>
      <w:bookmarkStart w:id="117" w:name="_Toc201495140"/>
      <w:bookmarkStart w:id="118" w:name="_Toc17583"/>
      <w:bookmarkStart w:id="119" w:name="_Toc206223364"/>
      <w:bookmarkStart w:id="120" w:name="_Toc14941"/>
      <w:bookmarkStart w:id="121" w:name="_Toc197858262"/>
      <w:r>
        <w:rPr>
          <w:rFonts w:hint="default" w:ascii="Times New Roman" w:hAnsi="Times New Roman" w:eastAsia="宋体" w:cs="Times New Roman"/>
          <w:color w:val="auto"/>
          <w:sz w:val="24"/>
          <w:szCs w:val="24"/>
        </w:rPr>
        <w:t>发生泄漏事故后，根据事故现场情况，现场人员立即进行堵漏并收集泄漏物，并停止相关工作工序；泄漏较多的情况下，事故现场人员应立即报告公司负责人，公司成立现场应急处置小组根据现场实际情况同时进行应急处置，并根据事故的大小及发展态势向公司应急领导小组报告，并启动Ⅰ</w:t>
      </w:r>
      <w:r>
        <w:rPr>
          <w:rFonts w:hint="default" w:ascii="Times New Roman" w:hAnsi="Times New Roman" w:eastAsia="宋体" w:cs="Times New Roman"/>
          <w:color w:val="auto"/>
          <w:sz w:val="24"/>
          <w:szCs w:val="24"/>
          <w:lang w:eastAsia="zh-CN"/>
        </w:rPr>
        <w:t>级</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Ⅱ级/Ⅲ级应急预警及响应程序。</w:t>
      </w:r>
    </w:p>
    <w:p>
      <w:pPr>
        <w:pStyle w:val="9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（1）</w:t>
      </w:r>
      <w:r>
        <w:rPr>
          <w:rFonts w:hint="default" w:ascii="Times New Roman" w:hAnsi="Times New Roman" w:eastAsia="宋体" w:cs="Times New Roman"/>
          <w:color w:val="auto"/>
          <w:kern w:val="2"/>
          <w:sz w:val="24"/>
          <w:szCs w:val="24"/>
          <w:lang w:val="en-US" w:eastAsia="zh-CN" w:bidi="ar-SA"/>
        </w:rPr>
        <w:t>危险</w:t>
      </w:r>
      <w:r>
        <w:rPr>
          <w:rFonts w:hint="eastAsia" w:cs="Times New Roman"/>
          <w:color w:val="auto"/>
          <w:kern w:val="2"/>
          <w:sz w:val="24"/>
          <w:szCs w:val="24"/>
          <w:lang w:val="en-US" w:eastAsia="zh-CN" w:bidi="ar-SA"/>
        </w:rPr>
        <w:t>化学品</w:t>
      </w:r>
      <w:r>
        <w:rPr>
          <w:rFonts w:hint="default" w:ascii="Times New Roman" w:hAnsi="Times New Roman" w:eastAsia="宋体" w:cs="Times New Roman"/>
          <w:color w:val="auto"/>
          <w:kern w:val="2"/>
          <w:sz w:val="24"/>
          <w:szCs w:val="24"/>
          <w:lang w:val="en-US" w:eastAsia="zh-CN" w:bidi="ar-SA"/>
        </w:rPr>
        <w:t>泄露</w:t>
      </w:r>
      <w:r>
        <w:rPr>
          <w:rFonts w:hint="default" w:ascii="Times New Roman" w:hAnsi="Times New Roman" w:eastAsia="宋体" w:cs="Times New Roman"/>
          <w:color w:val="auto"/>
          <w:sz w:val="24"/>
          <w:szCs w:val="24"/>
          <w:lang w:eastAsia="zh-CN"/>
        </w:rPr>
        <w:t>现有应急措施</w:t>
      </w:r>
      <w:r>
        <w:rPr>
          <w:rFonts w:hint="default" w:ascii="Times New Roman" w:hAnsi="Times New Roman" w:eastAsia="宋体" w:cs="Times New Roman"/>
          <w:color w:val="auto"/>
          <w:kern w:val="2"/>
          <w:sz w:val="24"/>
          <w:szCs w:val="24"/>
          <w:lang w:val="en-US" w:eastAsia="zh-CN" w:bidi="ar-SA"/>
        </w:rPr>
        <w:t xml:space="preserve">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①</w:t>
      </w:r>
      <w:r>
        <w:rPr>
          <w:rFonts w:hint="default" w:ascii="Times New Roman" w:hAnsi="Times New Roman" w:eastAsia="宋体" w:cs="Times New Roman"/>
          <w:color w:val="auto"/>
          <w:kern w:val="2"/>
          <w:sz w:val="24"/>
          <w:szCs w:val="24"/>
          <w:lang w:val="en-US" w:eastAsia="zh-CN" w:bidi="ar-SA"/>
        </w:rPr>
        <w:t>本项目根据环评、环评批复及其他文件分区防渗要求</w:t>
      </w:r>
      <w:r>
        <w:rPr>
          <w:rFonts w:hint="eastAsia" w:cs="Times New Roman"/>
          <w:color w:val="auto"/>
          <w:kern w:val="2"/>
          <w:sz w:val="24"/>
          <w:szCs w:val="24"/>
          <w:lang w:val="en-US" w:eastAsia="zh-CN" w:bidi="ar-SA"/>
        </w:rPr>
        <w:t>分别</w:t>
      </w:r>
      <w:r>
        <w:rPr>
          <w:rFonts w:hint="default" w:ascii="Times New Roman" w:hAnsi="Times New Roman" w:eastAsia="宋体" w:cs="Times New Roman"/>
          <w:color w:val="auto"/>
          <w:kern w:val="2"/>
          <w:sz w:val="24"/>
          <w:szCs w:val="24"/>
          <w:lang w:val="en-US" w:eastAsia="zh-CN" w:bidi="ar-SA"/>
        </w:rPr>
        <w:t>进行</w:t>
      </w:r>
      <w:r>
        <w:rPr>
          <w:rFonts w:hint="eastAsia" w:cs="Times New Roman"/>
          <w:color w:val="auto"/>
          <w:kern w:val="2"/>
          <w:sz w:val="24"/>
          <w:szCs w:val="24"/>
          <w:lang w:val="en-US" w:eastAsia="zh-CN" w:bidi="ar-SA"/>
        </w:rPr>
        <w:t>了</w:t>
      </w:r>
      <w:r>
        <w:rPr>
          <w:rFonts w:hint="default" w:ascii="Times New Roman" w:hAnsi="Times New Roman" w:eastAsia="宋体" w:cs="Times New Roman"/>
          <w:color w:val="auto"/>
          <w:kern w:val="2"/>
          <w:sz w:val="24"/>
          <w:szCs w:val="24"/>
          <w:lang w:val="en-US" w:eastAsia="zh-CN" w:bidi="ar-SA"/>
        </w:rPr>
        <w:t>防渗</w:t>
      </w:r>
      <w:r>
        <w:rPr>
          <w:rFonts w:hint="eastAsia" w:cs="Times New Roman"/>
          <w:color w:val="auto"/>
          <w:kern w:val="2"/>
          <w:sz w:val="24"/>
          <w:szCs w:val="24"/>
          <w:lang w:val="en-US" w:eastAsia="zh-CN" w:bidi="ar-SA"/>
        </w:rPr>
        <w:t>、防腐蚀</w:t>
      </w:r>
      <w:r>
        <w:rPr>
          <w:rFonts w:hint="default" w:ascii="Times New Roman" w:hAnsi="Times New Roman" w:eastAsia="宋体" w:cs="Times New Roman"/>
          <w:color w:val="auto"/>
          <w:kern w:val="2"/>
          <w:sz w:val="24"/>
          <w:szCs w:val="24"/>
          <w:lang w:val="en-US" w:eastAsia="zh-CN" w:bidi="ar-SA"/>
        </w:rPr>
        <w:t xml:space="preserve">处理；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②危废间、生产车间、原料仓库</w:t>
      </w:r>
      <w:r>
        <w:rPr>
          <w:rFonts w:hint="default" w:ascii="Times New Roman" w:hAnsi="Times New Roman" w:eastAsia="宋体" w:cs="Times New Roman"/>
          <w:color w:val="auto"/>
          <w:kern w:val="2"/>
          <w:sz w:val="24"/>
          <w:szCs w:val="24"/>
          <w:lang w:val="en-US" w:eastAsia="zh-CN" w:bidi="ar-SA"/>
        </w:rPr>
        <w:t>设置</w:t>
      </w:r>
      <w:r>
        <w:rPr>
          <w:rFonts w:hint="eastAsia" w:cs="Times New Roman"/>
          <w:color w:val="auto"/>
          <w:kern w:val="2"/>
          <w:sz w:val="24"/>
          <w:szCs w:val="24"/>
          <w:lang w:val="en-US" w:eastAsia="zh-CN" w:bidi="ar-SA"/>
        </w:rPr>
        <w:t>危险化学品装置</w:t>
      </w:r>
      <w:r>
        <w:rPr>
          <w:rFonts w:hint="default" w:ascii="Times New Roman" w:hAnsi="Times New Roman" w:eastAsia="宋体" w:cs="Times New Roman"/>
          <w:color w:val="auto"/>
          <w:kern w:val="2"/>
          <w:sz w:val="24"/>
          <w:szCs w:val="24"/>
          <w:lang w:val="en-US" w:eastAsia="zh-CN" w:bidi="ar-SA"/>
        </w:rPr>
        <w:t>和严禁烟火，各种</w:t>
      </w:r>
      <w:r>
        <w:rPr>
          <w:rFonts w:hint="eastAsia" w:cs="Times New Roman"/>
          <w:color w:val="auto"/>
          <w:kern w:val="2"/>
          <w:sz w:val="24"/>
          <w:szCs w:val="24"/>
          <w:lang w:val="en-US" w:eastAsia="zh-CN" w:bidi="ar-SA"/>
        </w:rPr>
        <w:t>危险化学品</w:t>
      </w:r>
      <w:r>
        <w:rPr>
          <w:rFonts w:hint="default" w:ascii="Times New Roman" w:hAnsi="Times New Roman" w:eastAsia="宋体" w:cs="Times New Roman"/>
          <w:color w:val="auto"/>
          <w:kern w:val="2"/>
          <w:sz w:val="24"/>
          <w:szCs w:val="24"/>
          <w:lang w:val="en-US" w:eastAsia="zh-CN" w:bidi="ar-SA"/>
        </w:rPr>
        <w:t>分类存放，并设置相应的通风、灭火</w:t>
      </w:r>
      <w:r>
        <w:rPr>
          <w:rFonts w:hint="eastAsia" w:cs="Times New Roman"/>
          <w:color w:val="auto"/>
          <w:kern w:val="2"/>
          <w:sz w:val="24"/>
          <w:szCs w:val="24"/>
          <w:lang w:val="en-US" w:eastAsia="zh-CN" w:bidi="ar-SA"/>
        </w:rPr>
        <w:t>、防渗、防腐蚀</w:t>
      </w:r>
      <w:r>
        <w:rPr>
          <w:rFonts w:hint="default" w:ascii="Times New Roman" w:hAnsi="Times New Roman" w:eastAsia="宋体" w:cs="Times New Roman"/>
          <w:color w:val="auto"/>
          <w:kern w:val="2"/>
          <w:sz w:val="24"/>
          <w:szCs w:val="24"/>
          <w:lang w:val="en-US" w:eastAsia="zh-CN" w:bidi="ar-SA"/>
        </w:rPr>
        <w:t xml:space="preserve">设施；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③</w:t>
      </w:r>
      <w:r>
        <w:rPr>
          <w:rFonts w:hint="default" w:ascii="Times New Roman" w:hAnsi="Times New Roman" w:eastAsia="宋体" w:cs="Times New Roman"/>
          <w:color w:val="auto"/>
          <w:kern w:val="2"/>
          <w:sz w:val="24"/>
          <w:szCs w:val="24"/>
          <w:lang w:val="en-US" w:eastAsia="zh-CN" w:bidi="ar-SA"/>
        </w:rPr>
        <w:t>建立岗位责任制度、定期检查制度和</w:t>
      </w:r>
      <w:r>
        <w:rPr>
          <w:rFonts w:hint="eastAsia" w:cs="Times New Roman"/>
          <w:color w:val="auto"/>
          <w:kern w:val="2"/>
          <w:sz w:val="24"/>
          <w:szCs w:val="24"/>
          <w:lang w:val="en-US" w:eastAsia="zh-CN" w:bidi="ar-SA"/>
        </w:rPr>
        <w:t>危险化学品</w:t>
      </w:r>
      <w:r>
        <w:rPr>
          <w:rFonts w:hint="default" w:ascii="Times New Roman" w:hAnsi="Times New Roman" w:eastAsia="宋体" w:cs="Times New Roman"/>
          <w:color w:val="auto"/>
          <w:kern w:val="2"/>
          <w:sz w:val="24"/>
          <w:szCs w:val="24"/>
          <w:lang w:val="en-US" w:eastAsia="zh-CN" w:bidi="ar-SA"/>
        </w:rPr>
        <w:t>登记管理制度，安排专人</w:t>
      </w:r>
      <w:r>
        <w:rPr>
          <w:rFonts w:hint="eastAsia" w:cs="Times New Roman"/>
          <w:color w:val="auto"/>
          <w:kern w:val="2"/>
          <w:sz w:val="24"/>
          <w:szCs w:val="24"/>
          <w:lang w:val="en-US" w:eastAsia="zh-CN" w:bidi="ar-SA"/>
        </w:rPr>
        <w:t>江西中天智能装备股份有限公司</w:t>
      </w:r>
      <w:r>
        <w:rPr>
          <w:rFonts w:hint="default" w:ascii="Times New Roman" w:hAnsi="Times New Roman" w:eastAsia="宋体" w:cs="Times New Roman"/>
          <w:color w:val="auto"/>
          <w:kern w:val="2"/>
          <w:sz w:val="24"/>
          <w:szCs w:val="24"/>
          <w:lang w:val="en-US" w:eastAsia="zh-CN" w:bidi="ar-SA"/>
        </w:rPr>
        <w:t>环境应急资源调查报告管理，落实到人、明确职责、定期检查，对存在的隐患及时排除，避免</w:t>
      </w:r>
      <w:r>
        <w:rPr>
          <w:rFonts w:hint="eastAsia" w:cs="Times New Roman"/>
          <w:color w:val="auto"/>
          <w:kern w:val="2"/>
          <w:sz w:val="24"/>
          <w:szCs w:val="24"/>
          <w:lang w:val="en-US" w:eastAsia="zh-CN" w:bidi="ar-SA"/>
        </w:rPr>
        <w:t>危险化学品</w:t>
      </w:r>
      <w:r>
        <w:rPr>
          <w:rFonts w:hint="default" w:ascii="Times New Roman" w:hAnsi="Times New Roman" w:eastAsia="宋体" w:cs="Times New Roman"/>
          <w:color w:val="auto"/>
          <w:kern w:val="2"/>
          <w:sz w:val="24"/>
          <w:szCs w:val="24"/>
          <w:lang w:val="en-US" w:eastAsia="zh-CN" w:bidi="ar-SA"/>
        </w:rPr>
        <w:t xml:space="preserve">意外泄漏事故的发生；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④</w:t>
      </w:r>
      <w:r>
        <w:rPr>
          <w:rFonts w:hint="default" w:ascii="Times New Roman" w:hAnsi="Times New Roman" w:eastAsia="宋体" w:cs="Times New Roman"/>
          <w:color w:val="auto"/>
          <w:kern w:val="2"/>
          <w:sz w:val="24"/>
          <w:szCs w:val="24"/>
          <w:lang w:val="en-US" w:eastAsia="zh-CN" w:bidi="ar-SA"/>
        </w:rPr>
        <w:t xml:space="preserve">定期对管理人员进行理论知识培训，增强危害意识，提高风险防范意识和风险控制能力；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ascii="Times New Roman" w:hAnsi="Times New Roman" w:eastAsia="宋体" w:cs="Times New Roman"/>
          <w:color w:val="auto"/>
          <w:kern w:val="2"/>
          <w:sz w:val="24"/>
          <w:szCs w:val="24"/>
          <w:lang w:val="en-US" w:eastAsia="zh-CN" w:bidi="ar-SA"/>
        </w:rPr>
      </w:pPr>
      <w:r>
        <w:rPr>
          <w:rFonts w:hint="eastAsia" w:cs="Times New Roman"/>
          <w:color w:val="auto"/>
          <w:kern w:val="2"/>
          <w:sz w:val="24"/>
          <w:szCs w:val="24"/>
          <w:lang w:val="en-US" w:eastAsia="zh-CN" w:bidi="ar-SA"/>
        </w:rPr>
        <w:t>⑤</w:t>
      </w:r>
      <w:r>
        <w:rPr>
          <w:rFonts w:hint="default" w:ascii="Times New Roman" w:hAnsi="Times New Roman" w:eastAsia="宋体" w:cs="Times New Roman"/>
          <w:color w:val="auto"/>
          <w:kern w:val="2"/>
          <w:sz w:val="24"/>
          <w:szCs w:val="24"/>
          <w:lang w:val="en-US" w:eastAsia="zh-CN" w:bidi="ar-SA"/>
        </w:rPr>
        <w:t xml:space="preserve">危险废物分类暂存、处置，采用专用密闭的危险废物转运车运输，运输人员经过专业培训，及时关注了解当地天气情况，最大限度确保运输安全； </w:t>
      </w:r>
    </w:p>
    <w:p>
      <w:pPr>
        <w:keepNext w:val="0"/>
        <w:keepLines w:val="0"/>
        <w:pageBreakBefore w:val="0"/>
        <w:widowControl/>
        <w:suppressLineNumbers w:val="0"/>
        <w:kinsoku/>
        <w:wordWrap/>
        <w:overflowPunct/>
        <w:topLinePunct w:val="0"/>
        <w:bidi w:val="0"/>
        <w:adjustRightInd/>
        <w:spacing w:line="360" w:lineRule="auto"/>
        <w:ind w:firstLine="480" w:firstLineChars="200"/>
        <w:jc w:val="left"/>
        <w:textAlignment w:val="auto"/>
        <w:rPr>
          <w:rFonts w:hint="default"/>
          <w:sz w:val="24"/>
          <w:szCs w:val="24"/>
          <w:lang w:val="en-US" w:eastAsia="zh-CN"/>
        </w:rPr>
      </w:pPr>
      <w:r>
        <w:rPr>
          <w:rFonts w:hint="eastAsia" w:cs="Times New Roman"/>
          <w:color w:val="auto"/>
          <w:kern w:val="2"/>
          <w:sz w:val="24"/>
          <w:szCs w:val="24"/>
          <w:lang w:val="en-US" w:eastAsia="zh-CN" w:bidi="ar-SA"/>
        </w:rPr>
        <w:t>⑥</w:t>
      </w:r>
      <w:r>
        <w:rPr>
          <w:rFonts w:hint="default" w:ascii="Times New Roman" w:hAnsi="Times New Roman" w:eastAsia="宋体" w:cs="Times New Roman"/>
          <w:color w:val="auto"/>
          <w:kern w:val="2"/>
          <w:sz w:val="24"/>
          <w:szCs w:val="24"/>
          <w:lang w:val="en-US" w:eastAsia="zh-CN" w:bidi="ar-SA"/>
        </w:rPr>
        <w:t>管理人员定期检查</w:t>
      </w:r>
      <w:r>
        <w:rPr>
          <w:rFonts w:hint="eastAsia" w:cs="Times New Roman"/>
          <w:color w:val="auto"/>
          <w:kern w:val="2"/>
          <w:sz w:val="24"/>
          <w:szCs w:val="24"/>
          <w:lang w:val="en-US" w:eastAsia="zh-CN" w:bidi="ar-SA"/>
        </w:rPr>
        <w:t>桶罐</w:t>
      </w:r>
      <w:r>
        <w:rPr>
          <w:rFonts w:hint="default" w:ascii="Times New Roman" w:hAnsi="Times New Roman" w:eastAsia="宋体" w:cs="Times New Roman"/>
          <w:color w:val="auto"/>
          <w:kern w:val="2"/>
          <w:sz w:val="24"/>
          <w:szCs w:val="24"/>
          <w:lang w:val="en-US" w:eastAsia="zh-CN" w:bidi="ar-SA"/>
        </w:rPr>
        <w:t xml:space="preserve">的封闭性及正常使用情况，运输人员定期对运输车辆进行检查、维修，确保其密闭性及使用、储存和运输过程都在正常情况下进行，防止有毒有害废物的泄漏。 </w:t>
      </w:r>
    </w:p>
    <w:p>
      <w:pPr>
        <w:pStyle w:val="6"/>
        <w:rPr>
          <w:rFonts w:hint="default" w:ascii="Times New Roman" w:hAnsi="Times New Roman" w:cs="Times New Roman" w:eastAsiaTheme="minorEastAsia"/>
          <w:color w:val="auto"/>
        </w:rPr>
      </w:pPr>
      <w:bookmarkStart w:id="122" w:name="_Toc18834"/>
      <w:r>
        <w:rPr>
          <w:rFonts w:hint="default" w:ascii="Times New Roman" w:hAnsi="Times New Roman" w:cs="Times New Roman" w:eastAsiaTheme="minorEastAsia"/>
          <w:color w:val="auto"/>
        </w:rPr>
        <w:t>3.</w:t>
      </w:r>
      <w:r>
        <w:rPr>
          <w:rFonts w:hint="eastAsia" w:cs="Times New Roman" w:eastAsiaTheme="minorEastAsia"/>
          <w:color w:val="auto"/>
          <w:lang w:val="en-US" w:eastAsia="zh-CN"/>
        </w:rPr>
        <w:t>5</w:t>
      </w:r>
      <w:r>
        <w:rPr>
          <w:rFonts w:hint="default" w:ascii="Times New Roman" w:hAnsi="Times New Roman" w:cs="Times New Roman" w:eastAsiaTheme="minorEastAsia"/>
          <w:color w:val="auto"/>
        </w:rPr>
        <w:t xml:space="preserve">.3 </w:t>
      </w:r>
      <w:bookmarkEnd w:id="115"/>
      <w:bookmarkEnd w:id="116"/>
      <w:bookmarkEnd w:id="117"/>
      <w:bookmarkEnd w:id="118"/>
      <w:bookmarkEnd w:id="119"/>
      <w:bookmarkEnd w:id="120"/>
      <w:bookmarkEnd w:id="121"/>
      <w:r>
        <w:rPr>
          <w:rFonts w:hint="eastAsia" w:cs="Times New Roman" w:eastAsiaTheme="minorEastAsia"/>
          <w:color w:val="auto"/>
          <w:lang w:eastAsia="zh-CN"/>
        </w:rPr>
        <w:t>危险品</w:t>
      </w:r>
      <w:r>
        <w:rPr>
          <w:rFonts w:hint="eastAsia" w:ascii="Times New Roman" w:hAnsi="Times New Roman" w:cs="Times New Roman" w:eastAsiaTheme="minorEastAsia"/>
          <w:color w:val="auto"/>
          <w:lang w:eastAsia="zh-CN"/>
        </w:rPr>
        <w:t>泄漏现有</w:t>
      </w:r>
      <w:r>
        <w:rPr>
          <w:rFonts w:hint="default" w:ascii="Times New Roman" w:hAnsi="Times New Roman" w:cs="Times New Roman" w:eastAsiaTheme="minorEastAsia"/>
          <w:color w:val="auto"/>
          <w:lang w:eastAsia="zh-CN"/>
        </w:rPr>
        <w:t>风险</w:t>
      </w:r>
      <w:r>
        <w:rPr>
          <w:rFonts w:hint="eastAsia" w:ascii="Times New Roman" w:hAnsi="Times New Roman" w:cs="Times New Roman" w:eastAsiaTheme="minorEastAsia"/>
          <w:color w:val="auto"/>
          <w:lang w:eastAsia="zh-CN"/>
        </w:rPr>
        <w:t>防控及应急情况</w:t>
      </w:r>
      <w:bookmarkEnd w:id="122"/>
    </w:p>
    <w:p>
      <w:pPr>
        <w:pStyle w:val="7"/>
        <w:bidi w:val="0"/>
        <w:rPr>
          <w:rFonts w:hint="default"/>
          <w:lang w:val="en-US" w:eastAsia="zh-CN"/>
        </w:rPr>
      </w:pPr>
      <w:r>
        <w:rPr>
          <w:rFonts w:hint="eastAsia"/>
          <w:lang w:val="en-US" w:eastAsia="zh-CN"/>
        </w:rPr>
        <w:t>3.5.3.1现有防控措施</w:t>
      </w:r>
    </w:p>
    <w:p>
      <w:pPr>
        <w:keepNext w:val="0"/>
        <w:keepLines w:val="0"/>
        <w:pageBreakBefore w:val="0"/>
        <w:widowControl w:val="0"/>
        <w:kinsoku/>
        <w:wordWrap/>
        <w:overflowPunct/>
        <w:topLinePunct w:val="0"/>
        <w:autoSpaceDE w:val="0"/>
        <w:autoSpaceDN w:val="0"/>
        <w:bidi w:val="0"/>
        <w:adjustRightInd/>
        <w:snapToGrid/>
        <w:spacing w:line="360" w:lineRule="auto"/>
        <w:ind w:firstLine="56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危险化学品</w:t>
      </w:r>
      <w:r>
        <w:rPr>
          <w:rFonts w:hint="eastAsia" w:asciiTheme="minorEastAsia" w:hAnsiTheme="minorEastAsia" w:eastAsiaTheme="minorEastAsia" w:cstheme="minorEastAsia"/>
          <w:color w:val="auto"/>
          <w:sz w:val="24"/>
          <w:szCs w:val="24"/>
        </w:rPr>
        <w:t>地面为防渗</w:t>
      </w:r>
      <w:r>
        <w:rPr>
          <w:rFonts w:hint="eastAsia" w:asciiTheme="minorEastAsia" w:hAnsiTheme="minorEastAsia" w:eastAsiaTheme="minorEastAsia" w:cstheme="minorEastAsia"/>
          <w:color w:val="auto"/>
          <w:sz w:val="24"/>
          <w:szCs w:val="24"/>
          <w:lang w:eastAsia="zh-CN"/>
        </w:rPr>
        <w:t>、防腐蚀、</w:t>
      </w:r>
      <w:r>
        <w:rPr>
          <w:rFonts w:hint="eastAsia" w:asciiTheme="minorEastAsia" w:hAnsiTheme="minorEastAsia" w:eastAsiaTheme="minorEastAsia" w:cstheme="minorEastAsia"/>
          <w:color w:val="auto"/>
          <w:sz w:val="24"/>
          <w:szCs w:val="24"/>
        </w:rPr>
        <w:t>水泥地坪</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四周建有围堤</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并设有</w:t>
      </w:r>
      <w:r>
        <w:rPr>
          <w:rFonts w:hint="eastAsia" w:asciiTheme="minorEastAsia" w:hAnsiTheme="minorEastAsia" w:eastAsiaTheme="minorEastAsia" w:cstheme="minorEastAsia"/>
          <w:color w:val="auto"/>
          <w:sz w:val="24"/>
          <w:szCs w:val="24"/>
          <w:lang w:eastAsia="zh-CN"/>
        </w:rPr>
        <w:t>消防水池（</w:t>
      </w:r>
      <w:r>
        <w:rPr>
          <w:rFonts w:hint="eastAsia" w:asciiTheme="minorEastAsia" w:hAnsiTheme="minorEastAsia" w:eastAsiaTheme="minorEastAsia" w:cstheme="minorEastAsia"/>
          <w:color w:val="auto"/>
          <w:sz w:val="24"/>
          <w:szCs w:val="24"/>
        </w:rPr>
        <w:t>事故</w:t>
      </w:r>
      <w:r>
        <w:rPr>
          <w:rFonts w:hint="eastAsia" w:asciiTheme="minorEastAsia" w:hAnsiTheme="minorEastAsia" w:eastAsiaTheme="minorEastAsia" w:cstheme="minorEastAsia"/>
          <w:color w:val="auto"/>
          <w:sz w:val="24"/>
          <w:szCs w:val="24"/>
          <w:lang w:eastAsia="zh-CN"/>
        </w:rPr>
        <w:t>池），事故池有效容积约</w:t>
      </w:r>
      <w:r>
        <w:rPr>
          <w:rFonts w:hint="eastAsia" w:asciiTheme="minorEastAsia" w:hAnsiTheme="minorEastAsia" w:eastAsiaTheme="minorEastAsia" w:cstheme="minorEastAsia"/>
          <w:color w:val="auto"/>
          <w:sz w:val="24"/>
          <w:szCs w:val="24"/>
          <w:lang w:val="en-US" w:eastAsia="zh-CN"/>
        </w:rPr>
        <w:t>600m</w:t>
      </w:r>
      <w:r>
        <w:rPr>
          <w:rFonts w:hint="eastAsia" w:asciiTheme="minorEastAsia" w:hAnsiTheme="minorEastAsia" w:eastAsiaTheme="minorEastAsia" w:cstheme="minorEastAsia"/>
          <w:color w:val="auto"/>
          <w:sz w:val="24"/>
          <w:szCs w:val="24"/>
          <w:vertAlign w:val="superscript"/>
          <w:lang w:val="en-US" w:eastAsia="zh-CN"/>
        </w:rPr>
        <w:t>3</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万一事故发生时</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可将</w:t>
      </w:r>
      <w:r>
        <w:rPr>
          <w:rFonts w:hint="eastAsia" w:asciiTheme="minorEastAsia" w:hAnsiTheme="minorEastAsia" w:eastAsiaTheme="minorEastAsia" w:cstheme="minorEastAsia"/>
          <w:color w:val="auto"/>
          <w:sz w:val="24"/>
          <w:szCs w:val="24"/>
          <w:lang w:eastAsia="zh-CN"/>
        </w:rPr>
        <w:t>围堰</w:t>
      </w:r>
      <w:r>
        <w:rPr>
          <w:rFonts w:hint="eastAsia" w:asciiTheme="minorEastAsia" w:hAnsiTheme="minorEastAsia" w:eastAsiaTheme="minorEastAsia" w:cstheme="minorEastAsia"/>
          <w:color w:val="auto"/>
          <w:sz w:val="24"/>
          <w:szCs w:val="24"/>
        </w:rPr>
        <w:t>中的物料排入</w:t>
      </w:r>
      <w:r>
        <w:rPr>
          <w:rFonts w:hint="eastAsia" w:asciiTheme="minorEastAsia" w:hAnsiTheme="minorEastAsia" w:eastAsiaTheme="minorEastAsia" w:cstheme="minorEastAsia"/>
          <w:color w:val="auto"/>
          <w:sz w:val="24"/>
          <w:szCs w:val="24"/>
          <w:lang w:eastAsia="zh-CN"/>
        </w:rPr>
        <w:t>事故池</w:t>
      </w:r>
      <w:r>
        <w:rPr>
          <w:rFonts w:hint="eastAsia" w:asciiTheme="minorEastAsia" w:hAnsiTheme="minorEastAsia" w:eastAsiaTheme="minorEastAsia" w:cstheme="minorEastAsia"/>
          <w:color w:val="auto"/>
          <w:sz w:val="24"/>
          <w:szCs w:val="24"/>
        </w:rPr>
        <w:t>中</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以策安全</w:t>
      </w:r>
      <w:r>
        <w:rPr>
          <w:rFonts w:hint="eastAsia" w:asciiTheme="minorEastAsia" w:hAnsiTheme="minorEastAsia" w:eastAsiaTheme="minorEastAsia" w:cstheme="minorEastAsia"/>
          <w:color w:val="auto"/>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0"/>
        <w:jc w:val="left"/>
        <w:textAlignment w:val="auto"/>
        <w:rPr>
          <w:rFonts w:hint="eastAsia" w:asciiTheme="minorEastAsia" w:hAnsiTheme="minorEastAsia" w:eastAsiaTheme="minorEastAsia" w:cstheme="minorEastAsia"/>
          <w:color w:val="auto"/>
          <w:sz w:val="24"/>
          <w:szCs w:val="24"/>
          <w:lang w:val="en-GB"/>
        </w:rPr>
      </w:pPr>
      <w:r>
        <w:rPr>
          <w:rFonts w:hint="eastAsia" w:asciiTheme="minorEastAsia" w:hAnsiTheme="minorEastAsia" w:eastAsiaTheme="minorEastAsia" w:cstheme="minorEastAsia"/>
          <w:color w:val="auto"/>
          <w:sz w:val="24"/>
          <w:szCs w:val="24"/>
          <w:lang w:val="en-GB"/>
        </w:rPr>
        <w:t>一旦发生泄漏，</w:t>
      </w:r>
      <w:r>
        <w:rPr>
          <w:rFonts w:hint="eastAsia" w:asciiTheme="minorEastAsia" w:hAnsiTheme="minorEastAsia" w:eastAsiaTheme="minorEastAsia" w:cstheme="minorEastAsia"/>
          <w:color w:val="auto"/>
          <w:sz w:val="24"/>
          <w:szCs w:val="24"/>
          <w:lang w:val="en-GB" w:eastAsia="zh-CN"/>
        </w:rPr>
        <w:t>经围堰自动流入事故水池中</w:t>
      </w:r>
      <w:r>
        <w:rPr>
          <w:rFonts w:hint="eastAsia" w:asciiTheme="minorEastAsia" w:hAnsiTheme="minorEastAsia" w:eastAsiaTheme="minorEastAsia" w:cstheme="minorEastAsia"/>
          <w:color w:val="auto"/>
          <w:sz w:val="24"/>
          <w:szCs w:val="24"/>
          <w:lang w:val="en-GB"/>
        </w:rPr>
        <w:t>，一旦发生泄漏事故，及时发出警报，以便尽快采取治理措施，控制事态发展，将事故的发生遏制在萌芽阶段。</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0"/>
        <w:jc w:val="left"/>
        <w:textAlignment w:val="auto"/>
        <w:rPr>
          <w:rFonts w:hint="eastAsia" w:asciiTheme="minorEastAsia" w:hAnsiTheme="minorEastAsia" w:eastAsiaTheme="minorEastAsia" w:cstheme="minorEastAsia"/>
          <w:color w:val="auto"/>
          <w:sz w:val="24"/>
          <w:szCs w:val="24"/>
          <w:lang w:val="en-GB"/>
        </w:rPr>
      </w:pPr>
      <w:r>
        <w:rPr>
          <w:rFonts w:hint="eastAsia" w:asciiTheme="minorEastAsia" w:hAnsiTheme="minorEastAsia" w:eastAsiaTheme="minorEastAsia" w:cstheme="minorEastAsia"/>
          <w:color w:val="auto"/>
          <w:sz w:val="24"/>
          <w:szCs w:val="24"/>
          <w:lang w:val="en-GB"/>
        </w:rPr>
        <w:t>性质相抵触、灭火方法不同的原料物品应分类贮存。库房应配备必需的消防、通风、降温、防潮、避雷等安全装置。</w:t>
      </w:r>
    </w:p>
    <w:p>
      <w:pPr>
        <w:pStyle w:val="7"/>
        <w:rPr>
          <w:rFonts w:hint="eastAsia"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color w:val="auto"/>
          <w:sz w:val="24"/>
          <w:szCs w:val="24"/>
          <w:lang w:val="en-US" w:eastAsia="zh-CN"/>
        </w:rPr>
        <w:t>3.</w:t>
      </w:r>
      <w:r>
        <w:rPr>
          <w:rFonts w:hint="eastAsia" w:cs="Times New Roman" w:eastAsiaTheme="minorEastAsia"/>
          <w:color w:val="auto"/>
          <w:sz w:val="24"/>
          <w:szCs w:val="24"/>
          <w:lang w:val="en-US" w:eastAsia="zh-CN"/>
        </w:rPr>
        <w:t>5</w:t>
      </w:r>
      <w:r>
        <w:rPr>
          <w:rFonts w:hint="eastAsia" w:ascii="Times New Roman" w:hAnsi="Times New Roman" w:cs="Times New Roman" w:eastAsiaTheme="minorEastAsia"/>
          <w:color w:val="auto"/>
          <w:sz w:val="24"/>
          <w:szCs w:val="24"/>
          <w:lang w:val="en-US" w:eastAsia="zh-CN"/>
        </w:rPr>
        <w:t>.3.2现有应急情况</w:t>
      </w:r>
    </w:p>
    <w:p>
      <w:pPr>
        <w:pStyle w:val="95"/>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szCs w:val="24"/>
        </w:rPr>
      </w:pPr>
      <w:bookmarkStart w:id="123" w:name="_Toc30890"/>
      <w:bookmarkStart w:id="124" w:name="_Toc201495142"/>
      <w:bookmarkStart w:id="125" w:name="_Toc10752"/>
      <w:bookmarkStart w:id="126" w:name="_Toc197858264"/>
      <w:bookmarkStart w:id="127" w:name="_Toc206223366"/>
      <w:bookmarkStart w:id="128" w:name="_Toc4123"/>
      <w:bookmarkStart w:id="129" w:name="_Toc6193"/>
      <w:r>
        <w:rPr>
          <w:rFonts w:hint="default" w:ascii="Times New Roman" w:hAnsi="Times New Roman" w:eastAsia="宋体" w:cs="Times New Roman"/>
          <w:color w:val="auto"/>
          <w:sz w:val="24"/>
          <w:szCs w:val="24"/>
        </w:rPr>
        <w:t>发生泄漏事故后，根据事故现场情况，现场人员立即进行堵漏并收集泄漏物，并停止相关工作工序；泄漏较多的情况下，事故现场人员应立即报告公司负责人，公司成立现场应急处置小组根据现场实际情况同时进行应急处置，并根据事故的大小及发展态势向公司应急领导小组报告，并启动Ⅰ</w:t>
      </w:r>
      <w:r>
        <w:rPr>
          <w:rFonts w:hint="default" w:ascii="Times New Roman" w:hAnsi="Times New Roman" w:eastAsia="宋体" w:cs="Times New Roman"/>
          <w:color w:val="auto"/>
          <w:sz w:val="24"/>
          <w:szCs w:val="24"/>
          <w:lang w:eastAsia="zh-CN"/>
        </w:rPr>
        <w:t>级</w:t>
      </w:r>
      <w:r>
        <w:rPr>
          <w:rFonts w:hint="default" w:ascii="Times New Roman" w:hAnsi="Times New Roman" w:eastAsia="宋体" w:cs="Times New Roman"/>
          <w:color w:val="auto"/>
          <w:sz w:val="24"/>
          <w:szCs w:val="24"/>
          <w:lang w:val="en-US" w:eastAsia="zh-CN"/>
        </w:rPr>
        <w:t>/</w:t>
      </w:r>
      <w:r>
        <w:rPr>
          <w:rFonts w:hint="default" w:ascii="Times New Roman" w:hAnsi="Times New Roman" w:eastAsia="宋体" w:cs="Times New Roman"/>
          <w:color w:val="auto"/>
          <w:sz w:val="24"/>
          <w:szCs w:val="24"/>
        </w:rPr>
        <w:t>Ⅱ级/Ⅲ级应急预警及响应程序。</w:t>
      </w:r>
    </w:p>
    <w:p>
      <w:pPr>
        <w:pStyle w:val="9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color w:val="auto"/>
          <w:sz w:val="24"/>
          <w:szCs w:val="36"/>
          <w:highlight w:val="none"/>
          <w:lang w:eastAsia="zh-CN"/>
        </w:rPr>
      </w:pPr>
      <w:r>
        <w:rPr>
          <w:rFonts w:hint="default" w:ascii="Times New Roman" w:hAnsi="Times New Roman" w:eastAsia="宋体" w:cs="Times New Roman"/>
          <w:color w:val="auto"/>
          <w:sz w:val="24"/>
          <w:szCs w:val="36"/>
          <w:highlight w:val="none"/>
        </w:rPr>
        <w:t>①</w:t>
      </w:r>
      <w:r>
        <w:rPr>
          <w:rFonts w:hint="eastAsia" w:cs="Times New Roman"/>
          <w:color w:val="auto"/>
          <w:sz w:val="24"/>
          <w:szCs w:val="36"/>
          <w:highlight w:val="none"/>
          <w:lang w:eastAsia="zh-CN"/>
        </w:rPr>
        <w:t>硅烷、除油剂</w:t>
      </w:r>
      <w:r>
        <w:rPr>
          <w:rFonts w:hint="default" w:ascii="Times New Roman" w:hAnsi="Times New Roman" w:eastAsia="宋体" w:cs="Times New Roman"/>
          <w:color w:val="auto"/>
          <w:sz w:val="24"/>
          <w:szCs w:val="36"/>
          <w:highlight w:val="none"/>
          <w:lang w:eastAsia="zh-CN"/>
        </w:rPr>
        <w:t>泄漏现有应急措施</w:t>
      </w:r>
    </w:p>
    <w:p>
      <w:pPr>
        <w:pStyle w:val="9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i w:val="0"/>
          <w:caps w:val="0"/>
          <w:color w:val="auto"/>
          <w:spacing w:val="0"/>
          <w:sz w:val="24"/>
          <w:szCs w:val="24"/>
          <w:highlight w:val="none"/>
          <w:lang w:val="en-US" w:eastAsia="zh-CN"/>
        </w:rPr>
      </w:pPr>
      <w:r>
        <w:rPr>
          <w:rFonts w:hint="default" w:ascii="Times New Roman" w:hAnsi="Times New Roman" w:eastAsia="宋体" w:cs="Times New Roman"/>
          <w:i w:val="0"/>
          <w:caps w:val="0"/>
          <w:color w:val="auto"/>
          <w:spacing w:val="0"/>
          <w:sz w:val="24"/>
          <w:szCs w:val="24"/>
          <w:highlight w:val="none"/>
          <w:lang w:eastAsia="zh-CN"/>
        </w:rPr>
        <w:t>当</w:t>
      </w:r>
      <w:r>
        <w:rPr>
          <w:rFonts w:hint="eastAsia" w:cs="Times New Roman"/>
          <w:color w:val="auto"/>
          <w:sz w:val="24"/>
          <w:szCs w:val="36"/>
          <w:highlight w:val="none"/>
          <w:lang w:eastAsia="zh-CN"/>
        </w:rPr>
        <w:t>硅烷、除油剂</w:t>
      </w:r>
      <w:r>
        <w:rPr>
          <w:rFonts w:hint="default" w:ascii="Times New Roman" w:hAnsi="Times New Roman" w:eastAsia="宋体" w:cs="Times New Roman"/>
          <w:i w:val="0"/>
          <w:caps w:val="0"/>
          <w:color w:val="auto"/>
          <w:spacing w:val="0"/>
          <w:sz w:val="24"/>
          <w:szCs w:val="24"/>
          <w:highlight w:val="none"/>
          <w:lang w:eastAsia="zh-CN"/>
        </w:rPr>
        <w:t>发生泄漏时，</w:t>
      </w:r>
      <w:r>
        <w:rPr>
          <w:rFonts w:hint="default" w:ascii="Times New Roman" w:hAnsi="Times New Roman" w:eastAsia="宋体" w:cs="Times New Roman"/>
          <w:i w:val="0"/>
          <w:caps w:val="0"/>
          <w:color w:val="auto"/>
          <w:spacing w:val="0"/>
          <w:sz w:val="24"/>
          <w:szCs w:val="24"/>
          <w:highlight w:val="none"/>
        </w:rPr>
        <w:t>应急处理人员</w:t>
      </w:r>
      <w:r>
        <w:rPr>
          <w:rFonts w:hint="default" w:ascii="Times New Roman" w:hAnsi="Times New Roman" w:eastAsia="宋体" w:cs="Times New Roman"/>
          <w:i w:val="0"/>
          <w:caps w:val="0"/>
          <w:color w:val="auto"/>
          <w:spacing w:val="0"/>
          <w:sz w:val="24"/>
          <w:szCs w:val="24"/>
          <w:highlight w:val="none"/>
          <w:lang w:eastAsia="zh-CN"/>
        </w:rPr>
        <w:t>可</w:t>
      </w:r>
      <w:r>
        <w:rPr>
          <w:rFonts w:hint="default" w:ascii="Times New Roman" w:hAnsi="Times New Roman" w:cs="Times New Roman"/>
          <w:i w:val="0"/>
          <w:caps w:val="0"/>
          <w:color w:val="auto"/>
          <w:spacing w:val="0"/>
          <w:sz w:val="24"/>
          <w:szCs w:val="24"/>
          <w:highlight w:val="none"/>
          <w:lang w:eastAsia="zh-CN"/>
        </w:rPr>
        <w:t>穿戴</w:t>
      </w:r>
      <w:r>
        <w:rPr>
          <w:rFonts w:hint="eastAsia" w:cs="Times New Roman"/>
          <w:i w:val="0"/>
          <w:caps w:val="0"/>
          <w:color w:val="auto"/>
          <w:spacing w:val="0"/>
          <w:sz w:val="24"/>
          <w:szCs w:val="24"/>
          <w:highlight w:val="none"/>
          <w:lang w:eastAsia="zh-CN"/>
        </w:rPr>
        <w:t>耐酸碱</w:t>
      </w:r>
      <w:r>
        <w:rPr>
          <w:rFonts w:hint="default" w:ascii="Times New Roman" w:hAnsi="Times New Roman" w:cs="Times New Roman"/>
          <w:i w:val="0"/>
          <w:caps w:val="0"/>
          <w:color w:val="auto"/>
          <w:spacing w:val="0"/>
          <w:sz w:val="24"/>
          <w:szCs w:val="24"/>
          <w:highlight w:val="none"/>
          <w:lang w:eastAsia="zh-CN"/>
        </w:rPr>
        <w:t>手套、</w:t>
      </w:r>
      <w:r>
        <w:rPr>
          <w:rFonts w:hint="eastAsia" w:cs="Times New Roman"/>
          <w:i w:val="0"/>
          <w:caps w:val="0"/>
          <w:color w:val="auto"/>
          <w:spacing w:val="0"/>
          <w:sz w:val="24"/>
          <w:szCs w:val="24"/>
          <w:highlight w:val="none"/>
          <w:lang w:eastAsia="zh-CN"/>
        </w:rPr>
        <w:t>耐酸碱防护</w:t>
      </w:r>
      <w:r>
        <w:rPr>
          <w:rFonts w:hint="default" w:ascii="Times New Roman" w:hAnsi="Times New Roman" w:cs="Times New Roman"/>
          <w:i w:val="0"/>
          <w:caps w:val="0"/>
          <w:color w:val="auto"/>
          <w:spacing w:val="0"/>
          <w:sz w:val="24"/>
          <w:szCs w:val="24"/>
          <w:highlight w:val="none"/>
          <w:lang w:eastAsia="zh-CN"/>
        </w:rPr>
        <w:t>服</w:t>
      </w:r>
      <w:r>
        <w:rPr>
          <w:rFonts w:hint="eastAsia" w:cs="Times New Roman"/>
          <w:i w:val="0"/>
          <w:caps w:val="0"/>
          <w:color w:val="auto"/>
          <w:spacing w:val="0"/>
          <w:sz w:val="24"/>
          <w:szCs w:val="24"/>
          <w:highlight w:val="none"/>
          <w:lang w:eastAsia="zh-CN"/>
        </w:rPr>
        <w:t>、呼吸器</w:t>
      </w:r>
      <w:r>
        <w:rPr>
          <w:rFonts w:hint="default" w:ascii="Times New Roman" w:hAnsi="Times New Roman" w:cs="Times New Roman"/>
          <w:i w:val="0"/>
          <w:caps w:val="0"/>
          <w:color w:val="auto"/>
          <w:spacing w:val="0"/>
          <w:sz w:val="24"/>
          <w:szCs w:val="24"/>
          <w:highlight w:val="none"/>
          <w:lang w:eastAsia="zh-CN"/>
        </w:rPr>
        <w:t>等</w:t>
      </w:r>
      <w:r>
        <w:rPr>
          <w:rFonts w:hint="default" w:ascii="Times New Roman" w:hAnsi="Times New Roman" w:eastAsia="宋体" w:cs="Times New Roman"/>
          <w:i w:val="0"/>
          <w:caps w:val="0"/>
          <w:color w:val="auto"/>
          <w:spacing w:val="0"/>
          <w:sz w:val="24"/>
          <w:szCs w:val="24"/>
          <w:highlight w:val="none"/>
          <w:lang w:eastAsia="zh-CN"/>
        </w:rPr>
        <w:t>进入现场。小量泄漏</w:t>
      </w:r>
      <w:r>
        <w:rPr>
          <w:rFonts w:hint="default" w:ascii="Times New Roman" w:hAnsi="Times New Roman" w:eastAsia="宋体" w:cs="Times New Roman"/>
          <w:i w:val="0"/>
          <w:caps w:val="0"/>
          <w:color w:val="auto"/>
          <w:spacing w:val="0"/>
          <w:sz w:val="24"/>
          <w:szCs w:val="24"/>
          <w:highlight w:val="none"/>
        </w:rPr>
        <w:t>用大量水冲洗，</w:t>
      </w:r>
      <w:r>
        <w:rPr>
          <w:rFonts w:hint="default" w:ascii="Times New Roman" w:hAnsi="Times New Roman" w:cs="Times New Roman"/>
          <w:i w:val="0"/>
          <w:caps w:val="0"/>
          <w:color w:val="auto"/>
          <w:spacing w:val="0"/>
          <w:sz w:val="24"/>
          <w:szCs w:val="24"/>
          <w:highlight w:val="none"/>
          <w:lang w:eastAsia="zh-CN"/>
        </w:rPr>
        <w:t>冲</w:t>
      </w:r>
      <w:r>
        <w:rPr>
          <w:rFonts w:hint="default" w:ascii="Times New Roman" w:hAnsi="Times New Roman" w:eastAsia="宋体" w:cs="Times New Roman"/>
          <w:i w:val="0"/>
          <w:caps w:val="0"/>
          <w:color w:val="auto"/>
          <w:spacing w:val="0"/>
          <w:sz w:val="24"/>
          <w:szCs w:val="24"/>
          <w:highlight w:val="none"/>
        </w:rPr>
        <w:t>洗水稀释后放入</w:t>
      </w:r>
      <w:r>
        <w:rPr>
          <w:rFonts w:hint="eastAsia" w:cs="Times New Roman"/>
          <w:i w:val="0"/>
          <w:caps w:val="0"/>
          <w:color w:val="auto"/>
          <w:spacing w:val="0"/>
          <w:sz w:val="24"/>
          <w:szCs w:val="24"/>
          <w:highlight w:val="none"/>
          <w:lang w:eastAsia="zh-CN"/>
        </w:rPr>
        <w:t>事故池</w:t>
      </w:r>
      <w:r>
        <w:rPr>
          <w:rFonts w:hint="default" w:ascii="Times New Roman" w:hAnsi="Times New Roman" w:eastAsia="宋体" w:cs="Times New Roman"/>
          <w:i w:val="0"/>
          <w:caps w:val="0"/>
          <w:color w:val="auto"/>
          <w:spacing w:val="0"/>
          <w:sz w:val="24"/>
          <w:szCs w:val="24"/>
          <w:highlight w:val="none"/>
        </w:rPr>
        <w:t>。大量泄漏</w:t>
      </w:r>
      <w:r>
        <w:rPr>
          <w:rFonts w:hint="default" w:ascii="Times New Roman" w:hAnsi="Times New Roman" w:eastAsia="宋体" w:cs="Times New Roman"/>
          <w:i w:val="0"/>
          <w:caps w:val="0"/>
          <w:color w:val="auto"/>
          <w:spacing w:val="0"/>
          <w:sz w:val="24"/>
          <w:szCs w:val="24"/>
          <w:highlight w:val="none"/>
          <w:lang w:eastAsia="zh-CN"/>
        </w:rPr>
        <w:t>时可</w:t>
      </w:r>
      <w:r>
        <w:rPr>
          <w:rFonts w:hint="default" w:ascii="Times New Roman" w:hAnsi="Times New Roman" w:cs="Times New Roman"/>
          <w:i w:val="0"/>
          <w:caps w:val="0"/>
          <w:color w:val="auto"/>
          <w:spacing w:val="0"/>
          <w:sz w:val="24"/>
          <w:szCs w:val="24"/>
          <w:highlight w:val="none"/>
          <w:lang w:eastAsia="zh-CN"/>
        </w:rPr>
        <w:t>使用泵抽等方式进行</w:t>
      </w:r>
      <w:r>
        <w:rPr>
          <w:rFonts w:hint="default" w:ascii="Times New Roman" w:hAnsi="Times New Roman" w:eastAsia="宋体" w:cs="Times New Roman"/>
          <w:i w:val="0"/>
          <w:caps w:val="0"/>
          <w:color w:val="auto"/>
          <w:spacing w:val="0"/>
          <w:sz w:val="24"/>
          <w:szCs w:val="24"/>
          <w:highlight w:val="none"/>
        </w:rPr>
        <w:t>收集回收。</w:t>
      </w:r>
      <w:r>
        <w:rPr>
          <w:rFonts w:hint="default" w:ascii="Times New Roman" w:hAnsi="Times New Roman" w:eastAsia="宋体" w:cs="Times New Roman"/>
          <w:i w:val="0"/>
          <w:caps w:val="0"/>
          <w:color w:val="auto"/>
          <w:spacing w:val="0"/>
          <w:sz w:val="24"/>
          <w:szCs w:val="24"/>
          <w:highlight w:val="none"/>
          <w:lang w:eastAsia="zh-CN"/>
        </w:rPr>
        <w:t>当身体接触</w:t>
      </w:r>
      <w:r>
        <w:rPr>
          <w:rFonts w:hint="eastAsia" w:cs="Times New Roman"/>
          <w:color w:val="auto"/>
          <w:sz w:val="24"/>
          <w:szCs w:val="36"/>
          <w:highlight w:val="none"/>
          <w:lang w:eastAsia="zh-CN"/>
        </w:rPr>
        <w:t>硅烷、除油剂</w:t>
      </w:r>
      <w:r>
        <w:rPr>
          <w:rFonts w:hint="default" w:ascii="Times New Roman" w:hAnsi="Times New Roman" w:eastAsia="宋体" w:cs="Times New Roman"/>
          <w:i w:val="0"/>
          <w:caps w:val="0"/>
          <w:color w:val="auto"/>
          <w:spacing w:val="0"/>
          <w:sz w:val="24"/>
          <w:szCs w:val="24"/>
          <w:highlight w:val="none"/>
          <w:lang w:eastAsia="zh-CN"/>
        </w:rPr>
        <w:t>时，可用大量水清洗，公司备有急救箱可对伤员进行简单的救治。</w:t>
      </w:r>
    </w:p>
    <w:p>
      <w:pPr>
        <w:pStyle w:val="9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i w:val="0"/>
          <w:caps w:val="0"/>
          <w:color w:val="auto"/>
          <w:spacing w:val="0"/>
          <w:sz w:val="24"/>
          <w:szCs w:val="24"/>
          <w:highlight w:val="none"/>
          <w:lang w:eastAsia="zh-CN"/>
        </w:rPr>
      </w:pPr>
      <w:r>
        <w:rPr>
          <w:rFonts w:hint="eastAsia" w:ascii="Times New Roman" w:hAnsi="Times New Roman" w:eastAsia="宋体" w:cs="Times New Roman"/>
          <w:i w:val="0"/>
          <w:caps w:val="0"/>
          <w:color w:val="auto"/>
          <w:spacing w:val="0"/>
          <w:sz w:val="24"/>
          <w:szCs w:val="24"/>
          <w:highlight w:val="none"/>
          <w:lang w:eastAsia="zh-CN"/>
        </w:rPr>
        <w:t>②油漆、稀释剂</w:t>
      </w:r>
      <w:r>
        <w:rPr>
          <w:rFonts w:hint="default" w:ascii="Times New Roman" w:hAnsi="Times New Roman" w:eastAsia="宋体" w:cs="Times New Roman"/>
          <w:i w:val="0"/>
          <w:caps w:val="0"/>
          <w:color w:val="auto"/>
          <w:spacing w:val="0"/>
          <w:sz w:val="24"/>
          <w:szCs w:val="24"/>
          <w:highlight w:val="none"/>
          <w:lang w:eastAsia="zh-CN"/>
        </w:rPr>
        <w:t>泄漏现有应急措施</w:t>
      </w:r>
    </w:p>
    <w:p>
      <w:pPr>
        <w:pStyle w:val="96"/>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i w:val="0"/>
          <w:caps w:val="0"/>
          <w:color w:val="auto"/>
          <w:spacing w:val="0"/>
          <w:sz w:val="24"/>
          <w:szCs w:val="24"/>
          <w:highlight w:val="none"/>
          <w:lang w:val="en-US" w:eastAsia="zh-CN"/>
        </w:rPr>
      </w:pPr>
      <w:r>
        <w:rPr>
          <w:rFonts w:hint="default" w:ascii="Times New Roman" w:hAnsi="Times New Roman" w:eastAsia="宋体" w:cs="Times New Roman"/>
          <w:i w:val="0"/>
          <w:caps w:val="0"/>
          <w:color w:val="auto"/>
          <w:spacing w:val="0"/>
          <w:sz w:val="24"/>
          <w:szCs w:val="24"/>
          <w:highlight w:val="none"/>
          <w:lang w:eastAsia="zh-CN"/>
        </w:rPr>
        <w:t>当</w:t>
      </w:r>
      <w:r>
        <w:rPr>
          <w:rFonts w:hint="eastAsia" w:ascii="Times New Roman" w:hAnsi="Times New Roman" w:eastAsia="宋体" w:cs="Times New Roman"/>
          <w:i w:val="0"/>
          <w:caps w:val="0"/>
          <w:color w:val="auto"/>
          <w:spacing w:val="0"/>
          <w:sz w:val="24"/>
          <w:szCs w:val="24"/>
          <w:highlight w:val="none"/>
          <w:lang w:eastAsia="zh-CN"/>
        </w:rPr>
        <w:t>油漆、稀释剂</w:t>
      </w:r>
      <w:r>
        <w:rPr>
          <w:rFonts w:hint="default" w:ascii="Times New Roman" w:hAnsi="Times New Roman" w:eastAsia="宋体" w:cs="Times New Roman"/>
          <w:i w:val="0"/>
          <w:caps w:val="0"/>
          <w:color w:val="auto"/>
          <w:spacing w:val="0"/>
          <w:sz w:val="24"/>
          <w:szCs w:val="24"/>
          <w:highlight w:val="none"/>
          <w:lang w:eastAsia="zh-CN"/>
        </w:rPr>
        <w:t>发生泄漏时，</w:t>
      </w:r>
      <w:r>
        <w:rPr>
          <w:rFonts w:hint="default" w:ascii="Times New Roman" w:hAnsi="Times New Roman" w:eastAsia="宋体" w:cs="Times New Roman"/>
          <w:i w:val="0"/>
          <w:caps w:val="0"/>
          <w:color w:val="auto"/>
          <w:spacing w:val="0"/>
          <w:sz w:val="24"/>
          <w:szCs w:val="24"/>
          <w:highlight w:val="none"/>
        </w:rPr>
        <w:t>应急处理人员</w:t>
      </w:r>
      <w:r>
        <w:rPr>
          <w:rFonts w:hint="default" w:ascii="Times New Roman" w:hAnsi="Times New Roman" w:eastAsia="宋体" w:cs="Times New Roman"/>
          <w:i w:val="0"/>
          <w:caps w:val="0"/>
          <w:color w:val="auto"/>
          <w:spacing w:val="0"/>
          <w:sz w:val="24"/>
          <w:szCs w:val="24"/>
          <w:highlight w:val="none"/>
          <w:lang w:eastAsia="zh-CN"/>
        </w:rPr>
        <w:t>可</w:t>
      </w:r>
      <w:r>
        <w:rPr>
          <w:rFonts w:hint="default" w:ascii="Times New Roman" w:hAnsi="Times New Roman" w:cs="Times New Roman"/>
          <w:i w:val="0"/>
          <w:caps w:val="0"/>
          <w:color w:val="auto"/>
          <w:spacing w:val="0"/>
          <w:sz w:val="24"/>
          <w:szCs w:val="24"/>
          <w:highlight w:val="none"/>
          <w:lang w:eastAsia="zh-CN"/>
        </w:rPr>
        <w:t>穿</w:t>
      </w:r>
      <w:r>
        <w:rPr>
          <w:rFonts w:hint="eastAsia" w:cs="Times New Roman"/>
          <w:i w:val="0"/>
          <w:caps w:val="0"/>
          <w:color w:val="auto"/>
          <w:spacing w:val="0"/>
          <w:sz w:val="24"/>
          <w:szCs w:val="24"/>
          <w:highlight w:val="none"/>
          <w:lang w:eastAsia="zh-CN"/>
        </w:rPr>
        <w:t>一般防护</w:t>
      </w:r>
      <w:r>
        <w:rPr>
          <w:rFonts w:hint="default" w:ascii="Times New Roman" w:hAnsi="Times New Roman" w:cs="Times New Roman"/>
          <w:i w:val="0"/>
          <w:caps w:val="0"/>
          <w:color w:val="auto"/>
          <w:spacing w:val="0"/>
          <w:sz w:val="24"/>
          <w:szCs w:val="24"/>
          <w:highlight w:val="none"/>
          <w:lang w:eastAsia="zh-CN"/>
        </w:rPr>
        <w:t>手套、</w:t>
      </w:r>
      <w:r>
        <w:rPr>
          <w:rFonts w:hint="eastAsia" w:cs="Times New Roman"/>
          <w:i w:val="0"/>
          <w:caps w:val="0"/>
          <w:color w:val="auto"/>
          <w:spacing w:val="0"/>
          <w:sz w:val="24"/>
          <w:szCs w:val="24"/>
          <w:highlight w:val="none"/>
          <w:lang w:eastAsia="zh-CN"/>
        </w:rPr>
        <w:t>一般防护</w:t>
      </w:r>
      <w:r>
        <w:rPr>
          <w:rFonts w:hint="default" w:ascii="Times New Roman" w:hAnsi="Times New Roman" w:cs="Times New Roman"/>
          <w:i w:val="0"/>
          <w:caps w:val="0"/>
          <w:color w:val="auto"/>
          <w:spacing w:val="0"/>
          <w:sz w:val="24"/>
          <w:szCs w:val="24"/>
          <w:highlight w:val="none"/>
          <w:lang w:eastAsia="zh-CN"/>
        </w:rPr>
        <w:t>服</w:t>
      </w:r>
      <w:r>
        <w:rPr>
          <w:rFonts w:hint="eastAsia" w:cs="Times New Roman"/>
          <w:i w:val="0"/>
          <w:caps w:val="0"/>
          <w:color w:val="auto"/>
          <w:spacing w:val="0"/>
          <w:sz w:val="24"/>
          <w:szCs w:val="24"/>
          <w:highlight w:val="none"/>
          <w:lang w:eastAsia="zh-CN"/>
        </w:rPr>
        <w:t>、呼吸器</w:t>
      </w:r>
      <w:r>
        <w:rPr>
          <w:rFonts w:hint="default" w:ascii="Times New Roman" w:hAnsi="Times New Roman" w:cs="Times New Roman"/>
          <w:i w:val="0"/>
          <w:caps w:val="0"/>
          <w:color w:val="auto"/>
          <w:spacing w:val="0"/>
          <w:sz w:val="24"/>
          <w:szCs w:val="24"/>
          <w:highlight w:val="none"/>
          <w:lang w:eastAsia="zh-CN"/>
        </w:rPr>
        <w:t>等</w:t>
      </w:r>
      <w:r>
        <w:rPr>
          <w:rFonts w:hint="default" w:ascii="Times New Roman" w:hAnsi="Times New Roman" w:eastAsia="宋体" w:cs="Times New Roman"/>
          <w:i w:val="0"/>
          <w:caps w:val="0"/>
          <w:color w:val="auto"/>
          <w:spacing w:val="0"/>
          <w:sz w:val="24"/>
          <w:szCs w:val="24"/>
          <w:highlight w:val="none"/>
          <w:lang w:eastAsia="zh-CN"/>
        </w:rPr>
        <w:t>进入现场。小量泄漏</w:t>
      </w:r>
      <w:r>
        <w:rPr>
          <w:rFonts w:hint="default" w:ascii="Times New Roman" w:hAnsi="Times New Roman" w:eastAsia="宋体" w:cs="Times New Roman"/>
          <w:i w:val="0"/>
          <w:caps w:val="0"/>
          <w:color w:val="auto"/>
          <w:spacing w:val="0"/>
          <w:sz w:val="24"/>
          <w:szCs w:val="24"/>
          <w:highlight w:val="none"/>
        </w:rPr>
        <w:t>用大量水冲洗，</w:t>
      </w:r>
      <w:r>
        <w:rPr>
          <w:rFonts w:hint="default" w:ascii="Times New Roman" w:hAnsi="Times New Roman" w:cs="Times New Roman"/>
          <w:i w:val="0"/>
          <w:caps w:val="0"/>
          <w:color w:val="auto"/>
          <w:spacing w:val="0"/>
          <w:sz w:val="24"/>
          <w:szCs w:val="24"/>
          <w:highlight w:val="none"/>
          <w:lang w:eastAsia="zh-CN"/>
        </w:rPr>
        <w:t>冲</w:t>
      </w:r>
      <w:r>
        <w:rPr>
          <w:rFonts w:hint="default" w:ascii="Times New Roman" w:hAnsi="Times New Roman" w:eastAsia="宋体" w:cs="Times New Roman"/>
          <w:i w:val="0"/>
          <w:caps w:val="0"/>
          <w:color w:val="auto"/>
          <w:spacing w:val="0"/>
          <w:sz w:val="24"/>
          <w:szCs w:val="24"/>
          <w:highlight w:val="none"/>
        </w:rPr>
        <w:t>洗水稀释后放入</w:t>
      </w:r>
      <w:r>
        <w:rPr>
          <w:rFonts w:hint="eastAsia" w:cs="Times New Roman"/>
          <w:i w:val="0"/>
          <w:caps w:val="0"/>
          <w:color w:val="auto"/>
          <w:spacing w:val="0"/>
          <w:sz w:val="24"/>
          <w:szCs w:val="24"/>
          <w:highlight w:val="none"/>
          <w:lang w:eastAsia="zh-CN"/>
        </w:rPr>
        <w:t>事故池</w:t>
      </w:r>
      <w:r>
        <w:rPr>
          <w:rFonts w:hint="default" w:ascii="Times New Roman" w:hAnsi="Times New Roman" w:eastAsia="宋体" w:cs="Times New Roman"/>
          <w:i w:val="0"/>
          <w:caps w:val="0"/>
          <w:color w:val="auto"/>
          <w:spacing w:val="0"/>
          <w:sz w:val="24"/>
          <w:szCs w:val="24"/>
          <w:highlight w:val="none"/>
        </w:rPr>
        <w:t>。大量泄漏</w:t>
      </w:r>
      <w:r>
        <w:rPr>
          <w:rFonts w:hint="default" w:ascii="Times New Roman" w:hAnsi="Times New Roman" w:eastAsia="宋体" w:cs="Times New Roman"/>
          <w:i w:val="0"/>
          <w:caps w:val="0"/>
          <w:color w:val="auto"/>
          <w:spacing w:val="0"/>
          <w:sz w:val="24"/>
          <w:szCs w:val="24"/>
          <w:highlight w:val="none"/>
          <w:lang w:eastAsia="zh-CN"/>
        </w:rPr>
        <w:t>时可</w:t>
      </w:r>
      <w:r>
        <w:rPr>
          <w:rFonts w:hint="default" w:ascii="Times New Roman" w:hAnsi="Times New Roman" w:cs="Times New Roman"/>
          <w:i w:val="0"/>
          <w:caps w:val="0"/>
          <w:color w:val="auto"/>
          <w:spacing w:val="0"/>
          <w:sz w:val="24"/>
          <w:szCs w:val="24"/>
          <w:highlight w:val="none"/>
          <w:lang w:eastAsia="zh-CN"/>
        </w:rPr>
        <w:t>使用泵抽等方式进行</w:t>
      </w:r>
      <w:r>
        <w:rPr>
          <w:rFonts w:hint="default" w:ascii="Times New Roman" w:hAnsi="Times New Roman" w:eastAsia="宋体" w:cs="Times New Roman"/>
          <w:i w:val="0"/>
          <w:caps w:val="0"/>
          <w:color w:val="auto"/>
          <w:spacing w:val="0"/>
          <w:sz w:val="24"/>
          <w:szCs w:val="24"/>
          <w:highlight w:val="none"/>
        </w:rPr>
        <w:t>收集回收。</w:t>
      </w:r>
      <w:r>
        <w:rPr>
          <w:rFonts w:hint="default" w:ascii="Times New Roman" w:hAnsi="Times New Roman" w:eastAsia="宋体" w:cs="Times New Roman"/>
          <w:i w:val="0"/>
          <w:caps w:val="0"/>
          <w:color w:val="auto"/>
          <w:spacing w:val="0"/>
          <w:sz w:val="24"/>
          <w:szCs w:val="24"/>
          <w:highlight w:val="none"/>
          <w:lang w:eastAsia="zh-CN"/>
        </w:rPr>
        <w:t>当身体接触</w:t>
      </w:r>
      <w:r>
        <w:rPr>
          <w:rFonts w:hint="eastAsia" w:cs="Times New Roman"/>
          <w:color w:val="auto"/>
          <w:sz w:val="24"/>
          <w:szCs w:val="36"/>
          <w:highlight w:val="none"/>
          <w:lang w:eastAsia="zh-CN"/>
        </w:rPr>
        <w:t>硅烷、除油剂</w:t>
      </w:r>
      <w:r>
        <w:rPr>
          <w:rFonts w:hint="default" w:ascii="Times New Roman" w:hAnsi="Times New Roman" w:eastAsia="宋体" w:cs="Times New Roman"/>
          <w:i w:val="0"/>
          <w:caps w:val="0"/>
          <w:color w:val="auto"/>
          <w:spacing w:val="0"/>
          <w:sz w:val="24"/>
          <w:szCs w:val="24"/>
          <w:highlight w:val="none"/>
          <w:lang w:eastAsia="zh-CN"/>
        </w:rPr>
        <w:t>时，可用大量水清洗，公司备有急救箱可对伤员进行简单的救治。</w:t>
      </w:r>
    </w:p>
    <w:p>
      <w:pPr>
        <w:pStyle w:val="6"/>
        <w:pageBreakBefore w:val="0"/>
        <w:widowControl w:val="0"/>
        <w:kinsoku/>
        <w:wordWrap/>
        <w:overflowPunct/>
        <w:topLinePunct w:val="0"/>
        <w:bidi w:val="0"/>
        <w:adjustRightInd/>
        <w:spacing w:line="360" w:lineRule="auto"/>
        <w:ind w:firstLine="602"/>
        <w:textAlignment w:val="auto"/>
        <w:rPr>
          <w:rFonts w:hint="default" w:ascii="Times New Roman" w:hAnsi="Times New Roman" w:cs="Times New Roman" w:eastAsiaTheme="minorEastAsia"/>
          <w:color w:val="auto"/>
          <w:lang w:val="en-US" w:eastAsia="zh-CN"/>
        </w:rPr>
      </w:pPr>
      <w:bookmarkStart w:id="130" w:name="_Toc1915"/>
      <w:r>
        <w:rPr>
          <w:rFonts w:hint="eastAsia" w:ascii="Times New Roman" w:hAnsi="Times New Roman" w:cs="Times New Roman" w:eastAsiaTheme="minorEastAsia"/>
          <w:color w:val="auto"/>
          <w:lang w:val="en-US" w:eastAsia="zh-CN"/>
        </w:rPr>
        <w:t>3</w:t>
      </w:r>
      <w:r>
        <w:rPr>
          <w:rFonts w:hint="eastAsia" w:cs="Times New Roman" w:eastAsiaTheme="minorEastAsia"/>
          <w:color w:val="auto"/>
          <w:lang w:val="en-US" w:eastAsia="zh-CN"/>
        </w:rPr>
        <w:t>.5</w:t>
      </w:r>
      <w:r>
        <w:rPr>
          <w:rFonts w:hint="eastAsia" w:ascii="Times New Roman" w:hAnsi="Times New Roman" w:cs="Times New Roman" w:eastAsiaTheme="minorEastAsia"/>
          <w:color w:val="auto"/>
          <w:lang w:val="en-US" w:eastAsia="zh-CN"/>
        </w:rPr>
        <w:t>.4</w:t>
      </w:r>
      <w:r>
        <w:rPr>
          <w:rFonts w:hint="eastAsia" w:cs="Times New Roman" w:eastAsiaTheme="minorEastAsia"/>
          <w:color w:val="auto"/>
          <w:lang w:val="en-US" w:eastAsia="zh-CN"/>
        </w:rPr>
        <w:t>废气</w:t>
      </w:r>
      <w:r>
        <w:rPr>
          <w:rFonts w:hint="default" w:ascii="Times New Roman" w:hAnsi="Times New Roman" w:cs="Times New Roman" w:eastAsiaTheme="minorEastAsia"/>
          <w:color w:val="auto"/>
          <w:lang w:val="en-US" w:eastAsia="zh-CN"/>
        </w:rPr>
        <w:t>事故排放</w:t>
      </w:r>
      <w:r>
        <w:rPr>
          <w:rFonts w:hint="eastAsia" w:ascii="Times New Roman" w:hAnsi="Times New Roman" w:cs="Times New Roman" w:eastAsiaTheme="minorEastAsia"/>
          <w:color w:val="auto"/>
          <w:lang w:eastAsia="zh-CN"/>
        </w:rPr>
        <w:t>现有</w:t>
      </w:r>
      <w:r>
        <w:rPr>
          <w:rFonts w:hint="default" w:ascii="Times New Roman" w:hAnsi="Times New Roman" w:cs="Times New Roman" w:eastAsiaTheme="minorEastAsia"/>
          <w:color w:val="auto"/>
          <w:lang w:eastAsia="zh-CN"/>
        </w:rPr>
        <w:t>风险</w:t>
      </w:r>
      <w:r>
        <w:rPr>
          <w:rFonts w:hint="eastAsia" w:ascii="Times New Roman" w:hAnsi="Times New Roman" w:cs="Times New Roman" w:eastAsiaTheme="minorEastAsia"/>
          <w:color w:val="auto"/>
          <w:lang w:eastAsia="zh-CN"/>
        </w:rPr>
        <w:t>防控及应急情况</w:t>
      </w:r>
      <w:bookmarkEnd w:id="130"/>
    </w:p>
    <w:p>
      <w:pPr>
        <w:keepNext w:val="0"/>
        <w:keepLines w:val="0"/>
        <w:pageBreakBefore w:val="0"/>
        <w:widowControl w:val="0"/>
        <w:kinsoku/>
        <w:wordWrap/>
        <w:overflowPunct/>
        <w:topLinePunct w:val="0"/>
        <w:autoSpaceDE w:val="0"/>
        <w:autoSpaceDN w:val="0"/>
        <w:bidi w:val="0"/>
        <w:adjustRightInd/>
        <w:snapToGrid w:val="0"/>
        <w:spacing w:line="360" w:lineRule="auto"/>
        <w:ind w:firstLine="480" w:firstLineChars="200"/>
        <w:textAlignment w:val="auto"/>
        <w:rPr>
          <w:rFonts w:hint="default" w:ascii="Times New Roman" w:hAnsi="Times New Roman" w:cs="Times New Roman"/>
          <w:color w:val="auto"/>
          <w:lang w:val="en-US" w:eastAsia="zh-CN"/>
        </w:rPr>
      </w:pPr>
      <w:r>
        <w:rPr>
          <w:rFonts w:hint="eastAsia" w:cs="Times New Roman"/>
          <w:color w:val="auto"/>
          <w:sz w:val="24"/>
          <w:szCs w:val="24"/>
          <w:lang w:val="en-US" w:eastAsia="zh-CN"/>
        </w:rPr>
        <w:t>废气处理设备</w:t>
      </w:r>
      <w:r>
        <w:rPr>
          <w:rFonts w:hint="default" w:ascii="Times New Roman" w:hAnsi="Times New Roman" w:cs="Times New Roman"/>
          <w:color w:val="auto"/>
          <w:sz w:val="24"/>
          <w:szCs w:val="24"/>
          <w:lang w:val="en-US" w:eastAsia="zh-CN"/>
        </w:rPr>
        <w:t>事故排放时，</w:t>
      </w:r>
      <w:r>
        <w:rPr>
          <w:rFonts w:hint="eastAsia" w:cs="Times New Roman"/>
          <w:color w:val="auto"/>
          <w:sz w:val="24"/>
          <w:szCs w:val="24"/>
          <w:lang w:val="en-US" w:eastAsia="zh-CN"/>
        </w:rPr>
        <w:t>废气</w:t>
      </w:r>
      <w:r>
        <w:rPr>
          <w:rFonts w:hint="default" w:ascii="Times New Roman" w:hAnsi="Times New Roman" w:cs="Times New Roman"/>
          <w:color w:val="auto"/>
          <w:sz w:val="24"/>
          <w:szCs w:val="24"/>
          <w:lang w:val="en-US" w:eastAsia="zh-CN"/>
        </w:rPr>
        <w:t>处理设施操作人员能及时向设施负责人汇报，负责人确认消息后上报应急指挥中心，应急指挥中心启动应急，组织应急小组准备就绪；同时</w:t>
      </w:r>
      <w:r>
        <w:rPr>
          <w:rFonts w:hint="eastAsia" w:cs="Times New Roman"/>
          <w:color w:val="auto"/>
          <w:sz w:val="24"/>
          <w:szCs w:val="24"/>
          <w:lang w:val="en-US" w:eastAsia="zh-CN"/>
        </w:rPr>
        <w:t>生产</w:t>
      </w:r>
      <w:r>
        <w:rPr>
          <w:rFonts w:hint="default" w:ascii="Times New Roman" w:hAnsi="Times New Roman" w:cs="Times New Roman"/>
          <w:color w:val="auto"/>
          <w:sz w:val="24"/>
          <w:szCs w:val="24"/>
          <w:lang w:val="en-US" w:eastAsia="zh-CN"/>
        </w:rPr>
        <w:t>车间立即停止生产；应急指挥中心派抢险小组对</w:t>
      </w:r>
      <w:r>
        <w:rPr>
          <w:rFonts w:hint="eastAsia" w:cs="Times New Roman"/>
          <w:color w:val="auto"/>
          <w:sz w:val="24"/>
          <w:szCs w:val="24"/>
          <w:lang w:val="en-US" w:eastAsia="zh-CN"/>
        </w:rPr>
        <w:t>废气处理</w:t>
      </w:r>
      <w:r>
        <w:rPr>
          <w:rFonts w:hint="default" w:ascii="Times New Roman" w:hAnsi="Times New Roman" w:cs="Times New Roman"/>
          <w:color w:val="auto"/>
          <w:sz w:val="24"/>
          <w:szCs w:val="24"/>
          <w:lang w:val="en-US" w:eastAsia="zh-CN"/>
        </w:rPr>
        <w:t>设备进行抢修，抢修人员穿戴好防护服及呼吸器；车间安全员能及时对车间无关人员进行疏散，并及时告知下风向的村庄等环境敏感点进行人员疏散，有序撤离，禁止无关人员进入现场</w:t>
      </w:r>
      <w:r>
        <w:rPr>
          <w:rFonts w:hint="default" w:ascii="Times New Roman" w:hAnsi="Times New Roman" w:cs="Times New Roman"/>
          <w:color w:val="auto"/>
          <w:lang w:val="en-US" w:eastAsia="zh-CN"/>
        </w:rPr>
        <w:t>。</w:t>
      </w:r>
    </w:p>
    <w:p>
      <w:pPr>
        <w:pStyle w:val="6"/>
        <w:pageBreakBefore w:val="0"/>
        <w:widowControl w:val="0"/>
        <w:kinsoku/>
        <w:wordWrap/>
        <w:overflowPunct/>
        <w:topLinePunct w:val="0"/>
        <w:bidi w:val="0"/>
        <w:adjustRightInd/>
        <w:spacing w:line="360" w:lineRule="auto"/>
        <w:ind w:firstLine="602"/>
        <w:textAlignment w:val="auto"/>
        <w:rPr>
          <w:rFonts w:hint="default" w:ascii="Times New Roman" w:hAnsi="Times New Roman" w:cs="Times New Roman" w:eastAsiaTheme="minorEastAsia"/>
          <w:b/>
          <w:bCs/>
          <w:color w:val="auto"/>
          <w:kern w:val="2"/>
          <w:sz w:val="30"/>
          <w:szCs w:val="32"/>
          <w:lang w:val="en-US" w:eastAsia="zh-CN" w:bidi="ar-SA"/>
        </w:rPr>
      </w:pPr>
      <w:bookmarkStart w:id="131" w:name="_Toc31158"/>
      <w:r>
        <w:rPr>
          <w:rFonts w:hint="eastAsia" w:ascii="Times New Roman" w:hAnsi="Times New Roman" w:cs="Times New Roman" w:eastAsiaTheme="minorEastAsia"/>
          <w:b/>
          <w:bCs/>
          <w:color w:val="auto"/>
          <w:kern w:val="2"/>
          <w:sz w:val="30"/>
          <w:szCs w:val="32"/>
          <w:lang w:val="en-US" w:eastAsia="zh-CN" w:bidi="ar-SA"/>
        </w:rPr>
        <w:t>3.</w:t>
      </w:r>
      <w:r>
        <w:rPr>
          <w:rFonts w:hint="eastAsia" w:cs="Times New Roman" w:eastAsiaTheme="minorEastAsia"/>
          <w:b/>
          <w:bCs/>
          <w:color w:val="auto"/>
          <w:kern w:val="2"/>
          <w:sz w:val="30"/>
          <w:szCs w:val="32"/>
          <w:lang w:val="en-US" w:eastAsia="zh-CN" w:bidi="ar-SA"/>
        </w:rPr>
        <w:t>5</w:t>
      </w:r>
      <w:r>
        <w:rPr>
          <w:rFonts w:hint="eastAsia" w:ascii="Times New Roman" w:hAnsi="Times New Roman" w:cs="Times New Roman" w:eastAsiaTheme="minorEastAsia"/>
          <w:b/>
          <w:bCs/>
          <w:color w:val="auto"/>
          <w:kern w:val="2"/>
          <w:sz w:val="30"/>
          <w:szCs w:val="32"/>
          <w:lang w:val="en-US" w:eastAsia="zh-CN" w:bidi="ar-SA"/>
        </w:rPr>
        <w:t>.5</w:t>
      </w:r>
      <w:r>
        <w:rPr>
          <w:rFonts w:hint="default" w:ascii="Times New Roman" w:hAnsi="Times New Roman" w:cs="Times New Roman" w:eastAsiaTheme="minorEastAsia"/>
          <w:b/>
          <w:bCs/>
          <w:color w:val="auto"/>
          <w:kern w:val="2"/>
          <w:sz w:val="30"/>
          <w:szCs w:val="32"/>
          <w:lang w:val="en-US" w:eastAsia="zh-CN" w:bidi="ar-SA"/>
        </w:rPr>
        <w:t>火灾爆炸事故</w:t>
      </w:r>
      <w:r>
        <w:rPr>
          <w:rFonts w:hint="eastAsia" w:ascii="Times New Roman" w:hAnsi="Times New Roman" w:cs="Times New Roman" w:eastAsiaTheme="minorEastAsia"/>
          <w:color w:val="auto"/>
          <w:lang w:eastAsia="zh-CN"/>
        </w:rPr>
        <w:t>现有</w:t>
      </w:r>
      <w:r>
        <w:rPr>
          <w:rFonts w:hint="default" w:ascii="Times New Roman" w:hAnsi="Times New Roman" w:cs="Times New Roman" w:eastAsiaTheme="minorEastAsia"/>
          <w:color w:val="auto"/>
          <w:lang w:eastAsia="zh-CN"/>
        </w:rPr>
        <w:t>风险</w:t>
      </w:r>
      <w:r>
        <w:rPr>
          <w:rFonts w:hint="eastAsia" w:ascii="Times New Roman" w:hAnsi="Times New Roman" w:cs="Times New Roman" w:eastAsiaTheme="minorEastAsia"/>
          <w:color w:val="auto"/>
          <w:lang w:eastAsia="zh-CN"/>
        </w:rPr>
        <w:t>防控及应急情况</w:t>
      </w:r>
      <w:bookmarkEnd w:id="131"/>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b w:val="0"/>
          <w:bCs w:val="0"/>
          <w:color w:val="auto"/>
          <w:sz w:val="24"/>
          <w:szCs w:val="24"/>
        </w:rPr>
      </w:pPr>
      <w:r>
        <w:rPr>
          <w:rFonts w:hint="default" w:ascii="Times New Roman" w:hAnsi="Times New Roman" w:cs="Times New Roman"/>
          <w:b w:val="0"/>
          <w:bCs w:val="0"/>
          <w:color w:val="auto"/>
          <w:sz w:val="24"/>
          <w:szCs w:val="24"/>
          <w:lang w:eastAsia="zh-CN"/>
        </w:rPr>
        <w:t>当发生火灾爆炸事故时，厂区人员能</w:t>
      </w:r>
      <w:r>
        <w:rPr>
          <w:rFonts w:hint="default" w:ascii="Times New Roman" w:hAnsi="Times New Roman" w:eastAsia="宋体" w:cs="Times New Roman"/>
          <w:b w:val="0"/>
          <w:bCs w:val="0"/>
          <w:color w:val="auto"/>
          <w:sz w:val="24"/>
          <w:szCs w:val="24"/>
        </w:rPr>
        <w:t>及时请求外部支援（119、120）</w:t>
      </w:r>
      <w:r>
        <w:rPr>
          <w:rFonts w:hint="default" w:ascii="Times New Roman" w:hAnsi="Times New Roman" w:cs="Times New Roman"/>
          <w:b w:val="0"/>
          <w:bCs w:val="0"/>
          <w:color w:val="auto"/>
          <w:sz w:val="24"/>
          <w:szCs w:val="24"/>
          <w:lang w:eastAsia="zh-CN"/>
        </w:rPr>
        <w:t>，消防过程</w:t>
      </w:r>
      <w:r>
        <w:rPr>
          <w:rFonts w:hint="default" w:ascii="Times New Roman" w:hAnsi="Times New Roman" w:eastAsia="宋体" w:cs="Times New Roman"/>
          <w:b w:val="0"/>
          <w:bCs w:val="0"/>
          <w:color w:val="auto"/>
          <w:sz w:val="24"/>
          <w:szCs w:val="24"/>
        </w:rPr>
        <w:t>关闭厂区雨水排口，防止泄漏废液、消防泡沫及消防废水排至厂区外</w:t>
      </w:r>
      <w:r>
        <w:rPr>
          <w:rFonts w:hint="default" w:ascii="Times New Roman" w:hAnsi="Times New Roman"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消防废水</w:t>
      </w:r>
      <w:r>
        <w:rPr>
          <w:rFonts w:hint="default" w:ascii="Times New Roman" w:hAnsi="Times New Roman" w:cs="Times New Roman"/>
          <w:b w:val="0"/>
          <w:bCs w:val="0"/>
          <w:color w:val="auto"/>
          <w:sz w:val="24"/>
          <w:szCs w:val="24"/>
          <w:lang w:eastAsia="zh-CN"/>
        </w:rPr>
        <w:t>临时收集至</w:t>
      </w:r>
      <w:r>
        <w:rPr>
          <w:rFonts w:hint="eastAsia" w:cs="Times New Roman"/>
          <w:b w:val="0"/>
          <w:bCs w:val="0"/>
          <w:color w:val="auto"/>
          <w:sz w:val="24"/>
          <w:szCs w:val="24"/>
          <w:lang w:eastAsia="zh-CN"/>
        </w:rPr>
        <w:t>事故池，由泵提升至</w:t>
      </w:r>
      <w:r>
        <w:rPr>
          <w:rFonts w:hint="default" w:ascii="Times New Roman" w:hAnsi="Times New Roman" w:cs="Times New Roman"/>
          <w:b w:val="0"/>
          <w:bCs w:val="0"/>
          <w:color w:val="auto"/>
          <w:sz w:val="24"/>
          <w:szCs w:val="24"/>
          <w:lang w:eastAsia="zh-CN"/>
        </w:rPr>
        <w:t>污水处理站</w:t>
      </w:r>
      <w:r>
        <w:rPr>
          <w:rFonts w:hint="eastAsia" w:cs="Times New Roman"/>
          <w:b w:val="0"/>
          <w:bCs w:val="0"/>
          <w:color w:val="auto"/>
          <w:sz w:val="24"/>
          <w:szCs w:val="24"/>
          <w:lang w:eastAsia="zh-CN"/>
        </w:rPr>
        <w:t>处理</w:t>
      </w:r>
      <w:r>
        <w:rPr>
          <w:rFonts w:hint="default" w:ascii="Times New Roman" w:hAnsi="Times New Roman" w:eastAsia="宋体" w:cs="Times New Roman"/>
          <w:b w:val="0"/>
          <w:bCs w:val="0"/>
          <w:color w:val="auto"/>
          <w:sz w:val="24"/>
          <w:szCs w:val="24"/>
        </w:rPr>
        <w:t>。</w:t>
      </w:r>
    </w:p>
    <w:p>
      <w:pPr>
        <w:pStyle w:val="6"/>
        <w:ind w:firstLine="602"/>
        <w:rPr>
          <w:rFonts w:hint="eastAsia" w:ascii="Times New Roman" w:hAnsi="Times New Roman" w:cs="Times New Roman" w:eastAsiaTheme="minorEastAsia"/>
          <w:color w:val="auto"/>
          <w:lang w:eastAsia="zh-CN"/>
        </w:rPr>
      </w:pPr>
      <w:bookmarkStart w:id="132" w:name="_Toc21138"/>
      <w:r>
        <w:rPr>
          <w:rFonts w:hint="default" w:ascii="Times New Roman" w:hAnsi="Times New Roman" w:cs="Times New Roman" w:eastAsiaTheme="minorEastAsia"/>
          <w:color w:val="auto"/>
        </w:rPr>
        <w:t>3.6.</w:t>
      </w:r>
      <w:r>
        <w:rPr>
          <w:rFonts w:hint="eastAsia" w:cs="Times New Roman" w:eastAsiaTheme="minorEastAsia"/>
          <w:color w:val="auto"/>
          <w:lang w:val="en-US" w:eastAsia="zh-CN"/>
        </w:rPr>
        <w:t>6</w:t>
      </w:r>
      <w:r>
        <w:rPr>
          <w:rFonts w:hint="default" w:ascii="Times New Roman" w:hAnsi="Times New Roman" w:cs="Times New Roman" w:eastAsiaTheme="minorEastAsia"/>
          <w:color w:val="auto"/>
        </w:rPr>
        <w:t xml:space="preserve"> </w:t>
      </w:r>
      <w:bookmarkEnd w:id="123"/>
      <w:bookmarkEnd w:id="124"/>
      <w:bookmarkEnd w:id="125"/>
      <w:bookmarkEnd w:id="126"/>
      <w:bookmarkEnd w:id="127"/>
      <w:bookmarkEnd w:id="128"/>
      <w:bookmarkEnd w:id="129"/>
      <w:r>
        <w:rPr>
          <w:rFonts w:hint="default" w:ascii="Times New Roman" w:hAnsi="Times New Roman" w:cs="Times New Roman" w:eastAsiaTheme="minorEastAsia"/>
          <w:color w:val="auto"/>
          <w:lang w:eastAsia="zh-CN"/>
        </w:rPr>
        <w:t>消防废水</w:t>
      </w:r>
      <w:r>
        <w:rPr>
          <w:rFonts w:hint="default" w:ascii="Times New Roman" w:hAnsi="Times New Roman" w:cs="Times New Roman" w:eastAsiaTheme="minorEastAsia"/>
          <w:color w:val="auto"/>
        </w:rPr>
        <w:t>事故</w:t>
      </w:r>
      <w:r>
        <w:rPr>
          <w:rFonts w:hint="default" w:ascii="Times New Roman" w:hAnsi="Times New Roman" w:cs="Times New Roman" w:eastAsiaTheme="minorEastAsia"/>
          <w:color w:val="auto"/>
          <w:lang w:eastAsia="zh-CN"/>
        </w:rPr>
        <w:t>排放</w:t>
      </w:r>
      <w:r>
        <w:rPr>
          <w:rFonts w:hint="eastAsia" w:ascii="Times New Roman" w:hAnsi="Times New Roman" w:cs="Times New Roman" w:eastAsiaTheme="minorEastAsia"/>
          <w:color w:val="auto"/>
          <w:lang w:eastAsia="zh-CN"/>
        </w:rPr>
        <w:t>现有</w:t>
      </w:r>
      <w:r>
        <w:rPr>
          <w:rFonts w:hint="default" w:ascii="Times New Roman" w:hAnsi="Times New Roman" w:cs="Times New Roman" w:eastAsiaTheme="minorEastAsia"/>
          <w:color w:val="auto"/>
          <w:lang w:eastAsia="zh-CN"/>
        </w:rPr>
        <w:t>风险</w:t>
      </w:r>
      <w:r>
        <w:rPr>
          <w:rFonts w:hint="eastAsia" w:ascii="Times New Roman" w:hAnsi="Times New Roman" w:cs="Times New Roman" w:eastAsiaTheme="minorEastAsia"/>
          <w:color w:val="auto"/>
          <w:lang w:eastAsia="zh-CN"/>
        </w:rPr>
        <w:t>防控及应急情况</w:t>
      </w:r>
      <w:bookmarkEnd w:id="132"/>
    </w:p>
    <w:p>
      <w:pPr>
        <w:pStyle w:val="7"/>
        <w:bidi w:val="0"/>
        <w:rPr>
          <w:rFonts w:hint="default"/>
          <w:color w:val="auto"/>
          <w:lang w:val="en-US" w:eastAsia="zh-CN"/>
        </w:rPr>
      </w:pPr>
      <w:bookmarkStart w:id="133" w:name="_Toc201495143"/>
      <w:bookmarkStart w:id="134" w:name="_Toc14763"/>
      <w:bookmarkStart w:id="135" w:name="_Toc19591"/>
      <w:bookmarkStart w:id="136" w:name="_Toc197858265"/>
      <w:bookmarkStart w:id="137" w:name="_Toc206223367"/>
      <w:r>
        <w:rPr>
          <w:rFonts w:hint="eastAsia"/>
          <w:color w:val="auto"/>
          <w:lang w:val="en-US" w:eastAsia="zh-CN"/>
        </w:rPr>
        <w:t>3.6.6.1现有防控措施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8"/>
        </w:rPr>
      </w:pPr>
      <w:r>
        <w:rPr>
          <w:rFonts w:hint="default" w:ascii="Times New Roman" w:hAnsi="Times New Roman" w:cs="Times New Roman" w:eastAsiaTheme="minorEastAsia"/>
          <w:color w:val="auto"/>
          <w:sz w:val="24"/>
          <w:szCs w:val="28"/>
        </w:rPr>
        <w:t>当重、特大事故时，</w:t>
      </w:r>
      <w:r>
        <w:rPr>
          <w:rFonts w:hint="eastAsia" w:cs="Times New Roman" w:eastAsiaTheme="minorEastAsia"/>
          <w:color w:val="auto"/>
          <w:sz w:val="24"/>
          <w:szCs w:val="28"/>
          <w:lang w:eastAsia="zh-CN"/>
        </w:rPr>
        <w:t>将</w:t>
      </w:r>
      <w:r>
        <w:rPr>
          <w:rFonts w:hint="default" w:ascii="Times New Roman" w:hAnsi="Times New Roman" w:cs="Times New Roman" w:eastAsiaTheme="minorEastAsia"/>
          <w:color w:val="auto"/>
          <w:sz w:val="24"/>
          <w:szCs w:val="28"/>
        </w:rPr>
        <w:t>使用大量消防水，消防水中含有大量有毒、有害物质。根据工程消防水设计用量，以及外部救援消防用水，</w:t>
      </w:r>
      <w:r>
        <w:rPr>
          <w:rFonts w:hint="eastAsia" w:cs="Times New Roman" w:eastAsiaTheme="minorEastAsia"/>
          <w:color w:val="auto"/>
          <w:sz w:val="24"/>
          <w:szCs w:val="28"/>
          <w:lang w:eastAsia="zh-CN"/>
        </w:rPr>
        <w:t>公司</w:t>
      </w:r>
      <w:r>
        <w:rPr>
          <w:rFonts w:hint="default" w:ascii="Times New Roman" w:hAnsi="Times New Roman" w:cs="Times New Roman" w:eastAsiaTheme="minorEastAsia"/>
          <w:color w:val="auto"/>
          <w:sz w:val="24"/>
          <w:szCs w:val="28"/>
        </w:rPr>
        <w:t>设置</w:t>
      </w:r>
      <w:r>
        <w:rPr>
          <w:rFonts w:hint="eastAsia" w:cs="Times New Roman" w:eastAsiaTheme="minorEastAsia"/>
          <w:color w:val="auto"/>
          <w:sz w:val="24"/>
          <w:szCs w:val="28"/>
          <w:lang w:eastAsia="zh-CN"/>
        </w:rPr>
        <w:t>了</w:t>
      </w:r>
      <w:r>
        <w:rPr>
          <w:rFonts w:hint="default" w:ascii="Times New Roman" w:hAnsi="Times New Roman" w:cs="Times New Roman" w:eastAsiaTheme="minorEastAsia"/>
          <w:color w:val="auto"/>
          <w:sz w:val="24"/>
          <w:szCs w:val="28"/>
        </w:rPr>
        <w:t>一个消防水池和消防事故水池及配套的管网布设，满足消防及事故状态下废水的接纳</w:t>
      </w:r>
      <w:r>
        <w:rPr>
          <w:rFonts w:hint="default" w:ascii="Times New Roman" w:hAnsi="Times New Roman" w:cs="Times New Roman" w:eastAsiaTheme="minorEastAsia"/>
          <w:color w:val="auto"/>
          <w:sz w:val="24"/>
          <w:szCs w:val="28"/>
          <w:lang w:eastAsia="zh-CN"/>
        </w:rPr>
        <w:t>，公司设有</w:t>
      </w:r>
      <w:r>
        <w:rPr>
          <w:rFonts w:hint="eastAsia" w:cs="Times New Roman" w:eastAsiaTheme="minorEastAsia"/>
          <w:color w:val="auto"/>
          <w:sz w:val="24"/>
          <w:szCs w:val="28"/>
          <w:lang w:eastAsia="zh-CN"/>
        </w:rPr>
        <w:t>事故应急</w:t>
      </w:r>
      <w:r>
        <w:rPr>
          <w:rFonts w:hint="default" w:ascii="Times New Roman" w:hAnsi="Times New Roman" w:cs="Times New Roman" w:eastAsiaTheme="minorEastAsia"/>
          <w:color w:val="auto"/>
          <w:sz w:val="24"/>
          <w:szCs w:val="28"/>
          <w:lang w:eastAsia="zh-CN"/>
        </w:rPr>
        <w:t>池，有效容积</w:t>
      </w:r>
      <w:r>
        <w:rPr>
          <w:rFonts w:hint="default" w:ascii="Times New Roman" w:hAnsi="Times New Roman" w:cs="Times New Roman"/>
          <w:color w:val="auto"/>
          <w:sz w:val="24"/>
          <w:szCs w:val="22"/>
          <w:lang w:eastAsia="zh-CN"/>
        </w:rPr>
        <w:t>为</w:t>
      </w:r>
      <w:r>
        <w:rPr>
          <w:rFonts w:hint="eastAsia" w:cs="Times New Roman"/>
          <w:color w:val="auto"/>
          <w:sz w:val="24"/>
          <w:szCs w:val="22"/>
          <w:lang w:val="en-US" w:eastAsia="zh-CN"/>
        </w:rPr>
        <w:t>600</w:t>
      </w:r>
      <w:r>
        <w:rPr>
          <w:rFonts w:hint="default" w:ascii="Times New Roman" w:hAnsi="Times New Roman" w:cs="Times New Roman"/>
          <w:color w:val="auto"/>
          <w:sz w:val="24"/>
          <w:szCs w:val="22"/>
        </w:rPr>
        <w:t>m</w:t>
      </w:r>
      <w:r>
        <w:rPr>
          <w:rFonts w:hint="default" w:ascii="Times New Roman" w:hAnsi="Times New Roman" w:cs="Times New Roman"/>
          <w:color w:val="auto"/>
          <w:sz w:val="24"/>
          <w:szCs w:val="22"/>
          <w:vertAlign w:val="superscript"/>
        </w:rPr>
        <w:t>3</w:t>
      </w:r>
      <w:r>
        <w:rPr>
          <w:rFonts w:hint="default" w:ascii="Times New Roman" w:hAnsi="Times New Roman" w:cs="Times New Roman" w:eastAsiaTheme="minorEastAsia"/>
          <w:color w:val="auto"/>
          <w:sz w:val="24"/>
          <w:szCs w:val="28"/>
        </w:rPr>
        <w:t>。</w:t>
      </w:r>
    </w:p>
    <w:p>
      <w:pPr>
        <w:pStyle w:val="7"/>
        <w:rPr>
          <w:rFonts w:hint="eastAsia"/>
          <w:color w:val="auto"/>
          <w:lang w:val="en-US" w:eastAsia="zh-CN"/>
        </w:rPr>
      </w:pPr>
      <w:r>
        <w:rPr>
          <w:rFonts w:hint="eastAsia"/>
          <w:color w:val="auto"/>
          <w:lang w:val="en-US" w:eastAsia="zh-CN"/>
        </w:rPr>
        <w:t>3.6.6.2 现有应急情况</w:t>
      </w:r>
    </w:p>
    <w:p>
      <w:pPr>
        <w:pStyle w:val="48"/>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default" w:ascii="Times New Roman" w:hAnsi="Times New Roman" w:cs="Times New Roman" w:eastAsiaTheme="minorEastAsia"/>
          <w:color w:val="auto"/>
          <w:sz w:val="24"/>
          <w:szCs w:val="24"/>
        </w:rPr>
      </w:pPr>
      <w:r>
        <w:rPr>
          <w:rFonts w:hint="eastAsia" w:cs="Times New Roman" w:eastAsiaTheme="minorEastAsia"/>
          <w:color w:val="auto"/>
          <w:szCs w:val="28"/>
          <w:lang w:eastAsia="zh-CN"/>
        </w:rPr>
        <w:t>当消防废水泄漏</w:t>
      </w:r>
      <w:r>
        <w:rPr>
          <w:rFonts w:hint="default" w:ascii="Times New Roman" w:hAnsi="Times New Roman" w:cs="Times New Roman" w:eastAsiaTheme="minorEastAsia"/>
          <w:color w:val="auto"/>
          <w:szCs w:val="28"/>
        </w:rPr>
        <w:t>导致雨水排放口水质超标时，首先将</w:t>
      </w:r>
      <w:r>
        <w:rPr>
          <w:rFonts w:hint="eastAsia" w:cs="Times New Roman" w:eastAsiaTheme="minorEastAsia"/>
          <w:color w:val="auto"/>
          <w:szCs w:val="28"/>
          <w:lang w:eastAsia="zh-CN"/>
        </w:rPr>
        <w:t>消防废水截留引至</w:t>
      </w:r>
      <w:r>
        <w:rPr>
          <w:rFonts w:hint="eastAsia" w:cs="Times New Roman" w:eastAsiaTheme="minorEastAsia"/>
          <w:color w:val="auto"/>
          <w:sz w:val="24"/>
          <w:szCs w:val="28"/>
          <w:lang w:eastAsia="zh-CN"/>
        </w:rPr>
        <w:t>事故应急</w:t>
      </w:r>
      <w:r>
        <w:rPr>
          <w:rFonts w:hint="default" w:ascii="Times New Roman" w:hAnsi="Times New Roman" w:cs="Times New Roman" w:eastAsiaTheme="minorEastAsia"/>
          <w:color w:val="auto"/>
          <w:sz w:val="24"/>
          <w:szCs w:val="28"/>
          <w:lang w:eastAsia="zh-CN"/>
        </w:rPr>
        <w:t>池</w:t>
      </w:r>
      <w:r>
        <w:rPr>
          <w:rFonts w:hint="eastAsia" w:cs="Times New Roman" w:eastAsiaTheme="minorEastAsia"/>
          <w:color w:val="auto"/>
          <w:szCs w:val="28"/>
          <w:lang w:eastAsia="zh-CN"/>
        </w:rPr>
        <w:t>；然后</w:t>
      </w:r>
      <w:r>
        <w:rPr>
          <w:rFonts w:hint="default" w:ascii="Times New Roman" w:hAnsi="Times New Roman" w:cs="Times New Roman" w:eastAsiaTheme="minorEastAsia"/>
          <w:color w:val="auto"/>
          <w:sz w:val="24"/>
          <w:szCs w:val="24"/>
        </w:rPr>
        <w:t>排查污水是否通过厂区内裸露地块</w:t>
      </w:r>
      <w:r>
        <w:rPr>
          <w:rFonts w:hint="eastAsia"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地面裂隙、破损管道污染土壤和地下水；</w:t>
      </w:r>
      <w:r>
        <w:rPr>
          <w:rFonts w:hint="eastAsia" w:ascii="Times New Roman" w:hAnsi="Times New Roman" w:cs="Times New Roman" w:eastAsiaTheme="minorEastAsia"/>
          <w:color w:val="auto"/>
          <w:sz w:val="24"/>
          <w:szCs w:val="24"/>
          <w:lang w:eastAsia="zh-CN"/>
        </w:rPr>
        <w:t>若土壤及地下水存在污染，则</w:t>
      </w:r>
      <w:r>
        <w:rPr>
          <w:rFonts w:hint="default" w:ascii="Times New Roman" w:hAnsi="Times New Roman" w:cs="Times New Roman" w:eastAsiaTheme="minorEastAsia"/>
          <w:color w:val="auto"/>
          <w:sz w:val="24"/>
          <w:szCs w:val="24"/>
        </w:rPr>
        <w:t>对污染的土壤和地下水进行应急处置。</w:t>
      </w:r>
    </w:p>
    <w:bookmarkEnd w:id="133"/>
    <w:bookmarkEnd w:id="134"/>
    <w:bookmarkEnd w:id="135"/>
    <w:bookmarkEnd w:id="136"/>
    <w:bookmarkEnd w:id="137"/>
    <w:p>
      <w:pPr>
        <w:pStyle w:val="6"/>
        <w:rPr>
          <w:rFonts w:hint="eastAsia" w:ascii="Times New Roman" w:hAnsi="Times New Roman" w:cs="Times New Roman" w:eastAsiaTheme="minorEastAsia"/>
          <w:color w:val="auto"/>
          <w:lang w:eastAsia="zh-CN"/>
        </w:rPr>
      </w:pPr>
      <w:bookmarkStart w:id="138" w:name="_Toc24326"/>
      <w:bookmarkStart w:id="139" w:name="_Toc14457"/>
      <w:bookmarkStart w:id="140" w:name="_Toc4360"/>
      <w:bookmarkStart w:id="141" w:name="_Toc16442"/>
      <w:bookmarkStart w:id="142" w:name="_Toc23131"/>
      <w:r>
        <w:rPr>
          <w:rFonts w:hint="default" w:ascii="Times New Roman" w:hAnsi="Times New Roman" w:cs="Times New Roman" w:eastAsiaTheme="minorEastAsia"/>
          <w:color w:val="auto"/>
        </w:rPr>
        <w:t>3.6.</w:t>
      </w:r>
      <w:r>
        <w:rPr>
          <w:rFonts w:hint="eastAsia" w:cs="Times New Roman" w:eastAsiaTheme="minorEastAsia"/>
          <w:color w:val="auto"/>
          <w:lang w:val="en-US" w:eastAsia="zh-CN"/>
        </w:rPr>
        <w:t xml:space="preserve">7 </w:t>
      </w:r>
      <w:r>
        <w:rPr>
          <w:rFonts w:hint="eastAsia" w:ascii="Times New Roman" w:hAnsi="Times New Roman" w:cs="Times New Roman" w:eastAsiaTheme="minorEastAsia"/>
          <w:color w:val="auto"/>
          <w:lang w:eastAsia="zh-CN"/>
        </w:rPr>
        <w:t>初期雨水</w:t>
      </w:r>
      <w:r>
        <w:rPr>
          <w:rFonts w:hint="default" w:ascii="Times New Roman" w:hAnsi="Times New Roman" w:cs="Times New Roman" w:eastAsiaTheme="minorEastAsia"/>
          <w:color w:val="auto"/>
        </w:rPr>
        <w:t>事故</w:t>
      </w:r>
      <w:r>
        <w:rPr>
          <w:rFonts w:hint="default" w:ascii="Times New Roman" w:hAnsi="Times New Roman" w:cs="Times New Roman" w:eastAsiaTheme="minorEastAsia"/>
          <w:color w:val="auto"/>
          <w:lang w:eastAsia="zh-CN"/>
        </w:rPr>
        <w:t>排放</w:t>
      </w:r>
      <w:r>
        <w:rPr>
          <w:rFonts w:hint="eastAsia" w:ascii="Times New Roman" w:hAnsi="Times New Roman" w:cs="Times New Roman" w:eastAsiaTheme="minorEastAsia"/>
          <w:color w:val="auto"/>
          <w:lang w:eastAsia="zh-CN"/>
        </w:rPr>
        <w:t>现有</w:t>
      </w:r>
      <w:r>
        <w:rPr>
          <w:rFonts w:hint="default" w:ascii="Times New Roman" w:hAnsi="Times New Roman" w:cs="Times New Roman" w:eastAsiaTheme="minorEastAsia"/>
          <w:color w:val="auto"/>
          <w:lang w:eastAsia="zh-CN"/>
        </w:rPr>
        <w:t>风险</w:t>
      </w:r>
      <w:r>
        <w:rPr>
          <w:rFonts w:hint="eastAsia" w:ascii="Times New Roman" w:hAnsi="Times New Roman" w:cs="Times New Roman" w:eastAsiaTheme="minorEastAsia"/>
          <w:color w:val="auto"/>
          <w:lang w:eastAsia="zh-CN"/>
        </w:rPr>
        <w:t>防控及应急情况</w:t>
      </w:r>
      <w:bookmarkEnd w:id="138"/>
    </w:p>
    <w:p>
      <w:pPr>
        <w:pStyle w:val="7"/>
        <w:bidi w:val="0"/>
        <w:rPr>
          <w:rFonts w:hint="default"/>
          <w:color w:val="auto"/>
          <w:lang w:val="en-US" w:eastAsia="zh-CN"/>
        </w:rPr>
      </w:pPr>
      <w:r>
        <w:rPr>
          <w:rFonts w:hint="eastAsia"/>
          <w:color w:val="auto"/>
          <w:lang w:val="en-US" w:eastAsia="zh-CN"/>
        </w:rPr>
        <w:t>3.6.7.1现有防控措施</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8"/>
        </w:rPr>
      </w:pPr>
      <w:r>
        <w:rPr>
          <w:rFonts w:hint="default" w:ascii="Times New Roman" w:hAnsi="Times New Roman" w:cs="Times New Roman" w:eastAsiaTheme="minorEastAsia"/>
          <w:color w:val="auto"/>
          <w:sz w:val="24"/>
          <w:szCs w:val="28"/>
        </w:rPr>
        <w:t>当</w:t>
      </w:r>
      <w:r>
        <w:rPr>
          <w:rFonts w:hint="eastAsia" w:ascii="Times New Roman" w:hAnsi="Times New Roman" w:cs="Times New Roman" w:eastAsiaTheme="minorEastAsia"/>
          <w:color w:val="auto"/>
          <w:sz w:val="24"/>
          <w:szCs w:val="28"/>
          <w:lang w:eastAsia="zh-CN"/>
        </w:rPr>
        <w:t>发生下雨情况时，公司设置了雨污分流系统，</w:t>
      </w:r>
      <w:r>
        <w:rPr>
          <w:rFonts w:hint="eastAsia" w:cs="Times New Roman" w:eastAsiaTheme="minorEastAsia"/>
          <w:color w:val="auto"/>
          <w:sz w:val="24"/>
          <w:szCs w:val="28"/>
          <w:lang w:eastAsia="zh-CN"/>
        </w:rPr>
        <w:t>公司</w:t>
      </w:r>
      <w:r>
        <w:rPr>
          <w:rFonts w:hint="default" w:ascii="Times New Roman" w:hAnsi="Times New Roman" w:cs="Times New Roman" w:eastAsiaTheme="minorEastAsia"/>
          <w:color w:val="auto"/>
          <w:sz w:val="24"/>
          <w:szCs w:val="28"/>
        </w:rPr>
        <w:t>设置</w:t>
      </w:r>
      <w:r>
        <w:rPr>
          <w:rFonts w:hint="eastAsia" w:cs="Times New Roman" w:eastAsiaTheme="minorEastAsia"/>
          <w:color w:val="auto"/>
          <w:sz w:val="24"/>
          <w:szCs w:val="28"/>
          <w:lang w:eastAsia="zh-CN"/>
        </w:rPr>
        <w:t>了</w:t>
      </w:r>
      <w:r>
        <w:rPr>
          <w:rFonts w:hint="default" w:ascii="Times New Roman" w:hAnsi="Times New Roman" w:cs="Times New Roman" w:eastAsiaTheme="minorEastAsia"/>
          <w:color w:val="auto"/>
          <w:sz w:val="24"/>
          <w:szCs w:val="28"/>
        </w:rPr>
        <w:t>一个</w:t>
      </w:r>
      <w:r>
        <w:rPr>
          <w:rFonts w:hint="eastAsia" w:ascii="Times New Roman" w:hAnsi="Times New Roman" w:cs="Times New Roman" w:eastAsiaTheme="minorEastAsia"/>
          <w:color w:val="auto"/>
          <w:sz w:val="24"/>
          <w:szCs w:val="28"/>
          <w:lang w:eastAsia="zh-CN"/>
        </w:rPr>
        <w:t>初期雨水</w:t>
      </w:r>
      <w:r>
        <w:rPr>
          <w:rFonts w:hint="default" w:ascii="Times New Roman" w:hAnsi="Times New Roman" w:cs="Times New Roman" w:eastAsiaTheme="minorEastAsia"/>
          <w:color w:val="auto"/>
          <w:sz w:val="24"/>
          <w:szCs w:val="28"/>
        </w:rPr>
        <w:t>池及配套的管网布设，满足</w:t>
      </w:r>
      <w:r>
        <w:rPr>
          <w:rFonts w:hint="eastAsia" w:ascii="Times New Roman" w:hAnsi="Times New Roman" w:cs="Times New Roman" w:eastAsiaTheme="minorEastAsia"/>
          <w:color w:val="auto"/>
          <w:sz w:val="24"/>
          <w:szCs w:val="28"/>
          <w:lang w:eastAsia="zh-CN"/>
        </w:rPr>
        <w:t>初期雨水</w:t>
      </w:r>
      <w:r>
        <w:rPr>
          <w:rFonts w:hint="default" w:ascii="Times New Roman" w:hAnsi="Times New Roman" w:cs="Times New Roman" w:eastAsiaTheme="minorEastAsia"/>
          <w:color w:val="auto"/>
          <w:sz w:val="24"/>
          <w:szCs w:val="28"/>
        </w:rPr>
        <w:t>的接纳</w:t>
      </w:r>
      <w:r>
        <w:rPr>
          <w:rFonts w:hint="default" w:ascii="Times New Roman" w:hAnsi="Times New Roman" w:cs="Times New Roman" w:eastAsiaTheme="minorEastAsia"/>
          <w:color w:val="auto"/>
          <w:sz w:val="24"/>
          <w:szCs w:val="28"/>
          <w:lang w:eastAsia="zh-CN"/>
        </w:rPr>
        <w:t>，公司设有</w:t>
      </w:r>
      <w:r>
        <w:rPr>
          <w:rFonts w:hint="eastAsia" w:cs="Times New Roman" w:eastAsiaTheme="minorEastAsia"/>
          <w:color w:val="auto"/>
          <w:sz w:val="24"/>
          <w:szCs w:val="28"/>
          <w:lang w:eastAsia="zh-CN"/>
        </w:rPr>
        <w:t>消防水池，兼做</w:t>
      </w:r>
      <w:r>
        <w:rPr>
          <w:rFonts w:hint="eastAsia" w:ascii="Times New Roman" w:hAnsi="Times New Roman" w:cs="Times New Roman" w:eastAsiaTheme="minorEastAsia"/>
          <w:color w:val="auto"/>
          <w:sz w:val="24"/>
          <w:szCs w:val="28"/>
          <w:lang w:eastAsia="zh-CN"/>
        </w:rPr>
        <w:t>初期雨水</w:t>
      </w:r>
      <w:r>
        <w:rPr>
          <w:rFonts w:hint="default" w:ascii="Times New Roman" w:hAnsi="Times New Roman" w:cs="Times New Roman" w:eastAsiaTheme="minorEastAsia"/>
          <w:color w:val="auto"/>
          <w:sz w:val="24"/>
          <w:szCs w:val="28"/>
          <w:lang w:eastAsia="zh-CN"/>
        </w:rPr>
        <w:t>池，有效容积</w:t>
      </w:r>
      <w:r>
        <w:rPr>
          <w:rFonts w:hint="default" w:ascii="Times New Roman" w:hAnsi="Times New Roman" w:cs="Times New Roman"/>
          <w:color w:val="auto"/>
          <w:sz w:val="24"/>
          <w:szCs w:val="22"/>
          <w:lang w:eastAsia="zh-CN"/>
        </w:rPr>
        <w:t>为</w:t>
      </w:r>
      <w:r>
        <w:rPr>
          <w:rFonts w:hint="eastAsia" w:cs="Times New Roman"/>
          <w:color w:val="auto"/>
          <w:sz w:val="24"/>
          <w:szCs w:val="22"/>
          <w:lang w:val="en-US" w:eastAsia="zh-CN"/>
        </w:rPr>
        <w:t>600</w:t>
      </w:r>
      <w:r>
        <w:rPr>
          <w:rFonts w:hint="default" w:ascii="Times New Roman" w:hAnsi="Times New Roman" w:cs="Times New Roman"/>
          <w:color w:val="auto"/>
          <w:sz w:val="24"/>
          <w:szCs w:val="22"/>
        </w:rPr>
        <w:t>m</w:t>
      </w:r>
      <w:r>
        <w:rPr>
          <w:rFonts w:hint="default" w:ascii="Times New Roman" w:hAnsi="Times New Roman" w:cs="Times New Roman"/>
          <w:color w:val="auto"/>
          <w:sz w:val="24"/>
          <w:szCs w:val="22"/>
          <w:vertAlign w:val="superscript"/>
        </w:rPr>
        <w:t>3</w:t>
      </w:r>
      <w:r>
        <w:rPr>
          <w:rFonts w:hint="default" w:ascii="Times New Roman" w:hAnsi="Times New Roman" w:cs="Times New Roman" w:eastAsiaTheme="minorEastAsia"/>
          <w:color w:val="auto"/>
          <w:sz w:val="24"/>
          <w:szCs w:val="28"/>
        </w:rPr>
        <w:t>。</w:t>
      </w:r>
    </w:p>
    <w:p>
      <w:pPr>
        <w:pStyle w:val="7"/>
        <w:rPr>
          <w:rFonts w:hint="eastAsia"/>
          <w:color w:val="auto"/>
          <w:lang w:val="en-US" w:eastAsia="zh-CN"/>
        </w:rPr>
      </w:pPr>
      <w:r>
        <w:rPr>
          <w:rFonts w:hint="eastAsia"/>
          <w:color w:val="auto"/>
          <w:lang w:val="en-US" w:eastAsia="zh-CN"/>
        </w:rPr>
        <w:t>3.6.7.2 现有应急情况</w:t>
      </w:r>
    </w:p>
    <w:p>
      <w:pPr>
        <w:pStyle w:val="48"/>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lang w:val="en-US" w:eastAsia="zh-CN"/>
        </w:rPr>
      </w:pPr>
      <w:r>
        <w:rPr>
          <w:rFonts w:hint="eastAsia" w:cs="Times New Roman" w:eastAsiaTheme="minorEastAsia"/>
          <w:color w:val="auto"/>
          <w:sz w:val="24"/>
          <w:szCs w:val="24"/>
          <w:lang w:eastAsia="zh-CN"/>
        </w:rPr>
        <w:t>当</w:t>
      </w:r>
      <w:r>
        <w:rPr>
          <w:rFonts w:hint="eastAsia" w:ascii="Times New Roman" w:hAnsi="Times New Roman" w:cs="Times New Roman" w:eastAsiaTheme="minorEastAsia"/>
          <w:color w:val="auto"/>
          <w:sz w:val="24"/>
          <w:szCs w:val="24"/>
          <w:lang w:eastAsia="zh-CN"/>
        </w:rPr>
        <w:t>初期雨水</w:t>
      </w:r>
      <w:r>
        <w:rPr>
          <w:rFonts w:hint="eastAsia" w:cs="Times New Roman" w:eastAsiaTheme="minorEastAsia"/>
          <w:color w:val="auto"/>
          <w:sz w:val="24"/>
          <w:szCs w:val="24"/>
          <w:lang w:eastAsia="zh-CN"/>
        </w:rPr>
        <w:t>泄漏</w:t>
      </w:r>
      <w:r>
        <w:rPr>
          <w:rFonts w:hint="default" w:ascii="Times New Roman" w:hAnsi="Times New Roman" w:cs="Times New Roman" w:eastAsiaTheme="minorEastAsia"/>
          <w:color w:val="auto"/>
          <w:sz w:val="24"/>
          <w:szCs w:val="24"/>
        </w:rPr>
        <w:t>导致雨水排放口水质超标时，首先将</w:t>
      </w:r>
      <w:r>
        <w:rPr>
          <w:rFonts w:hint="eastAsia" w:ascii="Times New Roman" w:hAnsi="Times New Roman" w:cs="Times New Roman" w:eastAsiaTheme="minorEastAsia"/>
          <w:color w:val="auto"/>
          <w:sz w:val="24"/>
          <w:szCs w:val="24"/>
          <w:lang w:eastAsia="zh-CN"/>
        </w:rPr>
        <w:t>初期雨水</w:t>
      </w:r>
      <w:r>
        <w:rPr>
          <w:rFonts w:hint="eastAsia" w:cs="Times New Roman" w:eastAsiaTheme="minorEastAsia"/>
          <w:color w:val="auto"/>
          <w:sz w:val="24"/>
          <w:szCs w:val="24"/>
          <w:lang w:eastAsia="zh-CN"/>
        </w:rPr>
        <w:t>截留引至</w:t>
      </w:r>
      <w:r>
        <w:rPr>
          <w:rFonts w:hint="eastAsia" w:ascii="Times New Roman" w:hAnsi="Times New Roman" w:cs="Times New Roman" w:eastAsiaTheme="minorEastAsia"/>
          <w:color w:val="auto"/>
          <w:sz w:val="24"/>
          <w:szCs w:val="24"/>
          <w:lang w:eastAsia="zh-CN"/>
        </w:rPr>
        <w:t>初期雨水</w:t>
      </w:r>
      <w:r>
        <w:rPr>
          <w:rFonts w:hint="default" w:ascii="Times New Roman" w:hAnsi="Times New Roman" w:cs="Times New Roman" w:eastAsiaTheme="minorEastAsia"/>
          <w:color w:val="auto"/>
          <w:sz w:val="24"/>
          <w:szCs w:val="24"/>
          <w:lang w:eastAsia="zh-CN"/>
        </w:rPr>
        <w:t>池</w:t>
      </w:r>
      <w:r>
        <w:rPr>
          <w:rFonts w:hint="eastAsia" w:cs="Times New Roman" w:eastAsiaTheme="minorEastAsia"/>
          <w:color w:val="auto"/>
          <w:sz w:val="24"/>
          <w:szCs w:val="24"/>
          <w:lang w:eastAsia="zh-CN"/>
        </w:rPr>
        <w:t>；然后</w:t>
      </w:r>
      <w:r>
        <w:rPr>
          <w:rFonts w:hint="default" w:ascii="Times New Roman" w:hAnsi="Times New Roman" w:cs="Times New Roman" w:eastAsiaTheme="minorEastAsia"/>
          <w:color w:val="auto"/>
          <w:sz w:val="24"/>
          <w:szCs w:val="24"/>
        </w:rPr>
        <w:t>排查污水是否通过厂区内裸露地块</w:t>
      </w:r>
      <w:r>
        <w:rPr>
          <w:rFonts w:hint="eastAsia"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地面裂隙、破损管道污染土壤和地下水；</w:t>
      </w:r>
      <w:r>
        <w:rPr>
          <w:rFonts w:hint="eastAsia" w:ascii="Times New Roman" w:hAnsi="Times New Roman" w:cs="Times New Roman" w:eastAsiaTheme="minorEastAsia"/>
          <w:color w:val="auto"/>
          <w:sz w:val="24"/>
          <w:szCs w:val="24"/>
          <w:lang w:eastAsia="zh-CN"/>
        </w:rPr>
        <w:t>若土壤及地下水存在污染，则</w:t>
      </w:r>
      <w:r>
        <w:rPr>
          <w:rFonts w:hint="default" w:ascii="Times New Roman" w:hAnsi="Times New Roman" w:cs="Times New Roman" w:eastAsiaTheme="minorEastAsia"/>
          <w:color w:val="auto"/>
          <w:sz w:val="24"/>
          <w:szCs w:val="24"/>
        </w:rPr>
        <w:t>对污染的土壤和地下水进行应急处置。</w:t>
      </w:r>
    </w:p>
    <w:p>
      <w:pPr>
        <w:pStyle w:val="6"/>
        <w:pageBreakBefore w:val="0"/>
        <w:widowControl w:val="0"/>
        <w:kinsoku/>
        <w:wordWrap/>
        <w:overflowPunct/>
        <w:topLinePunct w:val="0"/>
        <w:autoSpaceDE w:val="0"/>
        <w:autoSpaceDN w:val="0"/>
        <w:bidi w:val="0"/>
        <w:adjustRightInd/>
        <w:snapToGrid/>
        <w:spacing w:line="360" w:lineRule="auto"/>
        <w:textAlignment w:val="auto"/>
        <w:rPr>
          <w:rFonts w:hint="eastAsia"/>
          <w:lang w:val="en-US" w:eastAsia="zh-CN"/>
        </w:rPr>
      </w:pPr>
      <w:bookmarkStart w:id="143" w:name="_Toc17285"/>
      <w:r>
        <w:rPr>
          <w:rFonts w:hint="eastAsia"/>
          <w:lang w:val="en-US" w:eastAsia="zh-CN"/>
        </w:rPr>
        <w:t>3.6.8地下水、土壤污染现有防控措施</w:t>
      </w:r>
      <w:bookmarkEnd w:id="143"/>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厂区地面</w:t>
      </w:r>
      <w:r>
        <w:rPr>
          <w:rFonts w:hint="eastAsia" w:cs="Times New Roman" w:eastAsiaTheme="minorEastAsia"/>
          <w:color w:val="auto"/>
          <w:sz w:val="24"/>
          <w:szCs w:val="24"/>
          <w:lang w:eastAsia="zh-CN"/>
        </w:rPr>
        <w:t>硬化处理，事故应急池、污水处理站、桶罐区</w:t>
      </w:r>
      <w:r>
        <w:rPr>
          <w:rFonts w:hint="default" w:ascii="Times New Roman" w:hAnsi="Times New Roman" w:cs="Times New Roman" w:eastAsiaTheme="minorEastAsia"/>
          <w:color w:val="auto"/>
          <w:sz w:val="24"/>
          <w:szCs w:val="24"/>
        </w:rPr>
        <w:t>及危废暂存间防渗漏、防外溢、防腐蚀、防淋溶等堵漏措施，</w:t>
      </w:r>
      <w:r>
        <w:rPr>
          <w:rFonts w:hint="eastAsia" w:cs="Times New Roman" w:eastAsiaTheme="minorEastAsia"/>
          <w:color w:val="auto"/>
          <w:sz w:val="24"/>
          <w:szCs w:val="24"/>
          <w:lang w:eastAsia="zh-CN"/>
        </w:rPr>
        <w:t>罐区、危废间设围堰、事故池，并在围堰做好防渗、防腐蚀等措施，</w:t>
      </w:r>
      <w:r>
        <w:rPr>
          <w:rFonts w:hint="default" w:ascii="Times New Roman" w:hAnsi="Times New Roman" w:cs="Times New Roman" w:eastAsiaTheme="minorEastAsia"/>
          <w:color w:val="auto"/>
          <w:sz w:val="24"/>
          <w:szCs w:val="24"/>
        </w:rPr>
        <w:t>防止事故</w:t>
      </w:r>
      <w:r>
        <w:rPr>
          <w:rFonts w:hint="eastAsia" w:cs="Times New Roman" w:eastAsiaTheme="minorEastAsia"/>
          <w:color w:val="auto"/>
          <w:sz w:val="24"/>
          <w:szCs w:val="24"/>
          <w:lang w:eastAsia="zh-CN"/>
        </w:rPr>
        <w:t>泄漏物</w:t>
      </w:r>
      <w:r>
        <w:rPr>
          <w:rFonts w:hint="default" w:ascii="Times New Roman" w:hAnsi="Times New Roman" w:cs="Times New Roman" w:eastAsiaTheme="minorEastAsia"/>
          <w:color w:val="auto"/>
          <w:sz w:val="24"/>
          <w:szCs w:val="24"/>
        </w:rPr>
        <w:t>渗透到土壤，造成土壤、</w:t>
      </w:r>
      <w:r>
        <w:rPr>
          <w:rFonts w:hint="default" w:ascii="Times New Roman" w:hAnsi="Times New Roman" w:cs="Times New Roman" w:eastAsiaTheme="minorEastAsia"/>
          <w:color w:val="auto"/>
          <w:sz w:val="24"/>
          <w:szCs w:val="24"/>
          <w:lang w:eastAsia="zh-CN"/>
        </w:rPr>
        <w:t>地下</w:t>
      </w:r>
      <w:r>
        <w:rPr>
          <w:rFonts w:hint="default" w:ascii="Times New Roman" w:hAnsi="Times New Roman" w:cs="Times New Roman" w:eastAsiaTheme="minorEastAsia"/>
          <w:color w:val="auto"/>
          <w:sz w:val="24"/>
          <w:szCs w:val="24"/>
        </w:rPr>
        <w:t>水环境等污染</w:t>
      </w:r>
      <w:r>
        <w:rPr>
          <w:rFonts w:hint="eastAsia"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公司在厂址所在地、厂外设置地下水监测井，定期检测地下水质，掌握地下水水质变化趋势。</w:t>
      </w:r>
    </w:p>
    <w:p>
      <w:pPr>
        <w:pStyle w:val="48"/>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根据本项目特点，将厂区不同区域划分为重点污染防治区、一般污染防治区和简单污染防治区。</w:t>
      </w:r>
    </w:p>
    <w:p>
      <w:pPr>
        <w:pStyle w:val="97"/>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color w:val="auto"/>
          <w:sz w:val="24"/>
          <w:szCs w:val="24"/>
        </w:rPr>
        <w:t>重点污染防治区：</w:t>
      </w:r>
      <w:r>
        <w:rPr>
          <w:rFonts w:hint="eastAsia" w:ascii="Times New Roman" w:hAnsi="Times New Roman"/>
          <w:color w:val="auto"/>
          <w:sz w:val="24"/>
          <w:szCs w:val="24"/>
        </w:rPr>
        <w:t>生产车间、危废暂存库、</w:t>
      </w:r>
      <w:r>
        <w:rPr>
          <w:rFonts w:hint="eastAsia"/>
          <w:color w:val="auto"/>
          <w:sz w:val="24"/>
          <w:szCs w:val="24"/>
          <w:lang w:eastAsia="zh-CN"/>
        </w:rPr>
        <w:t>桶罐</w:t>
      </w:r>
      <w:r>
        <w:rPr>
          <w:rFonts w:hint="eastAsia" w:ascii="Times New Roman" w:hAnsi="Times New Roman"/>
          <w:color w:val="auto"/>
          <w:sz w:val="24"/>
          <w:szCs w:val="24"/>
        </w:rPr>
        <w:t>区、事故应急池、污水处理池</w:t>
      </w:r>
      <w:r>
        <w:rPr>
          <w:rFonts w:hint="default" w:ascii="Times New Roman" w:hAnsi="Times New Roman" w:cs="Times New Roman" w:eastAsiaTheme="minorEastAsia"/>
          <w:color w:val="auto"/>
          <w:sz w:val="24"/>
          <w:szCs w:val="24"/>
        </w:rPr>
        <w:t>。</w:t>
      </w:r>
    </w:p>
    <w:p>
      <w:pPr>
        <w:pStyle w:val="97"/>
        <w:keepNext w:val="0"/>
        <w:keepLines w:val="0"/>
        <w:pageBreakBefore w:val="0"/>
        <w:widowControl w:val="0"/>
        <w:kinsoku/>
        <w:wordWrap/>
        <w:overflowPunct/>
        <w:topLinePunct w:val="0"/>
        <w:autoSpaceDE w:val="0"/>
        <w:autoSpaceDN w:val="0"/>
        <w:bidi w:val="0"/>
        <w:adjustRightInd/>
        <w:snapToGrid/>
        <w:spacing w:line="360" w:lineRule="auto"/>
        <w:ind w:firstLine="482"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b/>
          <w:color w:val="auto"/>
          <w:sz w:val="24"/>
          <w:szCs w:val="24"/>
        </w:rPr>
        <w:t>一般防渗区：</w:t>
      </w:r>
      <w:r>
        <w:rPr>
          <w:rFonts w:hint="eastAsia" w:ascii="Times New Roman" w:hAnsi="Times New Roman"/>
          <w:color w:val="auto"/>
          <w:sz w:val="24"/>
          <w:szCs w:val="24"/>
        </w:rPr>
        <w:t>主要为综合仓库、成品仓库（含一般固废暂存场）、冷冻站、锅炉房、循环消防水池</w:t>
      </w:r>
      <w:r>
        <w:rPr>
          <w:rFonts w:hint="default" w:ascii="Times New Roman" w:hAnsi="Times New Roman" w:cs="Times New Roman" w:eastAsiaTheme="minorEastAsia"/>
          <w:color w:val="auto"/>
          <w:sz w:val="24"/>
          <w:szCs w:val="24"/>
        </w:rPr>
        <w:t>等。</w:t>
      </w:r>
    </w:p>
    <w:p>
      <w:pPr>
        <w:pStyle w:val="97"/>
        <w:snapToGrid/>
        <w:ind w:firstLine="482"/>
        <w:jc w:val="center"/>
        <w:rPr>
          <w:rFonts w:hint="default" w:ascii="Times New Roman" w:hAnsi="Times New Roman" w:cs="Times New Roman" w:eastAsiaTheme="minorEastAsia"/>
          <w:b/>
          <w:color w:val="auto"/>
        </w:rPr>
      </w:pPr>
      <w:r>
        <w:rPr>
          <w:rFonts w:hint="default" w:ascii="Times New Roman" w:hAnsi="Times New Roman" w:cs="Times New Roman" w:eastAsiaTheme="minorEastAsia"/>
          <w:b/>
          <w:color w:val="auto"/>
        </w:rPr>
        <w:t>表</w:t>
      </w:r>
      <w:r>
        <w:rPr>
          <w:rFonts w:hint="default" w:ascii="Times New Roman" w:hAnsi="Times New Roman" w:cs="Times New Roman" w:eastAsiaTheme="minorEastAsia"/>
          <w:b/>
          <w:color w:val="auto"/>
          <w:lang w:val="en-US" w:eastAsia="zh-CN"/>
        </w:rPr>
        <w:t>3.6</w:t>
      </w:r>
      <w:r>
        <w:rPr>
          <w:rFonts w:hint="default" w:ascii="Times New Roman" w:hAnsi="Times New Roman" w:cs="Times New Roman" w:eastAsiaTheme="minorEastAsia"/>
          <w:b/>
          <w:color w:val="auto"/>
        </w:rPr>
        <w:t>-1 各单元防腐防渗措施</w:t>
      </w:r>
    </w:p>
    <w:tbl>
      <w:tblPr>
        <w:tblStyle w:val="21"/>
        <w:tblW w:w="9060" w:type="dxa"/>
        <w:jc w:val="center"/>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2264"/>
        <w:gridCol w:w="2316"/>
        <w:gridCol w:w="2214"/>
        <w:gridCol w:w="2266"/>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2264"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b/>
                <w:color w:val="auto"/>
              </w:rPr>
            </w:pPr>
            <w:r>
              <w:rPr>
                <w:rFonts w:hint="default" w:ascii="Times New Roman" w:hAnsi="Times New Roman" w:cs="Times New Roman" w:eastAsiaTheme="minorEastAsia"/>
                <w:b/>
                <w:color w:val="auto"/>
              </w:rPr>
              <w:t>防渗级别</w:t>
            </w: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b/>
                <w:color w:val="auto"/>
              </w:rPr>
            </w:pPr>
            <w:r>
              <w:rPr>
                <w:rFonts w:hint="default" w:ascii="Times New Roman" w:hAnsi="Times New Roman" w:cs="Times New Roman" w:eastAsiaTheme="minorEastAsia"/>
                <w:b/>
                <w:color w:val="auto"/>
              </w:rPr>
              <w:t>区域</w:t>
            </w:r>
          </w:p>
        </w:tc>
        <w:tc>
          <w:tcPr>
            <w:tcW w:w="2214"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b/>
                <w:color w:val="auto"/>
              </w:rPr>
            </w:pPr>
            <w:r>
              <w:rPr>
                <w:rFonts w:hint="default" w:ascii="Times New Roman" w:hAnsi="Times New Roman" w:cs="Times New Roman" w:eastAsiaTheme="minorEastAsia"/>
                <w:b/>
                <w:color w:val="auto"/>
              </w:rPr>
              <w:t>可达到的防渗系数</w:t>
            </w:r>
          </w:p>
        </w:tc>
        <w:tc>
          <w:tcPr>
            <w:tcW w:w="226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b/>
                <w:color w:val="auto"/>
              </w:rPr>
            </w:pPr>
            <w:r>
              <w:rPr>
                <w:rFonts w:hint="default" w:ascii="Times New Roman" w:hAnsi="Times New Roman" w:cs="Times New Roman" w:eastAsiaTheme="minorEastAsia"/>
                <w:b/>
                <w:color w:val="auto"/>
              </w:rPr>
              <w:t>防腐防渗措施</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2264"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重点防渗区</w:t>
            </w: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eastAsia" w:ascii="Times New Roman" w:hAnsi="Times New Roman"/>
                <w:color w:val="auto"/>
              </w:rPr>
              <w:t>生产车间</w:t>
            </w:r>
          </w:p>
        </w:tc>
        <w:tc>
          <w:tcPr>
            <w:tcW w:w="2214"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渗透系数1.0×10</w:t>
            </w:r>
            <w:r>
              <w:rPr>
                <w:rFonts w:hint="default" w:ascii="Times New Roman" w:hAnsi="Times New Roman" w:cs="Times New Roman" w:eastAsiaTheme="minorEastAsia"/>
                <w:color w:val="auto"/>
                <w:vertAlign w:val="superscript"/>
              </w:rPr>
              <w:t>-10</w:t>
            </w:r>
            <w:r>
              <w:rPr>
                <w:rFonts w:hint="default" w:ascii="Times New Roman" w:hAnsi="Times New Roman" w:cs="Times New Roman" w:eastAsiaTheme="minorEastAsia"/>
                <w:color w:val="auto"/>
              </w:rPr>
              <w:t>cm/s</w:t>
            </w:r>
          </w:p>
        </w:tc>
        <w:tc>
          <w:tcPr>
            <w:tcW w:w="2266"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环氧树脂涂层+玻璃钢+水泥硬化，防渗漏、</w:t>
            </w:r>
            <w:r>
              <w:rPr>
                <w:rFonts w:hint="eastAsia" w:cs="Times New Roman" w:eastAsiaTheme="minorEastAsia"/>
                <w:color w:val="auto"/>
                <w:lang w:eastAsia="zh-CN"/>
              </w:rPr>
              <w:t>防酸碱、</w:t>
            </w:r>
            <w:r>
              <w:rPr>
                <w:rFonts w:hint="default" w:ascii="Times New Roman" w:hAnsi="Times New Roman" w:cs="Times New Roman" w:eastAsiaTheme="minorEastAsia"/>
                <w:color w:val="auto"/>
              </w:rPr>
              <w:t>防风、防雨</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25" w:hRule="atLeast"/>
          <w:jc w:val="center"/>
        </w:trPr>
        <w:tc>
          <w:tcPr>
            <w:tcW w:w="226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lang w:eastAsia="zh-CN"/>
              </w:rPr>
            </w:pPr>
            <w:r>
              <w:rPr>
                <w:rFonts w:hint="eastAsia" w:ascii="Times New Roman" w:hAnsi="Times New Roman"/>
                <w:color w:val="auto"/>
              </w:rPr>
              <w:t>危废暂存库</w:t>
            </w:r>
          </w:p>
        </w:tc>
        <w:tc>
          <w:tcPr>
            <w:tcW w:w="221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266"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226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sz w:val="24"/>
                <w:szCs w:val="24"/>
                <w:lang w:eastAsia="zh-CN"/>
              </w:rPr>
            </w:pPr>
            <w:r>
              <w:rPr>
                <w:rFonts w:hint="eastAsia"/>
                <w:color w:val="auto"/>
                <w:lang w:eastAsia="zh-CN"/>
              </w:rPr>
              <w:t>原料</w:t>
            </w:r>
            <w:r>
              <w:rPr>
                <w:rFonts w:hint="eastAsia" w:ascii="Times New Roman" w:hAnsi="Times New Roman"/>
                <w:color w:val="auto"/>
              </w:rPr>
              <w:t>仓库</w:t>
            </w:r>
          </w:p>
        </w:tc>
        <w:tc>
          <w:tcPr>
            <w:tcW w:w="221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266"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226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color w:val="auto"/>
              </w:rPr>
            </w:pPr>
            <w:r>
              <w:rPr>
                <w:rFonts w:hint="eastAsia" w:ascii="Times New Roman" w:hAnsi="Times New Roman"/>
                <w:color w:val="auto"/>
              </w:rPr>
              <w:t>事故应急池</w:t>
            </w:r>
          </w:p>
        </w:tc>
        <w:tc>
          <w:tcPr>
            <w:tcW w:w="221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266"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52" w:hRule="atLeast"/>
          <w:jc w:val="center"/>
        </w:trPr>
        <w:tc>
          <w:tcPr>
            <w:tcW w:w="226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eastAsia" w:ascii="Times New Roman" w:hAnsi="Times New Roman"/>
                <w:color w:val="auto"/>
              </w:rPr>
              <w:t>污水处理池</w:t>
            </w:r>
          </w:p>
        </w:tc>
        <w:tc>
          <w:tcPr>
            <w:tcW w:w="221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266"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264"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一般防渗区</w:t>
            </w: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cs="Times New Roman" w:eastAsiaTheme="minorEastAsia"/>
                <w:color w:val="auto"/>
                <w:lang w:eastAsia="zh-CN"/>
              </w:rPr>
            </w:pPr>
            <w:r>
              <w:rPr>
                <w:rFonts w:hint="eastAsia" w:eastAsiaTheme="minorEastAsia"/>
                <w:color w:val="auto"/>
                <w:lang w:eastAsia="zh-CN"/>
              </w:rPr>
              <w:t>办公楼</w:t>
            </w:r>
          </w:p>
        </w:tc>
        <w:tc>
          <w:tcPr>
            <w:tcW w:w="2214"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渗透系数1.0×10</w:t>
            </w:r>
            <w:r>
              <w:rPr>
                <w:rFonts w:hint="default" w:ascii="Times New Roman" w:hAnsi="Times New Roman" w:cs="Times New Roman" w:eastAsiaTheme="minorEastAsia"/>
                <w:color w:val="auto"/>
                <w:vertAlign w:val="superscript"/>
              </w:rPr>
              <w:t>-7</w:t>
            </w:r>
            <w:r>
              <w:rPr>
                <w:rFonts w:hint="default" w:ascii="Times New Roman" w:hAnsi="Times New Roman" w:cs="Times New Roman" w:eastAsiaTheme="minorEastAsia"/>
                <w:color w:val="auto"/>
              </w:rPr>
              <w:t>cm/s</w:t>
            </w:r>
          </w:p>
        </w:tc>
        <w:tc>
          <w:tcPr>
            <w:tcW w:w="2266" w:type="dxa"/>
            <w:vMerge w:val="restart"/>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采取水泥+防渗添加剂处理，防渗漏、防风、防雨</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26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316" w:type="dxa"/>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r>
              <w:rPr>
                <w:rFonts w:hint="eastAsia" w:ascii="Times New Roman" w:hAnsi="Times New Roman"/>
                <w:color w:val="auto"/>
              </w:rPr>
              <w:t>成品仓库（含一般固废暂存场）</w:t>
            </w:r>
          </w:p>
        </w:tc>
        <w:tc>
          <w:tcPr>
            <w:tcW w:w="2214"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c>
          <w:tcPr>
            <w:tcW w:w="2266" w:type="dxa"/>
            <w:vMerge w:val="continue"/>
            <w:vAlign w:val="center"/>
          </w:tcPr>
          <w:p>
            <w:pPr>
              <w:pStyle w:val="97"/>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rPr>
            </w:pPr>
          </w:p>
        </w:tc>
      </w:tr>
    </w:tbl>
    <w:p>
      <w:pPr>
        <w:pStyle w:val="6"/>
        <w:pageBreakBefore w:val="0"/>
        <w:kinsoku/>
        <w:wordWrap/>
        <w:overflowPunct/>
        <w:topLinePunct w:val="0"/>
        <w:autoSpaceDE w:val="0"/>
        <w:autoSpaceDN w:val="0"/>
        <w:bidi w:val="0"/>
        <w:adjustRightInd/>
        <w:snapToGrid/>
        <w:spacing w:line="360" w:lineRule="auto"/>
        <w:ind w:firstLine="602"/>
        <w:textAlignment w:val="auto"/>
        <w:rPr>
          <w:rFonts w:hint="default" w:ascii="Times New Roman" w:hAnsi="Times New Roman" w:cs="Times New Roman" w:eastAsiaTheme="minorEastAsia"/>
          <w:color w:val="auto"/>
        </w:rPr>
      </w:pPr>
      <w:bookmarkStart w:id="144" w:name="_Toc19365"/>
      <w:r>
        <w:rPr>
          <w:rFonts w:hint="default" w:ascii="Times New Roman" w:hAnsi="Times New Roman" w:cs="Times New Roman" w:eastAsiaTheme="minorEastAsia"/>
          <w:color w:val="auto"/>
        </w:rPr>
        <w:t>3.6.</w:t>
      </w:r>
      <w:r>
        <w:rPr>
          <w:rFonts w:hint="eastAsia" w:cs="Times New Roman" w:eastAsiaTheme="minorEastAsia"/>
          <w:color w:val="auto"/>
          <w:lang w:val="en-US" w:eastAsia="zh-CN"/>
        </w:rPr>
        <w:t>9</w:t>
      </w:r>
      <w:r>
        <w:rPr>
          <w:rFonts w:hint="default" w:ascii="Times New Roman" w:hAnsi="Times New Roman" w:cs="Times New Roman" w:eastAsiaTheme="minorEastAsia"/>
          <w:color w:val="auto"/>
        </w:rPr>
        <w:t>环境风险排查隐</w:t>
      </w:r>
      <w:bookmarkStart w:id="145" w:name="_Toc32516_WPSOffice_Level2"/>
      <w:r>
        <w:rPr>
          <w:rFonts w:hint="default" w:ascii="Times New Roman" w:hAnsi="Times New Roman" w:cs="Times New Roman" w:eastAsiaTheme="minorEastAsia"/>
          <w:color w:val="auto"/>
        </w:rPr>
        <w:t>患措施</w:t>
      </w:r>
      <w:bookmarkEnd w:id="139"/>
      <w:bookmarkEnd w:id="140"/>
      <w:bookmarkEnd w:id="141"/>
      <w:bookmarkEnd w:id="142"/>
      <w:bookmarkEnd w:id="144"/>
    </w:p>
    <w:p>
      <w:pPr>
        <w:keepNext w:val="0"/>
        <w:keepLines w:val="0"/>
        <w:pageBreakBefore w:val="0"/>
        <w:widowControl/>
        <w:shd w:val="clear" w:color="auto" w:fill="FFFFFF"/>
        <w:kinsoku/>
        <w:wordWrap/>
        <w:overflowPunct/>
        <w:topLinePunct w:val="0"/>
        <w:autoSpaceDE w:val="0"/>
        <w:autoSpaceDN w:val="0"/>
        <w:bidi w:val="0"/>
        <w:adjustRightInd/>
        <w:snapToGrid/>
        <w:spacing w:line="360" w:lineRule="auto"/>
        <w:ind w:firstLine="561"/>
        <w:textAlignment w:val="auto"/>
        <w:rPr>
          <w:rFonts w:hint="eastAsia" w:ascii="Times New Roman" w:hAnsi="Times New Roman" w:cs="Times New Roman" w:eastAsiaTheme="minorEastAsia"/>
          <w:bCs/>
          <w:color w:val="FF0000"/>
          <w:sz w:val="24"/>
          <w:szCs w:val="24"/>
          <w:lang w:eastAsia="zh-CN"/>
        </w:rPr>
      </w:pPr>
      <w:r>
        <w:rPr>
          <w:rFonts w:hint="default" w:ascii="Times New Roman" w:hAnsi="Times New Roman" w:cs="Times New Roman" w:eastAsiaTheme="minorEastAsia"/>
          <w:bCs/>
          <w:color w:val="FF0000"/>
          <w:sz w:val="24"/>
          <w:szCs w:val="24"/>
        </w:rPr>
        <w:t>（1）建立由</w:t>
      </w:r>
      <w:bookmarkEnd w:id="145"/>
      <w:r>
        <w:rPr>
          <w:rFonts w:hint="default" w:ascii="Times New Roman" w:hAnsi="Times New Roman" w:cs="Times New Roman" w:eastAsiaTheme="minorEastAsia"/>
          <w:bCs/>
          <w:color w:val="FF0000"/>
          <w:sz w:val="24"/>
          <w:szCs w:val="24"/>
        </w:rPr>
        <w:t>主要负责人任组长的环境风险隐患排查</w:t>
      </w:r>
      <w:bookmarkStart w:id="146" w:name="_Toc20986_WPSOffice_Level2"/>
      <w:r>
        <w:rPr>
          <w:rFonts w:hint="default" w:ascii="Times New Roman" w:hAnsi="Times New Roman" w:cs="Times New Roman" w:eastAsiaTheme="minorEastAsia"/>
          <w:bCs/>
          <w:color w:val="FF0000"/>
          <w:sz w:val="24"/>
          <w:szCs w:val="24"/>
        </w:rPr>
        <w:t>治理领导小组，全面</w:t>
      </w:r>
      <w:bookmarkEnd w:id="146"/>
      <w:r>
        <w:rPr>
          <w:rFonts w:hint="default" w:ascii="Times New Roman" w:hAnsi="Times New Roman" w:cs="Times New Roman" w:eastAsiaTheme="minorEastAsia"/>
          <w:bCs/>
          <w:color w:val="FF0000"/>
          <w:sz w:val="24"/>
          <w:szCs w:val="24"/>
        </w:rPr>
        <w:t>负责企业的环境风险隐患排查治理工作</w:t>
      </w:r>
      <w:r>
        <w:rPr>
          <w:rFonts w:hint="eastAsia" w:cs="Times New Roman" w:eastAsiaTheme="minorEastAsia"/>
          <w:bCs/>
          <w:color w:val="FF0000"/>
          <w:sz w:val="24"/>
          <w:szCs w:val="24"/>
          <w:lang w:eastAsia="zh-CN"/>
        </w:rPr>
        <w:t>；并建</w:t>
      </w:r>
      <w:r>
        <w:rPr>
          <w:rFonts w:hint="eastAsia" w:ascii="Times New Roman" w:hAnsi="Times New Roman" w:cs="Times New Roman" w:eastAsiaTheme="minorEastAsia"/>
          <w:bCs/>
          <w:color w:val="FF0000"/>
          <w:sz w:val="24"/>
          <w:szCs w:val="24"/>
          <w:lang w:eastAsia="zh-CN"/>
        </w:rPr>
        <w:t>立</w:t>
      </w:r>
      <w:r>
        <w:rPr>
          <w:rFonts w:hint="eastAsia" w:ascii="Times New Roman" w:hAnsi="Times New Roman" w:cs="Times New Roman" w:eastAsiaTheme="minorEastAsia"/>
          <w:bCs/>
          <w:color w:val="FF0000"/>
          <w:sz w:val="24"/>
          <w:szCs w:val="24"/>
          <w:lang w:val="en-US" w:eastAsia="zh-CN"/>
        </w:rPr>
        <w:t>建立三级联防联控机制。</w:t>
      </w:r>
    </w:p>
    <w:p>
      <w:pPr>
        <w:keepNext w:val="0"/>
        <w:keepLines w:val="0"/>
        <w:pageBreakBefore w:val="0"/>
        <w:widowControl/>
        <w:shd w:val="clear" w:color="auto" w:fill="FFFFFF"/>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（2）实行定期（专项、季节、节假日等隐患检查）或不定期（日常的隐患排查）的隐患排查，及时根据隐患产生的原因，制定隐患整改方案和防范措施。</w:t>
      </w:r>
    </w:p>
    <w:p>
      <w:pPr>
        <w:keepNext w:val="0"/>
        <w:keepLines w:val="0"/>
        <w:pageBreakBefore w:val="0"/>
        <w:widowControl/>
        <w:shd w:val="clear" w:color="auto" w:fill="FFFFFF"/>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3）主要从以下几点进行环境风险排查：1）设备、设施是否处于正常的安全运行状态；2）有毒、有害等危险作业场所的安全状况；3）从业人员在工作中是否严格遵守安全生产规章制度和操作规程，是否正确佩带劳动防护用品；4）现场生产管理或指挥人员有无违章指挥；5）危险源的</w:t>
      </w:r>
      <w:bookmarkStart w:id="147" w:name="_Toc5294_WPSOffice_Level1"/>
      <w:r>
        <w:rPr>
          <w:rFonts w:hint="default" w:ascii="Times New Roman" w:hAnsi="Times New Roman" w:cs="Times New Roman" w:eastAsiaTheme="minorEastAsia"/>
          <w:bCs/>
          <w:color w:val="auto"/>
          <w:sz w:val="24"/>
          <w:szCs w:val="24"/>
        </w:rPr>
        <w:t>检测监控措施是否落实到位等情况。</w:t>
      </w:r>
    </w:p>
    <w:p>
      <w:pPr>
        <w:keepNext w:val="0"/>
        <w:keepLines w:val="0"/>
        <w:pageBreakBefore w:val="0"/>
        <w:widowControl/>
        <w:shd w:val="clear" w:color="auto" w:fill="FFFFFF"/>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（4）对排查出的隐患，及时查找原因，及时整改，</w:t>
      </w:r>
      <w:bookmarkEnd w:id="147"/>
      <w:r>
        <w:rPr>
          <w:rFonts w:hint="default" w:ascii="Times New Roman" w:hAnsi="Times New Roman" w:cs="Times New Roman" w:eastAsiaTheme="minorEastAsia"/>
          <w:bCs/>
          <w:color w:val="auto"/>
          <w:sz w:val="24"/>
          <w:szCs w:val="24"/>
        </w:rPr>
        <w:t>整</w:t>
      </w:r>
      <w:bookmarkStart w:id="148" w:name="_Toc14728_WPSOffice_Level2"/>
      <w:r>
        <w:rPr>
          <w:rFonts w:hint="default" w:ascii="Times New Roman" w:hAnsi="Times New Roman" w:cs="Times New Roman" w:eastAsiaTheme="minorEastAsia"/>
          <w:bCs/>
          <w:color w:val="auto"/>
          <w:sz w:val="24"/>
          <w:szCs w:val="24"/>
        </w:rPr>
        <w:t>责任单位，必须按规</w:t>
      </w:r>
      <w:bookmarkEnd w:id="148"/>
      <w:r>
        <w:rPr>
          <w:rFonts w:hint="default" w:ascii="Times New Roman" w:hAnsi="Times New Roman" w:cs="Times New Roman" w:eastAsiaTheme="minorEastAsia"/>
          <w:bCs/>
          <w:color w:val="auto"/>
          <w:sz w:val="24"/>
          <w:szCs w:val="24"/>
        </w:rPr>
        <w:t>定</w:t>
      </w:r>
      <w:bookmarkStart w:id="149" w:name="_Toc14484_WPSOffice_Level3"/>
      <w:r>
        <w:rPr>
          <w:rFonts w:hint="default" w:ascii="Times New Roman" w:hAnsi="Times New Roman" w:cs="Times New Roman" w:eastAsiaTheme="minorEastAsia"/>
          <w:bCs/>
          <w:color w:val="auto"/>
          <w:sz w:val="24"/>
          <w:szCs w:val="24"/>
        </w:rPr>
        <w:t>的时间进行整改，不得互相推</w:t>
      </w:r>
      <w:bookmarkEnd w:id="149"/>
      <w:r>
        <w:rPr>
          <w:rFonts w:hint="default" w:ascii="Times New Roman" w:hAnsi="Times New Roman" w:cs="Times New Roman" w:eastAsiaTheme="minorEastAsia"/>
          <w:bCs/>
          <w:color w:val="auto"/>
          <w:sz w:val="24"/>
          <w:szCs w:val="24"/>
        </w:rPr>
        <w:t>诿、扯皮，拖期、延期。</w:t>
      </w:r>
    </w:p>
    <w:p>
      <w:pPr>
        <w:keepNext w:val="0"/>
        <w:keepLines w:val="0"/>
        <w:pageBreakBefore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bookmarkStart w:id="150" w:name="_Toc27860"/>
      <w:bookmarkStart w:id="151" w:name="_Toc17606"/>
      <w:bookmarkStart w:id="152" w:name="_Toc24670"/>
      <w:r>
        <w:rPr>
          <w:rFonts w:hint="default" w:ascii="Times New Roman" w:hAnsi="Times New Roman" w:cs="Times New Roman" w:eastAsiaTheme="minorEastAsia"/>
          <w:color w:val="auto"/>
          <w:sz w:val="24"/>
          <w:szCs w:val="24"/>
        </w:rPr>
        <w:t>（5）积极配合上级有关部门开展的隐患排查治理活动，落实隐患整改措施和责任。</w:t>
      </w:r>
      <w:bookmarkEnd w:id="150"/>
      <w:bookmarkEnd w:id="151"/>
      <w:bookmarkEnd w:id="152"/>
    </w:p>
    <w:p>
      <w:pPr>
        <w:keepNext w:val="0"/>
        <w:keepLines w:val="0"/>
        <w:pageBreakBefore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bookmarkStart w:id="153" w:name="_Toc9639"/>
      <w:bookmarkStart w:id="154" w:name="_Toc15583"/>
      <w:bookmarkStart w:id="155" w:name="_Toc29089"/>
      <w:r>
        <w:rPr>
          <w:rFonts w:hint="default" w:ascii="Times New Roman" w:hAnsi="Times New Roman" w:cs="Times New Roman" w:eastAsiaTheme="minorEastAsia"/>
          <w:color w:val="auto"/>
          <w:sz w:val="24"/>
          <w:szCs w:val="22"/>
        </w:rPr>
        <w:t>（6）其他各部门及人员对发现的环境风险隐患，应及时报告，重大隐患可直接上报公司主要领导，以保证尽快解决。</w:t>
      </w:r>
      <w:bookmarkEnd w:id="153"/>
      <w:bookmarkEnd w:id="154"/>
      <w:bookmarkEnd w:id="155"/>
    </w:p>
    <w:p>
      <w:pPr>
        <w:keepNext w:val="0"/>
        <w:keepLines w:val="0"/>
        <w:pageBreakBefore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bookmarkStart w:id="156" w:name="_Toc1596"/>
      <w:bookmarkStart w:id="157" w:name="_Toc17841"/>
      <w:bookmarkStart w:id="158" w:name="_Toc17670"/>
      <w:r>
        <w:rPr>
          <w:rFonts w:hint="default" w:ascii="Times New Roman" w:hAnsi="Times New Roman" w:cs="Times New Roman" w:eastAsiaTheme="minorEastAsia"/>
          <w:color w:val="auto"/>
          <w:sz w:val="24"/>
          <w:szCs w:val="22"/>
        </w:rPr>
        <w:t>（7）职工发现直接危及人身安全的紧急情况时，有权停止作业或者在采取可能的应急措施后撤离作业场所。</w:t>
      </w:r>
      <w:bookmarkEnd w:id="156"/>
      <w:bookmarkEnd w:id="157"/>
      <w:bookmarkEnd w:id="158"/>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（8）对于由于资金或技术问题等暂时不能立即整改的隐患问题，必须采取可靠的防范措施，如实告知现场工作人员存在的危险因素；对于重大安全隐患无法保证安全的，要立即停产整改。</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（9）对需要整改的环境隐患问题，要下达隐患整改通知书、验收意见书等书面资料，要认真填写，并经有关人员签字后存档。</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 xml:space="preserve">（10）对未按期、按要求整改隐患的， 视情节轻重对相关责任部门和人员给于经济处罚，由此引起重大伤亡事故的，承担相应的法律责任。 </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11）对所排查的隐患问题，要有隐患排查记录台帐和隐患治理台帐，要存档备案。（备注：根据企业实际情况，企业的环境隐患排查排查记录台账和隐患治理台账、下达的隐患整改通知书、验收意见书等并入安全生产隐患排查记录台账和隐患治理台账、下达的隐患整改通知书、验收意见书，一并管理。）</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（12）对上级</w:t>
      </w:r>
      <w:bookmarkStart w:id="159" w:name="_Toc23533_WPSOffice_Level3"/>
      <w:r>
        <w:rPr>
          <w:rFonts w:hint="default" w:ascii="Times New Roman" w:hAnsi="Times New Roman" w:cs="Times New Roman" w:eastAsiaTheme="minorEastAsia"/>
          <w:bCs/>
          <w:color w:val="auto"/>
          <w:sz w:val="24"/>
          <w:szCs w:val="24"/>
        </w:rPr>
        <w:t>有关部门挂牌督办的隐患，予以公示告知，限期治</w:t>
      </w:r>
      <w:bookmarkEnd w:id="159"/>
      <w:r>
        <w:rPr>
          <w:rFonts w:hint="default" w:ascii="Times New Roman" w:hAnsi="Times New Roman" w:cs="Times New Roman" w:eastAsiaTheme="minorEastAsia"/>
          <w:bCs/>
          <w:color w:val="auto"/>
          <w:sz w:val="24"/>
          <w:szCs w:val="24"/>
        </w:rPr>
        <w:t>理，治理工作结束后，要向负责督办的单位提出书面复查申请。</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（13）对已整改或未整改的隐患问题都要做为下次排查的重点。</w:t>
      </w:r>
    </w:p>
    <w:p>
      <w:pPr>
        <w:keepNext w:val="0"/>
        <w:keepLines w:val="0"/>
        <w:pageBreakBefore w:val="0"/>
        <w:tabs>
          <w:tab w:val="left" w:pos="954"/>
        </w:tabs>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（14）本隐患排查治理工作坚持“谁排查，谁负责。谁签字，谁负责。谁主管，谁负责”的原则，实行分级管理，逐</w:t>
      </w:r>
      <w:bookmarkStart w:id="160" w:name="_Toc32083_WPSOffice_Level3"/>
      <w:r>
        <w:rPr>
          <w:rFonts w:hint="default" w:ascii="Times New Roman" w:hAnsi="Times New Roman" w:cs="Times New Roman" w:eastAsiaTheme="minorEastAsia"/>
          <w:bCs/>
          <w:color w:val="auto"/>
          <w:sz w:val="24"/>
          <w:szCs w:val="24"/>
        </w:rPr>
        <w:t>级管理。</w:t>
      </w:r>
    </w:p>
    <w:p>
      <w:pPr>
        <w:keepNext w:val="0"/>
        <w:keepLines w:val="0"/>
        <w:pageBreakBefore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2"/>
        </w:rPr>
      </w:pPr>
      <w:bookmarkStart w:id="161" w:name="_Toc31556"/>
      <w:bookmarkStart w:id="162" w:name="_Toc7598"/>
      <w:bookmarkStart w:id="163" w:name="_Toc15397"/>
      <w:r>
        <w:rPr>
          <w:rFonts w:hint="default" w:ascii="Times New Roman" w:hAnsi="Times New Roman" w:cs="Times New Roman" w:eastAsiaTheme="minorEastAsia"/>
          <w:color w:val="auto"/>
          <w:sz w:val="24"/>
          <w:szCs w:val="22"/>
        </w:rPr>
        <w:t>（1</w:t>
      </w:r>
      <w:bookmarkEnd w:id="160"/>
      <w:r>
        <w:rPr>
          <w:rFonts w:hint="default" w:ascii="Times New Roman" w:hAnsi="Times New Roman" w:cs="Times New Roman" w:eastAsiaTheme="minorEastAsia"/>
          <w:color w:val="auto"/>
          <w:sz w:val="24"/>
          <w:szCs w:val="22"/>
        </w:rPr>
        <w:t>5）对因排查隐患不深入、不细致或对排查出的隐患整改措施不到位，责任制不落实致隐患长期得不到整改的，依据企业有关规定严肃追究其责任，情节严重者，给予适当的经济处罚。</w:t>
      </w:r>
      <w:bookmarkEnd w:id="161"/>
      <w:bookmarkEnd w:id="162"/>
      <w:bookmarkEnd w:id="163"/>
    </w:p>
    <w:p>
      <w:pPr>
        <w:keepNext w:val="0"/>
        <w:keepLines w:val="0"/>
        <w:pageBreakBefore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bCs/>
          <w:color w:val="auto"/>
          <w:sz w:val="24"/>
          <w:szCs w:val="24"/>
        </w:rPr>
      </w:pPr>
      <w:r>
        <w:rPr>
          <w:rFonts w:hint="default" w:ascii="Times New Roman" w:hAnsi="Times New Roman" w:cs="Times New Roman" w:eastAsiaTheme="minorEastAsia"/>
          <w:bCs/>
          <w:color w:val="auto"/>
          <w:sz w:val="24"/>
          <w:szCs w:val="24"/>
        </w:rPr>
        <w:t>（16）本公司目前存在安全隐患主要为消防设施较少，若发生火灾及爆炸事故时不能及时将风险切断，将损失降到最低。本评价完成后将及时补充相应消防设施，并定期检查消防设施压力是否足够，并做好检查记录，存在过期设施及时更换。</w:t>
      </w:r>
    </w:p>
    <w:p>
      <w:pPr>
        <w:pStyle w:val="5"/>
        <w:ind w:firstLine="643"/>
        <w:rPr>
          <w:rFonts w:hint="default" w:ascii="Times New Roman" w:hAnsi="Times New Roman" w:cs="Times New Roman" w:eastAsiaTheme="minorEastAsia"/>
          <w:color w:val="auto"/>
        </w:rPr>
      </w:pPr>
      <w:bookmarkStart w:id="164" w:name="_Toc18779"/>
      <w:bookmarkStart w:id="165" w:name="_Toc13330"/>
      <w:bookmarkStart w:id="166" w:name="_Toc3147"/>
      <w:bookmarkStart w:id="167" w:name="_Toc3008"/>
      <w:bookmarkStart w:id="168" w:name="_Toc29239"/>
      <w:bookmarkStart w:id="169" w:name="_Toc15888"/>
      <w:bookmarkStart w:id="170" w:name="_Toc22746"/>
      <w:bookmarkStart w:id="171" w:name="_Toc23965"/>
      <w:bookmarkStart w:id="172" w:name="_Toc12230"/>
      <w:r>
        <w:rPr>
          <w:rFonts w:hint="default" w:ascii="Times New Roman" w:hAnsi="Times New Roman" w:cs="Times New Roman" w:eastAsiaTheme="minorEastAsia"/>
          <w:color w:val="auto"/>
        </w:rPr>
        <w:t>3.7 现有应急物资与装备、救援队伍情况</w:t>
      </w:r>
      <w:bookmarkEnd w:id="164"/>
      <w:bookmarkEnd w:id="165"/>
      <w:bookmarkEnd w:id="166"/>
      <w:bookmarkEnd w:id="167"/>
      <w:bookmarkEnd w:id="168"/>
      <w:bookmarkEnd w:id="169"/>
      <w:bookmarkEnd w:id="170"/>
    </w:p>
    <w:p>
      <w:pPr>
        <w:pStyle w:val="6"/>
        <w:ind w:firstLine="602"/>
        <w:rPr>
          <w:rFonts w:hint="default" w:ascii="Times New Roman" w:hAnsi="Times New Roman" w:cs="Times New Roman" w:eastAsiaTheme="minorEastAsia"/>
          <w:color w:val="auto"/>
        </w:rPr>
      </w:pPr>
      <w:bookmarkStart w:id="173" w:name="_Toc11569"/>
      <w:bookmarkStart w:id="174" w:name="_Toc9059"/>
      <w:bookmarkStart w:id="175" w:name="_Toc24041"/>
      <w:r>
        <w:rPr>
          <w:rFonts w:hint="default" w:ascii="Times New Roman" w:hAnsi="Times New Roman" w:cs="Times New Roman" w:eastAsiaTheme="minorEastAsia"/>
          <w:color w:val="auto"/>
        </w:rPr>
        <w:t>3.7.1现有救援队伍情况</w:t>
      </w:r>
      <w:bookmarkEnd w:id="171"/>
      <w:bookmarkEnd w:id="172"/>
      <w:bookmarkEnd w:id="173"/>
      <w:bookmarkEnd w:id="174"/>
      <w:bookmarkEnd w:id="175"/>
    </w:p>
    <w:p>
      <w:pPr>
        <w:numPr>
          <w:ilvl w:val="0"/>
          <w:numId w:val="2"/>
        </w:numPr>
        <w:ind w:firstLine="0" w:firstLineChars="0"/>
        <w:rPr>
          <w:rFonts w:hint="default" w:ascii="Times New Roman" w:hAnsi="Times New Roman" w:cs="Times New Roman" w:eastAsiaTheme="minorEastAsia"/>
          <w:b/>
          <w:color w:val="auto"/>
          <w:sz w:val="22"/>
          <w:szCs w:val="22"/>
        </w:rPr>
      </w:pPr>
      <w:r>
        <w:rPr>
          <w:rFonts w:hint="default" w:ascii="Times New Roman" w:hAnsi="Times New Roman" w:cs="Times New Roman" w:eastAsiaTheme="minorEastAsia"/>
          <w:color w:val="auto"/>
          <w:szCs w:val="28"/>
        </w:rPr>
        <w:t>公司应急组织体系</w:t>
      </w:r>
    </w:p>
    <w:p>
      <w:pPr>
        <w:ind w:left="440" w:leftChars="200" w:firstLine="0" w:firstLineChars="0"/>
        <w:jc w:val="center"/>
        <w:rPr>
          <w:rFonts w:hint="default" w:ascii="Times New Roman" w:hAnsi="Times New Roman" w:cs="Times New Roman" w:eastAsiaTheme="minorEastAsia"/>
          <w:b/>
          <w:color w:val="auto"/>
          <w:sz w:val="22"/>
          <w:szCs w:val="22"/>
          <w:lang w:eastAsia="zh-CN"/>
        </w:rPr>
      </w:pPr>
      <w:r>
        <w:rPr>
          <w:rFonts w:hint="default" w:ascii="Times New Roman" w:hAnsi="Times New Roman" w:cs="Times New Roman" w:eastAsiaTheme="minorEastAsia"/>
          <w:b/>
          <w:color w:val="auto"/>
          <w:sz w:val="22"/>
          <w:szCs w:val="22"/>
        </w:rPr>
        <w:t>表3.7-1应急成员</w:t>
      </w:r>
      <w:r>
        <w:rPr>
          <w:rFonts w:hint="default" w:ascii="Times New Roman" w:hAnsi="Times New Roman" w:cs="Times New Roman" w:eastAsiaTheme="minorEastAsia"/>
          <w:b/>
          <w:color w:val="auto"/>
          <w:sz w:val="22"/>
          <w:szCs w:val="22"/>
          <w:lang w:eastAsia="zh-CN"/>
        </w:rPr>
        <w:t>联系方式</w:t>
      </w:r>
    </w:p>
    <w:tbl>
      <w:tblPr>
        <w:tblStyle w:val="21"/>
        <w:tblW w:w="0" w:type="auto"/>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3"/>
        <w:gridCol w:w="943"/>
        <w:gridCol w:w="1229"/>
        <w:gridCol w:w="1367"/>
        <w:gridCol w:w="703"/>
        <w:gridCol w:w="1532"/>
        <w:gridCol w:w="19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bookmarkStart w:id="176" w:name="_Toc13360"/>
            <w:bookmarkStart w:id="177" w:name="_Toc16717"/>
            <w:bookmarkStart w:id="178" w:name="_Toc30146"/>
            <w:r>
              <w:rPr>
                <w:rFonts w:hint="eastAsia" w:ascii="Times New Roman" w:hAnsi="Times New Roman" w:cs="Times New Roman" w:eastAsiaTheme="minorEastAsia"/>
                <w:color w:val="000000"/>
                <w:sz w:val="24"/>
                <w:szCs w:val="24"/>
              </w:rPr>
              <w:t>№</w:t>
            </w:r>
          </w:p>
        </w:tc>
        <w:tc>
          <w:tcPr>
            <w:tcW w:w="94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姓名</w:t>
            </w:r>
          </w:p>
        </w:tc>
        <w:tc>
          <w:tcPr>
            <w:tcW w:w="2596"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指挥小组职务</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部门或职务</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手机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trPr>
        <w:tc>
          <w:tcPr>
            <w:tcW w:w="42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1</w:t>
            </w:r>
          </w:p>
        </w:tc>
        <w:tc>
          <w:tcPr>
            <w:tcW w:w="94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晏勇斌</w:t>
            </w:r>
          </w:p>
        </w:tc>
        <w:tc>
          <w:tcPr>
            <w:tcW w:w="2596" w:type="dxa"/>
            <w:gridSpan w:val="2"/>
            <w:shd w:val="clear" w:color="auto" w:fill="FFFFFF"/>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总指挥</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总经理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2</w:t>
            </w:r>
          </w:p>
        </w:tc>
        <w:tc>
          <w:tcPr>
            <w:tcW w:w="94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陈东标</w:t>
            </w:r>
          </w:p>
        </w:tc>
        <w:tc>
          <w:tcPr>
            <w:tcW w:w="2596" w:type="dxa"/>
            <w:gridSpan w:val="2"/>
            <w:shd w:val="clear" w:color="auto" w:fill="FFFFFF"/>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副总指挥</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付总经理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3</w:t>
            </w:r>
          </w:p>
        </w:tc>
        <w:tc>
          <w:tcPr>
            <w:tcW w:w="94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邹  蓬</w:t>
            </w:r>
          </w:p>
        </w:tc>
        <w:tc>
          <w:tcPr>
            <w:tcW w:w="2596" w:type="dxa"/>
            <w:gridSpan w:val="2"/>
            <w:shd w:val="clear" w:color="auto" w:fill="FFFFFF"/>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通讯联络组组长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行办副经理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18979516603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4</w:t>
            </w:r>
          </w:p>
        </w:tc>
        <w:tc>
          <w:tcPr>
            <w:tcW w:w="943" w:type="dxa"/>
            <w:shd w:val="clear" w:color="auto" w:fill="auto"/>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张继斌</w:t>
            </w:r>
          </w:p>
        </w:tc>
        <w:tc>
          <w:tcPr>
            <w:tcW w:w="2596" w:type="dxa"/>
            <w:gridSpan w:val="2"/>
            <w:shd w:val="clear" w:color="auto" w:fill="FFFFFF"/>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治安警戒组组长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供应部经理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18979515836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5</w:t>
            </w:r>
          </w:p>
        </w:tc>
        <w:tc>
          <w:tcPr>
            <w:tcW w:w="94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刘长明</w:t>
            </w:r>
          </w:p>
        </w:tc>
        <w:tc>
          <w:tcPr>
            <w:tcW w:w="2596"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抢险救灾组组长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安全设备部经理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18979519563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6</w:t>
            </w:r>
          </w:p>
        </w:tc>
        <w:tc>
          <w:tcPr>
            <w:tcW w:w="94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姚喜红</w:t>
            </w:r>
          </w:p>
        </w:tc>
        <w:tc>
          <w:tcPr>
            <w:tcW w:w="2596"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医疗救护组组长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生产部经理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7</w:t>
            </w:r>
          </w:p>
        </w:tc>
        <w:tc>
          <w:tcPr>
            <w:tcW w:w="94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2596"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后勤保障组组长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行办副经理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18979510398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2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8</w:t>
            </w:r>
          </w:p>
        </w:tc>
        <w:tc>
          <w:tcPr>
            <w:tcW w:w="943"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刘海潮</w:t>
            </w:r>
          </w:p>
        </w:tc>
        <w:tc>
          <w:tcPr>
            <w:tcW w:w="2596"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善后处理组组长</w:t>
            </w:r>
          </w:p>
        </w:tc>
        <w:tc>
          <w:tcPr>
            <w:tcW w:w="2235" w:type="dxa"/>
            <w:gridSpan w:val="2"/>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品管部经理</w:t>
            </w:r>
          </w:p>
        </w:tc>
        <w:tc>
          <w:tcPr>
            <w:tcW w:w="1902" w:type="dxa"/>
            <w:noWrap w:val="0"/>
            <w:vAlign w:val="top"/>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trPr>
        <w:tc>
          <w:tcPr>
            <w:tcW w:w="1366"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姓名</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单位、部门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职务</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抢险救灾</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袁建利</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15079588828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常攀</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15070585111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欧阳正根</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15274995462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何兵</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13407951447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施于建</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13766448638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治安警戒</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骆荣</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13970551719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谢美萍</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18979512513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周艳</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18979511365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张彩虹</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18979515126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通讯联络</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陈辰</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安全生产部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18979518835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罗美平</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18879561779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朱丽</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技术部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18979513918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后勤保障</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李玉林</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刘亚雄</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cs="Times New Roman" w:eastAsiaTheme="minorEastAsia"/>
                <w:color w:val="000000"/>
                <w:sz w:val="24"/>
                <w:szCs w:val="24"/>
                <w:lang w:val="en-US" w:eastAsia="zh-CN"/>
              </w:rPr>
              <w:t>18979519513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易文明</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行办</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13970501287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医疗救护</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欧阳平</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18007054411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易盛</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15179584811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杨梅珍</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生产部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15879548150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restart"/>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善后处理</w:t>
            </w:r>
          </w:p>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rPr>
              <w:t>小组</w:t>
            </w: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李辉</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陈练</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366" w:type="dxa"/>
            <w:gridSpan w:val="2"/>
            <w:vMerge w:val="continue"/>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p>
        </w:tc>
        <w:tc>
          <w:tcPr>
            <w:tcW w:w="1229"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陈友生</w:t>
            </w:r>
          </w:p>
        </w:tc>
        <w:tc>
          <w:tcPr>
            <w:tcW w:w="2070" w:type="dxa"/>
            <w:gridSpan w:val="2"/>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供应部</w:t>
            </w:r>
          </w:p>
        </w:tc>
        <w:tc>
          <w:tcPr>
            <w:tcW w:w="153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rPr>
            </w:pPr>
            <w:r>
              <w:rPr>
                <w:rFonts w:hint="eastAsia" w:ascii="Times New Roman" w:hAnsi="Times New Roman" w:cs="Times New Roman" w:eastAsiaTheme="minorEastAsia"/>
                <w:color w:val="000000"/>
                <w:sz w:val="24"/>
                <w:szCs w:val="24"/>
                <w:lang w:eastAsia="zh-CN"/>
              </w:rPr>
              <w:t>成员</w:t>
            </w:r>
          </w:p>
        </w:tc>
        <w:tc>
          <w:tcPr>
            <w:tcW w:w="1902" w:type="dxa"/>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cs="Times New Roman" w:eastAsiaTheme="minorEastAsia"/>
                <w:color w:val="000000"/>
                <w:sz w:val="24"/>
                <w:szCs w:val="24"/>
                <w:lang w:val="en-US" w:eastAsia="zh-CN"/>
              </w:rPr>
              <w:t>18979519553</w:t>
            </w:r>
          </w:p>
        </w:tc>
      </w:tr>
    </w:tbl>
    <w:p>
      <w:pPr>
        <w:pStyle w:val="6"/>
        <w:ind w:firstLine="602"/>
        <w:rPr>
          <w:rFonts w:hint="default" w:ascii="Times New Roman" w:hAnsi="Times New Roman" w:cs="Times New Roman" w:eastAsiaTheme="minorEastAsia"/>
          <w:color w:val="auto"/>
          <w:highlight w:val="none"/>
        </w:rPr>
      </w:pPr>
      <w:bookmarkStart w:id="179" w:name="_Toc13881"/>
      <w:r>
        <w:rPr>
          <w:rFonts w:hint="default" w:ascii="Times New Roman" w:hAnsi="Times New Roman" w:cs="Times New Roman" w:eastAsiaTheme="minorEastAsia"/>
          <w:color w:val="auto"/>
          <w:highlight w:val="none"/>
        </w:rPr>
        <w:t>3.7.2现有物资与装备</w:t>
      </w:r>
      <w:bookmarkEnd w:id="176"/>
      <w:bookmarkEnd w:id="177"/>
      <w:bookmarkEnd w:id="178"/>
      <w:bookmarkEnd w:id="179"/>
    </w:p>
    <w:p>
      <w:pPr>
        <w:pStyle w:val="48"/>
        <w:ind w:firstLine="560"/>
        <w:rPr>
          <w:rFonts w:hint="default" w:ascii="Times New Roman" w:hAnsi="Times New Roman" w:cs="Times New Roman" w:eastAsiaTheme="minorEastAsia"/>
          <w:color w:val="auto"/>
          <w:szCs w:val="28"/>
        </w:rPr>
      </w:pPr>
      <w:r>
        <w:rPr>
          <w:rFonts w:hint="default" w:ascii="Times New Roman" w:hAnsi="Times New Roman" w:cs="Times New Roman" w:eastAsiaTheme="minorEastAsia"/>
          <w:color w:val="auto"/>
          <w:szCs w:val="28"/>
        </w:rPr>
        <w:t>公司现有物资情况见表3.7-2：</w:t>
      </w:r>
    </w:p>
    <w:p>
      <w:pPr>
        <w:pStyle w:val="48"/>
        <w:spacing w:line="360" w:lineRule="auto"/>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表3.7-2 现有物资情况表</w:t>
      </w:r>
    </w:p>
    <w:tbl>
      <w:tblPr>
        <w:tblStyle w:val="21"/>
        <w:tblpPr w:leftFromText="180" w:rightFromText="180" w:vertAnchor="text" w:tblpX="105"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9"/>
        <w:gridCol w:w="1019"/>
        <w:gridCol w:w="1484"/>
        <w:gridCol w:w="1259"/>
        <w:gridCol w:w="1334"/>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器材设备名称</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配备数量</w:t>
            </w:r>
            <w:r>
              <w:rPr>
                <w:rFonts w:hint="eastAsia" w:cs="Times New Roman" w:eastAsiaTheme="minorEastAsia"/>
                <w:color w:val="000000"/>
                <w:sz w:val="24"/>
                <w:szCs w:val="24"/>
                <w:lang w:eastAsia="zh-CN"/>
              </w:rPr>
              <w:t>（</w:t>
            </w:r>
            <w:r>
              <w:rPr>
                <w:rFonts w:hint="eastAsia" w:cs="Times New Roman" w:eastAsiaTheme="minorEastAsia"/>
                <w:color w:val="000000"/>
                <w:sz w:val="24"/>
                <w:szCs w:val="24"/>
                <w:lang w:val="en-US" w:eastAsia="zh-CN"/>
              </w:rPr>
              <w:t>副/套/包</w:t>
            </w:r>
            <w:r>
              <w:rPr>
                <w:rFonts w:hint="eastAsia" w:cs="Times New Roman" w:eastAsiaTheme="minorEastAsia"/>
                <w:color w:val="000000"/>
                <w:sz w:val="24"/>
                <w:szCs w:val="24"/>
                <w:lang w:eastAsia="zh-CN"/>
              </w:rPr>
              <w:t>）</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存放位置</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管理责任人</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联系电话</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担架</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val="en-US" w:eastAsia="zh-CN"/>
              </w:rPr>
              <w:t>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防毒面具</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val="en-US" w:eastAsia="zh-CN"/>
              </w:rPr>
              <w:t>5</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防护眼镜</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val="en-US" w:eastAsia="zh-CN"/>
              </w:rPr>
              <w:t>7</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安全帽</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val="en-US" w:eastAsia="zh-CN"/>
              </w:rPr>
              <w:t>1</w:t>
            </w:r>
            <w:r>
              <w:rPr>
                <w:rFonts w:hint="eastAsia" w:ascii="Times New Roman" w:hAnsi="Times New Roman" w:cs="Times New Roman" w:eastAsiaTheme="minorEastAsia"/>
                <w:color w:val="000000"/>
                <w:sz w:val="24"/>
                <w:szCs w:val="24"/>
                <w:lang w:eastAsia="zh-CN"/>
              </w:rPr>
              <w:t>0</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安全带</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12</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应急灯</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4</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bookmarkStart w:id="180" w:name="_Toc29669"/>
            <w:bookmarkStart w:id="181" w:name="_Toc26080"/>
            <w:r>
              <w:rPr>
                <w:rFonts w:hint="eastAsia" w:ascii="Times New Roman" w:hAnsi="Times New Roman" w:cs="Times New Roman" w:eastAsiaTheme="minorEastAsia"/>
                <w:color w:val="000000"/>
                <w:sz w:val="24"/>
                <w:szCs w:val="24"/>
                <w:lang w:eastAsia="zh-CN"/>
              </w:rPr>
              <w:t>绝缘棒、绝缘手套</w:t>
            </w:r>
            <w:bookmarkEnd w:id="180"/>
            <w:bookmarkEnd w:id="181"/>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val="en-US" w:eastAsia="zh-CN"/>
              </w:rPr>
              <w:t>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变电所</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bookmarkStart w:id="182" w:name="_Toc9016"/>
            <w:r>
              <w:rPr>
                <w:rFonts w:hint="eastAsia" w:ascii="Times New Roman" w:hAnsi="Times New Roman" w:cs="Times New Roman" w:eastAsiaTheme="minorEastAsia"/>
                <w:color w:val="000000"/>
                <w:sz w:val="24"/>
                <w:szCs w:val="24"/>
                <w:lang w:val="en-US" w:eastAsia="zh-CN"/>
              </w:rPr>
              <w:t>空气呼吸器</w:t>
            </w:r>
            <w:bookmarkEnd w:id="182"/>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防护眼镜</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7</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车间</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气体检测仪</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急救箱</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1+1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铁揪</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eastAsiaTheme="minorEastAsia"/>
                <w:color w:val="000000"/>
                <w:sz w:val="24"/>
                <w:szCs w:val="24"/>
                <w:lang w:val="en-US" w:eastAsia="zh-CN"/>
              </w:rPr>
            </w:pPr>
            <w:r>
              <w:rPr>
                <w:rFonts w:hint="eastAsia" w:ascii="Times New Roman" w:hAnsi="Times New Roman" w:cs="Times New Roman" w:eastAsiaTheme="minorEastAsia"/>
                <w:color w:val="000000"/>
                <w:sz w:val="24"/>
                <w:szCs w:val="24"/>
                <w:lang w:val="en-US" w:eastAsia="zh-CN"/>
              </w:rPr>
              <w:t>3</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ascii="Times New Roman" w:hAnsi="Times New Roman" w:cs="Times New Roman" w:eastAsiaTheme="minorEastAsia"/>
                <w:color w:val="00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r>
              <w:rPr>
                <w:rFonts w:hint="eastAsia" w:cs="Times New Roman" w:eastAsiaTheme="minorEastAsia"/>
                <w:color w:val="00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00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val="en-US" w:eastAsia="zh-CN"/>
              </w:rPr>
            </w:pPr>
            <w:r>
              <w:rPr>
                <w:rFonts w:hint="eastAsia" w:ascii="Times New Roman" w:hAnsi="Times New Roman" w:cs="Times New Roman" w:eastAsiaTheme="minorEastAsia"/>
                <w:color w:val="FF0000"/>
                <w:sz w:val="24"/>
                <w:szCs w:val="24"/>
                <w:lang w:val="en-US" w:eastAsia="zh-CN"/>
              </w:rPr>
              <w:t>管道封堵气囊</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ascii="Times New Roman" w:hAnsi="Times New Roman" w:cs="Times New Roman" w:eastAsiaTheme="minorEastAsia"/>
                <w:color w:val="FF0000"/>
                <w:sz w:val="24"/>
                <w:szCs w:val="24"/>
                <w:lang w:val="en-US" w:eastAsia="zh-CN"/>
              </w:rPr>
            </w:pPr>
            <w:r>
              <w:rPr>
                <w:rFonts w:hint="eastAsia" w:cs="Times New Roman" w:eastAsiaTheme="minorEastAsia"/>
                <w:color w:val="FF0000"/>
                <w:sz w:val="24"/>
                <w:szCs w:val="24"/>
                <w:lang w:val="en-US" w:eastAsia="zh-CN"/>
              </w:rPr>
              <w:t>2</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eastAsia="zh-CN"/>
              </w:rPr>
            </w:pPr>
            <w:r>
              <w:rPr>
                <w:rFonts w:hint="eastAsia" w:ascii="Times New Roman" w:hAnsi="Times New Roman" w:cs="Times New Roman" w:eastAsiaTheme="minorEastAsia"/>
                <w:color w:val="FF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cs="Times New Roman" w:eastAsiaTheme="minorEastAsia"/>
                <w:color w:val="FF0000"/>
                <w:sz w:val="24"/>
                <w:szCs w:val="24"/>
                <w:lang w:eastAsia="zh-CN"/>
              </w:rPr>
            </w:pPr>
            <w:r>
              <w:rPr>
                <w:rFonts w:hint="eastAsia" w:cs="Times New Roman" w:eastAsiaTheme="minorEastAsia"/>
                <w:color w:val="FF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cs="Times New Roman" w:eastAsiaTheme="minorEastAsia"/>
                <w:color w:val="FF0000"/>
                <w:sz w:val="24"/>
                <w:szCs w:val="24"/>
                <w:lang w:eastAsia="zh-CN"/>
              </w:rPr>
            </w:pPr>
            <w:r>
              <w:rPr>
                <w:rFonts w:hint="eastAsia" w:cs="Times New Roman" w:eastAsiaTheme="minorEastAsia"/>
                <w:color w:val="FF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22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val="en-US" w:eastAsia="zh-CN"/>
              </w:rPr>
            </w:pPr>
            <w:r>
              <w:rPr>
                <w:rFonts w:hint="eastAsia" w:ascii="Times New Roman" w:hAnsi="Times New Roman" w:cs="Times New Roman" w:eastAsiaTheme="minorEastAsia"/>
                <w:color w:val="FF0000"/>
                <w:sz w:val="24"/>
                <w:szCs w:val="24"/>
                <w:lang w:val="en-US" w:eastAsia="zh-CN"/>
              </w:rPr>
              <w:t>解毒剂</w:t>
            </w:r>
          </w:p>
        </w:tc>
        <w:tc>
          <w:tcPr>
            <w:tcW w:w="101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default" w:cs="Times New Roman" w:eastAsiaTheme="minorEastAsia"/>
                <w:color w:val="FF0000"/>
                <w:sz w:val="24"/>
                <w:szCs w:val="24"/>
                <w:lang w:val="en-US" w:eastAsia="zh-CN"/>
              </w:rPr>
            </w:pPr>
            <w:r>
              <w:rPr>
                <w:rFonts w:hint="eastAsia" w:cs="Times New Roman" w:eastAsiaTheme="minorEastAsia"/>
                <w:color w:val="FF0000"/>
                <w:sz w:val="24"/>
                <w:szCs w:val="24"/>
                <w:lang w:val="en-US" w:eastAsia="zh-CN"/>
              </w:rPr>
              <w:t>1</w:t>
            </w:r>
          </w:p>
        </w:tc>
        <w:tc>
          <w:tcPr>
            <w:tcW w:w="148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eastAsia="zh-CN"/>
              </w:rPr>
            </w:pPr>
            <w:r>
              <w:rPr>
                <w:rFonts w:hint="eastAsia" w:ascii="Times New Roman" w:hAnsi="Times New Roman" w:cs="Times New Roman" w:eastAsiaTheme="minorEastAsia"/>
                <w:color w:val="FF0000"/>
                <w:sz w:val="24"/>
                <w:szCs w:val="24"/>
                <w:lang w:eastAsia="zh-CN"/>
              </w:rPr>
              <w:t>仓库</w:t>
            </w:r>
          </w:p>
        </w:tc>
        <w:tc>
          <w:tcPr>
            <w:tcW w:w="1259"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cs="Times New Roman" w:eastAsiaTheme="minorEastAsia"/>
                <w:color w:val="FF0000"/>
                <w:sz w:val="24"/>
                <w:szCs w:val="24"/>
                <w:lang w:eastAsia="zh-CN"/>
              </w:rPr>
            </w:pPr>
            <w:r>
              <w:rPr>
                <w:rFonts w:hint="eastAsia" w:cs="Times New Roman" w:eastAsiaTheme="minorEastAsia"/>
                <w:color w:val="FF0000"/>
                <w:sz w:val="24"/>
                <w:szCs w:val="24"/>
                <w:lang w:eastAsia="zh-CN"/>
              </w:rPr>
              <w:t>曹华</w:t>
            </w:r>
          </w:p>
        </w:tc>
        <w:tc>
          <w:tcPr>
            <w:tcW w:w="1334"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cs="Times New Roman" w:eastAsiaTheme="minorEastAsia"/>
                <w:color w:val="FF0000"/>
                <w:sz w:val="24"/>
                <w:szCs w:val="24"/>
                <w:lang w:eastAsia="zh-CN"/>
              </w:rPr>
            </w:pPr>
            <w:r>
              <w:rPr>
                <w:rFonts w:hint="eastAsia" w:cs="Times New Roman" w:eastAsiaTheme="minorEastAsia"/>
                <w:color w:val="FF0000"/>
                <w:sz w:val="24"/>
                <w:szCs w:val="24"/>
                <w:lang w:eastAsia="zh-CN"/>
              </w:rPr>
              <w:t>18979510398</w:t>
            </w:r>
          </w:p>
        </w:tc>
        <w:tc>
          <w:tcPr>
            <w:tcW w:w="962" w:type="dxa"/>
            <w:tcBorders>
              <w:top w:val="single" w:color="auto" w:sz="4" w:space="0"/>
              <w:left w:val="single" w:color="auto" w:sz="4" w:space="0"/>
              <w:bottom w:val="single" w:color="auto" w:sz="4" w:space="0"/>
              <w:right w:val="single" w:color="auto" w:sz="4" w:space="0"/>
              <w:tl2br w:val="nil"/>
              <w:tr2bl w:val="nil"/>
            </w:tcBorders>
            <w:noWrap w:val="0"/>
            <w:vAlign w:val="center"/>
          </w:tcPr>
          <w:p>
            <w:pPr>
              <w:pStyle w:val="6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Times New Roman" w:hAnsi="Times New Roman" w:cs="Times New Roman" w:eastAsiaTheme="minorEastAsia"/>
                <w:color w:val="FF0000"/>
                <w:sz w:val="24"/>
                <w:szCs w:val="24"/>
                <w:lang w:eastAsia="zh-CN"/>
              </w:rPr>
            </w:pPr>
          </w:p>
        </w:tc>
      </w:tr>
    </w:tbl>
    <w:p>
      <w:pPr>
        <w:pStyle w:val="64"/>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imes New Roman" w:hAnsi="Times New Roman" w:cs="Times New Roman" w:eastAsiaTheme="minorEastAsia"/>
          <w:color w:val="auto"/>
          <w:kern w:val="2"/>
          <w:sz w:val="24"/>
          <w:szCs w:val="24"/>
          <w:lang w:val="en-US" w:eastAsia="zh-CN" w:bidi="ar-SA"/>
        </w:rPr>
      </w:pPr>
      <w:r>
        <w:rPr>
          <w:rFonts w:hint="eastAsia" w:cs="Times New Roman" w:eastAsiaTheme="minorEastAsia"/>
          <w:color w:val="auto"/>
          <w:kern w:val="2"/>
          <w:sz w:val="24"/>
          <w:szCs w:val="24"/>
          <w:lang w:val="en-US" w:eastAsia="zh-CN" w:bidi="ar-SA"/>
        </w:rPr>
        <w:t xml:space="preserve">    </w:t>
      </w:r>
      <w:r>
        <w:rPr>
          <w:rFonts w:hint="eastAsia" w:ascii="Times New Roman" w:hAnsi="Times New Roman" w:cs="Times New Roman" w:eastAsiaTheme="minorEastAsia"/>
          <w:color w:val="auto"/>
          <w:kern w:val="2"/>
          <w:sz w:val="24"/>
          <w:szCs w:val="24"/>
          <w:lang w:val="en-US" w:eastAsia="zh-CN" w:bidi="ar-SA"/>
        </w:rPr>
        <w:t>除此外，还应</w:t>
      </w:r>
      <w:r>
        <w:rPr>
          <w:rFonts w:hint="eastAsia" w:cs="Times New Roman" w:eastAsiaTheme="minorEastAsia"/>
          <w:color w:val="auto"/>
          <w:kern w:val="2"/>
          <w:sz w:val="24"/>
          <w:szCs w:val="24"/>
          <w:lang w:val="en-US" w:eastAsia="zh-CN" w:bidi="ar-SA"/>
        </w:rPr>
        <w:t>补充</w:t>
      </w:r>
      <w:r>
        <w:rPr>
          <w:rFonts w:hint="eastAsia" w:ascii="Times New Roman" w:hAnsi="Times New Roman" w:cs="Times New Roman" w:eastAsiaTheme="minorEastAsia"/>
          <w:color w:val="auto"/>
          <w:kern w:val="2"/>
          <w:sz w:val="24"/>
          <w:szCs w:val="24"/>
          <w:lang w:val="en-US" w:eastAsia="zh-CN" w:bidi="ar-SA"/>
        </w:rPr>
        <w:t>长靴</w:t>
      </w:r>
      <w:r>
        <w:rPr>
          <w:rFonts w:hint="eastAsia" w:cs="Times New Roman" w:eastAsiaTheme="minorEastAsia"/>
          <w:color w:val="auto"/>
          <w:kern w:val="2"/>
          <w:sz w:val="24"/>
          <w:szCs w:val="24"/>
          <w:lang w:val="en-US" w:eastAsia="zh-CN" w:bidi="ar-SA"/>
        </w:rPr>
        <w:t>、</w:t>
      </w:r>
      <w:r>
        <w:rPr>
          <w:rFonts w:hint="eastAsia" w:ascii="Times New Roman" w:hAnsi="Times New Roman" w:cs="Times New Roman" w:eastAsiaTheme="minorEastAsia"/>
          <w:color w:val="auto"/>
          <w:kern w:val="2"/>
          <w:sz w:val="24"/>
          <w:szCs w:val="24"/>
          <w:lang w:val="en-US" w:eastAsia="zh-CN" w:bidi="ar-SA"/>
        </w:rPr>
        <w:t>防护服、</w:t>
      </w:r>
      <w:r>
        <w:rPr>
          <w:rFonts w:hint="default" w:ascii="Times New Roman" w:hAnsi="Times New Roman" w:cs="Times New Roman" w:eastAsiaTheme="minorEastAsia"/>
          <w:color w:val="auto"/>
          <w:kern w:val="2"/>
          <w:sz w:val="24"/>
          <w:szCs w:val="24"/>
          <w:lang w:val="en-US" w:eastAsia="zh-CN" w:bidi="ar-SA"/>
        </w:rPr>
        <w:t>绷带</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消防水泵</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消防水管</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消防栓</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消防箱</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消防带</w:t>
      </w:r>
      <w:r>
        <w:rPr>
          <w:rFonts w:hint="eastAsia" w:ascii="Times New Roman" w:hAnsi="Times New Roman" w:cs="Times New Roman" w:eastAsiaTheme="minorEastAsia"/>
          <w:color w:val="auto"/>
          <w:kern w:val="2"/>
          <w:sz w:val="24"/>
          <w:szCs w:val="24"/>
          <w:lang w:val="en-US" w:eastAsia="zh-CN" w:bidi="ar-SA"/>
        </w:rPr>
        <w:t>、</w:t>
      </w:r>
      <w:r>
        <w:rPr>
          <w:rFonts w:hint="eastAsia" w:cs="Times New Roman" w:eastAsiaTheme="minorEastAsia"/>
          <w:color w:val="auto"/>
          <w:kern w:val="2"/>
          <w:sz w:val="24"/>
          <w:szCs w:val="24"/>
          <w:lang w:val="en-US" w:eastAsia="zh-CN" w:bidi="ar-SA"/>
        </w:rPr>
        <w:t>油毛毯、</w:t>
      </w:r>
      <w:r>
        <w:rPr>
          <w:rFonts w:hint="default" w:ascii="Times New Roman" w:hAnsi="Times New Roman" w:cs="Times New Roman" w:eastAsiaTheme="minorEastAsia"/>
          <w:color w:val="auto"/>
          <w:kern w:val="2"/>
          <w:sz w:val="24"/>
          <w:szCs w:val="24"/>
          <w:lang w:val="en-US" w:eastAsia="zh-CN" w:bidi="ar-SA"/>
        </w:rPr>
        <w:t>灭火水管</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干粉灭火器</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CO2灭火器</w:t>
      </w:r>
      <w:r>
        <w:rPr>
          <w:rFonts w:hint="eastAsia" w:ascii="Times New Roman" w:hAnsi="Times New Roman" w:cs="Times New Roman" w:eastAsiaTheme="minorEastAsia"/>
          <w:color w:val="auto"/>
          <w:kern w:val="2"/>
          <w:sz w:val="24"/>
          <w:szCs w:val="24"/>
          <w:lang w:val="en-US" w:eastAsia="zh-CN" w:bidi="ar-SA"/>
        </w:rPr>
        <w:t>、</w:t>
      </w:r>
      <w:r>
        <w:rPr>
          <w:rFonts w:hint="default" w:ascii="Times New Roman" w:hAnsi="Times New Roman" w:cs="Times New Roman" w:eastAsiaTheme="minorEastAsia"/>
          <w:color w:val="auto"/>
          <w:kern w:val="2"/>
          <w:sz w:val="24"/>
          <w:szCs w:val="24"/>
          <w:lang w:val="en-US" w:eastAsia="zh-CN" w:bidi="ar-SA"/>
        </w:rPr>
        <w:t>消防沙</w:t>
      </w:r>
      <w:r>
        <w:rPr>
          <w:rFonts w:hint="eastAsia" w:ascii="Times New Roman" w:hAnsi="Times New Roman" w:cs="Times New Roman" w:eastAsiaTheme="minorEastAsia"/>
          <w:color w:val="auto"/>
          <w:kern w:val="2"/>
          <w:sz w:val="24"/>
          <w:szCs w:val="24"/>
          <w:lang w:val="en-US" w:eastAsia="zh-CN" w:bidi="ar-SA"/>
        </w:rPr>
        <w:t>等。</w:t>
      </w:r>
    </w:p>
    <w:p>
      <w:pPr>
        <w:pStyle w:val="48"/>
        <w:spacing w:line="360" w:lineRule="auto"/>
        <w:ind w:firstLine="560"/>
        <w:rPr>
          <w:rFonts w:hint="default" w:ascii="Times New Roman" w:hAnsi="Times New Roman" w:cs="Times New Roman" w:eastAsiaTheme="minorEastAsia"/>
          <w:color w:val="auto"/>
          <w:kern w:val="2"/>
          <w:sz w:val="24"/>
          <w:szCs w:val="24"/>
          <w:lang w:val="en-US" w:eastAsia="zh-CN" w:bidi="ar-SA"/>
        </w:rPr>
      </w:pPr>
      <w:r>
        <w:rPr>
          <w:rFonts w:hint="default" w:ascii="Times New Roman" w:hAnsi="Times New Roman" w:cs="Times New Roman" w:eastAsiaTheme="minorEastAsia"/>
          <w:color w:val="auto"/>
          <w:kern w:val="2"/>
          <w:sz w:val="24"/>
          <w:szCs w:val="24"/>
          <w:lang w:val="en-US" w:eastAsia="zh-CN" w:bidi="ar-SA"/>
        </w:rPr>
        <w:t>外部关联单位见表3.7-3。</w:t>
      </w:r>
    </w:p>
    <w:p>
      <w:pPr>
        <w:tabs>
          <w:tab w:val="left" w:pos="2460"/>
        </w:tabs>
        <w:jc w:val="center"/>
        <w:outlineLvl w:val="0"/>
        <w:rPr>
          <w:rFonts w:ascii="宋体" w:hAnsi="宋体"/>
          <w:b/>
          <w:bCs/>
          <w:kern w:val="0"/>
        </w:rPr>
      </w:pPr>
      <w:bookmarkStart w:id="183" w:name="_Toc5011"/>
      <w:bookmarkStart w:id="184" w:name="_Toc20626"/>
      <w:r>
        <w:rPr>
          <w:rFonts w:hint="default" w:ascii="Times New Roman" w:hAnsi="Times New Roman" w:cs="Times New Roman" w:eastAsiaTheme="minorEastAsia"/>
          <w:b/>
          <w:bCs/>
          <w:color w:val="auto"/>
          <w:sz w:val="24"/>
          <w:highlight w:val="none"/>
        </w:rPr>
        <w:t xml:space="preserve">表3.7-3 </w:t>
      </w:r>
      <w:r>
        <w:rPr>
          <w:rFonts w:hint="default" w:ascii="Times New Roman" w:hAnsi="Times New Roman" w:cs="Times New Roman" w:eastAsiaTheme="minorEastAsia"/>
          <w:b/>
          <w:bCs/>
          <w:color w:val="auto"/>
          <w:sz w:val="24"/>
          <w:szCs w:val="32"/>
          <w:highlight w:val="none"/>
        </w:rPr>
        <w:t>外部关联单位应急通信联络表</w:t>
      </w:r>
      <w:bookmarkEnd w:id="183"/>
      <w:bookmarkEnd w:id="184"/>
      <w:bookmarkStart w:id="185" w:name="_Toc26391"/>
      <w:bookmarkStart w:id="186" w:name="_Toc8531"/>
      <w:bookmarkStart w:id="187" w:name="_Toc18972"/>
      <w:bookmarkStart w:id="188" w:name="_Toc2491"/>
    </w:p>
    <w:tbl>
      <w:tblPr>
        <w:tblStyle w:val="21"/>
        <w:tblW w:w="8245" w:type="dxa"/>
        <w:jc w:val="center"/>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4537"/>
        <w:gridCol w:w="2933"/>
      </w:tblGrid>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1</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宜春市应急管理局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0795-3590918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2</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default" w:ascii="Times New Roman" w:hAnsi="Times New Roman" w:eastAsia="宋体" w:cs="Times New Roman"/>
                <w:kern w:val="2"/>
                <w:sz w:val="24"/>
                <w:szCs w:val="24"/>
              </w:rPr>
              <w:t>宜春市生态环境局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default" w:ascii="Times New Roman" w:hAnsi="Times New Roman" w:eastAsia="宋体" w:cs="Times New Roman"/>
                <w:kern w:val="2"/>
                <w:sz w:val="24"/>
                <w:szCs w:val="24"/>
              </w:rPr>
              <w:t>0795-3998865</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3</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宜春市安全生产应急救援</w:t>
            </w:r>
          </w:p>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指挥中心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0795-3562731</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4</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宜春经济技术开发区应急管理局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0795-3668228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5</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宜春市生态环境局宜春经济技术开发区分局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lang w:eastAsia="zh-CN"/>
              </w:rPr>
              <w:t>0795-3653639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eastAsia" w:ascii="Times New Roman" w:hAnsi="Times New Roman" w:eastAsia="宋体" w:cs="Times New Roman"/>
                <w:kern w:val="2"/>
                <w:sz w:val="24"/>
                <w:szCs w:val="24"/>
              </w:rPr>
              <w:t>6</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宜春市公安局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rPr>
              <w:t>110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7</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宜春市交警支队</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122</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8</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cs="Times New Roman"/>
                <w:kern w:val="2"/>
                <w:sz w:val="24"/>
                <w:szCs w:val="24"/>
                <w:lang w:eastAsia="zh-CN"/>
              </w:rPr>
              <w:t>宜春市消防救援支队</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default" w:ascii="Times New Roman" w:hAnsi="Times New Roman" w:eastAsia="宋体" w:cs="Times New Roman"/>
                <w:kern w:val="2"/>
                <w:sz w:val="24"/>
                <w:szCs w:val="24"/>
              </w:rPr>
              <w:t>119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9</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宜春市人民医院</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120</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10</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宜春经济技术开发区管理委员会</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eastAsia="zh-CN"/>
              </w:rPr>
              <w:t>0795-3668066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kern w:val="2"/>
                <w:sz w:val="24"/>
                <w:szCs w:val="24"/>
                <w:lang w:val="en-US" w:eastAsia="zh-CN"/>
              </w:rPr>
            </w:pPr>
            <w:r>
              <w:rPr>
                <w:rFonts w:hint="eastAsia" w:ascii="Times New Roman" w:hAnsi="Times New Roman" w:eastAsia="宋体" w:cs="Times New Roman"/>
                <w:kern w:val="2"/>
                <w:sz w:val="24"/>
                <w:szCs w:val="24"/>
                <w:lang w:val="en-US" w:eastAsia="zh-CN"/>
              </w:rPr>
              <w:t>11</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val="en-US" w:eastAsia="zh-CN"/>
              </w:rPr>
            </w:pPr>
            <w:r>
              <w:rPr>
                <w:rFonts w:hint="eastAsia" w:cs="Times New Roman"/>
                <w:kern w:val="2"/>
                <w:sz w:val="24"/>
                <w:szCs w:val="24"/>
                <w:lang w:val="en-US" w:eastAsia="zh-CN"/>
              </w:rPr>
              <w:t>江西省宜春生态环境监测中心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kern w:val="2"/>
                <w:sz w:val="24"/>
                <w:szCs w:val="24"/>
                <w:lang w:eastAsia="zh-CN"/>
              </w:rPr>
            </w:pPr>
            <w:r>
              <w:rPr>
                <w:rFonts w:hint="eastAsia" w:ascii="Times New Roman" w:hAnsi="Times New Roman" w:eastAsia="宋体" w:cs="Times New Roman"/>
                <w:kern w:val="2"/>
                <w:sz w:val="24"/>
                <w:szCs w:val="24"/>
                <w:lang w:val="en-US" w:eastAsia="zh-CN"/>
              </w:rPr>
              <w:t>0795-3998059</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bookmarkStart w:id="345" w:name="_GoBack" w:colFirst="0" w:colLast="2"/>
            <w:r>
              <w:rPr>
                <w:rFonts w:hint="eastAsia" w:cs="Times New Roman"/>
                <w:color w:val="FF0000"/>
                <w:kern w:val="2"/>
                <w:sz w:val="24"/>
                <w:szCs w:val="24"/>
                <w:lang w:val="en-US" w:eastAsia="zh-CN"/>
              </w:rPr>
              <w:t>12</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宜春经开区党工委党群工作部</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0795-3918597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cs="Times New Roman"/>
                <w:color w:val="FF0000"/>
                <w:kern w:val="2"/>
                <w:sz w:val="24"/>
                <w:szCs w:val="24"/>
                <w:lang w:val="en-US" w:eastAsia="zh-CN"/>
              </w:rPr>
            </w:pPr>
            <w:r>
              <w:rPr>
                <w:rFonts w:hint="eastAsia" w:cs="Times New Roman"/>
                <w:color w:val="FF0000"/>
                <w:kern w:val="2"/>
                <w:sz w:val="24"/>
                <w:szCs w:val="24"/>
                <w:lang w:val="en-US" w:eastAsia="zh-CN"/>
              </w:rPr>
              <w:t>13</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宜春经开区经济发展和科技创新局（建设局）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0795-3666628</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cs="Times New Roman"/>
                <w:color w:val="FF0000"/>
                <w:kern w:val="2"/>
                <w:sz w:val="24"/>
                <w:szCs w:val="24"/>
                <w:lang w:val="en-US" w:eastAsia="zh-CN"/>
              </w:rPr>
            </w:pPr>
            <w:r>
              <w:rPr>
                <w:rFonts w:hint="eastAsia" w:cs="Times New Roman"/>
                <w:color w:val="FF0000"/>
                <w:kern w:val="2"/>
                <w:sz w:val="24"/>
                <w:szCs w:val="24"/>
                <w:lang w:val="en-US" w:eastAsia="zh-CN"/>
              </w:rPr>
              <w:t>14</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宜春经开区供电服务中心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0795-7307397</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cs="Times New Roman"/>
                <w:color w:val="FF0000"/>
                <w:kern w:val="2"/>
                <w:sz w:val="24"/>
                <w:szCs w:val="24"/>
                <w:lang w:val="en-US" w:eastAsia="zh-CN"/>
              </w:rPr>
            </w:pPr>
            <w:r>
              <w:rPr>
                <w:rFonts w:hint="eastAsia" w:cs="Times New Roman"/>
                <w:color w:val="FF0000"/>
                <w:kern w:val="2"/>
                <w:sz w:val="24"/>
                <w:szCs w:val="24"/>
                <w:lang w:val="en-US" w:eastAsia="zh-CN"/>
              </w:rPr>
              <w:t>15</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宜春经开区供水客服中心</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0795-3918126</w:t>
            </w:r>
          </w:p>
        </w:tc>
      </w:tr>
      <w:tr>
        <w:tblPrEx>
          <w:tblBorders>
            <w:top w:val="single" w:color="000000" w:sz="4" w:space="0"/>
            <w:left w:val="none" w:color="auto" w:sz="0" w:space="0"/>
            <w:bottom w:val="single" w:color="auto" w:sz="4"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775"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default" w:cs="Times New Roman"/>
                <w:color w:val="FF0000"/>
                <w:kern w:val="2"/>
                <w:sz w:val="24"/>
                <w:szCs w:val="24"/>
                <w:lang w:val="en-US" w:eastAsia="zh-CN"/>
              </w:rPr>
            </w:pPr>
            <w:r>
              <w:rPr>
                <w:rFonts w:hint="eastAsia" w:cs="Times New Roman"/>
                <w:color w:val="FF0000"/>
                <w:kern w:val="2"/>
                <w:sz w:val="24"/>
                <w:szCs w:val="24"/>
                <w:lang w:val="en-US" w:eastAsia="zh-CN"/>
              </w:rPr>
              <w:t>16</w:t>
            </w:r>
          </w:p>
        </w:tc>
        <w:tc>
          <w:tcPr>
            <w:tcW w:w="4537"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宜春经开区综合行政执法分局</w:t>
            </w:r>
          </w:p>
        </w:tc>
        <w:tc>
          <w:tcPr>
            <w:tcW w:w="2933" w:type="dxa"/>
            <w:vAlign w:val="center"/>
          </w:tcPr>
          <w:p>
            <w:pPr>
              <w:keepNext w:val="0"/>
              <w:keepLines w:val="0"/>
              <w:suppressLineNumbers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FF0000"/>
                <w:kern w:val="2"/>
                <w:sz w:val="24"/>
                <w:szCs w:val="24"/>
                <w:lang w:val="en-US" w:eastAsia="zh-CN"/>
              </w:rPr>
            </w:pPr>
            <w:r>
              <w:rPr>
                <w:rFonts w:hint="eastAsia" w:ascii="Times New Roman" w:hAnsi="Times New Roman" w:eastAsia="宋体" w:cs="Times New Roman"/>
                <w:color w:val="FF0000"/>
                <w:kern w:val="2"/>
                <w:sz w:val="24"/>
                <w:szCs w:val="24"/>
                <w:lang w:val="en-US" w:eastAsia="zh-CN"/>
              </w:rPr>
              <w:t>0795-3668077</w:t>
            </w:r>
          </w:p>
        </w:tc>
      </w:tr>
      <w:bookmarkEnd w:id="345"/>
    </w:tbl>
    <w:p>
      <w:pPr>
        <w:ind w:left="0" w:leftChars="0" w:firstLine="0" w:firstLineChars="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br w:type="page"/>
      </w:r>
    </w:p>
    <w:p>
      <w:pPr>
        <w:pStyle w:val="4"/>
        <w:rPr>
          <w:rFonts w:hint="default" w:ascii="Times New Roman" w:hAnsi="Times New Roman" w:cs="Times New Roman" w:eastAsiaTheme="minorEastAsia"/>
          <w:color w:val="auto"/>
        </w:rPr>
      </w:pPr>
      <w:bookmarkStart w:id="189" w:name="_Toc23334"/>
      <w:bookmarkStart w:id="190" w:name="_Toc8454"/>
      <w:bookmarkStart w:id="191" w:name="_Toc32012"/>
      <w:r>
        <w:rPr>
          <w:rFonts w:hint="default" w:ascii="Times New Roman" w:hAnsi="Times New Roman" w:cs="Times New Roman" w:eastAsiaTheme="minorEastAsia"/>
          <w:color w:val="auto"/>
        </w:rPr>
        <w:t>4突发环境事件及其后果分析</w:t>
      </w:r>
      <w:bookmarkEnd w:id="185"/>
      <w:bookmarkEnd w:id="186"/>
      <w:bookmarkEnd w:id="187"/>
      <w:bookmarkEnd w:id="188"/>
      <w:bookmarkEnd w:id="189"/>
      <w:bookmarkEnd w:id="190"/>
      <w:bookmarkEnd w:id="191"/>
    </w:p>
    <w:p>
      <w:pPr>
        <w:pStyle w:val="5"/>
        <w:ind w:firstLine="643"/>
        <w:outlineLvl w:val="1"/>
        <w:rPr>
          <w:rFonts w:hint="default" w:ascii="Times New Roman" w:hAnsi="Times New Roman" w:cs="Times New Roman" w:eastAsiaTheme="minorEastAsia"/>
          <w:color w:val="auto"/>
        </w:rPr>
      </w:pPr>
      <w:bookmarkStart w:id="192" w:name="_Toc26562"/>
      <w:bookmarkStart w:id="193" w:name="_Toc30148"/>
      <w:bookmarkStart w:id="194" w:name="_Toc77"/>
      <w:bookmarkStart w:id="195" w:name="_Toc30118"/>
      <w:bookmarkStart w:id="196" w:name="_Toc28346"/>
      <w:bookmarkStart w:id="197" w:name="_Toc15307"/>
      <w:bookmarkStart w:id="198" w:name="_Toc3498"/>
      <w:r>
        <w:rPr>
          <w:rFonts w:hint="default" w:ascii="Times New Roman" w:hAnsi="Times New Roman" w:cs="Times New Roman" w:eastAsiaTheme="minorEastAsia"/>
          <w:color w:val="auto"/>
        </w:rPr>
        <w:t>4.1 突发环境事件情景分析</w:t>
      </w:r>
      <w:bookmarkEnd w:id="192"/>
      <w:bookmarkEnd w:id="193"/>
      <w:bookmarkEnd w:id="194"/>
      <w:bookmarkEnd w:id="195"/>
      <w:bookmarkEnd w:id="196"/>
      <w:bookmarkEnd w:id="197"/>
      <w:bookmarkEnd w:id="198"/>
    </w:p>
    <w:p>
      <w:pPr>
        <w:pStyle w:val="6"/>
        <w:ind w:firstLine="602"/>
        <w:rPr>
          <w:rFonts w:hint="default" w:ascii="Times New Roman" w:hAnsi="Times New Roman" w:cs="Times New Roman" w:eastAsiaTheme="minorEastAsia"/>
          <w:color w:val="auto"/>
        </w:rPr>
      </w:pPr>
      <w:bookmarkStart w:id="199" w:name="_Toc3659"/>
      <w:bookmarkStart w:id="200" w:name="_Toc2473"/>
      <w:bookmarkStart w:id="201" w:name="_Toc4495"/>
      <w:bookmarkStart w:id="202" w:name="_Toc28009"/>
      <w:bookmarkStart w:id="203" w:name="_Toc23139"/>
      <w:r>
        <w:rPr>
          <w:rFonts w:hint="default" w:ascii="Times New Roman" w:hAnsi="Times New Roman" w:cs="Times New Roman" w:eastAsiaTheme="minorEastAsia"/>
          <w:color w:val="auto"/>
        </w:rPr>
        <w:t>4.1.1 国内突发环境事件统计分析</w:t>
      </w:r>
      <w:bookmarkEnd w:id="199"/>
      <w:bookmarkEnd w:id="200"/>
      <w:bookmarkEnd w:id="201"/>
      <w:bookmarkEnd w:id="202"/>
      <w:bookmarkEnd w:id="203"/>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（1）国内突发环境事件统计分析根据“突发性环境污染事故的统计分析及预防策略”（环境污染与防治</w:t>
      </w:r>
      <w:bookmarkStart w:id="204" w:name="_Toc21953_WPSOffice_Level3"/>
      <w:r>
        <w:rPr>
          <w:rFonts w:hint="default" w:ascii="Times New Roman" w:hAnsi="Times New Roman" w:cs="Times New Roman" w:eastAsiaTheme="minorEastAsia"/>
          <w:color w:val="auto"/>
          <w:sz w:val="24"/>
          <w:szCs w:val="24"/>
        </w:rPr>
        <w:t>2013年，第1</w:t>
      </w:r>
      <w:bookmarkEnd w:id="204"/>
      <w:r>
        <w:rPr>
          <w:rFonts w:hint="default" w:ascii="Times New Roman" w:hAnsi="Times New Roman" w:cs="Times New Roman" w:eastAsiaTheme="minorEastAsia"/>
          <w:color w:val="auto"/>
          <w:sz w:val="24"/>
          <w:szCs w:val="24"/>
        </w:rPr>
        <w:t>0期），收集了我国2000-2012年发生的200起典型突发性环境污染事故资料，基于每类事故中的典型案例。根据污染类型，将事故分为危险化学品污染事故、重金属环境污染事故、海洋溢油环境污染事故、尾矿库环境污染事故，统计分析了各类事故的发生行业、发生环节和原因。4类突发性环境污染事故的发生行业及发生环节统计结果见表4.1-1和表4.1-2。</w:t>
      </w:r>
    </w:p>
    <w:p>
      <w:pPr>
        <w:pStyle w:val="48"/>
        <w:spacing w:line="360" w:lineRule="auto"/>
        <w:ind w:firstLine="482"/>
        <w:jc w:val="center"/>
        <w:rPr>
          <w:rFonts w:hint="default" w:ascii="Times New Roman" w:hAnsi="Times New Roman" w:cs="Times New Roman" w:eastAsiaTheme="minorEastAsia"/>
          <w:b/>
          <w:bCs/>
          <w:color w:val="auto"/>
          <w:sz w:val="24"/>
          <w:szCs w:val="32"/>
        </w:rPr>
      </w:pPr>
      <w:r>
        <w:rPr>
          <w:rFonts w:hint="default" w:ascii="Times New Roman" w:hAnsi="Times New Roman" w:cs="Times New Roman" w:eastAsiaTheme="minorEastAsia"/>
          <w:b/>
          <w:bCs/>
          <w:color w:val="auto"/>
          <w:sz w:val="24"/>
          <w:szCs w:val="32"/>
        </w:rPr>
        <w:t>表4.1-1 突发性环境污染事故的发生行业统计分析</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行业</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危险化学品环</w:t>
            </w:r>
          </w:p>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境</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重金属环境污染事故发生次数/次</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海洋溢油环境污染事故发生次数/次</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尾矿库环境污染事故发生次数/次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石化、化工</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49</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10</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金属采选</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金属冶炼</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54</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13</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危险化学品运输</w:t>
            </w:r>
            <w:bookmarkStart w:id="205" w:name="_Toc27615_WPSOffice_Level3"/>
            <w:r>
              <w:rPr>
                <w:rFonts w:hint="default" w:ascii="Times New Roman" w:hAnsi="Times New Roman" w:cs="Times New Roman" w:eastAsiaTheme="minorEastAsia"/>
                <w:color w:val="auto"/>
                <w:kern w:val="2"/>
                <w:sz w:val="24"/>
              </w:rPr>
              <w:t>（管道、道路）</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12</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天然</w:t>
            </w:r>
            <w:bookmarkEnd w:id="205"/>
            <w:r>
              <w:rPr>
                <w:rFonts w:hint="default" w:ascii="Times New Roman" w:hAnsi="Times New Roman" w:cs="Times New Roman" w:eastAsiaTheme="minorEastAsia"/>
                <w:color w:val="auto"/>
                <w:kern w:val="2"/>
                <w:sz w:val="24"/>
              </w:rPr>
              <w:t>气</w:t>
            </w:r>
            <w:bookmarkStart w:id="206" w:name="_Toc32470_WPSOffice_Level3"/>
            <w:r>
              <w:rPr>
                <w:rFonts w:hint="default" w:ascii="Times New Roman" w:hAnsi="Times New Roman" w:cs="Times New Roman" w:eastAsiaTheme="minorEastAsia"/>
                <w:color w:val="auto"/>
                <w:kern w:val="2"/>
                <w:sz w:val="24"/>
              </w:rPr>
              <w:t>、石油</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w:t>
            </w:r>
            <w:bookmarkEnd w:id="206"/>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轻工</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废旧资源回收</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电镀</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其他（纺织化、医药、光纤材料等）</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13</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bl>
    <w:p>
      <w:pPr>
        <w:pStyle w:val="48"/>
        <w:spacing w:line="360" w:lineRule="auto"/>
        <w:ind w:firstLine="482"/>
        <w:jc w:val="center"/>
        <w:rPr>
          <w:rFonts w:hint="default" w:ascii="Times New Roman" w:hAnsi="Times New Roman" w:cs="Times New Roman" w:eastAsiaTheme="minorEastAsia"/>
          <w:b/>
          <w:bCs/>
          <w:color w:val="auto"/>
          <w:sz w:val="24"/>
          <w:szCs w:val="32"/>
        </w:rPr>
      </w:pPr>
      <w:r>
        <w:rPr>
          <w:rFonts w:hint="default" w:ascii="Times New Roman" w:hAnsi="Times New Roman" w:cs="Times New Roman" w:eastAsiaTheme="minorEastAsia"/>
          <w:b/>
          <w:bCs/>
          <w:color w:val="auto"/>
          <w:sz w:val="24"/>
          <w:szCs w:val="32"/>
        </w:rPr>
        <w:t>表4.1-2突发性环境污染事故的发生环节统计分析</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4"/>
        <w:gridCol w:w="1704"/>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环</w:t>
            </w:r>
            <w:bookmarkStart w:id="207" w:name="_Toc17642_WPSOffice_Level3"/>
            <w:r>
              <w:rPr>
                <w:rFonts w:hint="default" w:ascii="Times New Roman" w:hAnsi="Times New Roman" w:cs="Times New Roman" w:eastAsiaTheme="minorEastAsia"/>
                <w:color w:val="auto"/>
                <w:kern w:val="2"/>
                <w:sz w:val="24"/>
              </w:rPr>
              <w:t>节</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危险化学品环境污染</w:t>
            </w:r>
            <w:bookmarkEnd w:id="207"/>
            <w:r>
              <w:rPr>
                <w:rFonts w:hint="default" w:ascii="Times New Roman" w:hAnsi="Times New Roman" w:cs="Times New Roman" w:eastAsiaTheme="minorEastAsia"/>
                <w:color w:val="auto"/>
                <w:kern w:val="2"/>
                <w:sz w:val="24"/>
              </w:rPr>
              <w:t>事故发生次数/次</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重金属环境污染事故发生次数/次</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海洋溢油环境污染事故发生次数/次</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尾矿库环境污染事故发生次数/次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生产使用</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30</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储存</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19</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运输</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54</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45</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处置</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30</w:t>
            </w:r>
          </w:p>
        </w:tc>
        <w:tc>
          <w:tcPr>
            <w:tcW w:w="1704"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31</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1705" w:type="dxa"/>
            <w:vAlign w:val="center"/>
          </w:tcPr>
          <w:p>
            <w:pPr>
              <w:pStyle w:val="48"/>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w:t>
            </w:r>
          </w:p>
        </w:tc>
      </w:tr>
    </w:tbl>
    <w:p>
      <w:pPr>
        <w:pStyle w:val="48"/>
        <w:spacing w:line="360" w:lineRule="auto"/>
        <w:ind w:firstLine="560"/>
        <w:rPr>
          <w:rFonts w:hint="default" w:ascii="Times New Roman" w:hAnsi="Times New Roman" w:cs="Times New Roman" w:eastAsiaTheme="minorEastAsia"/>
          <w:color w:val="auto"/>
          <w:sz w:val="24"/>
          <w:szCs w:val="24"/>
          <w:lang w:val="en-US"/>
        </w:rPr>
      </w:pPr>
      <w:r>
        <w:rPr>
          <w:rFonts w:hint="default" w:ascii="Times New Roman" w:hAnsi="Times New Roman" w:cs="Times New Roman" w:eastAsiaTheme="minorEastAsia"/>
          <w:color w:val="auto"/>
          <w:sz w:val="24"/>
          <w:szCs w:val="24"/>
          <w:lang w:val="en-US"/>
        </w:rPr>
        <w:t>可见，石化、化工和危险化学品运输业是危险化学品环境污染事故频发的重点行业，生产使用、储存、运输、处置各个环节均有可能发生危险化学品污染事故。</w:t>
      </w:r>
    </w:p>
    <w:p>
      <w:pPr>
        <w:ind w:firstLine="480" w:firstLineChars="0"/>
        <w:rPr>
          <w:rFonts w:ascii="Times New Roman" w:hAnsi="Times New Roman"/>
          <w:color w:val="auto"/>
          <w:sz w:val="24"/>
          <w:szCs w:val="24"/>
        </w:rPr>
      </w:pPr>
      <w:bookmarkStart w:id="208" w:name="_Toc17449"/>
      <w:bookmarkStart w:id="209" w:name="_Toc28040"/>
      <w:bookmarkStart w:id="210" w:name="_Toc8591"/>
      <w:bookmarkStart w:id="211" w:name="_Toc12087"/>
      <w:r>
        <w:rPr>
          <w:rFonts w:hint="eastAsia" w:ascii="Times New Roman" w:hAnsi="Times New Roman"/>
          <w:color w:val="auto"/>
          <w:sz w:val="24"/>
          <w:szCs w:val="24"/>
        </w:rPr>
        <w:t>化工企业事故单元</w:t>
      </w:r>
      <w:r>
        <w:rPr>
          <w:rFonts w:hint="eastAsia" w:ascii="Times New Roman" w:hAnsi="Times New Roman"/>
          <w:bCs/>
          <w:color w:val="auto"/>
          <w:sz w:val="24"/>
          <w:szCs w:val="24"/>
        </w:rPr>
        <w:t>不同</w:t>
      </w:r>
      <w:r>
        <w:rPr>
          <w:rFonts w:hint="eastAsia" w:ascii="Times New Roman" w:hAnsi="Times New Roman"/>
          <w:color w:val="auto"/>
          <w:sz w:val="24"/>
          <w:szCs w:val="24"/>
        </w:rPr>
        <w:t>程度事故发生概率和对策反应进行了汇总，结果见表</w:t>
      </w:r>
      <w:r>
        <w:rPr>
          <w:rFonts w:hint="eastAsia" w:ascii="Times New Roman" w:hAnsi="Times New Roman"/>
          <w:color w:val="auto"/>
          <w:sz w:val="24"/>
          <w:szCs w:val="24"/>
          <w:lang w:val="en-US" w:eastAsia="zh-CN"/>
        </w:rPr>
        <w:t>4.1-3</w:t>
      </w:r>
      <w:r>
        <w:rPr>
          <w:rFonts w:hint="eastAsia" w:ascii="Times New Roman" w:hAnsi="Times New Roman"/>
          <w:color w:val="auto"/>
          <w:sz w:val="24"/>
          <w:szCs w:val="24"/>
        </w:rPr>
        <w:t>。</w:t>
      </w:r>
    </w:p>
    <w:p>
      <w:pPr>
        <w:ind w:firstLine="480" w:firstLineChars="0"/>
        <w:jc w:val="center"/>
        <w:rPr>
          <w:rFonts w:ascii="Times New Roman" w:hAnsi="Times New Roman"/>
          <w:color w:val="auto"/>
        </w:rPr>
      </w:pPr>
      <w:r>
        <w:rPr>
          <w:rFonts w:hint="eastAsia" w:ascii="Times New Roman" w:hAnsi="Times New Roman"/>
          <w:color w:val="auto"/>
        </w:rPr>
        <w:t>表</w:t>
      </w:r>
      <w:r>
        <w:rPr>
          <w:rFonts w:hint="eastAsia" w:ascii="Times New Roman" w:hAnsi="Times New Roman"/>
          <w:color w:val="auto"/>
          <w:lang w:val="en-US" w:eastAsia="zh-CN"/>
        </w:rPr>
        <w:t>4.1-3</w:t>
      </w:r>
      <w:r>
        <w:rPr>
          <w:rFonts w:hint="eastAsia" w:ascii="Times New Roman" w:hAnsi="Times New Roman"/>
          <w:color w:val="auto"/>
        </w:rPr>
        <w:t xml:space="preserve">   不同程度事故发生概率和对策反应汇总一览表</w:t>
      </w:r>
    </w:p>
    <w:tbl>
      <w:tblPr>
        <w:tblStyle w:val="21"/>
        <w:tblW w:w="9287"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3430"/>
        <w:gridCol w:w="1919"/>
        <w:gridCol w:w="1529"/>
        <w:gridCol w:w="240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事故类型</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发生概率</w:t>
            </w:r>
          </w:p>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次/年</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事故频率</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对策反应</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管线、输送泵、阀门、槽车</w:t>
            </w:r>
          </w:p>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等损坏小型泄漏事故</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10-</w:t>
            </w:r>
            <w:r>
              <w:rPr>
                <w:rFonts w:hint="eastAsia"/>
                <w:color w:val="auto"/>
                <w:kern w:val="2"/>
                <w:sz w:val="21"/>
                <w:szCs w:val="21"/>
                <w:vertAlign w:val="superscript"/>
              </w:rPr>
              <w:t>1</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可能发生</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必须采取措施</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管线、贮罐、缩合釜</w:t>
            </w:r>
          </w:p>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等破裂泄漏事故</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10</w:t>
            </w:r>
            <w:r>
              <w:rPr>
                <w:rFonts w:hint="eastAsia"/>
                <w:color w:val="auto"/>
                <w:kern w:val="2"/>
                <w:sz w:val="21"/>
                <w:szCs w:val="21"/>
                <w:vertAlign w:val="superscript"/>
              </w:rPr>
              <w:t>-2</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偶尔发生</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需要采取措施</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管线、阀门、贮罐</w:t>
            </w:r>
          </w:p>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等严重泄漏事故</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10</w:t>
            </w:r>
            <w:r>
              <w:rPr>
                <w:rFonts w:hint="eastAsia"/>
                <w:color w:val="auto"/>
                <w:kern w:val="2"/>
                <w:sz w:val="21"/>
                <w:szCs w:val="21"/>
                <w:vertAlign w:val="superscript"/>
              </w:rPr>
              <w:t>-3</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偶尔发生</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 xml:space="preserve">采取对策 </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贮罐等出现重大爆炸、爆裂事故</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10</w:t>
            </w:r>
            <w:r>
              <w:rPr>
                <w:rFonts w:hint="eastAsia"/>
                <w:color w:val="auto"/>
                <w:kern w:val="2"/>
                <w:sz w:val="21"/>
                <w:szCs w:val="21"/>
                <w:vertAlign w:val="superscript"/>
              </w:rPr>
              <w:t>-4</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极少发生</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关心和防范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97" w:hRule="atLeast"/>
        </w:trPr>
        <w:tc>
          <w:tcPr>
            <w:tcW w:w="3430"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重大自然灾害引起事故</w:t>
            </w:r>
          </w:p>
        </w:tc>
        <w:tc>
          <w:tcPr>
            <w:tcW w:w="191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10</w:t>
            </w:r>
            <w:r>
              <w:rPr>
                <w:rFonts w:hint="eastAsia"/>
                <w:color w:val="auto"/>
                <w:kern w:val="2"/>
                <w:sz w:val="21"/>
                <w:szCs w:val="21"/>
                <w:vertAlign w:val="superscript"/>
              </w:rPr>
              <w:t>-5</w:t>
            </w:r>
            <w:r>
              <w:rPr>
                <w:rFonts w:hint="eastAsia"/>
                <w:color w:val="auto"/>
                <w:kern w:val="2"/>
                <w:sz w:val="21"/>
                <w:szCs w:val="21"/>
              </w:rPr>
              <w:t>-10</w:t>
            </w:r>
            <w:r>
              <w:rPr>
                <w:rFonts w:hint="eastAsia"/>
                <w:color w:val="auto"/>
                <w:kern w:val="2"/>
                <w:sz w:val="21"/>
                <w:szCs w:val="21"/>
                <w:vertAlign w:val="superscript"/>
              </w:rPr>
              <w:t>-6</w:t>
            </w:r>
          </w:p>
        </w:tc>
        <w:tc>
          <w:tcPr>
            <w:tcW w:w="152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很难发生</w:t>
            </w:r>
          </w:p>
        </w:tc>
        <w:tc>
          <w:tcPr>
            <w:tcW w:w="2409" w:type="dxa"/>
            <w:vAlign w:val="center"/>
          </w:tcPr>
          <w:p>
            <w:pPr>
              <w:keepNext w:val="0"/>
              <w:keepLines w:val="0"/>
              <w:suppressLineNumbers w:val="0"/>
              <w:spacing w:before="0" w:beforeAutospacing="0" w:after="0" w:afterAutospacing="0" w:line="240" w:lineRule="auto"/>
              <w:ind w:left="0" w:right="0" w:firstLine="0" w:firstLineChars="0"/>
              <w:contextualSpacing/>
              <w:jc w:val="center"/>
              <w:rPr>
                <w:rFonts w:hint="default"/>
                <w:color w:val="auto"/>
                <w:kern w:val="2"/>
                <w:sz w:val="21"/>
                <w:szCs w:val="21"/>
              </w:rPr>
            </w:pPr>
            <w:r>
              <w:rPr>
                <w:rFonts w:hint="eastAsia"/>
                <w:color w:val="auto"/>
                <w:kern w:val="2"/>
                <w:sz w:val="21"/>
                <w:szCs w:val="21"/>
              </w:rPr>
              <w:t>注意关心</w:t>
            </w:r>
          </w:p>
        </w:tc>
      </w:tr>
    </w:tbl>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根据《环境风险评价实用技术与方法》中统计数据，目前国内化工装置典型事故风险概率在1×10</w:t>
      </w:r>
      <w:r>
        <w:rPr>
          <w:rFonts w:hint="eastAsia" w:asciiTheme="minorEastAsia" w:hAnsiTheme="minorEastAsia" w:eastAsiaTheme="minorEastAsia" w:cstheme="minorEastAsia"/>
          <w:color w:val="auto"/>
          <w:sz w:val="24"/>
          <w:szCs w:val="24"/>
          <w:vertAlign w:val="superscript"/>
        </w:rPr>
        <w:t>-5</w:t>
      </w:r>
      <w:r>
        <w:rPr>
          <w:rFonts w:hint="eastAsia" w:asciiTheme="minorEastAsia" w:hAnsiTheme="minorEastAsia" w:eastAsiaTheme="minorEastAsia" w:cstheme="minorEastAsia"/>
          <w:color w:val="auto"/>
          <w:sz w:val="24"/>
          <w:szCs w:val="24"/>
        </w:rPr>
        <w:t>/a左右。类比本项目装置的运行条件情况，本项目发生风险事故的原因和概率应与国内现有化工装置接近，工程风险事故发生概率应低于国内石油化工典型事故概率。</w:t>
      </w:r>
    </w:p>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因此，本次风险评价确定本项目风险事故概率为1×10</w:t>
      </w:r>
      <w:r>
        <w:rPr>
          <w:rFonts w:hint="eastAsia" w:asciiTheme="minorEastAsia" w:hAnsiTheme="minorEastAsia" w:eastAsiaTheme="minorEastAsia" w:cstheme="minorEastAsia"/>
          <w:color w:val="auto"/>
          <w:sz w:val="24"/>
          <w:szCs w:val="24"/>
          <w:vertAlign w:val="superscript"/>
        </w:rPr>
        <w:t>-5</w:t>
      </w:r>
      <w:r>
        <w:rPr>
          <w:rFonts w:hint="eastAsia" w:asciiTheme="minorEastAsia" w:hAnsiTheme="minorEastAsia" w:eastAsiaTheme="minorEastAsia" w:cstheme="minorEastAsia"/>
          <w:color w:val="auto"/>
          <w:sz w:val="24"/>
          <w:szCs w:val="24"/>
        </w:rPr>
        <w:t>/a。</w:t>
      </w:r>
    </w:p>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（2）国内同类企业事故案例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案例</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2008年3月14日凌晨3时30分左右</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4名协勤人员在回兴镇兴科一路巡逻时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发现郑伟集资楼17#“小精点发廊”门市附近有较浓的天然气异味</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在隔壁经营夜宵店的王祥金</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就去敲门告知该户可能有天然气泄漏</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当该门市人员开灯时随即发生爆</w:t>
      </w:r>
      <w:r>
        <w:rPr>
          <w:rFonts w:hint="eastAsia" w:asciiTheme="minorEastAsia" w:hAnsiTheme="minorEastAsia" w:eastAsiaTheme="minorEastAsia" w:cstheme="minorEastAsia"/>
          <w:sz w:val="24"/>
          <w:szCs w:val="24"/>
          <w:lang w:eastAsia="zh-CN"/>
        </w:rPr>
        <w:t>。</w:t>
      </w:r>
    </w:p>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直接原因：</w:t>
      </w:r>
    </w:p>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临街PE(d110)燃气管线被拉裂，导致天然气泄漏，泄漏天然气通过地下疏松回填土层窜入室内，形成爆炸性混合气体，遇开关电器产生的火花引起爆炸。</w:t>
      </w:r>
    </w:p>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间接原因：</w:t>
      </w:r>
    </w:p>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管线回填未对地基进行处理或采取防沉降施，回填土层在雨水的浸润作用下产生沉降；管线在外部载荷应力叠加作用下，对管线热熔焊缝产生一定影响，导致管线拉裂；对管线走向不明，巡管不到位。</w:t>
      </w:r>
    </w:p>
    <w:p>
      <w:pPr>
        <w:keepNext w:val="0"/>
        <w:keepLines w:val="0"/>
        <w:pageBreakBefore w:val="0"/>
        <w:widowControl w:val="0"/>
        <w:kinsoku/>
        <w:wordWrap/>
        <w:overflowPunct/>
        <w:topLinePunct w:val="0"/>
        <w:bidi w:val="0"/>
        <w:adjustRightInd/>
        <w:snapToGrid w:val="0"/>
        <w:spacing w:line="360" w:lineRule="auto"/>
        <w:ind w:left="0" w:leftChars="0" w:firstLine="482" w:firstLineChars="200"/>
        <w:textAlignment w:val="auto"/>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b/>
          <w:bCs/>
          <w:color w:val="FF0000"/>
          <w:sz w:val="24"/>
          <w:szCs w:val="24"/>
          <w:lang w:eastAsia="zh-CN"/>
        </w:rPr>
        <w:t>案例</w:t>
      </w:r>
      <w:r>
        <w:rPr>
          <w:rFonts w:hint="eastAsia" w:asciiTheme="minorEastAsia" w:hAnsiTheme="minorEastAsia" w:eastAsiaTheme="minorEastAsia" w:cstheme="minorEastAsia"/>
          <w:b/>
          <w:bCs/>
          <w:color w:val="FF0000"/>
          <w:sz w:val="24"/>
          <w:szCs w:val="24"/>
          <w:lang w:val="en-US" w:eastAsia="zh-CN"/>
        </w:rPr>
        <w:t>二：</w:t>
      </w:r>
      <w:r>
        <w:rPr>
          <w:rFonts w:hint="eastAsia" w:asciiTheme="minorEastAsia" w:hAnsiTheme="minorEastAsia" w:eastAsiaTheme="minorEastAsia" w:cstheme="minorEastAsia"/>
          <w:color w:val="FF0000"/>
          <w:sz w:val="24"/>
          <w:szCs w:val="24"/>
          <w:lang w:val="en-US" w:eastAsia="zh-CN"/>
        </w:rPr>
        <w:t>2000年2月18日晚10时37分，三车间电缆沟内可燃气体爆燃，将车间内电缆沟中间人孔和西侧人孔盖板冲开，晚11时58分火被扑灭。由于车间停电，供风系统无法运转，炉窑燃烧系统不能正常工作。公司员工为防止炉窑内高温玻璃液降温过快引起生产事故，按操作规程利用供气备用系统加热护炉。2月19日0时06分，三车间5#炉东侧发生爆炸，当场死亡12人，受伤59人，在送往医院途中又有一人死亡，抢救过程中，因伤势严重，经抢救无效死亡2人。</w:t>
      </w:r>
    </w:p>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事故原因：</w:t>
      </w:r>
    </w:p>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三力公司在施工时对地下529毫米废弃天然气管道处理不当，盲板封堵焊接质量差，随着蓄热室周围温度升高，管道内残余的天然气受热升温形成正压，穿过其端口盲板焊接气孔进入电缆沟。电缆沟内积聚达到爆燃浓度，并沿电缆沟穿孔进入6#炉常规电控柜，6#炉常规电控柜内空气开关电热作用引燃天然气，是造成电缆沟着火的直接原因。</w:t>
      </w:r>
    </w:p>
    <w:p>
      <w:pPr>
        <w:keepNext w:val="0"/>
        <w:keepLines w:val="0"/>
        <w:pageBreakBefore w:val="0"/>
        <w:widowControl w:val="0"/>
        <w:kinsoku/>
        <w:wordWrap/>
        <w:overflowPunct/>
        <w:topLinePunct w:val="0"/>
        <w:bidi w:val="0"/>
        <w:adjustRightInd/>
        <w:spacing w:line="360" w:lineRule="auto"/>
        <w:ind w:firstLine="480" w:firstLineChars="200"/>
        <w:textAlignment w:val="auto"/>
        <w:rPr>
          <w:rFonts w:hint="eastAsia" w:asciiTheme="minorEastAsia" w:hAnsiTheme="minorEastAsia" w:eastAsiaTheme="minorEastAsia" w:cstheme="minorEastAsia"/>
          <w:color w:val="FF0000"/>
          <w:sz w:val="24"/>
          <w:szCs w:val="24"/>
          <w:lang w:val="en-US" w:eastAsia="zh-CN"/>
        </w:rPr>
      </w:pPr>
      <w:r>
        <w:rPr>
          <w:rFonts w:hint="eastAsia" w:asciiTheme="minorEastAsia" w:hAnsiTheme="minorEastAsia" w:eastAsiaTheme="minorEastAsia" w:cstheme="minorEastAsia"/>
          <w:color w:val="FF0000"/>
          <w:sz w:val="24"/>
          <w:szCs w:val="24"/>
          <w:lang w:val="en-US" w:eastAsia="zh-CN"/>
        </w:rPr>
        <w:t>由于电缆沟着火，火焰烘烤横穿电缆沟内的废弃的529毫米管线外壁1小时21分，使管线内温度达到了天然气和氧气的反应温度，放出大量热量，致使管线内气体压力升高，超过了废弃的529毫米管线端口焊接盲板承受压力，盲板炸飞，可燃气体冲出废弃的529毫米管线，由于5#炉蓄热室墙体阻挡，喷出的可燃气体向上和反向扩散，遇炉窑明火再次发生爆燃，是造成这次特大伤亡事故的直接原因。</w:t>
      </w:r>
    </w:p>
    <w:p>
      <w:pPr>
        <w:keepNext w:val="0"/>
        <w:keepLines w:val="0"/>
        <w:pageBreakBefore w:val="0"/>
        <w:widowControl w:val="0"/>
        <w:kinsoku/>
        <w:wordWrap/>
        <w:overflowPunct/>
        <w:topLinePunct w:val="0"/>
        <w:bidi w:val="0"/>
        <w:adjustRightInd/>
        <w:spacing w:line="360" w:lineRule="auto"/>
        <w:ind w:firstLine="480" w:firstLineChars="200"/>
        <w:textAlignment w:val="auto"/>
        <w:rPr>
          <w:color w:val="FF0000"/>
        </w:rPr>
      </w:pPr>
      <w:r>
        <w:rPr>
          <w:rFonts w:hint="eastAsia" w:asciiTheme="minorEastAsia" w:hAnsiTheme="minorEastAsia" w:eastAsiaTheme="minorEastAsia" w:cstheme="minorEastAsia"/>
          <w:color w:val="FF0000"/>
          <w:sz w:val="24"/>
          <w:szCs w:val="24"/>
          <w:lang w:val="en-US" w:eastAsia="zh-CN"/>
        </w:rPr>
        <w:t>由于现场人员误认为电缆沟着火是电缆短路起火，对废弃管道发生爆炸预料不到，在电缆沟发生火灾造成车间停电的情况下，当班职工加热护炉，未及时撤离现场，是造成这次事故伤亡人数较多的主要原因。</w:t>
      </w:r>
      <w:r>
        <w:rPr>
          <w:rFonts w:hint="default"/>
          <w:color w:val="FF0000"/>
          <w:lang w:val="en-US" w:eastAsia="zh-CN"/>
        </w:rPr>
        <w:t xml:space="preserve"> </w:t>
      </w:r>
    </w:p>
    <w:p>
      <w:pPr>
        <w:pStyle w:val="5"/>
        <w:ind w:firstLine="643"/>
        <w:rPr>
          <w:rFonts w:hint="default" w:ascii="Times New Roman" w:hAnsi="Times New Roman" w:cs="Times New Roman" w:eastAsiaTheme="minorEastAsia"/>
          <w:color w:val="auto"/>
        </w:rPr>
      </w:pPr>
      <w:bookmarkStart w:id="212" w:name="_Toc17641"/>
      <w:bookmarkStart w:id="213" w:name="_Toc21426"/>
      <w:bookmarkStart w:id="214" w:name="_Toc30115"/>
      <w:r>
        <w:rPr>
          <w:rFonts w:hint="default" w:ascii="Times New Roman" w:hAnsi="Times New Roman" w:cs="Times New Roman" w:eastAsiaTheme="minorEastAsia"/>
          <w:color w:val="auto"/>
        </w:rPr>
        <w:t>4.2 突发环境事件情景源强分析</w:t>
      </w:r>
      <w:bookmarkEnd w:id="208"/>
      <w:bookmarkEnd w:id="209"/>
      <w:bookmarkEnd w:id="210"/>
      <w:bookmarkEnd w:id="211"/>
      <w:bookmarkEnd w:id="212"/>
      <w:bookmarkEnd w:id="213"/>
      <w:bookmarkEnd w:id="214"/>
    </w:p>
    <w:p>
      <w:pPr>
        <w:keepNext w:val="0"/>
        <w:keepLines w:val="0"/>
        <w:pageBreakBefore w:val="0"/>
        <w:widowControl w:val="0"/>
        <w:kinsoku/>
        <w:wordWrap/>
        <w:overflowPunct/>
        <w:topLinePunct w:val="0"/>
        <w:autoSpaceDE w:val="0"/>
        <w:autoSpaceDN w:val="0"/>
        <w:bidi w:val="0"/>
        <w:adjustRightInd/>
        <w:snapToGrid w:val="0"/>
        <w:spacing w:line="360" w:lineRule="auto"/>
        <w:ind w:firstLine="482"/>
        <w:textAlignment w:val="auto"/>
        <w:outlineLvl w:val="0"/>
        <w:rPr>
          <w:rFonts w:hint="eastAsia" w:asciiTheme="minorEastAsia" w:hAnsiTheme="minorEastAsia" w:eastAsiaTheme="minorEastAsia" w:cstheme="minorEastAsia"/>
          <w:color w:val="auto"/>
          <w:sz w:val="24"/>
          <w:szCs w:val="24"/>
          <w:lang w:val="en-US" w:eastAsia="zh-CN"/>
        </w:rPr>
      </w:pPr>
      <w:bookmarkStart w:id="215" w:name="_Toc23604"/>
      <w:bookmarkStart w:id="216" w:name="_Toc23117"/>
      <w:bookmarkStart w:id="217" w:name="_Toc18292"/>
      <w:bookmarkStart w:id="218" w:name="_Toc23337"/>
      <w:r>
        <w:rPr>
          <w:rFonts w:hint="eastAsia" w:asciiTheme="minorEastAsia" w:hAnsiTheme="minorEastAsia" w:eastAsiaTheme="minorEastAsia" w:cstheme="minorEastAsia"/>
          <w:color w:val="auto"/>
          <w:sz w:val="24"/>
          <w:szCs w:val="24"/>
          <w:lang w:val="en-US" w:eastAsia="zh-CN"/>
        </w:rPr>
        <w:t>1、危险化学品泄露</w:t>
      </w:r>
      <w:bookmarkEnd w:id="215"/>
      <w:bookmarkEnd w:id="216"/>
    </w:p>
    <w:p>
      <w:pPr>
        <w:keepNext w:val="0"/>
        <w:keepLines w:val="0"/>
        <w:pageBreakBefore w:val="0"/>
        <w:widowControl w:val="0"/>
        <w:kinsoku/>
        <w:wordWrap/>
        <w:overflowPunct/>
        <w:topLinePunct w:val="0"/>
        <w:autoSpaceDE w:val="0"/>
        <w:autoSpaceDN w:val="0"/>
        <w:bidi w:val="0"/>
        <w:adjustRightInd/>
        <w:snapToGrid w:val="0"/>
        <w:spacing w:line="360" w:lineRule="auto"/>
        <w:ind w:firstLine="482"/>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公司油漆、稀释剂均为桶装，硅烷和除油剂位于生产车间储液池内，一般情况不易发生泄漏，危险品仓库设有围堰，地面已做防渗处理，泄漏影响一般在厂内。</w:t>
      </w:r>
    </w:p>
    <w:p>
      <w:pPr>
        <w:keepNext w:val="0"/>
        <w:keepLines w:val="0"/>
        <w:pageBreakBefore w:val="0"/>
        <w:widowControl w:val="0"/>
        <w:kinsoku/>
        <w:wordWrap/>
        <w:overflowPunct/>
        <w:topLinePunct w:val="0"/>
        <w:autoSpaceDE w:val="0"/>
        <w:autoSpaceDN w:val="0"/>
        <w:bidi w:val="0"/>
        <w:adjustRightInd/>
        <w:snapToGrid w:val="0"/>
        <w:spacing w:line="360" w:lineRule="auto"/>
        <w:ind w:firstLine="482"/>
        <w:textAlignment w:val="auto"/>
        <w:outlineLvl w:val="0"/>
        <w:rPr>
          <w:rFonts w:hint="eastAsia" w:asciiTheme="minorEastAsia" w:hAnsiTheme="minorEastAsia" w:eastAsiaTheme="minorEastAsia" w:cstheme="minorEastAsia"/>
          <w:color w:val="auto"/>
          <w:sz w:val="24"/>
          <w:szCs w:val="24"/>
          <w:lang w:val="en-US" w:eastAsia="zh-CN"/>
        </w:rPr>
      </w:pPr>
      <w:bookmarkStart w:id="219" w:name="_Toc9166"/>
      <w:bookmarkStart w:id="220" w:name="_Toc11309"/>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火灾、爆炸</w:t>
      </w:r>
      <w:r>
        <w:rPr>
          <w:rFonts w:hint="eastAsia" w:asciiTheme="minorEastAsia" w:hAnsiTheme="minorEastAsia" w:eastAsiaTheme="minorEastAsia" w:cstheme="minorEastAsia"/>
          <w:color w:val="auto"/>
          <w:sz w:val="24"/>
          <w:szCs w:val="24"/>
          <w:lang w:eastAsia="zh-CN"/>
        </w:rPr>
        <w:t>事故</w:t>
      </w:r>
      <w:bookmarkEnd w:id="219"/>
      <w:bookmarkEnd w:id="220"/>
    </w:p>
    <w:p>
      <w:pPr>
        <w:keepNext w:val="0"/>
        <w:keepLines w:val="0"/>
        <w:pageBreakBefore w:val="0"/>
        <w:widowControl w:val="0"/>
        <w:kinsoku/>
        <w:wordWrap/>
        <w:overflowPunct/>
        <w:topLinePunct w:val="0"/>
        <w:autoSpaceDE w:val="0"/>
        <w:autoSpaceDN w:val="0"/>
        <w:bidi w:val="0"/>
        <w:adjustRightInd/>
        <w:snapToGrid w:val="0"/>
        <w:spacing w:line="360" w:lineRule="auto"/>
        <w:ind w:firstLine="482"/>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本公司生产装置在发生火灾爆炸事故时，可能的次生危险主要包括救火过程产生的消防污水，如没有得到有效控制，可能会进入清净下水或雨水系统，造成附近的水体污染。</w:t>
      </w:r>
    </w:p>
    <w:p>
      <w:pPr>
        <w:keepNext w:val="0"/>
        <w:keepLines w:val="0"/>
        <w:pageBreakBefore w:val="0"/>
        <w:widowControl w:val="0"/>
        <w:kinsoku/>
        <w:wordWrap/>
        <w:overflowPunct/>
        <w:topLinePunct w:val="0"/>
        <w:autoSpaceDE w:val="0"/>
        <w:autoSpaceDN w:val="0"/>
        <w:bidi w:val="0"/>
        <w:adjustRightInd/>
        <w:snapToGrid w:val="0"/>
        <w:spacing w:line="360" w:lineRule="auto"/>
        <w:ind w:firstLine="482"/>
        <w:textAlignment w:val="auto"/>
        <w:rPr>
          <w:rFonts w:hint="default" w:ascii="Times New Roman" w:hAnsi="Times New Roman" w:eastAsia="宋体" w:cs="Times New Roman"/>
          <w:color w:val="auto"/>
        </w:rPr>
      </w:pPr>
      <w:r>
        <w:rPr>
          <w:rFonts w:hint="eastAsia" w:asciiTheme="minorEastAsia" w:hAnsiTheme="minorEastAsia" w:eastAsiaTheme="minorEastAsia" w:cstheme="minorEastAsia"/>
          <w:color w:val="auto"/>
          <w:sz w:val="24"/>
          <w:szCs w:val="24"/>
        </w:rPr>
        <w:t>同时火灾爆炸后破坏地表覆盖物，会有部分液体物料、受污染消防水进入土壤，甚至污染地下水。火灾、爆炸时产生的挥发气体影响环境质量，对职工及附近居民的身体健康造成损害。火灾、爆炸事故下产生的污染物数量受诸多因素影响，难以进行定量计算。但公司对厂区内的主体工程和相关配套工程都采取了防渗措施，生产装置区和罐区设有监控措施，可以第一时间发现险情，迅速进行救援。</w:t>
      </w:r>
    </w:p>
    <w:p>
      <w:pPr>
        <w:pStyle w:val="6"/>
        <w:bidi w:val="0"/>
        <w:outlineLvl w:val="1"/>
        <w:rPr>
          <w:rFonts w:hint="default" w:ascii="Times New Roman" w:hAnsi="Times New Roman" w:cs="Times New Roman"/>
        </w:rPr>
      </w:pPr>
      <w:bookmarkStart w:id="221" w:name="_Toc30138"/>
      <w:bookmarkStart w:id="222" w:name="_Toc1101"/>
      <w:bookmarkStart w:id="223" w:name="_Toc19317"/>
      <w:r>
        <w:rPr>
          <w:rFonts w:hint="default" w:ascii="Times New Roman" w:hAnsi="Times New Roman" w:cs="Times New Roman"/>
        </w:rPr>
        <w:t>4.2.</w:t>
      </w:r>
      <w:r>
        <w:rPr>
          <w:rFonts w:hint="default" w:ascii="Times New Roman" w:hAnsi="Times New Roman" w:cs="Times New Roman"/>
          <w:lang w:val="en-US" w:eastAsia="zh-CN"/>
        </w:rPr>
        <w:t>2</w:t>
      </w:r>
      <w:r>
        <w:rPr>
          <w:rFonts w:hint="default" w:ascii="Times New Roman" w:hAnsi="Times New Roman" w:cs="Times New Roman"/>
        </w:rPr>
        <w:t>火灾</w:t>
      </w:r>
      <w:r>
        <w:rPr>
          <w:rFonts w:hint="default" w:ascii="Times New Roman" w:hAnsi="Times New Roman" w:cs="Times New Roman"/>
          <w:lang w:eastAsia="zh-CN"/>
        </w:rPr>
        <w:t>、</w:t>
      </w:r>
      <w:r>
        <w:rPr>
          <w:rFonts w:hint="default" w:ascii="Times New Roman" w:hAnsi="Times New Roman" w:cs="Times New Roman"/>
        </w:rPr>
        <w:t>爆炸源项分析</w:t>
      </w:r>
      <w:bookmarkEnd w:id="221"/>
      <w:bookmarkEnd w:id="222"/>
      <w:bookmarkEnd w:id="223"/>
    </w:p>
    <w:p>
      <w:pPr>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燃烧、爆炸必须具备以下三个条件：①要有可燃物质；②要有助燃物质：③要有着火源。</w:t>
      </w:r>
      <w:r>
        <w:rPr>
          <w:rFonts w:hint="eastAsia" w:asciiTheme="minorEastAsia" w:hAnsiTheme="minorEastAsia" w:eastAsiaTheme="minorEastAsia" w:cstheme="minorEastAsia"/>
          <w:color w:val="auto"/>
          <w:sz w:val="24"/>
          <w:szCs w:val="24"/>
          <w:lang w:eastAsia="zh-CN"/>
        </w:rPr>
        <w:t>桶罐中液体危险化学品在爆炸极限内遇明火易发生爆炸。</w:t>
      </w:r>
      <w:r>
        <w:rPr>
          <w:rFonts w:hint="eastAsia" w:asciiTheme="minorEastAsia" w:hAnsiTheme="minorEastAsia" w:eastAsiaTheme="minorEastAsia" w:cstheme="minorEastAsia"/>
          <w:color w:val="auto"/>
          <w:sz w:val="24"/>
          <w:szCs w:val="24"/>
        </w:rPr>
        <w:t>因此，发生火灾时</w:t>
      </w:r>
      <w:r>
        <w:rPr>
          <w:rFonts w:hint="eastAsia" w:asciiTheme="minorEastAsia" w:hAnsiTheme="minorEastAsia" w:eastAsiaTheme="minorEastAsia" w:cstheme="minorEastAsia"/>
          <w:color w:val="auto"/>
          <w:sz w:val="24"/>
          <w:szCs w:val="24"/>
          <w:lang w:eastAsia="zh-CN"/>
        </w:rPr>
        <w:t>需采取对桶罐进行降温处理，同时原理明火，禁止携带火源进入泄漏区域，抢险人员需穿戴防静电服进入场内；同时规范管理，不得违规作业。</w:t>
      </w:r>
    </w:p>
    <w:p>
      <w:pPr>
        <w:pStyle w:val="30"/>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火灾风险对周围环境的主要危害包括以下几个方面：</w:t>
      </w:r>
    </w:p>
    <w:p>
      <w:pPr>
        <w:pStyle w:val="30"/>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A.热辐射：由于遇热挥发和易于流散，不但燃烧速度快、燃烧面积大，且放出大量的辐射热，危及火灾周围人员生命及毗邻建筑物和设备安全。</w:t>
      </w:r>
    </w:p>
    <w:p>
      <w:pPr>
        <w:pStyle w:val="30"/>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B.浓烟及有毒废气火灾时在放出大量辐射热的同时，还散发出大量浓烟，它是由燃烧物质释放出的高温蒸汽和毒气，被分解的未燃物质和被火焰加热而带入的上升气流中的空气和污染物质的混合物。它不但含有大量的热量，而且还含有蒸汽、有毒气体和弥散的固体颗粒，对火场周围的人员生命安全和周围的大气环境质量造成污染和破坏。火灾伴生的废气由于成分复杂，因此不进行计算。</w:t>
      </w:r>
    </w:p>
    <w:p>
      <w:pPr>
        <w:pStyle w:val="30"/>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eastAsia" w:asciiTheme="minorEastAsia" w:hAnsiTheme="minorEastAsia" w:eastAsiaTheme="minorEastAsia" w:cstheme="minorEastAsia"/>
          <w:color w:val="auto"/>
          <w:sz w:val="24"/>
          <w:szCs w:val="24"/>
        </w:rPr>
        <w:t>C.消防废水发生火灾事故后，灭火产生的消防废水含有危化品杂质，未燃烧或燃尽的危化品将随消防废水进入雨水管网，污染附近水体环境，同时消防废水进入废水收集系统，如直按流入周边水域，可能对海域水体造成影响。</w:t>
      </w:r>
    </w:p>
    <w:p>
      <w:pPr>
        <w:pStyle w:val="6"/>
        <w:bidi w:val="0"/>
        <w:outlineLvl w:val="1"/>
        <w:rPr>
          <w:rFonts w:hint="default" w:ascii="Times New Roman" w:hAnsi="Times New Roman" w:cs="Times New Roman"/>
          <w:color w:val="auto"/>
        </w:rPr>
      </w:pPr>
      <w:bookmarkStart w:id="224" w:name="_Toc7413"/>
      <w:bookmarkStart w:id="225" w:name="_Toc12516"/>
      <w:bookmarkStart w:id="226" w:name="_Toc30170"/>
      <w:r>
        <w:rPr>
          <w:rFonts w:hint="default" w:ascii="Times New Roman" w:hAnsi="Times New Roman" w:cs="Times New Roman"/>
          <w:color w:val="auto"/>
        </w:rPr>
        <w:t>4.2.</w:t>
      </w:r>
      <w:r>
        <w:rPr>
          <w:rFonts w:hint="default" w:ascii="Times New Roman" w:hAnsi="Times New Roman" w:cs="Times New Roman"/>
          <w:color w:val="auto"/>
          <w:lang w:val="en-US" w:eastAsia="zh-CN"/>
        </w:rPr>
        <w:t>3</w:t>
      </w:r>
      <w:r>
        <w:rPr>
          <w:rFonts w:hint="eastAsia" w:cs="Times New Roman"/>
          <w:color w:val="auto"/>
          <w:lang w:eastAsia="zh-CN"/>
        </w:rPr>
        <w:t>危险化学品</w:t>
      </w:r>
      <w:r>
        <w:rPr>
          <w:rFonts w:hint="default" w:ascii="Times New Roman" w:hAnsi="Times New Roman" w:cs="Times New Roman"/>
          <w:color w:val="auto"/>
        </w:rPr>
        <w:t>泄漏扩散源项分析</w:t>
      </w:r>
      <w:bookmarkEnd w:id="224"/>
      <w:bookmarkEnd w:id="225"/>
      <w:bookmarkEnd w:id="226"/>
    </w:p>
    <w:p>
      <w:pPr>
        <w:pStyle w:val="30"/>
        <w:adjustRightInd/>
        <w:spacing w:line="360" w:lineRule="auto"/>
        <w:ind w:firstLine="480" w:firstLineChars="200"/>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公司</w:t>
      </w:r>
      <w:r>
        <w:rPr>
          <w:rFonts w:hint="eastAsia" w:ascii="Times New Roman" w:hAnsi="Times New Roman" w:cs="Times New Roman" w:eastAsiaTheme="minorEastAsia"/>
          <w:color w:val="auto"/>
          <w:sz w:val="24"/>
          <w:szCs w:val="24"/>
          <w:lang w:eastAsia="zh-CN"/>
        </w:rPr>
        <w:t>危险化学品</w:t>
      </w:r>
      <w:r>
        <w:rPr>
          <w:rFonts w:hint="default" w:ascii="Times New Roman" w:hAnsi="Times New Roman" w:cs="Times New Roman" w:eastAsiaTheme="minorEastAsia"/>
          <w:color w:val="auto"/>
          <w:sz w:val="24"/>
          <w:szCs w:val="24"/>
          <w:lang w:eastAsia="zh-CN"/>
        </w:rPr>
        <w:t>泄漏可导致土壤及地下水污染，</w:t>
      </w:r>
      <w:r>
        <w:rPr>
          <w:rFonts w:hint="default" w:ascii="Times New Roman" w:hAnsi="Times New Roman" w:cs="Times New Roman" w:eastAsiaTheme="minorEastAsia"/>
          <w:color w:val="auto"/>
          <w:sz w:val="24"/>
          <w:szCs w:val="24"/>
        </w:rPr>
        <w:t>通过以上风险源识别，本项目所涉及的风险源最大可信事故类型确定为</w:t>
      </w:r>
      <w:r>
        <w:rPr>
          <w:rFonts w:hint="eastAsia" w:ascii="Times New Roman" w:hAnsi="Times New Roman" w:cs="Times New Roman" w:eastAsiaTheme="minorEastAsia"/>
          <w:color w:val="auto"/>
          <w:sz w:val="24"/>
          <w:szCs w:val="24"/>
          <w:lang w:eastAsia="zh-CN"/>
        </w:rPr>
        <w:t>危险化学品</w:t>
      </w:r>
      <w:r>
        <w:rPr>
          <w:rFonts w:hint="default" w:ascii="Times New Roman" w:hAnsi="Times New Roman" w:cs="Times New Roman" w:eastAsiaTheme="minorEastAsia"/>
          <w:color w:val="auto"/>
          <w:sz w:val="24"/>
          <w:szCs w:val="24"/>
        </w:rPr>
        <w:t>泄漏，其最大可信泄露事故类别见下表4.2-1。</w:t>
      </w:r>
    </w:p>
    <w:p>
      <w:pPr>
        <w:pStyle w:val="30"/>
        <w:adjustRightInd/>
        <w:spacing w:line="360" w:lineRule="auto"/>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b/>
          <w:bCs/>
          <w:color w:val="auto"/>
          <w:szCs w:val="24"/>
        </w:rPr>
        <w:t>表4.2-1 最大可信泄露事故类别表</w:t>
      </w:r>
    </w:p>
    <w:tbl>
      <w:tblPr>
        <w:tblStyle w:val="22"/>
        <w:tblW w:w="8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3"/>
        <w:gridCol w:w="1968"/>
        <w:gridCol w:w="2948"/>
        <w:gridCol w:w="2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293" w:type="dxa"/>
            <w:vAlign w:val="center"/>
          </w:tcPr>
          <w:p>
            <w:pPr>
              <w:pStyle w:val="30"/>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位置</w:t>
            </w:r>
          </w:p>
        </w:tc>
        <w:tc>
          <w:tcPr>
            <w:tcW w:w="1968" w:type="dxa"/>
            <w:vAlign w:val="center"/>
          </w:tcPr>
          <w:p>
            <w:pPr>
              <w:pStyle w:val="30"/>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储液名称</w:t>
            </w:r>
          </w:p>
        </w:tc>
        <w:tc>
          <w:tcPr>
            <w:tcW w:w="2948" w:type="dxa"/>
            <w:vAlign w:val="center"/>
          </w:tcPr>
          <w:p>
            <w:pPr>
              <w:pStyle w:val="30"/>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最大储量（t）</w:t>
            </w:r>
          </w:p>
        </w:tc>
        <w:tc>
          <w:tcPr>
            <w:tcW w:w="2071" w:type="dxa"/>
            <w:vAlign w:val="center"/>
          </w:tcPr>
          <w:p>
            <w:pPr>
              <w:pStyle w:val="30"/>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事故类别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管道天然气</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天然气</w:t>
            </w:r>
          </w:p>
        </w:tc>
        <w:tc>
          <w:tcPr>
            <w:tcW w:w="294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不储存</w:t>
            </w:r>
          </w:p>
        </w:tc>
        <w:tc>
          <w:tcPr>
            <w:tcW w:w="2071" w:type="dxa"/>
            <w:vAlign w:val="center"/>
          </w:tcPr>
          <w:p>
            <w:pPr>
              <w:pStyle w:val="30"/>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jc w:val="center"/>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生产车间</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eastAsia="zh-CN"/>
              </w:rPr>
              <w:t>除油剂</w:t>
            </w:r>
          </w:p>
        </w:tc>
        <w:tc>
          <w:tcPr>
            <w:tcW w:w="294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4.5</w:t>
            </w:r>
          </w:p>
        </w:tc>
        <w:tc>
          <w:tcPr>
            <w:tcW w:w="2071" w:type="dxa"/>
            <w:vAlign w:val="center"/>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生产车间</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硅烷</w:t>
            </w:r>
          </w:p>
        </w:tc>
        <w:tc>
          <w:tcPr>
            <w:tcW w:w="294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3.75</w:t>
            </w:r>
          </w:p>
        </w:tc>
        <w:tc>
          <w:tcPr>
            <w:tcW w:w="2071" w:type="dxa"/>
            <w:vAlign w:val="center"/>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top"/>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危废间</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eastAsia="zh-CN"/>
              </w:rPr>
              <w:t>废活性炭</w:t>
            </w:r>
          </w:p>
        </w:tc>
        <w:tc>
          <w:tcPr>
            <w:tcW w:w="294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0.1</w:t>
            </w:r>
          </w:p>
        </w:tc>
        <w:tc>
          <w:tcPr>
            <w:tcW w:w="2071" w:type="dxa"/>
            <w:vAlign w:val="center"/>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top"/>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原料仓库</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val="en-US" w:eastAsia="zh-CN"/>
              </w:rPr>
              <w:t>油漆</w:t>
            </w:r>
          </w:p>
        </w:tc>
        <w:tc>
          <w:tcPr>
            <w:tcW w:w="294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val="en-US" w:eastAsia="zh-CN"/>
              </w:rPr>
              <w:t>0.3</w:t>
            </w:r>
          </w:p>
        </w:tc>
        <w:tc>
          <w:tcPr>
            <w:tcW w:w="2071" w:type="dxa"/>
            <w:vAlign w:val="center"/>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1293" w:type="dxa"/>
            <w:vAlign w:val="top"/>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原料仓库</w:t>
            </w:r>
          </w:p>
        </w:tc>
        <w:tc>
          <w:tcPr>
            <w:tcW w:w="1968"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稀释剂</w:t>
            </w:r>
          </w:p>
        </w:tc>
        <w:tc>
          <w:tcPr>
            <w:tcW w:w="2948" w:type="dxa"/>
            <w:vAlign w:val="top"/>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hAnsiTheme="minorEastAsia" w:eastAsiaTheme="minorEastAsia"/>
                <w:color w:val="auto"/>
                <w:kern w:val="2"/>
                <w:sz w:val="24"/>
                <w:szCs w:val="24"/>
                <w:lang w:val="en-US" w:eastAsia="zh-CN"/>
              </w:rPr>
              <w:t>0.3</w:t>
            </w:r>
          </w:p>
        </w:tc>
        <w:tc>
          <w:tcPr>
            <w:tcW w:w="2071" w:type="dxa"/>
            <w:vAlign w:val="center"/>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r>
              <w:rPr>
                <w:rFonts w:hint="default" w:ascii="Times New Roman" w:hAnsi="Times New Roman" w:cs="Times New Roman" w:eastAsiaTheme="minorEastAsia"/>
                <w:color w:val="auto"/>
                <w:kern w:val="2"/>
                <w:sz w:val="24"/>
                <w:szCs w:val="24"/>
              </w:rPr>
              <w:t>泄漏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261" w:type="dxa"/>
            <w:gridSpan w:val="2"/>
            <w:vAlign w:val="top"/>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hAnsiTheme="minorEastAsia" w:eastAsiaTheme="minorEastAsia"/>
                <w:color w:val="auto"/>
                <w:kern w:val="0"/>
                <w:sz w:val="24"/>
                <w:szCs w:val="24"/>
                <w:lang w:val="en-US" w:eastAsia="zh-CN"/>
              </w:rPr>
            </w:pPr>
            <w:r>
              <w:rPr>
                <w:rFonts w:hint="eastAsia" w:hAnsiTheme="minorEastAsia" w:eastAsiaTheme="minorEastAsia"/>
                <w:color w:val="auto"/>
                <w:kern w:val="0"/>
                <w:sz w:val="24"/>
                <w:szCs w:val="24"/>
                <w:lang w:val="en-US" w:eastAsia="zh-CN"/>
              </w:rPr>
              <w:t>合计</w:t>
            </w:r>
          </w:p>
        </w:tc>
        <w:tc>
          <w:tcPr>
            <w:tcW w:w="0" w:type="auto"/>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hAnsiTheme="minorEastAsia" w:eastAsiaTheme="minorEastAsia"/>
                <w:color w:val="auto"/>
                <w:kern w:val="2"/>
                <w:sz w:val="24"/>
                <w:szCs w:val="24"/>
                <w:lang w:val="en-US" w:eastAsia="zh-CN"/>
              </w:rPr>
            </w:pPr>
            <w:r>
              <w:rPr>
                <w:rFonts w:hint="eastAsia" w:hAnsiTheme="minorEastAsia" w:eastAsiaTheme="minorEastAsia"/>
                <w:color w:val="auto"/>
                <w:kern w:val="2"/>
                <w:sz w:val="24"/>
                <w:szCs w:val="24"/>
                <w:lang w:val="en-US" w:eastAsia="zh-CN"/>
              </w:rPr>
              <w:t>8.95</w:t>
            </w:r>
          </w:p>
        </w:tc>
        <w:tc>
          <w:tcPr>
            <w:tcW w:w="0" w:type="auto"/>
          </w:tcPr>
          <w:p>
            <w:pPr>
              <w:keepNext w:val="0"/>
              <w:keepLines w:val="0"/>
              <w:pageBreakBefore w:val="0"/>
              <w:widowControl w:val="0"/>
              <w:suppressLineNumbers w:val="0"/>
              <w:kinsoku/>
              <w:wordWrap/>
              <w:overflowPunct/>
              <w:topLinePunct w:val="0"/>
              <w:bidi w:val="0"/>
              <w:adjustRightInd/>
              <w:snapToGrid/>
              <w:spacing w:before="0" w:beforeAutospacing="0" w:after="0" w:afterAutospacing="0" w:line="240" w:lineRule="auto"/>
              <w:ind w:left="0" w:right="0" w:firstLine="480" w:firstLineChars="200"/>
              <w:jc w:val="center"/>
              <w:textAlignment w:val="auto"/>
              <w:rPr>
                <w:rFonts w:hint="default" w:ascii="Times New Roman" w:hAnsi="Times New Roman" w:cs="Times New Roman" w:eastAsiaTheme="minorEastAsia"/>
                <w:color w:val="auto"/>
                <w:kern w:val="2"/>
                <w:sz w:val="24"/>
                <w:szCs w:val="24"/>
              </w:rPr>
            </w:pPr>
          </w:p>
        </w:tc>
      </w:tr>
    </w:tbl>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从物质的危险特性分析得知，</w:t>
      </w:r>
      <w:r>
        <w:rPr>
          <w:rFonts w:hint="eastAsia" w:ascii="Times New Roman" w:hAnsi="Times New Roman" w:eastAsia="宋体" w:cs="Times New Roman"/>
          <w:color w:val="auto"/>
          <w:sz w:val="24"/>
          <w:szCs w:val="24"/>
          <w:lang w:val="en-US" w:eastAsia="zh-CN"/>
        </w:rPr>
        <w:t>危险化学品</w:t>
      </w:r>
      <w:r>
        <w:rPr>
          <w:rFonts w:hint="default" w:ascii="Times New Roman" w:hAnsi="Times New Roman" w:eastAsia="宋体" w:cs="Times New Roman"/>
          <w:color w:val="auto"/>
          <w:sz w:val="24"/>
          <w:szCs w:val="24"/>
          <w:lang w:val="en-US" w:eastAsia="zh-CN"/>
        </w:rPr>
        <w:t>常温常压储存于</w:t>
      </w:r>
      <w:r>
        <w:rPr>
          <w:rFonts w:hint="eastAsia" w:ascii="Times New Roman" w:hAnsi="Times New Roman" w:eastAsia="宋体" w:cs="Times New Roman"/>
          <w:color w:val="auto"/>
          <w:sz w:val="24"/>
          <w:szCs w:val="24"/>
          <w:lang w:val="en-US" w:eastAsia="zh-CN"/>
        </w:rPr>
        <w:t>桶罐</w:t>
      </w:r>
      <w:r>
        <w:rPr>
          <w:rFonts w:hint="default" w:ascii="Times New Roman" w:hAnsi="Times New Roman" w:eastAsia="宋体" w:cs="Times New Roman"/>
          <w:color w:val="auto"/>
          <w:sz w:val="24"/>
          <w:szCs w:val="24"/>
          <w:lang w:val="en-US" w:eastAsia="zh-CN"/>
        </w:rPr>
        <w:t>中，公司在</w:t>
      </w:r>
      <w:r>
        <w:rPr>
          <w:rFonts w:hint="eastAsia" w:ascii="Times New Roman" w:hAnsi="Times New Roman" w:eastAsia="宋体" w:cs="Times New Roman"/>
          <w:color w:val="auto"/>
          <w:sz w:val="24"/>
          <w:szCs w:val="24"/>
          <w:lang w:val="en-US" w:eastAsia="zh-CN"/>
        </w:rPr>
        <w:t>桶罐</w:t>
      </w:r>
      <w:r>
        <w:rPr>
          <w:rFonts w:hint="default" w:ascii="Times New Roman" w:hAnsi="Times New Roman" w:eastAsia="宋体" w:cs="Times New Roman"/>
          <w:color w:val="auto"/>
          <w:sz w:val="24"/>
          <w:szCs w:val="24"/>
          <w:lang w:val="en-US" w:eastAsia="zh-CN"/>
        </w:rPr>
        <w:t>外围设置围堰及</w:t>
      </w:r>
      <w:r>
        <w:rPr>
          <w:rFonts w:hint="eastAsia" w:ascii="Times New Roman" w:hAnsi="Times New Roman" w:eastAsia="宋体" w:cs="Times New Roman"/>
          <w:color w:val="auto"/>
          <w:sz w:val="24"/>
          <w:szCs w:val="24"/>
          <w:lang w:val="en-US" w:eastAsia="zh-CN"/>
        </w:rPr>
        <w:t>防火提</w:t>
      </w:r>
      <w:r>
        <w:rPr>
          <w:rFonts w:hint="default" w:ascii="Times New Roman" w:hAnsi="Times New Roman" w:eastAsia="宋体" w:cs="Times New Roman"/>
          <w:color w:val="auto"/>
          <w:sz w:val="24"/>
          <w:szCs w:val="24"/>
          <w:lang w:val="en-US" w:eastAsia="zh-CN"/>
        </w:rPr>
        <w:t>，同时危废间地面防渗漏</w:t>
      </w:r>
      <w:r>
        <w:rPr>
          <w:rFonts w:hint="eastAsia" w:ascii="Times New Roman" w:hAnsi="Times New Roman" w:eastAsia="宋体" w:cs="Times New Roman"/>
          <w:color w:val="auto"/>
          <w:sz w:val="24"/>
          <w:szCs w:val="24"/>
          <w:lang w:val="en-US" w:eastAsia="zh-CN"/>
        </w:rPr>
        <w:t>、防腐蚀</w:t>
      </w:r>
      <w:r>
        <w:rPr>
          <w:rFonts w:hint="default" w:ascii="Times New Roman" w:hAnsi="Times New Roman" w:eastAsia="宋体" w:cs="Times New Roman"/>
          <w:color w:val="auto"/>
          <w:sz w:val="24"/>
          <w:szCs w:val="24"/>
          <w:lang w:val="en-US" w:eastAsia="zh-CN"/>
        </w:rPr>
        <w:t>处理，一般情况下发生概率极小。</w:t>
      </w:r>
    </w:p>
    <w:p>
      <w:pPr>
        <w:pStyle w:val="30"/>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jc w:val="both"/>
        <w:textAlignment w:val="auto"/>
        <w:rPr>
          <w:rFonts w:hint="default" w:ascii="Times New Roman" w:hAnsi="Times New Roman" w:cs="Times New Roman" w:eastAsiaTheme="minorEastAsia"/>
          <w:color w:val="auto"/>
          <w:sz w:val="24"/>
          <w:szCs w:val="24"/>
        </w:rPr>
      </w:pPr>
      <w:r>
        <w:rPr>
          <w:rFonts w:hint="default" w:ascii="Times New Roman" w:hAnsi="Times New Roman" w:eastAsia="宋体" w:cs="Times New Roman"/>
          <w:color w:val="auto"/>
          <w:sz w:val="24"/>
          <w:szCs w:val="24"/>
        </w:rPr>
        <w:t>事故发生因素主要由人为和操作不当引发</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各种事故类型及发生的频率见</w:t>
      </w:r>
      <w:r>
        <w:rPr>
          <w:rFonts w:hint="default" w:ascii="Times New Roman" w:hAnsi="Times New Roman" w:cs="Times New Roman" w:eastAsiaTheme="minorEastAsia"/>
          <w:color w:val="auto"/>
          <w:sz w:val="24"/>
          <w:szCs w:val="24"/>
        </w:rPr>
        <w:t>表4.2-2。</w:t>
      </w:r>
    </w:p>
    <w:p>
      <w:pPr>
        <w:pStyle w:val="30"/>
        <w:adjustRightInd/>
        <w:spacing w:line="360" w:lineRule="auto"/>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b/>
          <w:bCs/>
          <w:color w:val="auto"/>
          <w:szCs w:val="24"/>
        </w:rPr>
        <w:t>表4.2-2 不同程度事故的发生概率与对策措施</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4"/>
        <w:gridCol w:w="2225"/>
        <w:gridCol w:w="1892"/>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vAlign w:val="center"/>
          </w:tcPr>
          <w:p>
            <w:pPr>
              <w:pStyle w:val="30"/>
              <w:keepNext w:val="0"/>
              <w:keepLines w:val="0"/>
              <w:suppressLineNumbers w:val="0"/>
              <w:adjustRightInd/>
              <w:spacing w:before="0" w:beforeAutospacing="0" w:after="0" w:afterAutospacing="0" w:line="360" w:lineRule="auto"/>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事故名称</w:t>
            </w:r>
          </w:p>
        </w:tc>
        <w:tc>
          <w:tcPr>
            <w:tcW w:w="2225" w:type="dxa"/>
            <w:vAlign w:val="center"/>
          </w:tcPr>
          <w:p>
            <w:pPr>
              <w:pStyle w:val="30"/>
              <w:keepNext w:val="0"/>
              <w:keepLines w:val="0"/>
              <w:suppressLineNumbers w:val="0"/>
              <w:adjustRightInd/>
              <w:spacing w:before="0" w:beforeAutospacing="0" w:after="0" w:afterAutospacing="0" w:line="360" w:lineRule="auto"/>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发生概率（次/年）</w:t>
            </w:r>
          </w:p>
        </w:tc>
        <w:tc>
          <w:tcPr>
            <w:tcW w:w="1892" w:type="dxa"/>
            <w:vAlign w:val="center"/>
          </w:tcPr>
          <w:p>
            <w:pPr>
              <w:pStyle w:val="30"/>
              <w:keepNext w:val="0"/>
              <w:keepLines w:val="0"/>
              <w:suppressLineNumbers w:val="0"/>
              <w:adjustRightInd/>
              <w:spacing w:before="0" w:beforeAutospacing="0" w:after="0" w:afterAutospacing="0" w:line="360" w:lineRule="auto"/>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发生频率</w:t>
            </w:r>
          </w:p>
        </w:tc>
        <w:tc>
          <w:tcPr>
            <w:tcW w:w="2131" w:type="dxa"/>
            <w:vAlign w:val="center"/>
          </w:tcPr>
          <w:p>
            <w:pPr>
              <w:pStyle w:val="30"/>
              <w:keepNext w:val="0"/>
              <w:keepLines w:val="0"/>
              <w:suppressLineNumbers w:val="0"/>
              <w:adjustRightInd/>
              <w:spacing w:before="0" w:beforeAutospacing="0" w:after="0" w:afterAutospacing="0" w:line="360" w:lineRule="auto"/>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对策反应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管道、输送泵、阀门、槽车等损坏小型泄漏事故</w:t>
            </w:r>
          </w:p>
        </w:tc>
        <w:tc>
          <w:tcPr>
            <w:tcW w:w="2225"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-1</w:t>
            </w:r>
          </w:p>
        </w:tc>
        <w:tc>
          <w:tcPr>
            <w:tcW w:w="1892"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可能发生</w:t>
            </w:r>
          </w:p>
        </w:tc>
        <w:tc>
          <w:tcPr>
            <w:tcW w:w="2131"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必须采取措施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管线、阀门、</w:t>
            </w:r>
            <w:r>
              <w:rPr>
                <w:rFonts w:hint="eastAsia" w:ascii="Times New Roman" w:hAnsi="Times New Roman" w:cs="Times New Roman" w:eastAsiaTheme="minorEastAsia"/>
                <w:color w:val="auto"/>
                <w:szCs w:val="24"/>
                <w:lang w:eastAsia="zh-CN"/>
              </w:rPr>
              <w:t>桶罐</w:t>
            </w:r>
            <w:r>
              <w:rPr>
                <w:rFonts w:hint="default" w:ascii="Times New Roman" w:hAnsi="Times New Roman" w:cs="Times New Roman" w:eastAsiaTheme="minorEastAsia"/>
                <w:color w:val="auto"/>
                <w:szCs w:val="24"/>
              </w:rPr>
              <w:t>等破裂泄漏事故</w:t>
            </w:r>
          </w:p>
        </w:tc>
        <w:tc>
          <w:tcPr>
            <w:tcW w:w="2225"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-2</w:t>
            </w:r>
          </w:p>
        </w:tc>
        <w:tc>
          <w:tcPr>
            <w:tcW w:w="1892"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偶尔发生</w:t>
            </w:r>
          </w:p>
        </w:tc>
        <w:tc>
          <w:tcPr>
            <w:tcW w:w="2131"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需要采取措施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74"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管线、</w:t>
            </w:r>
            <w:r>
              <w:rPr>
                <w:rFonts w:hint="eastAsia" w:ascii="Times New Roman" w:hAnsi="Times New Roman" w:cs="Times New Roman" w:eastAsiaTheme="minorEastAsia"/>
                <w:color w:val="auto"/>
                <w:szCs w:val="24"/>
                <w:lang w:eastAsia="zh-CN"/>
              </w:rPr>
              <w:t>桶罐</w:t>
            </w:r>
            <w:r>
              <w:rPr>
                <w:rFonts w:hint="default" w:ascii="Times New Roman" w:hAnsi="Times New Roman" w:cs="Times New Roman" w:eastAsiaTheme="minorEastAsia"/>
                <w:color w:val="auto"/>
                <w:szCs w:val="24"/>
              </w:rPr>
              <w:t>、阀门等严重泄漏事故</w:t>
            </w:r>
          </w:p>
        </w:tc>
        <w:tc>
          <w:tcPr>
            <w:tcW w:w="2225"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-3</w:t>
            </w:r>
          </w:p>
        </w:tc>
        <w:tc>
          <w:tcPr>
            <w:tcW w:w="1892"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偶尔发生</w:t>
            </w:r>
          </w:p>
        </w:tc>
        <w:tc>
          <w:tcPr>
            <w:tcW w:w="2131"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采取对策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eastAsia" w:ascii="Times New Roman" w:hAnsi="Times New Roman" w:cs="Times New Roman" w:eastAsiaTheme="minorEastAsia"/>
                <w:color w:val="auto"/>
                <w:szCs w:val="24"/>
                <w:lang w:eastAsia="zh-CN"/>
              </w:rPr>
              <w:t>桶罐</w:t>
            </w:r>
            <w:r>
              <w:rPr>
                <w:rFonts w:hint="default" w:ascii="Times New Roman" w:hAnsi="Times New Roman" w:cs="Times New Roman" w:eastAsiaTheme="minorEastAsia"/>
                <w:color w:val="auto"/>
                <w:szCs w:val="24"/>
              </w:rPr>
              <w:t>出现重大爆炸、爆裂事故</w:t>
            </w:r>
          </w:p>
        </w:tc>
        <w:tc>
          <w:tcPr>
            <w:tcW w:w="2225"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-4</w:t>
            </w:r>
          </w:p>
        </w:tc>
        <w:tc>
          <w:tcPr>
            <w:tcW w:w="1892"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极少发生</w:t>
            </w:r>
          </w:p>
        </w:tc>
        <w:tc>
          <w:tcPr>
            <w:tcW w:w="2131"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关心和防范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74"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重大自然灾害引起再故</w:t>
            </w:r>
          </w:p>
        </w:tc>
        <w:tc>
          <w:tcPr>
            <w:tcW w:w="2225"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-5</w:t>
            </w:r>
            <w:r>
              <w:rPr>
                <w:rFonts w:hint="default" w:ascii="Times New Roman" w:hAnsi="Times New Roman" w:cs="Times New Roman" w:eastAsiaTheme="minorEastAsia"/>
                <w:color w:val="auto"/>
                <w:szCs w:val="24"/>
              </w:rPr>
              <w:t>~10</w:t>
            </w:r>
            <w:r>
              <w:rPr>
                <w:rFonts w:hint="default" w:ascii="Times New Roman" w:hAnsi="Times New Roman" w:cs="Times New Roman" w:eastAsiaTheme="minorEastAsia"/>
                <w:color w:val="auto"/>
                <w:szCs w:val="24"/>
                <w:vertAlign w:val="superscript"/>
              </w:rPr>
              <w:t>-6</w:t>
            </w:r>
          </w:p>
        </w:tc>
        <w:tc>
          <w:tcPr>
            <w:tcW w:w="1892"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很难发生</w:t>
            </w:r>
          </w:p>
        </w:tc>
        <w:tc>
          <w:tcPr>
            <w:tcW w:w="2131" w:type="dxa"/>
            <w:vAlign w:val="center"/>
          </w:tcPr>
          <w:p>
            <w:pPr>
              <w:pStyle w:val="30"/>
              <w:keepNext w:val="0"/>
              <w:keepLines w:val="0"/>
              <w:suppressLineNumbers w:val="0"/>
              <w:spacing w:before="0" w:beforeAutospacing="0" w:after="0" w:afterAutospacing="0"/>
              <w:ind w:left="0" w:right="0"/>
              <w:jc w:val="center"/>
              <w:rPr>
                <w:rFonts w:hint="default" w:ascii="Times New Roman" w:hAnsi="Times New Roman" w:cs="Times New Roman" w:eastAsiaTheme="minorEastAsia"/>
                <w:color w:val="auto"/>
                <w:szCs w:val="24"/>
              </w:rPr>
            </w:pPr>
            <w:r>
              <w:rPr>
                <w:rFonts w:hint="default" w:ascii="Times New Roman" w:hAnsi="Times New Roman" w:cs="Times New Roman" w:eastAsiaTheme="minorEastAsia"/>
                <w:color w:val="auto"/>
                <w:szCs w:val="24"/>
              </w:rPr>
              <w:t>注意关心</w:t>
            </w:r>
          </w:p>
        </w:tc>
      </w:tr>
    </w:tbl>
    <w:p>
      <w:pPr>
        <w:pStyle w:val="30"/>
        <w:adjustRightInd/>
        <w:spacing w:line="360" w:lineRule="auto"/>
        <w:ind w:firstLine="480" w:firstLineChars="200"/>
        <w:jc w:val="both"/>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从表4.2-2可见，输送管、输送泵、阀门、槽车等损坏泄漏事故相对较大，发生概率为10</w:t>
      </w:r>
      <w:r>
        <w:rPr>
          <w:rFonts w:hint="default" w:ascii="Times New Roman" w:hAnsi="Times New Roman" w:cs="Times New Roman" w:eastAsiaTheme="minorEastAsia"/>
          <w:color w:val="auto"/>
          <w:sz w:val="24"/>
          <w:szCs w:val="24"/>
          <w:vertAlign w:val="superscript"/>
        </w:rPr>
        <w:t>-1</w:t>
      </w:r>
      <w:r>
        <w:rPr>
          <w:rFonts w:hint="default" w:ascii="Times New Roman" w:hAnsi="Times New Roman" w:cs="Times New Roman" w:eastAsiaTheme="minorEastAsia"/>
          <w:color w:val="auto"/>
          <w:sz w:val="24"/>
          <w:szCs w:val="24"/>
        </w:rPr>
        <w:t>次/年，即每10年大约发生一次；而</w:t>
      </w:r>
      <w:r>
        <w:rPr>
          <w:rFonts w:hint="eastAsia" w:ascii="Times New Roman" w:hAnsi="Times New Roman" w:cs="Times New Roman" w:eastAsiaTheme="minorEastAsia"/>
          <w:color w:val="auto"/>
          <w:sz w:val="24"/>
          <w:szCs w:val="24"/>
          <w:lang w:eastAsia="zh-CN"/>
        </w:rPr>
        <w:t>桶罐</w:t>
      </w:r>
      <w:r>
        <w:rPr>
          <w:rFonts w:hint="default" w:ascii="Times New Roman" w:hAnsi="Times New Roman" w:cs="Times New Roman" w:eastAsiaTheme="minorEastAsia"/>
          <w:color w:val="auto"/>
          <w:sz w:val="24"/>
          <w:szCs w:val="24"/>
        </w:rPr>
        <w:t>出现重大爆裂、爆炸事故概率为10</w:t>
      </w:r>
      <w:r>
        <w:rPr>
          <w:rFonts w:hint="default" w:ascii="Times New Roman" w:hAnsi="Times New Roman" w:cs="Times New Roman" w:eastAsiaTheme="minorEastAsia"/>
          <w:color w:val="auto"/>
          <w:sz w:val="24"/>
          <w:szCs w:val="24"/>
          <w:vertAlign w:val="superscript"/>
        </w:rPr>
        <w:t>-4</w:t>
      </w:r>
      <w:r>
        <w:rPr>
          <w:rFonts w:hint="default" w:ascii="Times New Roman" w:hAnsi="Times New Roman" w:cs="Times New Roman" w:eastAsiaTheme="minorEastAsia"/>
          <w:color w:val="auto"/>
          <w:sz w:val="24"/>
          <w:szCs w:val="24"/>
        </w:rPr>
        <w:t>属于极少发生的事故。综合上述分析，</w:t>
      </w:r>
      <w:r>
        <w:rPr>
          <w:rFonts w:hint="default" w:ascii="Times New Roman" w:hAnsi="Times New Roman" w:cs="Times New Roman" w:eastAsiaTheme="minorEastAsia"/>
          <w:color w:val="auto"/>
          <w:sz w:val="24"/>
          <w:szCs w:val="24"/>
          <w:lang w:eastAsia="zh-CN"/>
        </w:rPr>
        <w:t>本公司</w:t>
      </w:r>
      <w:r>
        <w:rPr>
          <w:rFonts w:hint="default" w:ascii="Times New Roman" w:hAnsi="Times New Roman" w:cs="Times New Roman" w:eastAsiaTheme="minorEastAsia"/>
          <w:color w:val="auto"/>
          <w:sz w:val="24"/>
          <w:szCs w:val="24"/>
        </w:rPr>
        <w:t>发生事故主要部位为输送泵、阀门、槽车</w:t>
      </w:r>
      <w:r>
        <w:rPr>
          <w:rFonts w:hint="default" w:ascii="Times New Roman" w:hAnsi="Times New Roman" w:cs="Times New Roman" w:eastAsiaTheme="minorEastAsia"/>
          <w:color w:val="auto"/>
          <w:sz w:val="24"/>
          <w:szCs w:val="24"/>
          <w:lang w:eastAsia="zh-CN"/>
        </w:rPr>
        <w:t>、</w:t>
      </w:r>
      <w:r>
        <w:rPr>
          <w:rFonts w:hint="eastAsia" w:ascii="Times New Roman" w:hAnsi="Times New Roman" w:cs="Times New Roman" w:eastAsiaTheme="minorEastAsia"/>
          <w:color w:val="auto"/>
          <w:sz w:val="24"/>
          <w:szCs w:val="24"/>
          <w:lang w:eastAsia="zh-CN"/>
        </w:rPr>
        <w:t>桶罐</w:t>
      </w:r>
      <w:r>
        <w:rPr>
          <w:rFonts w:hint="default" w:ascii="Times New Roman" w:hAnsi="Times New Roman" w:cs="Times New Roman" w:eastAsiaTheme="minorEastAsia"/>
          <w:color w:val="auto"/>
          <w:sz w:val="24"/>
          <w:szCs w:val="24"/>
        </w:rPr>
        <w:t>等损坏，主要事故类型为</w:t>
      </w:r>
      <w:r>
        <w:rPr>
          <w:rFonts w:hint="eastAsia" w:ascii="Times New Roman" w:hAnsi="Times New Roman" w:cs="Times New Roman" w:eastAsiaTheme="minorEastAsia"/>
          <w:color w:val="auto"/>
          <w:sz w:val="24"/>
          <w:szCs w:val="24"/>
          <w:lang w:eastAsia="zh-CN"/>
        </w:rPr>
        <w:t>桶罐</w:t>
      </w:r>
      <w:r>
        <w:rPr>
          <w:rFonts w:hint="default" w:ascii="Times New Roman" w:hAnsi="Times New Roman" w:cs="Times New Roman" w:eastAsiaTheme="minorEastAsia"/>
          <w:color w:val="auto"/>
          <w:sz w:val="24"/>
          <w:szCs w:val="24"/>
        </w:rPr>
        <w:t>泄漏后造成</w:t>
      </w:r>
      <w:r>
        <w:rPr>
          <w:rFonts w:hint="default" w:ascii="Times New Roman" w:hAnsi="Times New Roman" w:cs="Times New Roman" w:eastAsiaTheme="minorEastAsia"/>
          <w:color w:val="auto"/>
          <w:sz w:val="24"/>
          <w:szCs w:val="24"/>
          <w:lang w:eastAsia="zh-CN"/>
        </w:rPr>
        <w:t>大气环境、地表水环境、地</w:t>
      </w:r>
      <w:r>
        <w:rPr>
          <w:rFonts w:hint="default" w:ascii="Times New Roman" w:hAnsi="Times New Roman" w:cs="Times New Roman" w:eastAsiaTheme="minorEastAsia"/>
          <w:color w:val="auto"/>
          <w:sz w:val="24"/>
          <w:szCs w:val="24"/>
        </w:rPr>
        <w:t>水环境及土壤环境污染事件</w:t>
      </w:r>
      <w:r>
        <w:rPr>
          <w:rFonts w:hint="default" w:ascii="Times New Roman" w:hAnsi="Times New Roman" w:cs="Times New Roman" w:eastAsiaTheme="minorEastAsia"/>
          <w:color w:val="auto"/>
          <w:sz w:val="24"/>
          <w:szCs w:val="24"/>
          <w:lang w:eastAsia="zh-CN"/>
        </w:rPr>
        <w:t>，</w:t>
      </w:r>
      <w:r>
        <w:rPr>
          <w:rFonts w:hint="default" w:ascii="Times New Roman" w:hAnsi="Times New Roman" w:cs="Times New Roman" w:eastAsiaTheme="minorEastAsia"/>
          <w:color w:val="auto"/>
          <w:sz w:val="24"/>
          <w:szCs w:val="24"/>
        </w:rPr>
        <w:t>遇明火发生火灾</w:t>
      </w:r>
      <w:r>
        <w:rPr>
          <w:rFonts w:hint="default" w:ascii="Times New Roman" w:hAnsi="Times New Roman" w:cs="Times New Roman" w:eastAsiaTheme="minorEastAsia"/>
          <w:color w:val="auto"/>
          <w:sz w:val="24"/>
          <w:szCs w:val="24"/>
          <w:lang w:eastAsia="zh-CN"/>
        </w:rPr>
        <w:t>或爆炸</w:t>
      </w:r>
      <w:r>
        <w:rPr>
          <w:rFonts w:hint="default" w:ascii="Times New Roman" w:hAnsi="Times New Roman" w:cs="Times New Roman" w:eastAsiaTheme="minorEastAsia"/>
          <w:color w:val="auto"/>
          <w:sz w:val="24"/>
          <w:szCs w:val="24"/>
        </w:rPr>
        <w:t>事件，导致大气</w:t>
      </w:r>
      <w:r>
        <w:rPr>
          <w:rFonts w:hint="default" w:ascii="Times New Roman" w:hAnsi="Times New Roman" w:cs="Times New Roman" w:eastAsiaTheme="minorEastAsia"/>
          <w:color w:val="auto"/>
          <w:sz w:val="24"/>
          <w:szCs w:val="24"/>
          <w:lang w:eastAsia="zh-CN"/>
        </w:rPr>
        <w:t>环境</w:t>
      </w:r>
      <w:r>
        <w:rPr>
          <w:rFonts w:hint="default" w:ascii="Times New Roman" w:hAnsi="Times New Roman" w:cs="Times New Roman" w:eastAsiaTheme="minorEastAsia"/>
          <w:color w:val="auto"/>
          <w:sz w:val="24"/>
          <w:szCs w:val="24"/>
        </w:rPr>
        <w:t>污染。</w:t>
      </w:r>
    </w:p>
    <w:bookmarkEnd w:id="217"/>
    <w:bookmarkEnd w:id="218"/>
    <w:p>
      <w:pPr>
        <w:pStyle w:val="5"/>
        <w:ind w:firstLine="643"/>
        <w:rPr>
          <w:rFonts w:hint="default" w:ascii="Times New Roman" w:hAnsi="Times New Roman" w:cs="Times New Roman"/>
          <w:color w:val="auto"/>
          <w:highlight w:val="none"/>
        </w:rPr>
      </w:pPr>
      <w:bookmarkStart w:id="227" w:name="_Toc13336"/>
      <w:bookmarkStart w:id="228" w:name="_Toc3489_WPSOffice_Level1"/>
      <w:bookmarkStart w:id="229" w:name="_Toc2547"/>
      <w:bookmarkStart w:id="230" w:name="_Toc20541"/>
      <w:bookmarkStart w:id="231" w:name="_Toc30087"/>
      <w:bookmarkStart w:id="232" w:name="_Toc17306"/>
      <w:bookmarkStart w:id="233" w:name="_Toc17140"/>
      <w:bookmarkStart w:id="234" w:name="_Toc26627"/>
      <w:r>
        <w:rPr>
          <w:rFonts w:hint="default" w:ascii="Times New Roman" w:hAnsi="Times New Roman" w:cs="Times New Roman"/>
          <w:color w:val="auto"/>
          <w:highlight w:val="none"/>
        </w:rPr>
        <w:t>4.3 释放环境风险物质的扩散途径、涉及环境风险防控与应急措施、应急资源情况分析</w:t>
      </w:r>
      <w:bookmarkEnd w:id="227"/>
      <w:bookmarkEnd w:id="228"/>
      <w:bookmarkEnd w:id="229"/>
      <w:bookmarkEnd w:id="230"/>
      <w:bookmarkEnd w:id="231"/>
      <w:bookmarkEnd w:id="232"/>
    </w:p>
    <w:bookmarkEnd w:id="233"/>
    <w:bookmarkEnd w:id="234"/>
    <w:p>
      <w:pPr>
        <w:pStyle w:val="6"/>
        <w:pageBreakBefore w:val="0"/>
        <w:widowControl w:val="0"/>
        <w:kinsoku/>
        <w:wordWrap/>
        <w:overflowPunct/>
        <w:topLinePunct w:val="0"/>
        <w:autoSpaceDE w:val="0"/>
        <w:autoSpaceDN w:val="0"/>
        <w:bidi w:val="0"/>
        <w:adjustRightInd/>
        <w:snapToGrid/>
        <w:spacing w:line="360" w:lineRule="auto"/>
        <w:textAlignment w:val="auto"/>
        <w:outlineLvl w:val="1"/>
        <w:rPr>
          <w:rFonts w:hint="default" w:ascii="Times New Roman" w:hAnsi="Times New Roman" w:cs="Times New Roman"/>
          <w:color w:val="auto"/>
          <w:highlight w:val="none"/>
          <w:lang w:val="en-US" w:eastAsia="zh-CN"/>
        </w:rPr>
      </w:pPr>
      <w:bookmarkStart w:id="235" w:name="_Toc15228"/>
      <w:bookmarkStart w:id="236" w:name="_Toc26711"/>
      <w:bookmarkStart w:id="237" w:name="_Toc23308"/>
      <w:bookmarkStart w:id="238" w:name="_Toc23116"/>
      <w:bookmarkStart w:id="239" w:name="_Toc17065"/>
      <w:bookmarkStart w:id="240" w:name="_Toc7538"/>
      <w:bookmarkStart w:id="241" w:name="_Toc27700"/>
      <w:r>
        <w:rPr>
          <w:rFonts w:hint="default" w:ascii="Times New Roman" w:hAnsi="Times New Roman" w:cs="Times New Roman"/>
          <w:color w:val="auto"/>
          <w:highlight w:val="none"/>
        </w:rPr>
        <w:t>4.3.1</w:t>
      </w:r>
      <w:r>
        <w:rPr>
          <w:rFonts w:hint="default" w:ascii="Times New Roman" w:hAnsi="Times New Roman" w:cs="Times New Roman"/>
          <w:color w:val="auto"/>
          <w:highlight w:val="none"/>
          <w:lang w:val="en-US" w:eastAsia="zh-CN"/>
        </w:rPr>
        <w:t xml:space="preserve"> 扩散途径</w:t>
      </w:r>
      <w:bookmarkEnd w:id="235"/>
      <w:bookmarkEnd w:id="236"/>
      <w:bookmarkEnd w:id="237"/>
      <w:bookmarkEnd w:id="238"/>
      <w:bookmarkEnd w:id="239"/>
    </w:p>
    <w:p>
      <w:pPr>
        <w:pStyle w:val="3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2"/>
          <w:highlight w:val="none"/>
        </w:rPr>
      </w:pPr>
      <w:r>
        <w:rPr>
          <w:rFonts w:hint="eastAsia" w:ascii="Times New Roman" w:hAnsi="Times New Roman" w:cs="Times New Roman" w:eastAsiaTheme="minorEastAsia"/>
          <w:color w:val="auto"/>
          <w:sz w:val="24"/>
          <w:szCs w:val="22"/>
          <w:highlight w:val="none"/>
          <w:lang w:eastAsia="zh-CN"/>
        </w:rPr>
        <w:t>危险</w:t>
      </w:r>
      <w:r>
        <w:rPr>
          <w:rFonts w:hint="eastAsia" w:ascii="Times New Roman" w:hAnsi="Times New Roman" w:eastAsia="宋体" w:cs="Times New Roman"/>
          <w:color w:val="auto"/>
          <w:sz w:val="24"/>
          <w:szCs w:val="24"/>
          <w:lang w:val="en-US" w:eastAsia="zh-CN"/>
        </w:rPr>
        <w:t>化学品</w:t>
      </w:r>
      <w:r>
        <w:rPr>
          <w:rFonts w:hint="eastAsia" w:ascii="Times New Roman" w:hAnsi="Times New Roman" w:cs="Times New Roman" w:eastAsiaTheme="minorEastAsia"/>
          <w:color w:val="auto"/>
          <w:sz w:val="24"/>
          <w:szCs w:val="22"/>
          <w:highlight w:val="none"/>
          <w:lang w:eastAsia="zh-CN"/>
        </w:rPr>
        <w:t>桶罐</w:t>
      </w:r>
      <w:r>
        <w:rPr>
          <w:rFonts w:hint="default" w:ascii="Times New Roman" w:hAnsi="Times New Roman" w:cs="Times New Roman" w:eastAsiaTheme="minorEastAsia"/>
          <w:color w:val="auto"/>
          <w:sz w:val="24"/>
          <w:szCs w:val="22"/>
          <w:highlight w:val="none"/>
        </w:rPr>
        <w:t>若发生</w:t>
      </w:r>
      <w:r>
        <w:rPr>
          <w:rFonts w:hint="eastAsia" w:ascii="Times New Roman" w:hAnsi="Times New Roman" w:cs="Times New Roman" w:eastAsiaTheme="minorEastAsia"/>
          <w:color w:val="auto"/>
          <w:sz w:val="24"/>
          <w:szCs w:val="22"/>
          <w:highlight w:val="none"/>
          <w:lang w:eastAsia="zh-CN"/>
        </w:rPr>
        <w:t>危险</w:t>
      </w:r>
      <w:r>
        <w:rPr>
          <w:rFonts w:hint="eastAsia" w:ascii="Times New Roman" w:hAnsi="Times New Roman" w:eastAsia="宋体" w:cs="Times New Roman"/>
          <w:color w:val="auto"/>
          <w:sz w:val="24"/>
          <w:szCs w:val="24"/>
          <w:lang w:val="en-US" w:eastAsia="zh-CN"/>
        </w:rPr>
        <w:t>化学品</w:t>
      </w:r>
      <w:r>
        <w:rPr>
          <w:rFonts w:hint="default" w:ascii="Times New Roman" w:hAnsi="Times New Roman" w:cs="Times New Roman" w:eastAsiaTheme="minorEastAsia"/>
          <w:color w:val="auto"/>
          <w:sz w:val="24"/>
          <w:szCs w:val="22"/>
          <w:highlight w:val="none"/>
        </w:rPr>
        <w:t>泄漏，泄漏物质</w:t>
      </w:r>
      <w:r>
        <w:rPr>
          <w:rFonts w:hint="default" w:ascii="Times New Roman" w:hAnsi="Times New Roman" w:cs="Times New Roman" w:eastAsiaTheme="minorEastAsia"/>
          <w:color w:val="auto"/>
          <w:sz w:val="24"/>
          <w:szCs w:val="22"/>
          <w:highlight w:val="none"/>
          <w:lang w:eastAsia="zh-CN"/>
        </w:rPr>
        <w:t>可能</w:t>
      </w:r>
      <w:r>
        <w:rPr>
          <w:rFonts w:hint="default" w:ascii="Times New Roman" w:hAnsi="Times New Roman" w:cs="Times New Roman" w:eastAsiaTheme="minorEastAsia"/>
          <w:color w:val="auto"/>
          <w:sz w:val="24"/>
          <w:szCs w:val="22"/>
          <w:highlight w:val="none"/>
        </w:rPr>
        <w:t>流入雨水管网或地表土壤，有可能造成地表水环境</w:t>
      </w:r>
      <w:r>
        <w:rPr>
          <w:rFonts w:hint="default" w:ascii="Times New Roman" w:hAnsi="Times New Roman" w:cs="Times New Roman" w:eastAsiaTheme="minorEastAsia"/>
          <w:color w:val="auto"/>
          <w:sz w:val="24"/>
          <w:szCs w:val="22"/>
          <w:highlight w:val="none"/>
          <w:lang w:eastAsia="zh-CN"/>
        </w:rPr>
        <w:t>、地下水环境及土壤</w:t>
      </w:r>
      <w:r>
        <w:rPr>
          <w:rFonts w:hint="default" w:ascii="Times New Roman" w:hAnsi="Times New Roman" w:cs="Times New Roman" w:eastAsiaTheme="minorEastAsia"/>
          <w:color w:val="auto"/>
          <w:sz w:val="24"/>
          <w:szCs w:val="22"/>
          <w:highlight w:val="none"/>
        </w:rPr>
        <w:t>环境污染；</w:t>
      </w:r>
    </w:p>
    <w:p>
      <w:pPr>
        <w:pStyle w:val="3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2"/>
          <w:highlight w:val="none"/>
        </w:rPr>
      </w:pPr>
      <w:r>
        <w:rPr>
          <w:rFonts w:hint="default" w:ascii="Times New Roman" w:hAnsi="Times New Roman" w:cs="Times New Roman" w:eastAsiaTheme="minorEastAsia"/>
          <w:color w:val="auto"/>
          <w:sz w:val="24"/>
          <w:szCs w:val="22"/>
          <w:highlight w:val="none"/>
        </w:rPr>
        <w:t>当发生火灾时，危化品燃烧产生的有毒气体</w:t>
      </w:r>
      <w:r>
        <w:rPr>
          <w:rFonts w:hint="default" w:ascii="Times New Roman" w:hAnsi="Times New Roman" w:cs="Times New Roman" w:eastAsiaTheme="minorEastAsia"/>
          <w:color w:val="auto"/>
          <w:sz w:val="24"/>
          <w:szCs w:val="22"/>
          <w:highlight w:val="none"/>
          <w:lang w:eastAsia="zh-CN"/>
        </w:rPr>
        <w:t>、烟尘等扩散，主要</w:t>
      </w:r>
      <w:r>
        <w:rPr>
          <w:rFonts w:hint="default" w:ascii="Times New Roman" w:hAnsi="Times New Roman" w:cs="Times New Roman" w:eastAsiaTheme="minorEastAsia"/>
          <w:color w:val="auto"/>
          <w:sz w:val="24"/>
          <w:szCs w:val="22"/>
          <w:highlight w:val="none"/>
        </w:rPr>
        <w:t>对人体</w:t>
      </w:r>
      <w:r>
        <w:rPr>
          <w:rFonts w:hint="default" w:ascii="Times New Roman" w:hAnsi="Times New Roman" w:cs="Times New Roman" w:eastAsiaTheme="minorEastAsia"/>
          <w:color w:val="auto"/>
          <w:sz w:val="24"/>
          <w:szCs w:val="22"/>
          <w:highlight w:val="none"/>
          <w:lang w:eastAsia="zh-CN"/>
        </w:rPr>
        <w:t>及周边环境将</w:t>
      </w:r>
      <w:r>
        <w:rPr>
          <w:rFonts w:hint="default" w:ascii="Times New Roman" w:hAnsi="Times New Roman" w:cs="Times New Roman" w:eastAsiaTheme="minorEastAsia"/>
          <w:color w:val="auto"/>
          <w:sz w:val="24"/>
          <w:szCs w:val="22"/>
          <w:highlight w:val="none"/>
        </w:rPr>
        <w:t>造成</w:t>
      </w:r>
      <w:r>
        <w:rPr>
          <w:rFonts w:hint="default" w:ascii="Times New Roman" w:hAnsi="Times New Roman" w:cs="Times New Roman" w:eastAsiaTheme="minorEastAsia"/>
          <w:color w:val="auto"/>
          <w:sz w:val="24"/>
          <w:szCs w:val="22"/>
          <w:highlight w:val="none"/>
          <w:lang w:eastAsia="zh-CN"/>
        </w:rPr>
        <w:t>一定影响</w:t>
      </w:r>
      <w:r>
        <w:rPr>
          <w:rFonts w:hint="default" w:ascii="Times New Roman" w:hAnsi="Times New Roman" w:cs="Times New Roman" w:eastAsiaTheme="minorEastAsia"/>
          <w:color w:val="auto"/>
          <w:sz w:val="24"/>
          <w:szCs w:val="22"/>
          <w:highlight w:val="none"/>
        </w:rPr>
        <w:t>；发生火灾事故后，灭火将产生消防废水，该废水中可能含有未燃烧或未燃尽的杂质，若直接排入水体，经造成一定的环境影响，特别是危化品</w:t>
      </w:r>
      <w:r>
        <w:rPr>
          <w:rFonts w:hint="default" w:ascii="Times New Roman" w:hAnsi="Times New Roman" w:cs="Times New Roman" w:eastAsiaTheme="minorEastAsia"/>
          <w:color w:val="auto"/>
          <w:sz w:val="24"/>
          <w:szCs w:val="22"/>
          <w:highlight w:val="none"/>
          <w:lang w:eastAsia="zh-CN"/>
        </w:rPr>
        <w:t>区域</w:t>
      </w:r>
      <w:r>
        <w:rPr>
          <w:rFonts w:hint="eastAsia" w:ascii="Times New Roman" w:hAnsi="Times New Roman" w:cs="Times New Roman" w:eastAsiaTheme="minorEastAsia"/>
          <w:color w:val="auto"/>
          <w:sz w:val="24"/>
          <w:szCs w:val="22"/>
          <w:highlight w:val="none"/>
          <w:lang w:eastAsia="zh-CN"/>
        </w:rPr>
        <w:t>和生产车间</w:t>
      </w:r>
      <w:r>
        <w:rPr>
          <w:rFonts w:hint="default" w:ascii="Times New Roman" w:hAnsi="Times New Roman" w:cs="Times New Roman" w:eastAsiaTheme="minorEastAsia"/>
          <w:color w:val="auto"/>
          <w:sz w:val="24"/>
          <w:szCs w:val="22"/>
          <w:highlight w:val="none"/>
        </w:rPr>
        <w:t>，为消防废水收集的重点区域。</w:t>
      </w:r>
    </w:p>
    <w:p>
      <w:pPr>
        <w:pStyle w:val="6"/>
        <w:pageBreakBefore w:val="0"/>
        <w:widowControl w:val="0"/>
        <w:kinsoku/>
        <w:wordWrap/>
        <w:overflowPunct/>
        <w:topLinePunct w:val="0"/>
        <w:autoSpaceDE w:val="0"/>
        <w:autoSpaceDN w:val="0"/>
        <w:bidi w:val="0"/>
        <w:adjustRightInd/>
        <w:snapToGrid/>
        <w:spacing w:line="360" w:lineRule="auto"/>
        <w:textAlignment w:val="auto"/>
        <w:outlineLvl w:val="1"/>
        <w:rPr>
          <w:rFonts w:hint="default" w:ascii="Times New Roman" w:hAnsi="Times New Roman" w:cs="Times New Roman"/>
          <w:color w:val="auto"/>
          <w:highlight w:val="none"/>
        </w:rPr>
      </w:pPr>
      <w:bookmarkStart w:id="242" w:name="_Toc10872"/>
      <w:bookmarkStart w:id="243" w:name="_Toc11753"/>
      <w:bookmarkStart w:id="244" w:name="_Toc17552"/>
      <w:bookmarkStart w:id="245" w:name="_Toc24375"/>
      <w:bookmarkStart w:id="246" w:name="_Toc19251"/>
      <w:r>
        <w:rPr>
          <w:rFonts w:hint="default" w:ascii="Times New Roman" w:hAnsi="Times New Roman" w:cs="Times New Roman"/>
          <w:color w:val="auto"/>
          <w:highlight w:val="none"/>
          <w:lang w:val="en-US" w:eastAsia="zh-CN"/>
        </w:rPr>
        <w:t>4.3</w:t>
      </w:r>
      <w:r>
        <w:rPr>
          <w:rFonts w:hint="default" w:ascii="Times New Roman" w:hAnsi="Times New Roman" w:cs="Times New Roman"/>
          <w:color w:val="auto"/>
          <w:highlight w:val="none"/>
        </w:rPr>
        <w:t>.2泄漏应急措施及应急资源分析</w:t>
      </w:r>
      <w:bookmarkEnd w:id="242"/>
      <w:bookmarkEnd w:id="243"/>
      <w:bookmarkEnd w:id="244"/>
      <w:bookmarkEnd w:id="245"/>
      <w:bookmarkEnd w:id="246"/>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对于危险</w:t>
      </w:r>
      <w:r>
        <w:rPr>
          <w:rFonts w:hint="eastAsia" w:asciiTheme="minorEastAsia" w:hAnsiTheme="minorEastAsia" w:eastAsiaTheme="minorEastAsia" w:cstheme="minorEastAsia"/>
          <w:color w:val="auto"/>
          <w:sz w:val="24"/>
          <w:szCs w:val="24"/>
          <w:lang w:val="en-US" w:eastAsia="zh-CN"/>
        </w:rPr>
        <w:t>化学品、天然气</w:t>
      </w:r>
      <w:r>
        <w:rPr>
          <w:rFonts w:hint="eastAsia" w:asciiTheme="minorEastAsia" w:hAnsiTheme="minorEastAsia" w:eastAsiaTheme="minorEastAsia" w:cstheme="minorEastAsia"/>
          <w:color w:val="auto"/>
          <w:sz w:val="24"/>
          <w:szCs w:val="24"/>
          <w:highlight w:val="none"/>
          <w:lang w:eastAsia="zh-CN"/>
        </w:rPr>
        <w:t>泄漏及泄漏引起的火灾、爆炸事件等</w:t>
      </w:r>
      <w:r>
        <w:rPr>
          <w:rFonts w:hint="eastAsia" w:asciiTheme="minorEastAsia" w:hAnsiTheme="minorEastAsia" w:eastAsiaTheme="minorEastAsia" w:cstheme="minorEastAsia"/>
          <w:color w:val="auto"/>
          <w:sz w:val="24"/>
          <w:szCs w:val="24"/>
          <w:highlight w:val="none"/>
        </w:rPr>
        <w:t>应急措施</w:t>
      </w:r>
      <w:r>
        <w:rPr>
          <w:rFonts w:hint="eastAsia" w:asciiTheme="minorEastAsia" w:hAnsiTheme="minorEastAsia" w:eastAsiaTheme="minorEastAsia" w:cstheme="minorEastAsia"/>
          <w:color w:val="auto"/>
          <w:sz w:val="24"/>
          <w:szCs w:val="24"/>
          <w:highlight w:val="none"/>
          <w:lang w:eastAsia="zh-CN"/>
        </w:rPr>
        <w:t>参见《突发环境事件应急预案》中“应急响应措施”内容。</w:t>
      </w:r>
    </w:p>
    <w:bookmarkEnd w:id="240"/>
    <w:bookmarkEnd w:id="241"/>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247" w:name="_Toc20162_WPSOffice_Level1"/>
      <w:r>
        <w:rPr>
          <w:rFonts w:hint="eastAsia" w:asciiTheme="minorEastAsia" w:hAnsiTheme="minorEastAsia" w:eastAsiaTheme="minorEastAsia" w:cstheme="minorEastAsia"/>
          <w:color w:val="auto"/>
          <w:sz w:val="24"/>
          <w:szCs w:val="24"/>
          <w:highlight w:val="none"/>
        </w:rPr>
        <w:t>应急资源：公司现有应急物资、应急救援队伍；周边企业应急物资、救援队伍；当地消防队伍</w:t>
      </w:r>
      <w:r>
        <w:rPr>
          <w:rFonts w:hint="eastAsia" w:asciiTheme="minorEastAsia" w:hAnsiTheme="minorEastAsia" w:eastAsiaTheme="minorEastAsia" w:cstheme="minorEastAsia"/>
          <w:color w:val="auto"/>
          <w:sz w:val="24"/>
          <w:szCs w:val="24"/>
          <w:highlight w:val="none"/>
          <w:lang w:eastAsia="zh-CN"/>
        </w:rPr>
        <w:t>等，具体参见</w:t>
      </w:r>
      <w:r>
        <w:rPr>
          <w:rFonts w:hint="eastAsia" w:asciiTheme="minorEastAsia" w:hAnsiTheme="minorEastAsia" w:eastAsiaTheme="minorEastAsia" w:cstheme="minorEastAsia"/>
          <w:color w:val="auto"/>
          <w:sz w:val="24"/>
          <w:szCs w:val="24"/>
          <w:highlight w:val="none"/>
          <w:lang w:val="en-US" w:eastAsia="zh-CN"/>
        </w:rPr>
        <w:t>3.7现有应急物资、装备及救援物资</w:t>
      </w:r>
      <w:r>
        <w:rPr>
          <w:rFonts w:hint="eastAsia" w:asciiTheme="minorEastAsia" w:hAnsiTheme="minorEastAsia" w:eastAsiaTheme="minorEastAsia" w:cstheme="minorEastAsia"/>
          <w:color w:val="auto"/>
          <w:sz w:val="24"/>
          <w:szCs w:val="24"/>
          <w:highlight w:val="none"/>
          <w:lang w:eastAsia="zh-CN"/>
        </w:rPr>
        <w:t>内容</w:t>
      </w:r>
      <w:r>
        <w:rPr>
          <w:rFonts w:hint="eastAsia" w:asciiTheme="minorEastAsia" w:hAnsiTheme="minorEastAsia" w:eastAsiaTheme="minorEastAsia" w:cstheme="minorEastAsia"/>
          <w:color w:val="auto"/>
          <w:sz w:val="24"/>
          <w:szCs w:val="24"/>
          <w:highlight w:val="none"/>
        </w:rPr>
        <w:t>。</w:t>
      </w:r>
    </w:p>
    <w:bookmarkEnd w:id="247"/>
    <w:p>
      <w:pPr>
        <w:pStyle w:val="5"/>
        <w:pageBreakBefore w:val="0"/>
        <w:widowControl w:val="0"/>
        <w:kinsoku/>
        <w:wordWrap/>
        <w:overflowPunct/>
        <w:topLinePunct w:val="0"/>
        <w:autoSpaceDE w:val="0"/>
        <w:autoSpaceDN w:val="0"/>
        <w:bidi w:val="0"/>
        <w:adjustRightInd/>
        <w:snapToGrid/>
        <w:spacing w:line="360" w:lineRule="auto"/>
        <w:textAlignment w:val="auto"/>
        <w:rPr>
          <w:rFonts w:hint="default" w:ascii="Times New Roman" w:hAnsi="Times New Roman" w:cs="Times New Roman" w:eastAsiaTheme="minorEastAsia"/>
          <w:color w:val="auto"/>
        </w:rPr>
      </w:pPr>
      <w:bookmarkStart w:id="248" w:name="_Toc26792"/>
      <w:bookmarkStart w:id="249" w:name="_Toc9296"/>
      <w:bookmarkStart w:id="250" w:name="_Toc8866"/>
      <w:bookmarkStart w:id="251" w:name="_Toc14738_WPSOffice_Level1"/>
      <w:bookmarkStart w:id="252" w:name="_Toc27275"/>
      <w:bookmarkStart w:id="253" w:name="_Toc11142"/>
      <w:r>
        <w:rPr>
          <w:rFonts w:hint="default" w:ascii="Times New Roman" w:hAnsi="Times New Roman" w:cs="Times New Roman" w:eastAsiaTheme="minorEastAsia"/>
          <w:color w:val="auto"/>
        </w:rPr>
        <w:t>4.</w:t>
      </w:r>
      <w:r>
        <w:rPr>
          <w:rFonts w:hint="default" w:ascii="Times New Roman" w:hAnsi="Times New Roman" w:cs="Times New Roman" w:eastAsiaTheme="minorEastAsia"/>
          <w:color w:val="auto"/>
          <w:lang w:val="en-US" w:eastAsia="zh-CN"/>
        </w:rPr>
        <w:t xml:space="preserve">4 </w:t>
      </w:r>
      <w:r>
        <w:rPr>
          <w:rFonts w:hint="default" w:ascii="Times New Roman" w:hAnsi="Times New Roman" w:cs="Times New Roman" w:eastAsiaTheme="minorEastAsia"/>
          <w:color w:val="auto"/>
        </w:rPr>
        <w:t>突发环境事件危害后果分析</w:t>
      </w:r>
      <w:bookmarkEnd w:id="248"/>
      <w:bookmarkEnd w:id="249"/>
      <w:bookmarkEnd w:id="250"/>
      <w:bookmarkEnd w:id="251"/>
      <w:bookmarkEnd w:id="252"/>
      <w:bookmarkEnd w:id="253"/>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rPr>
        <w:t>由4.2、4.3可知，本公司突发环境事件主要为地表水环境污染、大气环境污染</w:t>
      </w:r>
      <w:r>
        <w:rPr>
          <w:rFonts w:hint="eastAsia" w:asciiTheme="minorEastAsia" w:hAnsiTheme="minorEastAsia" w:eastAsiaTheme="minorEastAsia" w:cstheme="minorEastAsia"/>
          <w:color w:val="auto"/>
          <w:sz w:val="24"/>
          <w:szCs w:val="24"/>
          <w:lang w:eastAsia="zh-CN"/>
        </w:rPr>
        <w:t>、地下水环境</w:t>
      </w:r>
      <w:r>
        <w:rPr>
          <w:rFonts w:hint="eastAsia" w:asciiTheme="minorEastAsia" w:hAnsiTheme="minorEastAsia" w:eastAsiaTheme="minorEastAsia" w:cstheme="minorEastAsia"/>
          <w:color w:val="auto"/>
          <w:sz w:val="24"/>
          <w:szCs w:val="24"/>
        </w:rPr>
        <w:t>及土壤</w:t>
      </w:r>
      <w:r>
        <w:rPr>
          <w:rFonts w:hint="eastAsia" w:asciiTheme="minorEastAsia" w:hAnsiTheme="minorEastAsia" w:eastAsiaTheme="minorEastAsia" w:cstheme="minorEastAsia"/>
          <w:color w:val="auto"/>
          <w:sz w:val="24"/>
          <w:szCs w:val="24"/>
          <w:lang w:eastAsia="zh-CN"/>
        </w:rPr>
        <w:t>环境</w:t>
      </w:r>
      <w:r>
        <w:rPr>
          <w:rFonts w:hint="eastAsia" w:asciiTheme="minorEastAsia" w:hAnsiTheme="minorEastAsia" w:eastAsiaTheme="minorEastAsia" w:cstheme="minorEastAsia"/>
          <w:color w:val="auto"/>
          <w:sz w:val="24"/>
          <w:szCs w:val="24"/>
        </w:rPr>
        <w:t>污染，若发生</w:t>
      </w:r>
      <w:r>
        <w:rPr>
          <w:rFonts w:hint="eastAsia" w:asciiTheme="minorEastAsia" w:hAnsiTheme="minorEastAsia" w:eastAsiaTheme="minorEastAsia" w:cstheme="minorEastAsia"/>
          <w:color w:val="auto"/>
          <w:sz w:val="24"/>
          <w:szCs w:val="24"/>
          <w:highlight w:val="none"/>
          <w:lang w:eastAsia="zh-CN"/>
        </w:rPr>
        <w:t>危险废液、渗滤液</w:t>
      </w:r>
      <w:r>
        <w:rPr>
          <w:rFonts w:hint="eastAsia" w:asciiTheme="minorEastAsia" w:hAnsiTheme="minorEastAsia" w:eastAsiaTheme="minorEastAsia" w:cstheme="minorEastAsia"/>
          <w:color w:val="auto"/>
          <w:sz w:val="24"/>
          <w:szCs w:val="24"/>
          <w:lang w:eastAsia="zh-CN"/>
        </w:rPr>
        <w:t>泄漏、</w:t>
      </w:r>
      <w:r>
        <w:rPr>
          <w:rFonts w:hint="eastAsia" w:asciiTheme="minorEastAsia" w:hAnsiTheme="minorEastAsia" w:eastAsiaTheme="minorEastAsia" w:cstheme="minorEastAsia"/>
          <w:color w:val="auto"/>
          <w:sz w:val="24"/>
          <w:szCs w:val="24"/>
        </w:rPr>
        <w:t>火灾及爆炸情况主要影响下风向区域范围内居民，</w:t>
      </w:r>
      <w:r>
        <w:rPr>
          <w:rFonts w:hint="eastAsia" w:asciiTheme="minorEastAsia" w:hAnsiTheme="minorEastAsia" w:eastAsiaTheme="minorEastAsia" w:cstheme="minorEastAsia"/>
          <w:color w:val="auto"/>
          <w:sz w:val="24"/>
          <w:szCs w:val="24"/>
          <w:lang w:eastAsia="zh-CN"/>
        </w:rPr>
        <w:t>即西侧</w:t>
      </w:r>
      <w:r>
        <w:rPr>
          <w:rFonts w:hint="eastAsia" w:asciiTheme="minorEastAsia" w:hAnsiTheme="minorEastAsia" w:eastAsiaTheme="minorEastAsia" w:cstheme="minorEastAsia"/>
          <w:color w:val="auto"/>
          <w:sz w:val="24"/>
          <w:szCs w:val="24"/>
          <w:lang w:val="en-US" w:eastAsia="zh-CN"/>
        </w:rPr>
        <w:t>的千鸿花苑</w:t>
      </w:r>
      <w:r>
        <w:rPr>
          <w:rFonts w:hint="eastAsia" w:asciiTheme="minorEastAsia" w:hAnsiTheme="minorEastAsia" w:eastAsiaTheme="minorEastAsia" w:cstheme="minorEastAsia"/>
          <w:color w:val="auto"/>
          <w:sz w:val="24"/>
          <w:szCs w:val="24"/>
          <w:highlight w:val="none"/>
          <w:lang w:val="en-US" w:eastAsia="zh-CN"/>
        </w:rPr>
        <w:t>等，</w:t>
      </w:r>
      <w:r>
        <w:rPr>
          <w:rFonts w:hint="eastAsia" w:asciiTheme="minorEastAsia" w:hAnsiTheme="minorEastAsia" w:eastAsiaTheme="minorEastAsia" w:cstheme="minorEastAsia"/>
          <w:color w:val="auto"/>
          <w:sz w:val="24"/>
          <w:szCs w:val="24"/>
          <w:highlight w:val="none"/>
        </w:rPr>
        <w:t>需转移人数</w:t>
      </w:r>
      <w:r>
        <w:rPr>
          <w:rFonts w:hint="eastAsia" w:asciiTheme="minorEastAsia" w:hAnsiTheme="minorEastAsia" w:eastAsiaTheme="minorEastAsia" w:cstheme="minorEastAsia"/>
          <w:color w:val="auto"/>
          <w:sz w:val="24"/>
          <w:szCs w:val="24"/>
          <w:highlight w:val="none"/>
          <w:lang w:eastAsia="zh-CN"/>
        </w:rPr>
        <w:t>约</w:t>
      </w:r>
      <w:r>
        <w:rPr>
          <w:rFonts w:hint="eastAsia" w:asciiTheme="minorEastAsia" w:hAnsiTheme="minorEastAsia" w:eastAsiaTheme="minorEastAsia" w:cstheme="minorEastAsia"/>
          <w:color w:val="auto"/>
          <w:sz w:val="24"/>
          <w:szCs w:val="24"/>
          <w:highlight w:val="none"/>
          <w:lang w:val="en-US" w:eastAsia="zh-CN"/>
        </w:rPr>
        <w:t>800</w:t>
      </w:r>
      <w:r>
        <w:rPr>
          <w:rFonts w:hint="eastAsia" w:asciiTheme="minorEastAsia" w:hAnsiTheme="minorEastAsia" w:eastAsiaTheme="minorEastAsia" w:cstheme="minorEastAsia"/>
          <w:color w:val="auto"/>
          <w:sz w:val="24"/>
          <w:szCs w:val="24"/>
          <w:highlight w:val="none"/>
        </w:rPr>
        <w:t>人</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500m范围内村民人数约5000人</w:t>
      </w:r>
      <w:r>
        <w:rPr>
          <w:rFonts w:hint="eastAsia" w:asciiTheme="minorEastAsia" w:hAnsiTheme="minorEastAsia" w:eastAsiaTheme="minorEastAsia" w:cstheme="minorEastAsia"/>
          <w:color w:val="auto"/>
          <w:sz w:val="24"/>
          <w:szCs w:val="24"/>
          <w:highlight w:val="none"/>
          <w:lang w:eastAsia="zh-CN"/>
        </w:rPr>
        <w:t>；若危险化学品、消防废水大量泄露至车间外进入雨水管网，将对袁河产生一定的影响；由于公司危险废液为罐装，发生泄漏的可能性很小，储存量较少，且危废间设围堰、地下槽等，危险废液泄漏量到仓库外可能性较小，对地下水及土壤影响较小，主要影响范围在厂内。</w:t>
      </w:r>
    </w:p>
    <w:p>
      <w:pPr>
        <w:pStyle w:val="4"/>
        <w:rPr>
          <w:rFonts w:hint="default" w:ascii="Times New Roman" w:hAnsi="Times New Roman" w:cs="Times New Roman" w:eastAsiaTheme="minorEastAsia"/>
          <w:color w:val="auto"/>
        </w:rPr>
      </w:pPr>
      <w:bookmarkStart w:id="254" w:name="_Toc21985"/>
      <w:bookmarkStart w:id="255" w:name="_Toc21223"/>
      <w:bookmarkStart w:id="256" w:name="_Toc24011"/>
      <w:bookmarkStart w:id="257" w:name="_Toc9782"/>
      <w:bookmarkStart w:id="258" w:name="_Toc8633_WPSOffice_Level1"/>
      <w:bookmarkStart w:id="259" w:name="_Toc12222"/>
      <w:r>
        <w:rPr>
          <w:rFonts w:hint="default" w:ascii="Times New Roman" w:hAnsi="Times New Roman" w:cs="Times New Roman" w:eastAsiaTheme="minorEastAsia"/>
          <w:color w:val="auto"/>
        </w:rPr>
        <w:t>5现有环境风险防控和应急措施差距分析</w:t>
      </w:r>
      <w:bookmarkEnd w:id="254"/>
      <w:bookmarkEnd w:id="255"/>
      <w:bookmarkEnd w:id="256"/>
      <w:bookmarkEnd w:id="257"/>
      <w:bookmarkEnd w:id="258"/>
      <w:bookmarkEnd w:id="259"/>
    </w:p>
    <w:p>
      <w:pPr>
        <w:keepNext w:val="0"/>
        <w:keepLines w:val="0"/>
        <w:pageBreakBefore w:val="0"/>
        <w:widowControl/>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Cs w:val="28"/>
        </w:rPr>
      </w:pPr>
      <w:r>
        <w:rPr>
          <w:rFonts w:hint="default" w:ascii="Times New Roman" w:hAnsi="Times New Roman" w:cs="Times New Roman" w:eastAsiaTheme="minorEastAsia"/>
          <w:color w:val="auto"/>
          <w:sz w:val="24"/>
          <w:szCs w:val="24"/>
        </w:rPr>
        <w:t>本次评估从以下五个方面对现有环境风险防控与应急措施的完备性、可靠性和有效性进行分析论证，找出差距、问题，提出需要整改的项目内容</w:t>
      </w:r>
      <w:r>
        <w:rPr>
          <w:rFonts w:hint="default" w:ascii="Times New Roman" w:hAnsi="Times New Roman" w:cs="Times New Roman" w:eastAsiaTheme="minorEastAsia"/>
          <w:color w:val="auto"/>
          <w:szCs w:val="28"/>
        </w:rPr>
        <w:t>。</w:t>
      </w:r>
    </w:p>
    <w:p>
      <w:pPr>
        <w:widowControl/>
        <w:ind w:firstLine="560"/>
        <w:jc w:val="center"/>
        <w:rPr>
          <w:rFonts w:hint="default" w:ascii="Times New Roman" w:hAnsi="Times New Roman" w:cs="Times New Roman" w:eastAsiaTheme="minorEastAsia"/>
          <w:color w:val="auto"/>
          <w:szCs w:val="28"/>
        </w:rPr>
      </w:pPr>
      <w:bookmarkStart w:id="260" w:name="_Toc26213_WPSOffice_Level2"/>
      <w:r>
        <w:rPr>
          <w:rFonts w:hint="default" w:ascii="Times New Roman" w:hAnsi="Times New Roman" w:cs="Times New Roman" w:eastAsiaTheme="minorEastAsia"/>
          <w:color w:val="auto"/>
          <w:szCs w:val="28"/>
        </w:rPr>
        <w:t>表5-1企业现有风险防措施差距分析表</w:t>
      </w:r>
      <w:bookmarkEnd w:id="260"/>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3195"/>
        <w:gridCol w:w="3075"/>
        <w:gridCol w:w="14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防控措施要求</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现有企业防控措施</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有效性分析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环境风险管理</w:t>
            </w: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企业是否建立环境风险防控管理制度，环境风险的雷点岗位的责任人或责任机构是否明确，定期巡检和维护责任是否明确</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已建立健全的环境应急管理体系，</w:t>
            </w:r>
            <w:r>
              <w:rPr>
                <w:rFonts w:hint="default" w:ascii="Times New Roman" w:hAnsi="Times New Roman" w:cs="Times New Roman"/>
                <w:color w:val="auto"/>
                <w:kern w:val="2"/>
                <w:lang w:eastAsia="zh-CN"/>
              </w:rPr>
              <w:t>但</w:t>
            </w:r>
            <w:r>
              <w:rPr>
                <w:rFonts w:hint="default" w:ascii="Times New Roman" w:hAnsi="Times New Roman" w:cs="Times New Roman"/>
                <w:color w:val="auto"/>
                <w:kern w:val="2"/>
              </w:rPr>
              <w:t>突发环境风险事故应急预案</w:t>
            </w:r>
            <w:r>
              <w:rPr>
                <w:rFonts w:hint="default" w:ascii="Times New Roman" w:hAnsi="Times New Roman" w:cs="Times New Roman"/>
                <w:color w:val="auto"/>
                <w:kern w:val="2"/>
                <w:lang w:eastAsia="zh-CN"/>
              </w:rPr>
              <w:t>需重新备案</w:t>
            </w:r>
            <w:r>
              <w:rPr>
                <w:rFonts w:hint="default" w:ascii="Times New Roman" w:hAnsi="Times New Roman" w:cs="Times New Roman"/>
                <w:color w:val="auto"/>
                <w:kern w:val="2"/>
              </w:rPr>
              <w:t>。</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不符合要求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环评批复的各项环境风险防控措施要求是否严格执行</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环评及批复文件的各项环境风险防控和应急措施要求基本落实，已按要求建立环保管理机构及正常运行的环保管理制度，但还需根据突发环境事故应急预案进行完善；</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环境应急预案及演练的制度是否已建立并良好执行</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eastAsia" w:cs="Times New Roman"/>
                <w:color w:val="auto"/>
                <w:kern w:val="2"/>
                <w:lang w:eastAsia="zh-CN"/>
              </w:rPr>
              <w:t>未</w:t>
            </w:r>
            <w:r>
              <w:rPr>
                <w:rFonts w:hint="default" w:ascii="Times New Roman" w:hAnsi="Times New Roman" w:cs="Times New Roman"/>
                <w:color w:val="auto"/>
                <w:kern w:val="2"/>
              </w:rPr>
              <w:t>进行系统的应急预案演练</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eastAsia" w:cs="Times New Roman"/>
                <w:color w:val="auto"/>
                <w:kern w:val="2"/>
                <w:lang w:eastAsia="zh-CN"/>
              </w:rPr>
              <w:t>不</w:t>
            </w: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企业是否建立突发环境事件信息报告制度</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本公司尚</w:t>
            </w:r>
            <w:r>
              <w:rPr>
                <w:rFonts w:hint="default" w:ascii="Times New Roman" w:hAnsi="Times New Roman" w:cs="Times New Roman"/>
                <w:color w:val="auto"/>
                <w:kern w:val="2"/>
                <w:lang w:eastAsia="zh-CN"/>
              </w:rPr>
              <w:t>已</w:t>
            </w:r>
            <w:r>
              <w:rPr>
                <w:rFonts w:hint="default" w:ascii="Times New Roman" w:hAnsi="Times New Roman" w:cs="Times New Roman"/>
                <w:color w:val="auto"/>
                <w:kern w:val="2"/>
              </w:rPr>
              <w:t>建立突发环境事件信息报告制度</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监控预警措施</w:t>
            </w: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是否在每个废水、雨水等排放口对可能排出的污染物、 泄漏物的按照物质特性、 危害，设置监视、控制装置</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eastAsia="宋体" w:cs="Times New Roman"/>
                <w:color w:val="auto"/>
                <w:kern w:val="2"/>
                <w:lang w:eastAsia="zh-CN"/>
              </w:rPr>
            </w:pPr>
            <w:r>
              <w:rPr>
                <w:rFonts w:hint="eastAsia" w:cs="Times New Roman"/>
                <w:color w:val="auto"/>
                <w:kern w:val="2"/>
                <w:lang w:eastAsia="zh-CN"/>
              </w:rPr>
              <w:t>本公司</w:t>
            </w:r>
            <w:r>
              <w:rPr>
                <w:rFonts w:hint="default" w:ascii="Times New Roman" w:hAnsi="Times New Roman" w:cs="Times New Roman"/>
                <w:color w:val="auto"/>
                <w:kern w:val="2"/>
              </w:rPr>
              <w:t>在每个废水、雨水等排放口对可能排出的污染物、 泄漏物的按照物质特性、危害，设置监视、控制装置</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环境风险防范措施</w:t>
            </w: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是否采取防止事故排水、污染物等扩散、排出厂界的措施，包括截流措施、事故排水收渠措施、消净下水系统防控措施、雨水系统防控措施、生产废水系统防控措施等</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本公司</w:t>
            </w:r>
            <w:r>
              <w:rPr>
                <w:rFonts w:hint="eastAsia" w:cs="Times New Roman"/>
                <w:color w:val="auto"/>
                <w:kern w:val="2"/>
                <w:lang w:eastAsia="zh-CN"/>
              </w:rPr>
              <w:t>危险废液罐</w:t>
            </w:r>
            <w:r>
              <w:rPr>
                <w:rFonts w:hint="default" w:ascii="Times New Roman" w:hAnsi="Times New Roman" w:cs="Times New Roman"/>
                <w:color w:val="auto"/>
                <w:kern w:val="2"/>
              </w:rPr>
              <w:t>设</w:t>
            </w:r>
            <w:r>
              <w:rPr>
                <w:rFonts w:hint="eastAsia" w:cs="Times New Roman"/>
                <w:color w:val="auto"/>
                <w:kern w:val="2"/>
                <w:lang w:eastAsia="zh-CN"/>
              </w:rPr>
              <w:t>有</w:t>
            </w:r>
            <w:r>
              <w:rPr>
                <w:rFonts w:hint="default" w:ascii="Times New Roman" w:hAnsi="Times New Roman" w:cs="Times New Roman"/>
                <w:color w:val="auto"/>
                <w:kern w:val="2"/>
              </w:rPr>
              <w:t>围堰，同时设有</w:t>
            </w:r>
            <w:r>
              <w:rPr>
                <w:rFonts w:hint="default" w:ascii="Times New Roman" w:hAnsi="Times New Roman" w:cs="Times New Roman"/>
                <w:color w:val="auto"/>
                <w:kern w:val="2"/>
                <w:lang w:eastAsia="zh-CN"/>
              </w:rPr>
              <w:t>消防废水</w:t>
            </w:r>
            <w:r>
              <w:rPr>
                <w:rFonts w:hint="default" w:ascii="Times New Roman" w:hAnsi="Times New Roman" w:cs="Times New Roman"/>
                <w:color w:val="auto"/>
                <w:kern w:val="2"/>
              </w:rPr>
              <w:t>池用于事故废水储存；</w:t>
            </w:r>
            <w:r>
              <w:rPr>
                <w:rFonts w:hint="eastAsia" w:cs="Times New Roman"/>
                <w:color w:val="auto"/>
                <w:kern w:val="2"/>
                <w:lang w:eastAsia="zh-CN"/>
              </w:rPr>
              <w:t>危险废液</w:t>
            </w:r>
            <w:r>
              <w:rPr>
                <w:rFonts w:hint="default" w:ascii="Times New Roman" w:hAnsi="Times New Roman" w:cs="Times New Roman"/>
                <w:color w:val="auto"/>
                <w:kern w:val="2"/>
                <w:lang w:eastAsia="zh-CN"/>
              </w:rPr>
              <w:t>罐设事故应急池，</w:t>
            </w:r>
            <w:r>
              <w:rPr>
                <w:rFonts w:hint="default" w:ascii="Times New Roman" w:hAnsi="Times New Roman" w:cs="Times New Roman"/>
                <w:color w:val="auto"/>
                <w:kern w:val="2"/>
              </w:rPr>
              <w:t>公司清净水</w:t>
            </w:r>
            <w:r>
              <w:rPr>
                <w:rFonts w:hint="eastAsia" w:cs="Times New Roman"/>
                <w:color w:val="auto"/>
                <w:kern w:val="2"/>
                <w:lang w:eastAsia="zh-CN"/>
              </w:rPr>
              <w:t>循环使用，无生产废水产生</w:t>
            </w:r>
            <w:r>
              <w:rPr>
                <w:rFonts w:hint="default" w:ascii="Times New Roman" w:hAnsi="Times New Roman" w:cs="Times New Roman"/>
                <w:color w:val="auto"/>
                <w:kern w:val="2"/>
              </w:rPr>
              <w:t>；</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环境应急能力</w:t>
            </w: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是否按标准要求配备必要的环境应急物资和装备</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公司</w:t>
            </w:r>
            <w:r>
              <w:rPr>
                <w:rFonts w:hint="eastAsia" w:cs="Times New Roman"/>
                <w:color w:val="auto"/>
                <w:kern w:val="2"/>
                <w:lang w:eastAsia="zh-CN"/>
              </w:rPr>
              <w:t>未</w:t>
            </w:r>
            <w:r>
              <w:rPr>
                <w:rFonts w:hint="default" w:ascii="Times New Roman" w:hAnsi="Times New Roman" w:cs="Times New Roman"/>
                <w:color w:val="auto"/>
                <w:kern w:val="2"/>
              </w:rPr>
              <w:t>按标准配备必要的环境应急物资和装备</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eastAsia" w:cs="Times New Roman"/>
                <w:color w:val="auto"/>
                <w:kern w:val="2"/>
                <w:lang w:eastAsia="zh-CN"/>
              </w:rPr>
              <w:t>不</w:t>
            </w: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是否已设置专职或兼职人员组成的应急救援队伍</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已设置专职或兼职人员组成的应急救援队伍</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符合要求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11"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p>
        </w:tc>
        <w:tc>
          <w:tcPr>
            <w:tcW w:w="319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外部救援机构均为政府职能部门或服务性机构，公司是否与有关部门签订应急救援协议或互救协议</w:t>
            </w:r>
          </w:p>
        </w:tc>
        <w:tc>
          <w:tcPr>
            <w:tcW w:w="307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rPr>
              <w:t>公司</w:t>
            </w:r>
            <w:r>
              <w:rPr>
                <w:rFonts w:hint="default" w:ascii="Times New Roman" w:hAnsi="Times New Roman" w:cs="Times New Roman"/>
                <w:color w:val="auto"/>
                <w:kern w:val="2"/>
                <w:lang w:eastAsia="zh-CN"/>
              </w:rPr>
              <w:t>未与</w:t>
            </w:r>
            <w:r>
              <w:rPr>
                <w:rFonts w:hint="default" w:ascii="Times New Roman" w:hAnsi="Times New Roman" w:cs="Times New Roman"/>
                <w:color w:val="auto"/>
                <w:kern w:val="2"/>
              </w:rPr>
              <w:t>有关部门签订应急救援协议或互救协议</w:t>
            </w:r>
          </w:p>
        </w:tc>
        <w:tc>
          <w:tcPr>
            <w:tcW w:w="144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66" w:leftChars="-30" w:right="-66" w:rightChars="-30" w:firstLine="0" w:firstLineChars="0"/>
              <w:jc w:val="center"/>
              <w:textAlignment w:val="auto"/>
              <w:rPr>
                <w:rFonts w:hint="default" w:ascii="Times New Roman" w:hAnsi="Times New Roman" w:cs="Times New Roman"/>
                <w:color w:val="auto"/>
                <w:kern w:val="2"/>
              </w:rPr>
            </w:pPr>
            <w:r>
              <w:rPr>
                <w:rFonts w:hint="default" w:ascii="Times New Roman" w:hAnsi="Times New Roman" w:cs="Times New Roman"/>
                <w:color w:val="auto"/>
                <w:kern w:val="2"/>
                <w:lang w:eastAsia="zh-CN"/>
              </w:rPr>
              <w:t>不</w:t>
            </w:r>
            <w:r>
              <w:rPr>
                <w:rFonts w:hint="default" w:ascii="Times New Roman" w:hAnsi="Times New Roman" w:cs="Times New Roman"/>
                <w:color w:val="auto"/>
                <w:kern w:val="2"/>
              </w:rPr>
              <w:t>符合要求</w:t>
            </w:r>
          </w:p>
        </w:tc>
      </w:tr>
    </w:tbl>
    <w:p>
      <w:pPr>
        <w:pStyle w:val="5"/>
        <w:ind w:firstLine="643"/>
        <w:outlineLvl w:val="1"/>
        <w:rPr>
          <w:rFonts w:hint="default" w:ascii="Times New Roman" w:hAnsi="Times New Roman" w:cs="Times New Roman" w:eastAsiaTheme="minorEastAsia"/>
          <w:color w:val="auto"/>
        </w:rPr>
      </w:pPr>
      <w:bookmarkStart w:id="261" w:name="_Toc136"/>
      <w:bookmarkStart w:id="262" w:name="_Toc5772"/>
      <w:bookmarkStart w:id="263" w:name="_Toc19271"/>
      <w:bookmarkStart w:id="264" w:name="_Toc5617_WPSOffice_Level1"/>
      <w:bookmarkStart w:id="265" w:name="_Toc2150"/>
      <w:bookmarkStart w:id="266" w:name="_Toc8918"/>
      <w:r>
        <w:rPr>
          <w:rFonts w:hint="default" w:ascii="Times New Roman" w:hAnsi="Times New Roman" w:cs="Times New Roman" w:eastAsiaTheme="minorEastAsia"/>
          <w:color w:val="auto"/>
        </w:rPr>
        <w:t>5.1历史经验教训总结</w:t>
      </w:r>
      <w:bookmarkEnd w:id="261"/>
      <w:bookmarkEnd w:id="262"/>
      <w:bookmarkEnd w:id="263"/>
      <w:bookmarkEnd w:id="264"/>
      <w:bookmarkEnd w:id="265"/>
      <w:bookmarkEnd w:id="266"/>
    </w:p>
    <w:p>
      <w:pPr>
        <w:keepNext w:val="0"/>
        <w:keepLines w:val="0"/>
        <w:pageBreakBefore w:val="0"/>
        <w:widowControl/>
        <w:kinsoku/>
        <w:wordWrap/>
        <w:overflowPunct/>
        <w:topLinePunct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1、对前文收集的国内同类企业突发环境事件案例进行分析、总结，案例中企业</w:t>
      </w:r>
      <w:r>
        <w:rPr>
          <w:rFonts w:hint="eastAsia" w:cs="Times New Roman" w:eastAsiaTheme="minorEastAsia"/>
          <w:color w:val="auto"/>
          <w:sz w:val="24"/>
          <w:szCs w:val="24"/>
          <w:lang w:eastAsia="zh-CN"/>
        </w:rPr>
        <w:t>桶罐</w:t>
      </w:r>
      <w:r>
        <w:rPr>
          <w:rFonts w:hint="default" w:ascii="Times New Roman" w:hAnsi="Times New Roman" w:cs="Times New Roman" w:eastAsiaTheme="minorEastAsia"/>
          <w:color w:val="auto"/>
          <w:sz w:val="24"/>
          <w:szCs w:val="24"/>
        </w:rPr>
        <w:t>区</w:t>
      </w:r>
      <w:r>
        <w:rPr>
          <w:rFonts w:hint="eastAsia" w:cs="Times New Roman" w:eastAsiaTheme="minorEastAsia"/>
          <w:color w:val="auto"/>
          <w:sz w:val="24"/>
          <w:szCs w:val="24"/>
          <w:lang w:eastAsia="zh-CN"/>
        </w:rPr>
        <w:t>、导热油</w:t>
      </w:r>
      <w:r>
        <w:rPr>
          <w:rFonts w:hint="default" w:ascii="Times New Roman" w:hAnsi="Times New Roman" w:cs="Times New Roman" w:eastAsiaTheme="minorEastAsia"/>
          <w:color w:val="auto"/>
          <w:sz w:val="24"/>
          <w:szCs w:val="24"/>
        </w:rPr>
        <w:t>火灾爆炸事故发生的主要原因有：高危操作单元监控措施不到位；员工违规违章操作</w:t>
      </w:r>
      <w:r>
        <w:rPr>
          <w:rFonts w:hint="default" w:ascii="Times New Roman" w:hAnsi="Times New Roman" w:cs="Times New Roman" w:eastAsiaTheme="minorEastAsia"/>
          <w:color w:val="auto"/>
          <w:sz w:val="24"/>
          <w:szCs w:val="24"/>
          <w:lang w:eastAsia="zh-CN"/>
        </w:rPr>
        <w:t>，管理不规范等</w:t>
      </w:r>
      <w:r>
        <w:rPr>
          <w:rFonts w:hint="default" w:ascii="Times New Roman" w:hAnsi="Times New Roman" w:cs="Times New Roman" w:eastAsiaTheme="minorEastAsia"/>
          <w:color w:val="auto"/>
          <w:sz w:val="24"/>
          <w:szCs w:val="24"/>
        </w:rPr>
        <w:t>。</w:t>
      </w:r>
    </w:p>
    <w:p>
      <w:pPr>
        <w:keepNext w:val="0"/>
        <w:keepLines w:val="0"/>
        <w:pageBreakBefore w:val="0"/>
        <w:widowControl/>
        <w:kinsoku/>
        <w:wordWrap/>
        <w:overflowPunct/>
        <w:topLinePunct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2、本公司引以为戒、吸取历史经验教训，针对上述酿成事故的原因，采取了如下相应对策：</w:t>
      </w:r>
    </w:p>
    <w:p>
      <w:pPr>
        <w:keepNext w:val="0"/>
        <w:keepLines w:val="0"/>
        <w:pageBreakBefore w:val="0"/>
        <w:widowControl/>
        <w:kinsoku/>
        <w:wordWrap/>
        <w:overflowPunct/>
        <w:topLinePunct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 对现有高危工段重点监控工艺参数，实施安全操作；</w:t>
      </w:r>
    </w:p>
    <w:p>
      <w:pPr>
        <w:keepNext w:val="0"/>
        <w:keepLines w:val="0"/>
        <w:pageBreakBefore w:val="0"/>
        <w:widowControl/>
        <w:kinsoku/>
        <w:wordWrap/>
        <w:overflowPunct/>
        <w:topLinePunct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 公司均不使用国家工信部发布的《部分工业行业淘汰落后生产工艺装备和产品指导目录（2010年本）》范围内的生产装备。定期开展生产检修，采用探测仪探伤，发现问题及时修补，有必要时进行更换，保证设备满足负荷要求、安全生产。</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3) 加强管理，定期开展员工培训，提高员工素质、增强操作技能；内部、外部培训后进行考试。对员工考核结果记录备案，考试通过即为合格。考试合格者才能使用，不合格者应继续补习，直到合格为止，做到上岗持证；为加强公司员工按章规范操作的主动性、自觉性，制定并落实内部奖惩措施。</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Times New Roman" w:eastAsiaTheme="minorEastAsia"/>
          <w:color w:val="auto"/>
          <w:sz w:val="24"/>
          <w:szCs w:val="24"/>
        </w:rPr>
      </w:pPr>
      <w:r>
        <w:rPr>
          <w:rFonts w:hint="eastAsia" w:hAnsiTheme="minorEastAsia" w:eastAsiaTheme="minorEastAsia"/>
          <w:color w:val="auto"/>
          <w:sz w:val="24"/>
          <w:szCs w:val="24"/>
          <w:lang w:val="en-US" w:eastAsia="zh-CN"/>
        </w:rPr>
        <w:t>4）</w:t>
      </w:r>
      <w:r>
        <w:rPr>
          <w:rFonts w:hint="eastAsia" w:asciiTheme="minorEastAsia" w:hAnsiTheme="minorEastAsia" w:eastAsiaTheme="minorEastAsia" w:cstheme="minorEastAsia"/>
          <w:b w:val="0"/>
          <w:bCs w:val="0"/>
          <w:color w:val="auto"/>
          <w:sz w:val="24"/>
          <w:szCs w:val="24"/>
          <w:lang w:val="en-US" w:eastAsia="zh-CN"/>
        </w:rPr>
        <w:t>建议制定本项目环境风险防控和应急措施长期计划。如定期对职工开展环境风险和环境应急管理宣传和培训，向周边企业、村落提供本单位有关危险物质特性、应急措施、救援知识等。</w:t>
      </w:r>
    </w:p>
    <w:p>
      <w:pPr>
        <w:pStyle w:val="5"/>
        <w:ind w:firstLine="643"/>
        <w:outlineLvl w:val="1"/>
        <w:rPr>
          <w:rFonts w:hint="default" w:ascii="Times New Roman" w:hAnsi="Times New Roman" w:cs="Times New Roman" w:eastAsiaTheme="minorEastAsia"/>
          <w:color w:val="FF0000"/>
        </w:rPr>
      </w:pPr>
      <w:bookmarkStart w:id="267" w:name="_Toc26114"/>
      <w:bookmarkStart w:id="268" w:name="_Toc5874"/>
      <w:bookmarkStart w:id="269" w:name="_Toc32758_WPSOffice_Level1"/>
      <w:bookmarkStart w:id="270" w:name="_Toc20148"/>
      <w:bookmarkStart w:id="271" w:name="_Toc30481"/>
      <w:bookmarkStart w:id="272" w:name="_Toc17854"/>
      <w:r>
        <w:rPr>
          <w:rFonts w:hint="default" w:ascii="Times New Roman" w:hAnsi="Times New Roman" w:cs="Times New Roman" w:eastAsiaTheme="minorEastAsia"/>
          <w:color w:val="FF0000"/>
        </w:rPr>
        <w:t>5.2 需要整改的短期、中期和长期项目内容</w:t>
      </w:r>
      <w:bookmarkEnd w:id="267"/>
      <w:bookmarkEnd w:id="268"/>
      <w:bookmarkEnd w:id="269"/>
      <w:bookmarkEnd w:id="270"/>
      <w:bookmarkEnd w:id="271"/>
      <w:bookmarkEnd w:id="272"/>
    </w:p>
    <w:p>
      <w:pPr>
        <w:keepNext w:val="0"/>
        <w:keepLines w:val="0"/>
        <w:pageBreakBefore w:val="0"/>
        <w:widowControl/>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FF0000"/>
          <w:sz w:val="24"/>
          <w:szCs w:val="24"/>
        </w:rPr>
      </w:pPr>
      <w:r>
        <w:rPr>
          <w:rFonts w:hint="default" w:ascii="Times New Roman" w:hAnsi="Times New Roman" w:cs="Times New Roman" w:eastAsiaTheme="minorEastAsia"/>
          <w:color w:val="FF0000"/>
          <w:sz w:val="24"/>
          <w:szCs w:val="24"/>
        </w:rPr>
        <w:t>本公司针对上述排查的每一项差距和隐患，根据其危害性、紧迫性和治理时间的长短，提出需要完成整改的期限。具体见表5-</w:t>
      </w:r>
      <w:r>
        <w:rPr>
          <w:rFonts w:hint="default" w:ascii="Times New Roman" w:hAnsi="Times New Roman" w:cs="Times New Roman" w:eastAsiaTheme="minorEastAsia"/>
          <w:color w:val="FF0000"/>
          <w:sz w:val="24"/>
          <w:szCs w:val="24"/>
          <w:lang w:val="en-US" w:eastAsia="zh-CN"/>
        </w:rPr>
        <w:t>2</w:t>
      </w:r>
      <w:r>
        <w:rPr>
          <w:rFonts w:hint="default" w:ascii="Times New Roman" w:hAnsi="Times New Roman" w:cs="Times New Roman" w:eastAsiaTheme="minorEastAsia"/>
          <w:color w:val="FF0000"/>
          <w:sz w:val="24"/>
          <w:szCs w:val="24"/>
        </w:rPr>
        <w:t>：</w:t>
      </w:r>
    </w:p>
    <w:p>
      <w:pPr>
        <w:ind w:firstLine="480"/>
        <w:jc w:val="center"/>
        <w:rPr>
          <w:rFonts w:hint="default" w:ascii="Times New Roman" w:hAnsi="Times New Roman" w:cs="Times New Roman" w:eastAsiaTheme="minorEastAsia"/>
          <w:color w:val="FF0000"/>
          <w:sz w:val="24"/>
        </w:rPr>
      </w:pPr>
      <w:bookmarkStart w:id="273" w:name="_Toc26620_WPSOffice_Level2"/>
      <w:bookmarkStart w:id="274" w:name="_Toc26197_WPSOffice_Level2"/>
      <w:bookmarkStart w:id="275" w:name="_Toc31064_WPSOffice_Level2"/>
      <w:r>
        <w:rPr>
          <w:rFonts w:hint="default" w:ascii="Times New Roman" w:hAnsi="Times New Roman" w:cs="Times New Roman" w:eastAsiaTheme="minorEastAsia"/>
          <w:color w:val="FF0000"/>
          <w:sz w:val="24"/>
        </w:rPr>
        <w:t>表5-</w:t>
      </w:r>
      <w:r>
        <w:rPr>
          <w:rFonts w:hint="default" w:ascii="Times New Roman" w:hAnsi="Times New Roman" w:cs="Times New Roman" w:eastAsiaTheme="minorEastAsia"/>
          <w:color w:val="FF0000"/>
          <w:sz w:val="24"/>
          <w:lang w:val="en-US" w:eastAsia="zh-CN"/>
        </w:rPr>
        <w:t>2</w:t>
      </w:r>
      <w:r>
        <w:rPr>
          <w:rFonts w:hint="default" w:ascii="Times New Roman" w:hAnsi="Times New Roman" w:cs="Times New Roman" w:eastAsiaTheme="minorEastAsia"/>
          <w:color w:val="FF0000"/>
          <w:sz w:val="24"/>
        </w:rPr>
        <w:t xml:space="preserve"> 公司需要整改的短期、中期和长期项目内容</w:t>
      </w:r>
      <w:bookmarkEnd w:id="273"/>
      <w:bookmarkEnd w:id="274"/>
      <w:bookmarkEnd w:id="275"/>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6405"/>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序号</w:t>
            </w:r>
          </w:p>
        </w:tc>
        <w:tc>
          <w:tcPr>
            <w:tcW w:w="64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存在问题及需要整改内容</w:t>
            </w:r>
          </w:p>
        </w:tc>
        <w:tc>
          <w:tcPr>
            <w:tcW w:w="13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整改期限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1</w:t>
            </w:r>
          </w:p>
        </w:tc>
        <w:tc>
          <w:tcPr>
            <w:tcW w:w="64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公司突发环境风险事故应急预案</w:t>
            </w:r>
            <w:r>
              <w:rPr>
                <w:rFonts w:hint="default" w:ascii="Times New Roman" w:hAnsi="Times New Roman" w:cs="Times New Roman"/>
                <w:color w:val="FF0000"/>
                <w:kern w:val="2"/>
                <w:lang w:eastAsia="zh-CN"/>
              </w:rPr>
              <w:t>需备案</w:t>
            </w:r>
            <w:r>
              <w:rPr>
                <w:rFonts w:hint="default" w:ascii="Times New Roman" w:hAnsi="Times New Roman" w:cs="Times New Roman"/>
                <w:color w:val="FF0000"/>
                <w:kern w:val="2"/>
              </w:rPr>
              <w:t>；</w:t>
            </w:r>
          </w:p>
        </w:tc>
        <w:tc>
          <w:tcPr>
            <w:tcW w:w="13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短期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2</w:t>
            </w:r>
          </w:p>
        </w:tc>
        <w:tc>
          <w:tcPr>
            <w:tcW w:w="64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公司</w:t>
            </w:r>
            <w:r>
              <w:rPr>
                <w:rFonts w:hint="eastAsia" w:cs="Times New Roman"/>
                <w:color w:val="FF0000"/>
                <w:kern w:val="2"/>
                <w:lang w:eastAsia="zh-CN"/>
              </w:rPr>
              <w:t>未</w:t>
            </w:r>
            <w:r>
              <w:rPr>
                <w:rFonts w:hint="default" w:ascii="Times New Roman" w:hAnsi="Times New Roman" w:cs="Times New Roman"/>
                <w:color w:val="FF0000"/>
                <w:kern w:val="2"/>
              </w:rPr>
              <w:t>按标准配备必要的环境应急物资和装备</w:t>
            </w:r>
          </w:p>
        </w:tc>
        <w:tc>
          <w:tcPr>
            <w:tcW w:w="13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rPr>
            </w:pPr>
            <w:r>
              <w:rPr>
                <w:rFonts w:hint="default" w:ascii="Times New Roman" w:hAnsi="Times New Roman" w:cs="Times New Roman"/>
                <w:color w:val="FF0000"/>
                <w:kern w:val="2"/>
              </w:rPr>
              <w:t>短期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eastAsia="宋体" w:cs="Times New Roman"/>
                <w:color w:val="FF0000"/>
                <w:kern w:val="2"/>
                <w:lang w:val="en-US" w:eastAsia="zh-CN"/>
              </w:rPr>
            </w:pPr>
            <w:r>
              <w:rPr>
                <w:rFonts w:hint="eastAsia" w:cs="Times New Roman"/>
                <w:color w:val="FF0000"/>
                <w:kern w:val="2"/>
                <w:lang w:val="en-US" w:eastAsia="zh-CN"/>
              </w:rPr>
              <w:t>3</w:t>
            </w:r>
          </w:p>
        </w:tc>
        <w:tc>
          <w:tcPr>
            <w:tcW w:w="64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FF0000"/>
                <w:kern w:val="2"/>
                <w:lang w:eastAsia="zh-CN"/>
              </w:rPr>
            </w:pPr>
            <w:r>
              <w:rPr>
                <w:rFonts w:hint="default" w:ascii="Times New Roman" w:hAnsi="Times New Roman" w:cs="Times New Roman"/>
                <w:color w:val="FF0000"/>
                <w:kern w:val="2"/>
              </w:rPr>
              <w:t>公司</w:t>
            </w:r>
            <w:r>
              <w:rPr>
                <w:rFonts w:hint="default" w:ascii="Times New Roman" w:hAnsi="Times New Roman" w:cs="Times New Roman"/>
                <w:color w:val="FF0000"/>
                <w:kern w:val="2"/>
                <w:lang w:eastAsia="zh-CN"/>
              </w:rPr>
              <w:t>未与</w:t>
            </w:r>
            <w:r>
              <w:rPr>
                <w:rFonts w:hint="default" w:ascii="Times New Roman" w:hAnsi="Times New Roman" w:cs="Times New Roman"/>
                <w:color w:val="FF0000"/>
                <w:kern w:val="2"/>
              </w:rPr>
              <w:t>有关部门签订应急救援协议或互救协议</w:t>
            </w:r>
          </w:p>
        </w:tc>
        <w:tc>
          <w:tcPr>
            <w:tcW w:w="13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lang w:eastAsia="zh-CN"/>
              </w:rPr>
            </w:pPr>
            <w:r>
              <w:rPr>
                <w:rFonts w:hint="default" w:ascii="Times New Roman" w:hAnsi="Times New Roman" w:cs="Times New Roman"/>
                <w:color w:val="FF0000"/>
                <w:kern w:val="2"/>
              </w:rPr>
              <w:t>短期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6"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imes New Roman" w:hAnsi="Times New Roman" w:eastAsia="宋体" w:cs="Times New Roman"/>
                <w:color w:val="FF0000"/>
                <w:kern w:val="2"/>
                <w:lang w:val="en-US" w:eastAsia="zh-CN"/>
              </w:rPr>
            </w:pPr>
            <w:r>
              <w:rPr>
                <w:rFonts w:hint="eastAsia" w:cs="Times New Roman"/>
                <w:color w:val="FF0000"/>
                <w:kern w:val="2"/>
                <w:lang w:val="en-US" w:eastAsia="zh-CN"/>
              </w:rPr>
              <w:t>4</w:t>
            </w:r>
          </w:p>
        </w:tc>
        <w:tc>
          <w:tcPr>
            <w:tcW w:w="6405"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FF0000"/>
                <w:kern w:val="2"/>
                <w:lang w:eastAsia="zh-CN"/>
              </w:rPr>
            </w:pPr>
            <w:r>
              <w:rPr>
                <w:rFonts w:hint="eastAsia" w:ascii="Times New Roman" w:hAnsi="Times New Roman" w:cs="Times New Roman"/>
                <w:color w:val="FF0000"/>
                <w:kern w:val="2"/>
                <w:lang w:val="en-US" w:eastAsia="zh-CN"/>
              </w:rPr>
              <w:t>员工的教育与培训</w:t>
            </w:r>
            <w:r>
              <w:rPr>
                <w:rFonts w:hint="eastAsia" w:cs="Times New Roman"/>
                <w:color w:val="FF0000"/>
                <w:kern w:val="2"/>
                <w:lang w:val="en-US" w:eastAsia="zh-CN"/>
              </w:rPr>
              <w:t>、应急演练</w:t>
            </w:r>
            <w:r>
              <w:rPr>
                <w:rFonts w:hint="eastAsia" w:ascii="Times New Roman" w:hAnsi="Times New Roman" w:cs="Times New Roman"/>
                <w:color w:val="FF0000"/>
                <w:kern w:val="2"/>
                <w:lang w:val="en-US" w:eastAsia="zh-CN"/>
              </w:rPr>
              <w:t>等</w:t>
            </w:r>
          </w:p>
        </w:tc>
        <w:tc>
          <w:tcPr>
            <w:tcW w:w="137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default" w:ascii="Times New Roman" w:hAnsi="Times New Roman" w:cs="Times New Roman"/>
                <w:color w:val="FF0000"/>
                <w:kern w:val="2"/>
                <w:lang w:eastAsia="zh-CN"/>
              </w:rPr>
            </w:pPr>
            <w:r>
              <w:rPr>
                <w:rFonts w:hint="eastAsia" w:cs="Times New Roman"/>
                <w:color w:val="FF0000"/>
                <w:kern w:val="2"/>
                <w:lang w:eastAsia="zh-CN"/>
              </w:rPr>
              <w:t>长期</w:t>
            </w:r>
          </w:p>
        </w:tc>
      </w:tr>
    </w:tbl>
    <w:p>
      <w:pPr>
        <w:widowControl/>
        <w:spacing w:line="240" w:lineRule="auto"/>
        <w:ind w:firstLine="0" w:firstLineChars="0"/>
        <w:jc w:val="both"/>
        <w:rPr>
          <w:rFonts w:hint="default" w:ascii="Times New Roman" w:hAnsi="Times New Roman" w:cs="Times New Roman" w:eastAsiaTheme="minorEastAsia"/>
          <w:color w:val="auto"/>
          <w:sz w:val="22"/>
          <w:szCs w:val="22"/>
        </w:rPr>
      </w:pPr>
      <w:r>
        <w:rPr>
          <w:rFonts w:hint="default" w:ascii="Times New Roman" w:hAnsi="Times New Roman" w:cs="Times New Roman" w:eastAsiaTheme="minorEastAsia"/>
          <w:color w:val="auto"/>
          <w:sz w:val="22"/>
          <w:szCs w:val="22"/>
        </w:rPr>
        <w:t>注：短期（3个月以内）、中期（3-6个月）和长期（6个月以上）</w:t>
      </w:r>
    </w:p>
    <w:p>
      <w:pPr>
        <w:pStyle w:val="4"/>
        <w:rPr>
          <w:rFonts w:hint="default" w:ascii="Times New Roman" w:hAnsi="Times New Roman" w:cs="Times New Roman" w:eastAsiaTheme="minorEastAsia"/>
          <w:color w:val="auto"/>
        </w:rPr>
      </w:pPr>
      <w:bookmarkStart w:id="276" w:name="_Toc17275"/>
      <w:bookmarkStart w:id="277" w:name="_Toc19076"/>
      <w:bookmarkStart w:id="278" w:name="_Toc12090"/>
      <w:bookmarkStart w:id="279" w:name="_Toc15234"/>
      <w:bookmarkStart w:id="280" w:name="_Toc8557"/>
      <w:bookmarkStart w:id="281" w:name="_Toc18380_WPSOffice_Level1"/>
      <w:r>
        <w:rPr>
          <w:rFonts w:hint="default" w:ascii="Times New Roman" w:hAnsi="Times New Roman" w:cs="Times New Roman" w:eastAsiaTheme="minorEastAsia"/>
          <w:color w:val="auto"/>
        </w:rPr>
        <w:t>6完善环境风险防控和应急措施的实施计划</w:t>
      </w:r>
      <w:bookmarkEnd w:id="276"/>
      <w:bookmarkEnd w:id="277"/>
      <w:bookmarkEnd w:id="278"/>
      <w:bookmarkEnd w:id="279"/>
      <w:bookmarkEnd w:id="280"/>
      <w:bookmarkEnd w:id="281"/>
    </w:p>
    <w:p>
      <w:pPr>
        <w:keepNext w:val="0"/>
        <w:keepLines w:val="0"/>
        <w:pageBreakBefore w:val="0"/>
        <w:widowControl/>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Cs w:val="28"/>
        </w:rPr>
      </w:pPr>
      <w:r>
        <w:rPr>
          <w:rFonts w:hint="default" w:ascii="Times New Roman" w:hAnsi="Times New Roman" w:cs="Times New Roman" w:eastAsiaTheme="minorEastAsia"/>
          <w:color w:val="auto"/>
          <w:sz w:val="24"/>
          <w:szCs w:val="24"/>
        </w:rPr>
        <w:t>对照表5-1公司需要整改的短期项目内容，制定本公司短期整改项目加强风险防控措施和应急管理的目标、责任人及完成时限。</w:t>
      </w:r>
    </w:p>
    <w:p>
      <w:pPr>
        <w:ind w:firstLine="480"/>
        <w:jc w:val="center"/>
        <w:rPr>
          <w:rFonts w:hint="default" w:ascii="Times New Roman" w:hAnsi="Times New Roman" w:cs="Times New Roman" w:eastAsiaTheme="minorEastAsia"/>
          <w:color w:val="auto"/>
          <w:sz w:val="24"/>
        </w:rPr>
      </w:pPr>
      <w:r>
        <w:rPr>
          <w:rFonts w:hint="default" w:ascii="Times New Roman" w:hAnsi="Times New Roman" w:cs="Times New Roman" w:eastAsiaTheme="minorEastAsia"/>
          <w:color w:val="auto"/>
          <w:sz w:val="24"/>
        </w:rPr>
        <w:t>表6-1 环境风险防控与应急措施短期整改 目标及实施计划</w:t>
      </w:r>
    </w:p>
    <w:tbl>
      <w:tblPr>
        <w:tblStyle w:val="2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8"/>
        <w:gridCol w:w="5129"/>
        <w:gridCol w:w="1251"/>
        <w:gridCol w:w="1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序号</w:t>
            </w:r>
          </w:p>
        </w:tc>
        <w:tc>
          <w:tcPr>
            <w:tcW w:w="512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整改目标</w:t>
            </w:r>
          </w:p>
        </w:tc>
        <w:tc>
          <w:tcPr>
            <w:tcW w:w="12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完成时限</w:t>
            </w:r>
          </w:p>
        </w:tc>
        <w:tc>
          <w:tcPr>
            <w:tcW w:w="11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责任人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1</w:t>
            </w:r>
          </w:p>
        </w:tc>
        <w:tc>
          <w:tcPr>
            <w:tcW w:w="512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eastAsia="宋体" w:cs="Times New Roman"/>
                <w:color w:val="auto"/>
                <w:kern w:val="2"/>
                <w:sz w:val="24"/>
                <w:lang w:eastAsia="zh-CN"/>
              </w:rPr>
            </w:pPr>
            <w:r>
              <w:rPr>
                <w:rFonts w:hint="default" w:ascii="Times New Roman" w:hAnsi="Times New Roman" w:cs="Times New Roman"/>
                <w:color w:val="auto"/>
                <w:kern w:val="2"/>
              </w:rPr>
              <w:t>公司突发环境风险事故应急预案</w:t>
            </w:r>
            <w:r>
              <w:rPr>
                <w:rFonts w:hint="default" w:ascii="Times New Roman" w:hAnsi="Times New Roman" w:cs="Times New Roman"/>
                <w:color w:val="auto"/>
                <w:kern w:val="2"/>
                <w:lang w:eastAsia="zh-CN"/>
              </w:rPr>
              <w:t>需重新备案</w:t>
            </w:r>
          </w:p>
        </w:tc>
        <w:tc>
          <w:tcPr>
            <w:tcW w:w="12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短期</w:t>
            </w:r>
          </w:p>
        </w:tc>
        <w:tc>
          <w:tcPr>
            <w:tcW w:w="11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lang w:eastAsia="zh-CN"/>
              </w:rPr>
            </w:pPr>
            <w:r>
              <w:rPr>
                <w:rFonts w:hint="eastAsia" w:cs="Times New Roman"/>
                <w:color w:val="FF0000"/>
                <w:kern w:val="2"/>
                <w:lang w:eastAsia="zh-CN"/>
              </w:rPr>
              <w:t>晏勇斌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2</w:t>
            </w:r>
          </w:p>
        </w:tc>
        <w:tc>
          <w:tcPr>
            <w:tcW w:w="512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rPr>
              <w:t>公司按标准配备必要的环境应急物资和装备</w:t>
            </w:r>
            <w:r>
              <w:rPr>
                <w:rFonts w:hint="eastAsia" w:cs="Times New Roman"/>
                <w:color w:val="auto"/>
                <w:kern w:val="2"/>
                <w:lang w:eastAsia="zh-CN"/>
              </w:rPr>
              <w:t>，如</w:t>
            </w:r>
            <w:r>
              <w:rPr>
                <w:rFonts w:hint="eastAsia" w:ascii="Times New Roman" w:hAnsi="Times New Roman" w:cs="Times New Roman" w:eastAsiaTheme="minorEastAsia"/>
                <w:color w:val="auto"/>
                <w:kern w:val="2"/>
                <w:szCs w:val="28"/>
                <w:lang w:eastAsia="zh-CN"/>
              </w:rPr>
              <w:t>补充呼吸器、耐酸碱手套、护目镜、长靴、防护服等</w:t>
            </w:r>
          </w:p>
        </w:tc>
        <w:tc>
          <w:tcPr>
            <w:tcW w:w="12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rPr>
            </w:pPr>
            <w:r>
              <w:rPr>
                <w:rFonts w:hint="default" w:ascii="Times New Roman" w:hAnsi="Times New Roman" w:cs="Times New Roman"/>
                <w:color w:val="auto"/>
                <w:kern w:val="2"/>
                <w:sz w:val="24"/>
              </w:rPr>
              <w:t>短期</w:t>
            </w:r>
          </w:p>
        </w:tc>
        <w:tc>
          <w:tcPr>
            <w:tcW w:w="11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lang w:eastAsia="zh-CN"/>
              </w:rPr>
            </w:pPr>
            <w:r>
              <w:rPr>
                <w:rFonts w:hint="eastAsia" w:cs="Times New Roman"/>
                <w:color w:val="auto"/>
                <w:kern w:val="2"/>
                <w:lang w:eastAsia="zh-CN"/>
              </w:rPr>
              <w:t>晏勇斌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24"/>
                <w:lang w:val="en-US" w:eastAsia="zh-CN"/>
              </w:rPr>
            </w:pPr>
            <w:r>
              <w:rPr>
                <w:rFonts w:hint="eastAsia" w:cs="Times New Roman"/>
                <w:color w:val="auto"/>
                <w:kern w:val="2"/>
                <w:sz w:val="24"/>
                <w:lang w:val="en-US" w:eastAsia="zh-CN"/>
              </w:rPr>
              <w:t>3</w:t>
            </w:r>
          </w:p>
        </w:tc>
        <w:tc>
          <w:tcPr>
            <w:tcW w:w="512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eastAsia" w:ascii="Times New Roman" w:hAnsi="Times New Roman" w:eastAsia="宋体" w:cs="Times New Roman"/>
                <w:color w:val="auto"/>
                <w:kern w:val="2"/>
                <w:lang w:eastAsia="zh-CN"/>
              </w:rPr>
            </w:pPr>
            <w:r>
              <w:rPr>
                <w:rFonts w:hint="default" w:ascii="Times New Roman" w:hAnsi="Times New Roman" w:cs="Times New Roman"/>
                <w:color w:val="auto"/>
                <w:kern w:val="2"/>
              </w:rPr>
              <w:t>公司</w:t>
            </w:r>
            <w:r>
              <w:rPr>
                <w:rFonts w:hint="default" w:ascii="Times New Roman" w:hAnsi="Times New Roman" w:cs="Times New Roman"/>
                <w:color w:val="auto"/>
                <w:kern w:val="2"/>
                <w:lang w:eastAsia="zh-CN"/>
              </w:rPr>
              <w:t>未与</w:t>
            </w:r>
            <w:r>
              <w:rPr>
                <w:rFonts w:hint="default" w:ascii="Times New Roman" w:hAnsi="Times New Roman" w:cs="Times New Roman"/>
                <w:color w:val="auto"/>
                <w:kern w:val="2"/>
              </w:rPr>
              <w:t>有关部门签订应急救援协议或互救协议</w:t>
            </w:r>
          </w:p>
        </w:tc>
        <w:tc>
          <w:tcPr>
            <w:tcW w:w="12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lang w:eastAsia="zh-CN"/>
              </w:rPr>
            </w:pPr>
            <w:r>
              <w:rPr>
                <w:rFonts w:hint="default" w:ascii="Times New Roman" w:hAnsi="Times New Roman" w:cs="Times New Roman"/>
                <w:color w:val="auto"/>
                <w:kern w:val="2"/>
                <w:sz w:val="24"/>
              </w:rPr>
              <w:t>短期</w:t>
            </w:r>
          </w:p>
        </w:tc>
        <w:tc>
          <w:tcPr>
            <w:tcW w:w="11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lang w:eastAsia="zh-CN"/>
              </w:rPr>
            </w:pPr>
            <w:r>
              <w:rPr>
                <w:rFonts w:hint="eastAsia" w:cs="Times New Roman"/>
                <w:color w:val="auto"/>
                <w:kern w:val="2"/>
                <w:lang w:eastAsia="zh-CN"/>
              </w:rPr>
              <w:t>晏勇斌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8"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24"/>
                <w:lang w:val="en-US" w:eastAsia="zh-CN"/>
              </w:rPr>
            </w:pPr>
            <w:r>
              <w:rPr>
                <w:rFonts w:hint="eastAsia" w:cs="Times New Roman"/>
                <w:color w:val="auto"/>
                <w:kern w:val="2"/>
                <w:sz w:val="24"/>
                <w:lang w:val="en-US" w:eastAsia="zh-CN"/>
              </w:rPr>
              <w:t>4</w:t>
            </w:r>
          </w:p>
        </w:tc>
        <w:tc>
          <w:tcPr>
            <w:tcW w:w="5129"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lang w:eastAsia="zh-CN"/>
              </w:rPr>
            </w:pPr>
            <w:r>
              <w:rPr>
                <w:rFonts w:hint="eastAsia" w:ascii="Times New Roman" w:hAnsi="Times New Roman" w:cs="Times New Roman"/>
                <w:color w:val="auto"/>
                <w:kern w:val="2"/>
                <w:lang w:val="en-US" w:eastAsia="zh-CN"/>
              </w:rPr>
              <w:t>员工的教育与培训</w:t>
            </w:r>
            <w:r>
              <w:rPr>
                <w:rFonts w:hint="eastAsia" w:cs="Times New Roman"/>
                <w:color w:val="auto"/>
                <w:kern w:val="2"/>
                <w:lang w:val="en-US" w:eastAsia="zh-CN"/>
              </w:rPr>
              <w:t>、应急演练</w:t>
            </w:r>
            <w:r>
              <w:rPr>
                <w:rFonts w:hint="eastAsia" w:ascii="Times New Roman" w:hAnsi="Times New Roman" w:cs="Times New Roman"/>
                <w:color w:val="auto"/>
                <w:kern w:val="2"/>
                <w:lang w:val="en-US" w:eastAsia="zh-CN"/>
              </w:rPr>
              <w:t>等</w:t>
            </w:r>
          </w:p>
        </w:tc>
        <w:tc>
          <w:tcPr>
            <w:tcW w:w="125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4"/>
                <w:lang w:eastAsia="zh-CN"/>
              </w:rPr>
            </w:pPr>
            <w:r>
              <w:rPr>
                <w:rFonts w:hint="eastAsia" w:cs="Times New Roman"/>
                <w:color w:val="auto"/>
                <w:kern w:val="2"/>
                <w:sz w:val="24"/>
                <w:lang w:eastAsia="zh-CN"/>
              </w:rPr>
              <w:t>长期</w:t>
            </w:r>
          </w:p>
        </w:tc>
        <w:tc>
          <w:tcPr>
            <w:tcW w:w="1181" w:type="dxa"/>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firstLine="0" w:firstLineChars="0"/>
              <w:jc w:val="both"/>
              <w:textAlignment w:val="auto"/>
              <w:rPr>
                <w:rFonts w:hint="default" w:ascii="Times New Roman" w:hAnsi="Times New Roman" w:cs="Times New Roman"/>
                <w:color w:val="auto"/>
                <w:kern w:val="2"/>
                <w:lang w:eastAsia="zh-CN"/>
              </w:rPr>
            </w:pPr>
            <w:r>
              <w:rPr>
                <w:rFonts w:hint="eastAsia" w:cs="Times New Roman"/>
                <w:color w:val="auto"/>
                <w:kern w:val="2"/>
                <w:lang w:eastAsia="zh-CN"/>
              </w:rPr>
              <w:t>晏勇斌</w:t>
            </w:r>
          </w:p>
        </w:tc>
      </w:tr>
    </w:tbl>
    <w:p>
      <w:pPr>
        <w:pStyle w:val="48"/>
        <w:ind w:firstLine="560"/>
        <w:rPr>
          <w:rFonts w:hint="default" w:ascii="Times New Roman" w:hAnsi="Times New Roman" w:cs="Times New Roman" w:eastAsiaTheme="minorEastAsia"/>
          <w:color w:val="auto"/>
        </w:rPr>
      </w:pPr>
    </w:p>
    <w:p>
      <w:pPr>
        <w:pStyle w:val="48"/>
        <w:ind w:firstLine="560"/>
        <w:rPr>
          <w:rFonts w:hint="default" w:ascii="Times New Roman" w:hAnsi="Times New Roman" w:cs="Times New Roman" w:eastAsiaTheme="minorEastAsia"/>
          <w:color w:val="auto"/>
        </w:rPr>
      </w:pPr>
    </w:p>
    <w:p>
      <w:pPr>
        <w:pStyle w:val="4"/>
        <w:rPr>
          <w:rFonts w:hint="default" w:ascii="Times New Roman" w:hAnsi="Times New Roman" w:cs="Times New Roman" w:eastAsiaTheme="minorEastAsia"/>
          <w:color w:val="auto"/>
        </w:rPr>
      </w:pPr>
      <w:bookmarkStart w:id="282" w:name="_Toc18121"/>
      <w:bookmarkStart w:id="283" w:name="_Toc21173"/>
      <w:bookmarkStart w:id="284" w:name="_Toc12519"/>
      <w:bookmarkStart w:id="285" w:name="_Toc27719"/>
      <w:bookmarkStart w:id="286" w:name="_Toc4984"/>
      <w:bookmarkStart w:id="287" w:name="_Toc8077"/>
      <w:bookmarkStart w:id="288" w:name="_Toc31917"/>
      <w:r>
        <w:rPr>
          <w:rFonts w:hint="default" w:ascii="Times New Roman" w:hAnsi="Times New Roman" w:cs="Times New Roman" w:eastAsiaTheme="minorEastAsia"/>
          <w:color w:val="auto"/>
        </w:rPr>
        <w:t>7 企业突发环境事件风险等级</w:t>
      </w:r>
      <w:bookmarkEnd w:id="282"/>
      <w:bookmarkEnd w:id="283"/>
      <w:bookmarkEnd w:id="284"/>
      <w:bookmarkEnd w:id="285"/>
      <w:bookmarkEnd w:id="286"/>
      <w:bookmarkEnd w:id="287"/>
      <w:bookmarkEnd w:id="288"/>
    </w:p>
    <w:p>
      <w:pPr>
        <w:pStyle w:val="5"/>
        <w:ind w:firstLine="643"/>
        <w:rPr>
          <w:rFonts w:hint="default" w:ascii="Times New Roman" w:hAnsi="Times New Roman" w:cs="Times New Roman" w:eastAsiaTheme="minorEastAsia"/>
          <w:color w:val="auto"/>
        </w:rPr>
      </w:pPr>
      <w:bookmarkStart w:id="289" w:name="_Toc4460"/>
      <w:bookmarkStart w:id="290" w:name="_Toc8030_WPSOffice_Level2"/>
      <w:bookmarkStart w:id="291" w:name="_Toc11989"/>
      <w:bookmarkStart w:id="292" w:name="_Toc8619"/>
      <w:bookmarkStart w:id="293" w:name="_Toc18304"/>
      <w:bookmarkStart w:id="294" w:name="_Toc8334"/>
      <w:r>
        <w:rPr>
          <w:rFonts w:hint="default" w:ascii="Times New Roman" w:hAnsi="Times New Roman" w:cs="Times New Roman" w:eastAsiaTheme="minorEastAsia"/>
          <w:color w:val="auto"/>
        </w:rPr>
        <w:t>7.1企业突发环境事件风险等级划分方法</w:t>
      </w:r>
      <w:bookmarkEnd w:id="289"/>
      <w:bookmarkEnd w:id="290"/>
      <w:bookmarkEnd w:id="291"/>
      <w:bookmarkEnd w:id="292"/>
      <w:bookmarkEnd w:id="293"/>
      <w:bookmarkEnd w:id="294"/>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通过定量分析企业生产、加工、使用、存储的所有环境风险物质数量与其临界量的比值（Q），评估工艺过程与环境风险控制水平（M）以及环境风险受体敏感性（E），按照矩阵法对企业突发环境事件风险（以下简称环境风险）等级进行划分。环境风险等级划分为</w:t>
      </w:r>
      <w:r>
        <w:rPr>
          <w:rFonts w:hint="eastAsia" w:cs="Times New Roman" w:eastAsiaTheme="minorEastAsia"/>
          <w:color w:val="auto"/>
          <w:sz w:val="24"/>
          <w:szCs w:val="24"/>
          <w:lang w:eastAsia="zh-CN"/>
        </w:rPr>
        <w:t>一般</w:t>
      </w:r>
      <w:r>
        <w:rPr>
          <w:rFonts w:hint="default" w:ascii="Times New Roman" w:hAnsi="Times New Roman" w:cs="Times New Roman" w:eastAsiaTheme="minorEastAsia"/>
          <w:color w:val="auto"/>
          <w:sz w:val="24"/>
          <w:szCs w:val="24"/>
        </w:rPr>
        <w:t>环境风险、较大环境风险和重大环境风险三级，分别用蓝色、黄色和红色标识。评估程序见图7-1。</w:t>
      </w:r>
    </w:p>
    <w:p>
      <w:pPr>
        <w:ind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drawing>
          <wp:inline distT="0" distB="0" distL="114300" distR="114300">
            <wp:extent cx="4666615" cy="3674745"/>
            <wp:effectExtent l="0" t="0" r="635" b="1905"/>
            <wp:docPr id="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pic:cNvPicPr>
                      <a:picLocks noChangeAspect="1"/>
                    </pic:cNvPicPr>
                  </pic:nvPicPr>
                  <pic:blipFill>
                    <a:blip r:embed="rId8"/>
                    <a:stretch>
                      <a:fillRect/>
                    </a:stretch>
                  </pic:blipFill>
                  <pic:spPr>
                    <a:xfrm>
                      <a:off x="0" y="0"/>
                      <a:ext cx="4666615" cy="3674745"/>
                    </a:xfrm>
                    <a:prstGeom prst="rect">
                      <a:avLst/>
                    </a:prstGeom>
                    <a:noFill/>
                    <a:ln>
                      <a:noFill/>
                    </a:ln>
                  </pic:spPr>
                </pic:pic>
              </a:graphicData>
            </a:graphic>
          </wp:inline>
        </w:drawing>
      </w:r>
    </w:p>
    <w:p>
      <w:pPr>
        <w:ind w:firstLine="0" w:firstLineChars="0"/>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 xml:space="preserve">图7-1 </w:t>
      </w:r>
      <w:bookmarkStart w:id="295" w:name="_Toc16821_WPSOffice_Level1"/>
      <w:r>
        <w:rPr>
          <w:rFonts w:hint="default" w:ascii="Times New Roman" w:hAnsi="Times New Roman" w:cs="Times New Roman" w:eastAsiaTheme="minorEastAsia"/>
          <w:b/>
          <w:bCs/>
          <w:color w:val="auto"/>
          <w:sz w:val="24"/>
        </w:rPr>
        <w:t>企业突发环境事件风险等级划分流程示意</w:t>
      </w:r>
      <w:bookmarkEnd w:id="295"/>
      <w:r>
        <w:rPr>
          <w:rFonts w:hint="default" w:ascii="Times New Roman" w:hAnsi="Times New Roman" w:cs="Times New Roman" w:eastAsiaTheme="minorEastAsia"/>
          <w:b/>
          <w:bCs/>
          <w:color w:val="auto"/>
          <w:sz w:val="24"/>
        </w:rPr>
        <w:t>图</w:t>
      </w:r>
    </w:p>
    <w:p>
      <w:pPr>
        <w:pStyle w:val="5"/>
        <w:ind w:firstLine="643"/>
        <w:rPr>
          <w:rFonts w:hint="default" w:ascii="Times New Roman" w:hAnsi="Times New Roman" w:cs="Times New Roman" w:eastAsiaTheme="minorEastAsia"/>
          <w:color w:val="auto"/>
        </w:rPr>
      </w:pPr>
      <w:bookmarkStart w:id="296" w:name="_Toc929"/>
      <w:bookmarkStart w:id="297" w:name="_Toc25343"/>
      <w:bookmarkStart w:id="298" w:name="_Toc13411_WPSOffice_Level2"/>
      <w:bookmarkStart w:id="299" w:name="_Toc22460"/>
      <w:bookmarkStart w:id="300" w:name="_Toc31063"/>
      <w:bookmarkStart w:id="301" w:name="_Toc32579"/>
      <w:r>
        <w:rPr>
          <w:rFonts w:hint="default" w:ascii="Times New Roman" w:hAnsi="Times New Roman" w:cs="Times New Roman" w:eastAsiaTheme="minorEastAsia"/>
          <w:color w:val="auto"/>
        </w:rPr>
        <w:t>7.2企业突发环境事件风险等级</w:t>
      </w:r>
      <w:bookmarkEnd w:id="296"/>
      <w:bookmarkEnd w:id="297"/>
      <w:bookmarkEnd w:id="298"/>
      <w:bookmarkEnd w:id="299"/>
      <w:bookmarkEnd w:id="300"/>
      <w:bookmarkEnd w:id="301"/>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针对企业的生产原料、燃料、产品、中间产品、副产品、催化剂、辅助生产原料、“三废”污染物等，计算所涉及的每种环境风险物质在厂界内最大存储量与其在GB18218-2018《危险化学品重大危险源辨识》中对应的临界量的比值Q：</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（1）当企业只涉及一种环境风险物质时，计算该物质的总数量与其临界量比值，即为Q；</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（2）当企业存在多种环境风险物质时，则按下式计算物质数量与其临界量比值（Q）：</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drawing>
          <wp:inline distT="0" distB="0" distL="114300" distR="114300">
            <wp:extent cx="2216785" cy="698500"/>
            <wp:effectExtent l="0" t="0" r="12065" b="6350"/>
            <wp:docPr id="3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0"/>
                    <pic:cNvPicPr>
                      <a:picLocks noChangeAspect="1"/>
                    </pic:cNvPicPr>
                  </pic:nvPicPr>
                  <pic:blipFill>
                    <a:blip r:embed="rId9"/>
                    <a:stretch>
                      <a:fillRect/>
                    </a:stretch>
                  </pic:blipFill>
                  <pic:spPr>
                    <a:xfrm>
                      <a:off x="0" y="0"/>
                      <a:ext cx="2216785" cy="6985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式中：q1，q2,...,qn——每种环境风险物质的最大存在总量，t；</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Q1,Q2,...,Qn——每种环境风险物质的临界量，t；</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当Q＜1 时，企业直接评为一般环境风险等级，以Q表示；</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当Q≥1 时，将Q值划分为：（1）1≤Q＜10；（2）10≤Q＜100；（3）Q≥100，分别以Q</w:t>
      </w:r>
      <w:r>
        <w:rPr>
          <w:rFonts w:hint="default" w:ascii="Times New Roman" w:hAnsi="Times New Roman" w:cs="Times New Roman" w:eastAsiaTheme="minorEastAsia"/>
          <w:color w:val="auto"/>
          <w:sz w:val="24"/>
          <w:szCs w:val="24"/>
          <w:vertAlign w:val="subscript"/>
        </w:rPr>
        <w:t>1</w:t>
      </w:r>
      <w:r>
        <w:rPr>
          <w:rFonts w:hint="default" w:ascii="Times New Roman" w:hAnsi="Times New Roman" w:cs="Times New Roman" w:eastAsiaTheme="minorEastAsia"/>
          <w:color w:val="auto"/>
          <w:sz w:val="24"/>
          <w:szCs w:val="24"/>
        </w:rPr>
        <w:t>、Q</w:t>
      </w:r>
      <w:r>
        <w:rPr>
          <w:rFonts w:hint="default" w:ascii="Times New Roman" w:hAnsi="Times New Roman" w:cs="Times New Roman" w:eastAsiaTheme="minorEastAsia"/>
          <w:color w:val="auto"/>
          <w:sz w:val="24"/>
          <w:szCs w:val="24"/>
          <w:vertAlign w:val="subscript"/>
        </w:rPr>
        <w:t>2</w:t>
      </w:r>
      <w:r>
        <w:rPr>
          <w:rFonts w:hint="default" w:ascii="Times New Roman" w:hAnsi="Times New Roman" w:cs="Times New Roman" w:eastAsiaTheme="minorEastAsia"/>
          <w:color w:val="auto"/>
          <w:sz w:val="24"/>
          <w:szCs w:val="24"/>
        </w:rPr>
        <w:t>和Q</w:t>
      </w:r>
      <w:r>
        <w:rPr>
          <w:rFonts w:hint="default" w:ascii="Times New Roman" w:hAnsi="Times New Roman" w:cs="Times New Roman" w:eastAsiaTheme="minorEastAsia"/>
          <w:color w:val="auto"/>
          <w:sz w:val="24"/>
          <w:szCs w:val="24"/>
          <w:vertAlign w:val="subscript"/>
        </w:rPr>
        <w:t>3</w:t>
      </w:r>
      <w:r>
        <w:rPr>
          <w:rFonts w:hint="default" w:ascii="Times New Roman" w:hAnsi="Times New Roman" w:cs="Times New Roman" w:eastAsiaTheme="minorEastAsia"/>
          <w:color w:val="auto"/>
          <w:sz w:val="24"/>
          <w:szCs w:val="24"/>
        </w:rPr>
        <w:t>表示。</w:t>
      </w:r>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本公司事故环境风险物质数量与临界量的比值(Q)结果见表7-1。</w:t>
      </w:r>
    </w:p>
    <w:p>
      <w:pPr>
        <w:ind w:firstLine="482"/>
        <w:jc w:val="center"/>
        <w:rPr>
          <w:rFonts w:hint="default" w:ascii="Times New Roman" w:hAnsi="Times New Roman" w:cs="Times New Roman" w:eastAsiaTheme="minorEastAsia"/>
          <w:b/>
          <w:bCs/>
          <w:color w:val="auto"/>
          <w:sz w:val="24"/>
          <w:szCs w:val="16"/>
        </w:rPr>
      </w:pPr>
      <w:r>
        <w:rPr>
          <w:rFonts w:hint="default" w:ascii="Times New Roman" w:hAnsi="Times New Roman" w:cs="Times New Roman" w:eastAsiaTheme="minorEastAsia"/>
          <w:b/>
          <w:bCs/>
          <w:color w:val="auto"/>
          <w:sz w:val="24"/>
          <w:szCs w:val="16"/>
        </w:rPr>
        <w:t>表7-1 本公司本公司事故环境风险物质数量与临界量的比值</w:t>
      </w:r>
    </w:p>
    <w:tbl>
      <w:tblPr>
        <w:tblStyle w:val="21"/>
        <w:tblW w:w="8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560"/>
        <w:gridCol w:w="1386"/>
        <w:gridCol w:w="1280"/>
        <w:gridCol w:w="1280"/>
        <w:gridCol w:w="1280"/>
        <w:gridCol w:w="1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91"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hAnsiTheme="minorEastAsia" w:eastAsiaTheme="minorEastAsia"/>
                <w:color w:val="auto"/>
                <w:kern w:val="2"/>
                <w:sz w:val="24"/>
              </w:rPr>
              <w:t>序号</w:t>
            </w:r>
          </w:p>
        </w:tc>
        <w:tc>
          <w:tcPr>
            <w:tcW w:w="156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hAnsiTheme="minorEastAsia" w:eastAsiaTheme="minorEastAsia"/>
                <w:color w:val="auto"/>
                <w:kern w:val="2"/>
                <w:sz w:val="24"/>
              </w:rPr>
              <w:t>危险物质名称</w:t>
            </w:r>
          </w:p>
        </w:tc>
        <w:tc>
          <w:tcPr>
            <w:tcW w:w="1386"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eastAsiaTheme="minorEastAsia"/>
                <w:color w:val="auto"/>
                <w:kern w:val="2"/>
                <w:sz w:val="24"/>
              </w:rPr>
              <w:t xml:space="preserve">CAS </w:t>
            </w:r>
            <w:r>
              <w:rPr>
                <w:rFonts w:hint="default" w:hAnsiTheme="minorEastAsia" w:eastAsiaTheme="minorEastAsia"/>
                <w:color w:val="auto"/>
                <w:kern w:val="2"/>
                <w:sz w:val="24"/>
              </w:rPr>
              <w:t>号</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hAnsiTheme="minorEastAsia" w:eastAsiaTheme="minorEastAsia"/>
                <w:color w:val="auto"/>
                <w:kern w:val="2"/>
                <w:sz w:val="24"/>
              </w:rPr>
              <w:t>分布情况</w:t>
            </w:r>
          </w:p>
        </w:tc>
        <w:tc>
          <w:tcPr>
            <w:tcW w:w="1280" w:type="dxa"/>
            <w:vAlign w:val="center"/>
          </w:tcPr>
          <w:p>
            <w:pPr>
              <w:keepNext w:val="0"/>
              <w:keepLines w:val="0"/>
              <w:suppressLineNumbers w:val="0"/>
              <w:spacing w:before="0" w:beforeAutospacing="0" w:after="0" w:afterAutospacing="0" w:line="240" w:lineRule="auto"/>
              <w:ind w:left="0" w:right="0" w:firstLine="0" w:firstLineChars="0"/>
              <w:rPr>
                <w:rFonts w:hint="default" w:eastAsiaTheme="minorEastAsia"/>
                <w:color w:val="auto"/>
                <w:kern w:val="2"/>
                <w:sz w:val="24"/>
              </w:rPr>
            </w:pPr>
            <w:r>
              <w:rPr>
                <w:rFonts w:hint="default" w:hAnsiTheme="minorEastAsia" w:eastAsiaTheme="minorEastAsia"/>
                <w:color w:val="auto"/>
                <w:kern w:val="2"/>
                <w:sz w:val="24"/>
              </w:rPr>
              <w:t>最大存在总量</w:t>
            </w:r>
            <w:r>
              <w:rPr>
                <w:rFonts w:hint="default" w:eastAsiaTheme="minorEastAsia"/>
                <w:color w:val="auto"/>
                <w:kern w:val="2"/>
                <w:sz w:val="24"/>
              </w:rPr>
              <w:t>q</w:t>
            </w:r>
            <w:r>
              <w:rPr>
                <w:rFonts w:hint="default" w:eastAsiaTheme="minorEastAsia"/>
                <w:b/>
                <w:i/>
                <w:color w:val="auto"/>
                <w:kern w:val="2"/>
                <w:sz w:val="24"/>
                <w:vertAlign w:val="subscript"/>
              </w:rPr>
              <w:t>n</w:t>
            </w:r>
            <w:r>
              <w:rPr>
                <w:rFonts w:hint="default" w:eastAsiaTheme="minorEastAsia"/>
                <w:b/>
                <w:i/>
                <w:color w:val="auto"/>
                <w:kern w:val="2"/>
                <w:sz w:val="24"/>
              </w:rPr>
              <w:t>/t</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hAnsiTheme="minorEastAsia" w:eastAsiaTheme="minorEastAsia"/>
                <w:color w:val="auto"/>
                <w:kern w:val="2"/>
                <w:sz w:val="24"/>
              </w:rPr>
              <w:t>临界量</w:t>
            </w:r>
            <w:r>
              <w:rPr>
                <w:rFonts w:hint="default" w:eastAsiaTheme="minorEastAsia"/>
                <w:color w:val="auto"/>
                <w:kern w:val="2"/>
                <w:sz w:val="24"/>
              </w:rPr>
              <w:t>Q</w:t>
            </w:r>
            <w:r>
              <w:rPr>
                <w:rFonts w:hint="default" w:eastAsiaTheme="minorEastAsia"/>
                <w:b/>
                <w:i/>
                <w:color w:val="auto"/>
                <w:kern w:val="2"/>
                <w:sz w:val="24"/>
                <w:vertAlign w:val="subscript"/>
              </w:rPr>
              <w:t>n</w:t>
            </w:r>
            <w:r>
              <w:rPr>
                <w:rFonts w:hint="default" w:eastAsiaTheme="minorEastAsia"/>
                <w:b/>
                <w:i/>
                <w:color w:val="auto"/>
                <w:kern w:val="2"/>
                <w:sz w:val="24"/>
              </w:rPr>
              <w:t>/t</w:t>
            </w:r>
          </w:p>
        </w:tc>
        <w:tc>
          <w:tcPr>
            <w:tcW w:w="1280" w:type="dxa"/>
            <w:vAlign w:val="center"/>
          </w:tcPr>
          <w:p>
            <w:pPr>
              <w:keepNext w:val="0"/>
              <w:keepLines w:val="0"/>
              <w:suppressLineNumbers w:val="0"/>
              <w:spacing w:before="0" w:beforeAutospacing="0" w:after="0" w:afterAutospacing="0" w:line="240" w:lineRule="auto"/>
              <w:ind w:left="0" w:right="0" w:firstLine="0" w:firstLineChars="0"/>
              <w:rPr>
                <w:rFonts w:hint="default" w:eastAsiaTheme="minorEastAsia"/>
                <w:color w:val="auto"/>
                <w:kern w:val="2"/>
                <w:sz w:val="24"/>
              </w:rPr>
            </w:pPr>
            <w:r>
              <w:rPr>
                <w:rFonts w:hint="default" w:hAnsiTheme="minorEastAsia" w:eastAsiaTheme="minorEastAsia"/>
                <w:color w:val="auto"/>
                <w:kern w:val="2"/>
                <w:sz w:val="24"/>
              </w:rPr>
              <w:t>该种危险物质</w:t>
            </w:r>
            <w:r>
              <w:rPr>
                <w:rFonts w:hint="default" w:eastAsiaTheme="minorEastAsia"/>
                <w:color w:val="auto"/>
                <w:kern w:val="2"/>
                <w:sz w:val="24"/>
              </w:rPr>
              <w:t>Q</w:t>
            </w:r>
            <w:r>
              <w:rPr>
                <w:rFonts w:hint="default" w:hAnsiTheme="minorEastAsia" w:eastAsiaTheme="minorEastAsia"/>
                <w:color w:val="auto"/>
                <w:kern w:val="2"/>
                <w:sz w:val="24"/>
              </w:rPr>
              <w:t>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1"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eastAsiaTheme="minorEastAsia"/>
                <w:color w:val="auto"/>
                <w:kern w:val="2"/>
                <w:sz w:val="24"/>
              </w:rPr>
              <w:t>1</w:t>
            </w:r>
          </w:p>
        </w:tc>
        <w:tc>
          <w:tcPr>
            <w:tcW w:w="156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hAnsi="Times New Roman" w:cs="Times New Roman"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天然气</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cs="Times New Roman" w:eastAsiaTheme="minorEastAsia"/>
                <w:color w:val="000000" w:themeColor="text1"/>
                <w:kern w:val="2"/>
                <w:sz w:val="24"/>
                <w:szCs w:val="24"/>
                <w:lang w:val="zh-CN" w:eastAsia="zh-CN" w:bidi="ar-SA"/>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74-82-8</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cs="Times New Roman" w:eastAsiaTheme="minorEastAsia"/>
                <w:color w:val="auto"/>
                <w:kern w:val="2"/>
                <w:sz w:val="24"/>
                <w:szCs w:val="24"/>
                <w:lang w:val="en-US" w:eastAsia="zh-CN" w:bidi="ar-SA"/>
              </w:rPr>
            </w:pPr>
            <w:r>
              <w:rPr>
                <w:rFonts w:hint="eastAsia" w:hAnsiTheme="minorEastAsia" w:eastAsiaTheme="minorEastAsia"/>
                <w:color w:val="auto"/>
                <w:kern w:val="2"/>
                <w:sz w:val="24"/>
                <w:szCs w:val="24"/>
                <w:lang w:eastAsia="zh-CN"/>
              </w:rPr>
              <w:t>管道天然气</w:t>
            </w:r>
          </w:p>
        </w:tc>
        <w:tc>
          <w:tcPr>
            <w:tcW w:w="128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不储存</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lang w:val="en-US" w:eastAsia="zh-CN"/>
              </w:rPr>
              <w:t>10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rPr>
            </w:pPr>
            <w:r>
              <w:rPr>
                <w:rFonts w:hint="default" w:eastAsiaTheme="minorEastAsia"/>
                <w:color w:val="auto"/>
                <w:kern w:val="2"/>
                <w:sz w:val="24"/>
                <w:szCs w:val="24"/>
              </w:rPr>
              <w:t>2</w:t>
            </w:r>
          </w:p>
        </w:tc>
        <w:tc>
          <w:tcPr>
            <w:tcW w:w="156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硅烷</w:t>
            </w:r>
          </w:p>
        </w:tc>
        <w:tc>
          <w:tcPr>
            <w:tcW w:w="1386"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7803-62-5</w:t>
            </w:r>
          </w:p>
        </w:tc>
        <w:tc>
          <w:tcPr>
            <w:tcW w:w="128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生产车间</w:t>
            </w:r>
          </w:p>
        </w:tc>
        <w:tc>
          <w:tcPr>
            <w:tcW w:w="128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default"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3.75</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2.5</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eastAsia" w:eastAsiaTheme="minorEastAsia"/>
                <w:color w:val="auto"/>
                <w:kern w:val="2"/>
                <w:sz w:val="24"/>
                <w:szCs w:val="24"/>
                <w:lang w:val="en-US" w:eastAsia="zh-CN"/>
              </w:rPr>
            </w:pPr>
            <w:r>
              <w:rPr>
                <w:rFonts w:hint="eastAsia" w:eastAsiaTheme="minorEastAsia"/>
                <w:color w:val="auto"/>
                <w:kern w:val="2"/>
                <w:sz w:val="24"/>
                <w:szCs w:val="24"/>
                <w:lang w:val="en-US" w:eastAsia="zh-CN"/>
              </w:rPr>
              <w:t>3</w:t>
            </w:r>
          </w:p>
        </w:tc>
        <w:tc>
          <w:tcPr>
            <w:tcW w:w="1560"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环氧树脂</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63148-69-6</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0.18</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50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0.0036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4</w:t>
            </w:r>
          </w:p>
        </w:tc>
        <w:tc>
          <w:tcPr>
            <w:tcW w:w="156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二甲苯</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1330</w:t>
            </w: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w:t>
            </w: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20</w:t>
            </w:r>
            <w:r>
              <w:rPr>
                <w:rFonts w:hint="default" w:ascii="Times New Roman" w:hAnsi="Times New Roman" w:cs="Times New Roman"/>
                <w:color w:val="000000" w:themeColor="text1"/>
                <w:kern w:val="2"/>
                <w:sz w:val="24"/>
                <w:szCs w:val="24"/>
                <w:shd w:val="clear" w:color="auto" w:fill="FAFAFA"/>
                <w14:textFill>
                  <w14:solidFill>
                    <w14:schemeClr w14:val="tx1"/>
                  </w14:solidFill>
                </w14:textFill>
              </w:rPr>
              <w:t>-</w:t>
            </w:r>
            <w:r>
              <w:rPr>
                <w:rFonts w:hint="default"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7</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280" w:type="dxa"/>
            <w:vAlign w:val="top"/>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0.06</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10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cs="Times New Roman" w:eastAsiaTheme="minorEastAsia"/>
                <w:color w:val="auto"/>
                <w:kern w:val="2"/>
                <w:sz w:val="24"/>
                <w:szCs w:val="24"/>
                <w:lang w:val="en-US" w:eastAsia="zh-CN" w:bidi="ar-SA"/>
              </w:rPr>
              <w:t>0.006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5</w:t>
            </w:r>
          </w:p>
        </w:tc>
        <w:tc>
          <w:tcPr>
            <w:tcW w:w="156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助剂</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280" w:type="dxa"/>
            <w:vAlign w:val="top"/>
          </w:tcPr>
          <w:p>
            <w:pPr>
              <w:pStyle w:val="48"/>
              <w:keepNext w:val="0"/>
              <w:keepLines w:val="0"/>
              <w:suppressLineNumbers w:val="0"/>
              <w:spacing w:before="0" w:beforeAutospacing="0" w:after="0" w:afterAutospacing="0"/>
              <w:ind w:left="0" w:leftChars="0" w:right="0" w:firstLine="0" w:firstLineChars="0"/>
              <w:jc w:val="center"/>
              <w:rPr>
                <w:rFonts w:hint="default"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0.06</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50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cs="Times New Roman" w:eastAsiaTheme="minorEastAsia"/>
                <w:color w:val="auto"/>
                <w:kern w:val="2"/>
                <w:sz w:val="24"/>
                <w:szCs w:val="24"/>
                <w:lang w:val="en-US" w:eastAsia="zh-CN" w:bidi="ar-SA"/>
              </w:rPr>
              <w:t>0.0012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6</w:t>
            </w:r>
          </w:p>
        </w:tc>
        <w:tc>
          <w:tcPr>
            <w:tcW w:w="156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溶剂油</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64742-94-5</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280" w:type="dxa"/>
            <w:vAlign w:val="top"/>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0.18</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50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cs="Times New Roman" w:eastAsiaTheme="minorEastAsia"/>
                <w:color w:val="auto"/>
                <w:kern w:val="2"/>
                <w:sz w:val="24"/>
                <w:szCs w:val="24"/>
                <w:lang w:val="en-US" w:eastAsia="zh-CN" w:bidi="ar-SA"/>
              </w:rPr>
              <w:t>0.0036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7</w:t>
            </w:r>
          </w:p>
        </w:tc>
        <w:tc>
          <w:tcPr>
            <w:tcW w:w="156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醋酸丁酯</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123-86-4</w:t>
            </w:r>
          </w:p>
        </w:tc>
        <w:tc>
          <w:tcPr>
            <w:tcW w:w="1280"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eastAsia="zh-CN"/>
                <w14:textFill>
                  <w14:solidFill>
                    <w14:schemeClr w14:val="tx1"/>
                  </w14:solidFill>
                </w14:textFill>
              </w:rPr>
              <w:t>原料仓库</w:t>
            </w:r>
          </w:p>
        </w:tc>
        <w:tc>
          <w:tcPr>
            <w:tcW w:w="1280" w:type="dxa"/>
            <w:vAlign w:val="top"/>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hAnsi="Times New Roman" w:eastAsia="宋体" w:cs="Times New Roman"/>
                <w:color w:val="000000" w:themeColor="text1"/>
                <w:kern w:val="2"/>
                <w:sz w:val="24"/>
                <w:szCs w:val="24"/>
                <w:shd w:val="clear" w:color="auto" w:fill="FAFAFA"/>
                <w:lang w:val="en-US" w:eastAsia="zh-CN" w:bidi="ar-SA"/>
                <w14:textFill>
                  <w14:solidFill>
                    <w14:schemeClr w14:val="tx1"/>
                  </w14:solidFill>
                </w14:textFill>
              </w:rPr>
            </w:pPr>
            <w:r>
              <w:rPr>
                <w:rFonts w:hint="eastAsia" w:ascii="Times New Roman" w:hAnsi="Times New Roman" w:cs="Times New Roman"/>
                <w:color w:val="000000" w:themeColor="text1"/>
                <w:kern w:val="2"/>
                <w:sz w:val="24"/>
                <w:szCs w:val="24"/>
                <w:shd w:val="clear" w:color="auto" w:fill="FAFAFA"/>
                <w:lang w:val="en-US" w:eastAsia="zh-CN"/>
                <w14:textFill>
                  <w14:solidFill>
                    <w14:schemeClr w14:val="tx1"/>
                  </w14:solidFill>
                </w14:textFill>
              </w:rPr>
              <w:t>0.12</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50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cs="Times New Roman" w:eastAsiaTheme="minorEastAsia"/>
                <w:color w:val="auto"/>
                <w:kern w:val="2"/>
                <w:sz w:val="24"/>
                <w:szCs w:val="24"/>
                <w:lang w:val="en-US" w:eastAsia="zh-CN" w:bidi="ar-SA"/>
              </w:rPr>
            </w:pPr>
            <w:r>
              <w:rPr>
                <w:rFonts w:hint="eastAsia" w:eastAsiaTheme="minorEastAsia"/>
                <w:color w:val="auto"/>
                <w:kern w:val="2"/>
                <w:sz w:val="24"/>
                <w:szCs w:val="24"/>
                <w:lang w:val="en-US" w:eastAsia="zh-CN"/>
              </w:rPr>
              <w:t>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8</w:t>
            </w:r>
          </w:p>
        </w:tc>
        <w:tc>
          <w:tcPr>
            <w:tcW w:w="156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eastAsia="zh-CN"/>
              </w:rPr>
              <w:t>除油剂</w:t>
            </w:r>
          </w:p>
        </w:tc>
        <w:tc>
          <w:tcPr>
            <w:tcW w:w="1386"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w:t>
            </w:r>
          </w:p>
        </w:tc>
        <w:tc>
          <w:tcPr>
            <w:tcW w:w="128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生产车间</w:t>
            </w:r>
          </w:p>
        </w:tc>
        <w:tc>
          <w:tcPr>
            <w:tcW w:w="128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cs="Times New Roman" w:hAnsiTheme="minorEastAsia" w:eastAsiaTheme="minorEastAsia"/>
                <w:color w:val="auto"/>
                <w:kern w:val="2"/>
                <w:sz w:val="24"/>
                <w:szCs w:val="24"/>
                <w:lang w:val="en-US" w:eastAsia="zh-CN"/>
              </w:rPr>
              <w:t>4.5</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50</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891" w:type="dxa"/>
            <w:vAlign w:val="center"/>
          </w:tcPr>
          <w:p>
            <w:pPr>
              <w:keepNext w:val="0"/>
              <w:keepLines w:val="0"/>
              <w:suppressLineNumbers w:val="0"/>
              <w:tabs>
                <w:tab w:val="left" w:pos="441"/>
                <w:tab w:val="center" w:pos="591"/>
              </w:tabs>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szCs w:val="24"/>
                <w:lang w:val="en-US" w:eastAsia="zh-CN"/>
              </w:rPr>
              <w:t>9</w:t>
            </w:r>
          </w:p>
        </w:tc>
        <w:tc>
          <w:tcPr>
            <w:tcW w:w="1560" w:type="dxa"/>
            <w:vAlign w:val="center"/>
          </w:tcPr>
          <w:p>
            <w:pPr>
              <w:keepNext w:val="0"/>
              <w:keepLines w:val="0"/>
              <w:suppressLineNumbers w:val="0"/>
              <w:autoSpaceDE w:val="0"/>
              <w:autoSpaceDN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0"/>
                <w:sz w:val="24"/>
                <w:szCs w:val="24"/>
                <w:lang w:val="en-US" w:eastAsia="zh-CN" w:bidi="ar-SA"/>
              </w:rPr>
            </w:pPr>
            <w:r>
              <w:rPr>
                <w:rFonts w:hint="eastAsia" w:hAnsiTheme="minorEastAsia" w:eastAsiaTheme="minorEastAsia"/>
                <w:color w:val="auto"/>
                <w:kern w:val="0"/>
                <w:sz w:val="24"/>
                <w:szCs w:val="24"/>
                <w:lang w:val="en-US" w:eastAsia="zh-CN"/>
              </w:rPr>
              <w:t>废活性炭</w:t>
            </w:r>
          </w:p>
        </w:tc>
        <w:tc>
          <w:tcPr>
            <w:tcW w:w="1386" w:type="dxa"/>
            <w:vAlign w:val="center"/>
          </w:tcPr>
          <w:p>
            <w:pPr>
              <w:pStyle w:val="48"/>
              <w:keepNext w:val="0"/>
              <w:keepLines w:val="0"/>
              <w:suppressLineNumbers w:val="0"/>
              <w:spacing w:before="0" w:beforeAutospacing="0" w:after="0" w:afterAutospacing="0"/>
              <w:ind w:left="0" w:leftChars="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ascii="Times New Roman" w:hAnsi="Times New Roman" w:cs="Times New Roman" w:eastAsiaTheme="minorEastAsia"/>
                <w:color w:val="auto"/>
                <w:kern w:val="2"/>
                <w:sz w:val="24"/>
                <w:lang w:val="en-US" w:eastAsia="zh-CN"/>
              </w:rPr>
              <w:t>/</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eastAsiaTheme="minorEastAsia"/>
                <w:color w:val="auto"/>
                <w:kern w:val="2"/>
                <w:sz w:val="24"/>
                <w:lang w:val="en-US" w:eastAsia="zh-CN"/>
              </w:rPr>
              <w:t>危废间</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eastAsia" w:ascii="Times New Roman" w:cs="Times New Roman" w:hAnsiTheme="minorEastAsia" w:eastAsiaTheme="minorEastAsia"/>
                <w:color w:val="auto"/>
                <w:kern w:val="2"/>
                <w:sz w:val="24"/>
                <w:szCs w:val="24"/>
                <w:lang w:val="en-US" w:eastAsia="zh-CN" w:bidi="ar-SA"/>
              </w:rPr>
            </w:pPr>
            <w:r>
              <w:rPr>
                <w:rFonts w:hint="eastAsia" w:eastAsiaTheme="minorEastAsia"/>
                <w:color w:val="auto"/>
                <w:kern w:val="2"/>
                <w:sz w:val="24"/>
                <w:lang w:val="en-US" w:eastAsia="zh-CN"/>
              </w:rPr>
              <w:t>1</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lang w:val="en-US" w:eastAsia="zh-CN"/>
              </w:rPr>
              <w:t>7.5</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szCs w:val="24"/>
                <w:lang w:val="en-US" w:eastAsia="zh-CN"/>
              </w:rPr>
            </w:pPr>
            <w:r>
              <w:rPr>
                <w:rFonts w:hint="eastAsia" w:eastAsiaTheme="minorEastAsia"/>
                <w:color w:val="auto"/>
                <w:kern w:val="2"/>
                <w:sz w:val="24"/>
                <w:lang w:val="en-US" w:eastAsia="zh-CN"/>
              </w:rPr>
              <w:t>0.1333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7" w:type="dxa"/>
            <w:gridSpan w:val="6"/>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rPr>
            </w:pPr>
            <w:r>
              <w:rPr>
                <w:rFonts w:hint="default" w:eastAsiaTheme="minorEastAsia"/>
                <w:color w:val="auto"/>
                <w:kern w:val="2"/>
                <w:sz w:val="24"/>
              </w:rPr>
              <w:t>Q</w:t>
            </w:r>
            <w:r>
              <w:rPr>
                <w:rFonts w:hint="default" w:hAnsiTheme="minorEastAsia" w:eastAsiaTheme="minorEastAsia"/>
                <w:color w:val="auto"/>
                <w:kern w:val="2"/>
                <w:sz w:val="24"/>
              </w:rPr>
              <w:t>总计</w:t>
            </w:r>
          </w:p>
        </w:tc>
        <w:tc>
          <w:tcPr>
            <w:tcW w:w="1280" w:type="dxa"/>
            <w:vAlign w:val="center"/>
          </w:tcPr>
          <w:p>
            <w:pPr>
              <w:keepNext w:val="0"/>
              <w:keepLines w:val="0"/>
              <w:suppressLineNumbers w:val="0"/>
              <w:spacing w:before="0" w:beforeAutospacing="0" w:after="0" w:afterAutospacing="0" w:line="240" w:lineRule="auto"/>
              <w:ind w:left="0" w:right="0" w:firstLine="0" w:firstLineChars="0"/>
              <w:jc w:val="center"/>
              <w:rPr>
                <w:rFonts w:hint="default" w:eastAsiaTheme="minorEastAsia"/>
                <w:color w:val="auto"/>
                <w:kern w:val="2"/>
                <w:sz w:val="24"/>
                <w:lang w:val="en-US" w:eastAsia="zh-CN"/>
              </w:rPr>
            </w:pPr>
            <w:r>
              <w:rPr>
                <w:rFonts w:hint="eastAsia" w:eastAsiaTheme="minorEastAsia"/>
                <w:color w:val="auto"/>
                <w:kern w:val="2"/>
                <w:sz w:val="24"/>
                <w:lang w:val="en-US" w:eastAsia="zh-CN"/>
              </w:rPr>
              <w:t>1.7401</w:t>
            </w:r>
          </w:p>
        </w:tc>
      </w:tr>
    </w:tbl>
    <w:p>
      <w:pPr>
        <w:ind w:firstLine="560"/>
        <w:rPr>
          <w:rFonts w:hint="default" w:ascii="Times New Roman" w:hAnsi="Times New Roman" w:eastAsia="宋体" w:cs="Times New Roman"/>
          <w:color w:val="auto"/>
          <w:sz w:val="24"/>
          <w:szCs w:val="24"/>
          <w:lang w:eastAsia="zh-CN"/>
        </w:rPr>
      </w:pPr>
      <w:r>
        <w:rPr>
          <w:rFonts w:hint="default" w:ascii="Times New Roman" w:hAnsi="Times New Roman" w:cs="Times New Roman" w:eastAsiaTheme="minorEastAsia"/>
          <w:color w:val="auto"/>
          <w:sz w:val="24"/>
          <w:szCs w:val="24"/>
        </w:rPr>
        <w:t>由上表可知，</w:t>
      </w:r>
      <w:r>
        <w:rPr>
          <w:rFonts w:hint="default" w:ascii="Times New Roman" w:hAnsi="Times New Roman" w:cs="Times New Roman" w:eastAsiaTheme="minorEastAsia"/>
          <w:color w:val="auto"/>
          <w:sz w:val="24"/>
          <w:szCs w:val="24"/>
          <w:lang w:eastAsia="zh-CN"/>
        </w:rPr>
        <w:t>公司</w:t>
      </w:r>
      <w:r>
        <w:rPr>
          <w:rFonts w:hint="default" w:ascii="Times New Roman" w:hAnsi="Times New Roman" w:cs="Times New Roman" w:eastAsiaTheme="minorEastAsia"/>
          <w:color w:val="auto"/>
          <w:sz w:val="24"/>
          <w:szCs w:val="24"/>
        </w:rPr>
        <w:t>事故环境风险物质数量与临界量的</w:t>
      </w:r>
      <w:r>
        <w:rPr>
          <w:rFonts w:hint="default" w:ascii="Times New Roman" w:hAnsi="Times New Roman" w:cs="Times New Roman" w:eastAsiaTheme="minorEastAsia"/>
          <w:color w:val="auto"/>
          <w:sz w:val="24"/>
          <w:szCs w:val="24"/>
          <w:lang w:eastAsia="zh-CN"/>
        </w:rPr>
        <w:t>比值：</w:t>
      </w:r>
      <w:r>
        <w:rPr>
          <w:rFonts w:hint="default" w:ascii="Times New Roman" w:hAnsi="Times New Roman" w:cs="Times New Roman" w:eastAsiaTheme="minorEastAsia"/>
          <w:color w:val="auto"/>
          <w:sz w:val="24"/>
          <w:szCs w:val="24"/>
        </w:rPr>
        <w:t>1≤Q＜1</w:t>
      </w:r>
      <w:r>
        <w:rPr>
          <w:rFonts w:hint="eastAsia" w:cs="Times New Roman" w:eastAsiaTheme="minorEastAsia"/>
          <w:color w:val="auto"/>
          <w:sz w:val="24"/>
          <w:szCs w:val="24"/>
          <w:lang w:val="en-US" w:eastAsia="zh-CN"/>
        </w:rPr>
        <w:t>0</w:t>
      </w:r>
      <w:r>
        <w:rPr>
          <w:rFonts w:hint="default" w:ascii="Times New Roman" w:hAnsi="Times New Roman" w:cs="Times New Roman" w:eastAsiaTheme="minorEastAsia"/>
          <w:color w:val="auto"/>
          <w:sz w:val="24"/>
          <w:szCs w:val="24"/>
          <w:lang w:eastAsia="zh-CN"/>
        </w:rPr>
        <w:t>，以</w:t>
      </w:r>
      <w:r>
        <w:rPr>
          <w:rFonts w:hint="default" w:ascii="Times New Roman" w:hAnsi="Times New Roman" w:cs="Times New Roman" w:eastAsiaTheme="minorEastAsia"/>
          <w:color w:val="auto"/>
          <w:sz w:val="24"/>
          <w:szCs w:val="24"/>
          <w:lang w:val="en-US" w:eastAsia="zh-CN"/>
        </w:rPr>
        <w:t>Q</w:t>
      </w:r>
      <w:r>
        <w:rPr>
          <w:rFonts w:hint="eastAsia" w:cs="Times New Roman" w:eastAsiaTheme="minorEastAsia"/>
          <w:color w:val="auto"/>
          <w:sz w:val="24"/>
          <w:szCs w:val="24"/>
          <w:lang w:val="en-US" w:eastAsia="zh-CN"/>
        </w:rPr>
        <w:t>1</w:t>
      </w:r>
      <w:r>
        <w:rPr>
          <w:rFonts w:hint="default" w:ascii="Times New Roman" w:hAnsi="Times New Roman" w:cs="Times New Roman" w:eastAsiaTheme="minorEastAsia"/>
          <w:color w:val="auto"/>
          <w:sz w:val="24"/>
          <w:szCs w:val="24"/>
          <w:lang w:val="en-US" w:eastAsia="zh-CN"/>
        </w:rPr>
        <w:t>表示</w:t>
      </w:r>
      <w:r>
        <w:rPr>
          <w:rFonts w:hint="default" w:ascii="Times New Roman" w:hAnsi="Times New Roman" w:cs="Times New Roman"/>
          <w:color w:val="auto"/>
          <w:sz w:val="24"/>
          <w:szCs w:val="24"/>
          <w:lang w:eastAsia="zh-CN"/>
        </w:rPr>
        <w:t>。</w:t>
      </w:r>
    </w:p>
    <w:p>
      <w:pPr>
        <w:pStyle w:val="5"/>
        <w:ind w:firstLine="643"/>
        <w:rPr>
          <w:rFonts w:hint="default" w:ascii="Times New Roman" w:hAnsi="Times New Roman" w:cs="Times New Roman" w:eastAsiaTheme="minorEastAsia"/>
          <w:color w:val="auto"/>
        </w:rPr>
      </w:pPr>
      <w:bookmarkStart w:id="302" w:name="_Toc14850"/>
      <w:bookmarkStart w:id="303" w:name="_Toc1599"/>
      <w:bookmarkStart w:id="304" w:name="_Toc13542_WPSOffice_Level2"/>
      <w:bookmarkStart w:id="305" w:name="_Toc4264"/>
      <w:bookmarkStart w:id="306" w:name="_Toc26225"/>
      <w:bookmarkStart w:id="307" w:name="_Toc24439"/>
      <w:r>
        <w:rPr>
          <w:rFonts w:hint="default" w:ascii="Times New Roman" w:hAnsi="Times New Roman" w:cs="Times New Roman" w:eastAsiaTheme="minorEastAsia"/>
          <w:color w:val="auto"/>
        </w:rPr>
        <w:t>7.3 生产工艺与环境风险控制水平（M）</w:t>
      </w:r>
      <w:bookmarkEnd w:id="302"/>
      <w:bookmarkEnd w:id="303"/>
      <w:bookmarkEnd w:id="304"/>
      <w:bookmarkEnd w:id="305"/>
      <w:bookmarkEnd w:id="306"/>
      <w:bookmarkEnd w:id="307"/>
    </w:p>
    <w:p>
      <w:pPr>
        <w:keepNext w:val="0"/>
        <w:keepLines w:val="0"/>
        <w:pageBreakBefore w:val="0"/>
        <w:widowControl w:val="0"/>
        <w:kinsoku/>
        <w:wordWrap/>
        <w:overflowPunct/>
        <w:topLinePunct w:val="0"/>
        <w:autoSpaceDE w:val="0"/>
        <w:autoSpaceDN w:val="0"/>
        <w:bidi w:val="0"/>
        <w:adjustRightInd/>
        <w:snapToGrid/>
        <w:spacing w:line="360" w:lineRule="auto"/>
        <w:ind w:firstLine="561"/>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采用评分法对企业生产工艺、安全生产控制、环境风险防控措施、环评及批复落实情况、废水排放去向等指标进行评估汇总，确定企业生产工艺与环境风险控制水平。评估指标及分值分别见表7-2与表7-3。</w:t>
      </w:r>
    </w:p>
    <w:p>
      <w:pPr>
        <w:ind w:firstLine="482"/>
        <w:jc w:val="center"/>
        <w:rPr>
          <w:rFonts w:hint="default" w:ascii="Times New Roman" w:hAnsi="Times New Roman" w:cs="Times New Roman" w:eastAsiaTheme="minorEastAsia"/>
          <w:color w:val="auto"/>
          <w:sz w:val="24"/>
        </w:rPr>
      </w:pPr>
      <w:r>
        <w:rPr>
          <w:rFonts w:hint="default" w:ascii="Times New Roman" w:hAnsi="Times New Roman" w:cs="Times New Roman" w:eastAsiaTheme="minorEastAsia"/>
          <w:b/>
          <w:bCs/>
          <w:color w:val="auto"/>
          <w:sz w:val="24"/>
        </w:rPr>
        <w:t>表7-2 企业生产工艺与环境风险控制水平评估指标</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81" w:type="dxa"/>
            <w:gridSpan w:val="2"/>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评估指标</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81" w:type="dxa"/>
            <w:gridSpan w:val="2"/>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生产工艺</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安全生产控制（8分）</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消防验收</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危险化学品安全评价</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安全生产许可</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危险化学品重大危险源备案</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水环境风险防控措施（40分）</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截流措施</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事故排水收集措施</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清净下水系统防控措施</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雨水系统防控措施</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生产废水系统防控措施</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2840"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大气环境风险防控措施（12分）</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毒性气体泄漏紧急处置装置</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生产区域或厂界毒性气体泄漏监控预警系统</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81" w:type="dxa"/>
            <w:gridSpan w:val="2"/>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环评及批复的其他环境风险防控措施落实情况</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81" w:type="dxa"/>
            <w:gridSpan w:val="2"/>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废水排放去向</w:t>
            </w:r>
          </w:p>
        </w:tc>
        <w:tc>
          <w:tcPr>
            <w:tcW w:w="2841"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10分</w:t>
            </w:r>
          </w:p>
        </w:tc>
      </w:tr>
    </w:tbl>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表7.3 企业生产工艺与环境风险控制水平</w:t>
      </w:r>
    </w:p>
    <w:tbl>
      <w:tblPr>
        <w:tblStyle w:val="22"/>
        <w:tblW w:w="8460"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工艺与环境风险控制水平值（M）</w:t>
            </w:r>
          </w:p>
        </w:tc>
        <w:tc>
          <w:tcPr>
            <w:tcW w:w="396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工艺过程与环境风险控制水平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M＜25</w:t>
            </w:r>
          </w:p>
        </w:tc>
        <w:tc>
          <w:tcPr>
            <w:tcW w:w="396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M1类水平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25≤M＜45</w:t>
            </w:r>
          </w:p>
        </w:tc>
        <w:tc>
          <w:tcPr>
            <w:tcW w:w="396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M2类水平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45≤M＜60</w:t>
            </w:r>
          </w:p>
        </w:tc>
        <w:tc>
          <w:tcPr>
            <w:tcW w:w="396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M3类水平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M≥60</w:t>
            </w:r>
          </w:p>
        </w:tc>
        <w:tc>
          <w:tcPr>
            <w:tcW w:w="3960" w:type="dxa"/>
          </w:tcPr>
          <w:p>
            <w:pPr>
              <w:keepNext w:val="0"/>
              <w:keepLines w:val="0"/>
              <w:suppressLineNumbers w:val="0"/>
              <w:spacing w:before="0" w:beforeAutospacing="0" w:after="0" w:afterAutospacing="0"/>
              <w:ind w:left="0" w:right="0" w:firstLine="480"/>
              <w:jc w:val="center"/>
              <w:rPr>
                <w:rFonts w:hint="default" w:ascii="Times New Roman" w:hAnsi="Times New Roman" w:cs="Times New Roman" w:eastAsiaTheme="minorEastAsia"/>
                <w:b/>
                <w:bCs/>
                <w:color w:val="auto"/>
                <w:kern w:val="2"/>
                <w:sz w:val="24"/>
              </w:rPr>
            </w:pPr>
            <w:r>
              <w:rPr>
                <w:rFonts w:hint="default" w:ascii="Times New Roman" w:hAnsi="Times New Roman" w:cs="Times New Roman" w:eastAsiaTheme="minorEastAsia"/>
                <w:color w:val="auto"/>
                <w:kern w:val="2"/>
                <w:sz w:val="24"/>
              </w:rPr>
              <w:t>M4类水平</w:t>
            </w:r>
          </w:p>
        </w:tc>
      </w:tr>
    </w:tbl>
    <w:p>
      <w:pPr>
        <w:pStyle w:val="6"/>
        <w:ind w:firstLine="602"/>
        <w:rPr>
          <w:rFonts w:hint="default" w:ascii="Times New Roman" w:hAnsi="Times New Roman" w:cs="Times New Roman" w:eastAsiaTheme="minorEastAsia"/>
          <w:color w:val="auto"/>
        </w:rPr>
      </w:pPr>
      <w:bookmarkStart w:id="308" w:name="_Toc29042"/>
      <w:bookmarkStart w:id="309" w:name="_Toc21106"/>
      <w:bookmarkStart w:id="310" w:name="_Toc9631"/>
      <w:r>
        <w:rPr>
          <w:rFonts w:hint="default" w:ascii="Times New Roman" w:hAnsi="Times New Roman" w:cs="Times New Roman" w:eastAsiaTheme="minorEastAsia"/>
          <w:color w:val="auto"/>
        </w:rPr>
        <w:t>7.3.1生产工艺</w:t>
      </w:r>
      <w:bookmarkEnd w:id="308"/>
      <w:bookmarkEnd w:id="309"/>
      <w:bookmarkEnd w:id="310"/>
    </w:p>
    <w:p>
      <w:pPr>
        <w:ind w:firstLine="560"/>
        <w:rPr>
          <w:rFonts w:hint="default" w:ascii="Times New Roman" w:hAnsi="Times New Roman" w:cs="Times New Roman" w:eastAsiaTheme="minorEastAsia"/>
          <w:color w:val="auto"/>
          <w:szCs w:val="18"/>
        </w:rPr>
      </w:pPr>
      <w:r>
        <w:rPr>
          <w:rFonts w:hint="default" w:ascii="Times New Roman" w:hAnsi="Times New Roman" w:cs="Times New Roman" w:eastAsiaTheme="minorEastAsia"/>
          <w:color w:val="auto"/>
          <w:szCs w:val="18"/>
        </w:rPr>
        <w:t>企业生产工艺及其特征见表7-4。</w:t>
      </w:r>
    </w:p>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表7-4 生产工艺及其特征</w:t>
      </w:r>
    </w:p>
    <w:tbl>
      <w:tblPr>
        <w:tblStyle w:val="22"/>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9"/>
        <w:gridCol w:w="988"/>
        <w:gridCol w:w="750"/>
        <w:gridCol w:w="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949"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生产工艺</w:t>
            </w:r>
          </w:p>
        </w:tc>
        <w:tc>
          <w:tcPr>
            <w:tcW w:w="988"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分值</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数量</w:t>
            </w:r>
          </w:p>
        </w:tc>
        <w:tc>
          <w:tcPr>
            <w:tcW w:w="832"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949"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szCs w:val="32"/>
              </w:rPr>
              <w:t>高温或高压、涉及易燃易爆等物质的工艺过程</w:t>
            </w:r>
          </w:p>
        </w:tc>
        <w:tc>
          <w:tcPr>
            <w:tcW w:w="988"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5分/套</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lang w:eastAsia="zh-CN"/>
              </w:rPr>
            </w:pPr>
            <w:r>
              <w:rPr>
                <w:rFonts w:hint="eastAsia" w:cs="Times New Roman" w:eastAsiaTheme="minorEastAsia"/>
                <w:color w:val="auto"/>
                <w:kern w:val="2"/>
                <w:sz w:val="24"/>
                <w:lang w:val="en-US" w:eastAsia="zh-CN"/>
              </w:rPr>
              <w:t>1</w:t>
            </w:r>
          </w:p>
        </w:tc>
        <w:tc>
          <w:tcPr>
            <w:tcW w:w="832"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lang w:val="en-US" w:eastAsia="zh-CN"/>
              </w:rPr>
            </w:pPr>
            <w:r>
              <w:rPr>
                <w:rFonts w:hint="eastAsia" w:cs="Times New Roman" w:eastAsiaTheme="minorEastAsia"/>
                <w:color w:val="auto"/>
                <w:kern w:val="2"/>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949"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具有国家规定限期淘汰的工艺名录和设备</w:t>
            </w:r>
          </w:p>
        </w:tc>
        <w:tc>
          <w:tcPr>
            <w:tcW w:w="988"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5分/套</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32"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5949"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不涉及以上危险工艺过程或国家规定的禁用工艺/设备</w:t>
            </w:r>
          </w:p>
        </w:tc>
        <w:tc>
          <w:tcPr>
            <w:tcW w:w="988"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5分/套</w:t>
            </w:r>
          </w:p>
        </w:tc>
        <w:tc>
          <w:tcPr>
            <w:tcW w:w="7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32"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7687" w:type="dxa"/>
            <w:gridSpan w:val="3"/>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合计</w:t>
            </w:r>
          </w:p>
        </w:tc>
        <w:tc>
          <w:tcPr>
            <w:tcW w:w="832"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lang w:val="en-US" w:eastAsia="zh-CN"/>
              </w:rPr>
            </w:pPr>
            <w:r>
              <w:rPr>
                <w:rFonts w:hint="eastAsia" w:cs="Times New Roman" w:eastAsiaTheme="minorEastAsia"/>
                <w:color w:val="auto"/>
                <w:kern w:val="2"/>
                <w:sz w:val="24"/>
                <w:lang w:val="en-US" w:eastAsia="zh-CN"/>
              </w:rPr>
              <w:t>5</w:t>
            </w:r>
          </w:p>
        </w:tc>
      </w:tr>
    </w:tbl>
    <w:p>
      <w:pPr>
        <w:pStyle w:val="6"/>
        <w:ind w:firstLine="602"/>
        <w:rPr>
          <w:rFonts w:hint="default" w:ascii="Times New Roman" w:hAnsi="Times New Roman" w:cs="Times New Roman" w:eastAsiaTheme="minorEastAsia"/>
          <w:color w:val="auto"/>
        </w:rPr>
      </w:pPr>
      <w:bookmarkStart w:id="311" w:name="_Toc13446"/>
      <w:bookmarkStart w:id="312" w:name="_Toc3513"/>
      <w:bookmarkStart w:id="313" w:name="_Toc2414"/>
      <w:r>
        <w:rPr>
          <w:rFonts w:hint="default" w:ascii="Times New Roman" w:hAnsi="Times New Roman" w:cs="Times New Roman" w:eastAsiaTheme="minorEastAsia"/>
          <w:color w:val="auto"/>
        </w:rPr>
        <w:t>7.3.2安全生产管理</w:t>
      </w:r>
      <w:bookmarkEnd w:id="311"/>
      <w:bookmarkEnd w:id="312"/>
      <w:bookmarkEnd w:id="313"/>
    </w:p>
    <w:p>
      <w:pPr>
        <w:ind w:firstLine="56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按照表7-5评估企业现有安全管理情况，如下：</w:t>
      </w:r>
    </w:p>
    <w:p>
      <w:pPr>
        <w:ind w:firstLine="482"/>
        <w:jc w:val="center"/>
        <w:rPr>
          <w:rFonts w:hint="default" w:ascii="Times New Roman" w:hAnsi="Times New Roman" w:cs="Times New Roman" w:eastAsiaTheme="minorEastAsia"/>
          <w:b/>
          <w:bCs/>
          <w:color w:val="auto"/>
          <w:sz w:val="24"/>
          <w:szCs w:val="22"/>
        </w:rPr>
      </w:pPr>
      <w:r>
        <w:rPr>
          <w:rFonts w:hint="default" w:ascii="Times New Roman" w:hAnsi="Times New Roman" w:cs="Times New Roman" w:eastAsiaTheme="minorEastAsia"/>
          <w:b/>
          <w:bCs/>
          <w:color w:val="auto"/>
          <w:sz w:val="24"/>
          <w:szCs w:val="22"/>
        </w:rPr>
        <w:t>表7-5 企业现有安全生产控制</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4758"/>
        <w:gridCol w:w="787"/>
        <w:gridCol w:w="8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评估指标</w:t>
            </w: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评估依据</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分值</w:t>
            </w:r>
          </w:p>
        </w:tc>
        <w:tc>
          <w:tcPr>
            <w:tcW w:w="84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130"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消防验收</w:t>
            </w: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消防验收意见为合格，且最近一次消防检查合格</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47"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消防验收意见不合格，或最近一次消防检查不合格</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847"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130"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安全生产许可</w:t>
            </w: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非危险化学品生产企业，或危险化学品生产企业取得安全生产许可</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47"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危险化学品生产企业未取得安全生产许可</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847"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危险化学品安全评价</w:t>
            </w: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开展危险化学品安全评价；通过安全设施竣工验收，或无要求</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47"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未开展危险化学品安全评价，或未通过安全设施竣工验收</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847"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危险化学品重大危险源备案</w:t>
            </w: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无重大危险源，或所有危险化学品重大危险源均已备案</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847" w:type="dxa"/>
            <w:vMerge w:val="restart"/>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c>
          <w:tcPr>
            <w:tcW w:w="4758"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有危险化学品重大危险源未备案</w:t>
            </w:r>
          </w:p>
        </w:tc>
        <w:tc>
          <w:tcPr>
            <w:tcW w:w="787" w:type="dxa"/>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w:t>
            </w:r>
          </w:p>
        </w:tc>
        <w:tc>
          <w:tcPr>
            <w:tcW w:w="847" w:type="dxa"/>
            <w:vMerge w:val="continue"/>
            <w:vAlign w:val="center"/>
          </w:tcPr>
          <w:p>
            <w:pPr>
              <w:keepNext w:val="0"/>
              <w:keepLines w:val="0"/>
              <w:suppressLineNumbers w:val="0"/>
              <w:spacing w:before="0" w:beforeAutospacing="0" w:after="0" w:afterAutospacing="0" w:line="288" w:lineRule="auto"/>
              <w:ind w:left="0" w:right="0" w:firstLine="0" w:firstLineChars="0"/>
              <w:jc w:val="center"/>
              <w:rPr>
                <w:rFonts w:hint="default" w:ascii="Times New Roman" w:hAnsi="Times New Roman" w:cs="Times New Roman" w:eastAsiaTheme="minorEastAsia"/>
                <w:color w:val="auto"/>
                <w:kern w:val="2"/>
                <w:sz w:val="24"/>
              </w:rPr>
            </w:pPr>
          </w:p>
        </w:tc>
      </w:tr>
    </w:tbl>
    <w:p>
      <w:pPr>
        <w:pStyle w:val="6"/>
        <w:ind w:firstLine="602"/>
        <w:rPr>
          <w:rFonts w:hint="default" w:ascii="Times New Roman" w:hAnsi="Times New Roman" w:cs="Times New Roman" w:eastAsiaTheme="minorEastAsia"/>
          <w:color w:val="auto"/>
        </w:rPr>
      </w:pPr>
      <w:bookmarkStart w:id="314" w:name="_Toc28147"/>
      <w:bookmarkStart w:id="315" w:name="_Toc15232"/>
      <w:bookmarkStart w:id="316" w:name="_Toc30498"/>
      <w:r>
        <w:rPr>
          <w:rFonts w:hint="default" w:ascii="Times New Roman" w:hAnsi="Times New Roman" w:cs="Times New Roman" w:eastAsiaTheme="minorEastAsia"/>
          <w:color w:val="auto"/>
        </w:rPr>
        <w:t>7.3.3环境风险防控与应急措施</w:t>
      </w:r>
      <w:bookmarkEnd w:id="314"/>
      <w:bookmarkEnd w:id="315"/>
      <w:bookmarkEnd w:id="316"/>
    </w:p>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表7-6 企业环境风险防控与应急措施</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4770"/>
        <w:gridCol w:w="850"/>
        <w:gridCol w:w="7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评估指标</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评估依据</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分值</w:t>
            </w:r>
          </w:p>
        </w:tc>
        <w:tc>
          <w:tcPr>
            <w:tcW w:w="772"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截流措施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1)各个环境风险单元设防渗漏、防腐蚀、防淋溶、防流失措施，设防初期雨水、泄漏物、受污染的消防水（溢）流入雨水和清净下水系统的导流围挡收集措施（如防火堤、围堰等），且相关措施符合设计规范；且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2)装置围堰与罐区防火堤（围堰）外设排水切换阀，正常情况下通向雨水系统的阀门关闭，通向事故存液池、应急事故水池、清净下水排放缓冲池或污水处理系统的阀门打开；且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3)前述措施日常管理及维护良好，有专人负责阀门切换，保证初期雨水、泄漏物和受污染的消防水排入污水系统。</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eastAsia" w:ascii="Times New Roman" w:hAnsi="Times New Roman" w:cs="Times New Roman" w:eastAsiaTheme="minorEastAsia"/>
                <w:color w:val="auto"/>
                <w:kern w:val="2"/>
                <w:sz w:val="24"/>
                <w:lang w:eastAsia="zh-CN"/>
              </w:rPr>
            </w:pPr>
            <w:r>
              <w:rPr>
                <w:rFonts w:hint="eastAsia" w:cs="Times New Roman" w:eastAsiaTheme="minorEastAsia"/>
                <w:color w:val="auto"/>
                <w:kern w:val="2"/>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有任意一个环境风险单元的截流措施不符合上述任意一条要求的。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事故排水收集措施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1)按相关设计规范设置应急事故水池、事故存液池或清净下水排放缓冲池等事故排水收集设施，并根据下游环境风险受体敏感程度和易发生极端天气情况，设置事故排水收集设施的容量；且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2)事故存液池、应急事故水池、清净下水排放缓冲池等事故排水收集设施位置合理，能自流式或确保事故状态下顺利收集泄漏物和消防水，日常保持足够的事故排水缓冲容量；且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3)设抽水设施，并与污水管线连接，能将所收集物送至厂区内污水处理设施处理。</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有任意一个环境风险单元的事故排水收集措施不符合上述任意一条要求的。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清净下水系统防控措施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1)不涉及清净下水；或</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2)厂区内清净下水均进入废水处理系统；或清污分流，且清净下水系统具有下述所有措施：</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①具有收集受污染的清净下水、初期雨水和消防水功能的清净下水排放缓冲池（或雨水收集池），池内日常保持足够的事故排水缓冲容量；池内设有提升设施，能将所集物送至厂区内污水处理设施处理；且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②具有清净下水系统（或排入雨水系统）的总排口监视及关闭设施，有专人负责在紧急情况下关闭清净下水总排口，防止受污染的雨水、清净下水、消防水和泄漏物进入外环境。</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涉及清净下水，有任意一个环境风险单元的清净下水系统防控措施但不符合上述2）要求的。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雨排水系统防控措施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厂区内雨水均进入废水处理系统；或雨污分流，且雨排水系统具有下述所有措施：</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①具有收集初期雨水的收集池或雨水监控池；池出水管上设置切断阀，正常情况下阀门关闭，防止受污染的水外排；池内设有提升设施，能将所集物送至厂区内污水处理设施处理；且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②具有雨水系统外排总排口（含泄洪渠）监视及关闭设施，有专人负责在紧急情况下关闭雨水排口（含与清净下水共用一套排水系统情况），防止雨水、消防水和泄漏物进入外环境；</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③如果有排洪沟，排洪沟不通过生产区和罐区，具有防止泄漏物和受污染的消防水流入区域排洪沟的措施。</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不符合上述要求的。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生产废水处理系统防控措施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1）无生产废水产生或外排；或</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2）有废水产生或外排时：</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①受污染的循环冷却水、雨水、消防水等排入生产污水系统或独立处理系统；且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②生产废水排放前设监控池，能够将不合格废水送废水处理设施重新处理；且</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③如企业受污染的清净下水或雨水进入废水处理系统处理，则废水处理系统应设置事故水缓冲设施；</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④具有生产废水总排口监视及关闭设施，有专人负责启闭，确保泄漏物、受污染的消防水、不合格废水不排出厂外。</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涉及废水产生或外排，但不符合上述2）中任意一条要求的。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毒性气体泄漏紧急处置装置</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1）不涉及有毒有害气体的；或</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2）根据实际情况，具有针对有毒有害气体（如硫化氢、氰化氢、氯化氢、光气、氯气、氨气、苯等）的泄漏紧急处置措施。</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lang w:eastAsia="zh-CN"/>
              </w:rPr>
            </w:pPr>
            <w:r>
              <w:rPr>
                <w:rFonts w:hint="default" w:ascii="Times New Roman" w:hAnsi="Times New Roman" w:cs="Times New Roman" w:eastAsiaTheme="minorEastAsia"/>
                <w:color w:val="auto"/>
                <w:kern w:val="2"/>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不具备有毒有害气体泄漏紧急处置装置的。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8</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毒性气体泄漏监控预警措施</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1）不涉及有毒有害气体的；或</w:t>
            </w:r>
          </w:p>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2）根据实际情况，具有针对有毒有害气体（如硫化氢、氰化氢、氯化氢、光气、氯气、氨气、苯等）设置生产区域或厂界泄漏监控预警措施。</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lang w:eastAsia="zh-CN"/>
              </w:rPr>
            </w:pPr>
            <w:r>
              <w:rPr>
                <w:rFonts w:hint="eastAsia" w:cs="Times New Roman" w:eastAsiaTheme="minorEastAsia"/>
                <w:color w:val="auto"/>
                <w:kern w:val="2"/>
                <w:sz w:val="24"/>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不具备生产区域或厂界有毒有害气体泄漏监控预警措施的。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4</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restart"/>
            <w:vAlign w:val="center"/>
          </w:tcPr>
          <w:p>
            <w:pPr>
              <w:keepNext w:val="0"/>
              <w:keepLines w:val="0"/>
              <w:suppressLineNumbers w:val="0"/>
              <w:spacing w:before="0" w:beforeAutospacing="0" w:after="0" w:afterAutospacing="0"/>
              <w:ind w:left="-44" w:leftChars="-20" w:right="-44" w:rightChars="-2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环评及批复的其他风险防控措施落实情况</w:t>
            </w: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按环评及批复文件的要求落实的其他建设环境风险防控设施的。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72" w:type="dxa"/>
            <w:vMerge w:val="restart"/>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c>
          <w:tcPr>
            <w:tcW w:w="4770" w:type="dxa"/>
            <w:vAlign w:val="center"/>
          </w:tcPr>
          <w:p>
            <w:pPr>
              <w:keepNext w:val="0"/>
              <w:keepLines w:val="0"/>
              <w:suppressLineNumbers w:val="0"/>
              <w:spacing w:before="0" w:beforeAutospacing="0" w:after="0" w:afterAutospacing="0"/>
              <w:ind w:left="-44" w:leftChars="-20" w:right="-44" w:rightChars="-2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未落实环评及批复文件中其他环境风险防控设施要求的</w:t>
            </w:r>
          </w:p>
        </w:tc>
        <w:tc>
          <w:tcPr>
            <w:tcW w:w="850"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10</w:t>
            </w:r>
          </w:p>
        </w:tc>
        <w:tc>
          <w:tcPr>
            <w:tcW w:w="772" w:type="dxa"/>
            <w:vMerge w:val="continue"/>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50" w:type="dxa"/>
            <w:gridSpan w:val="3"/>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合计</w:t>
            </w:r>
          </w:p>
        </w:tc>
        <w:tc>
          <w:tcPr>
            <w:tcW w:w="772" w:type="dxa"/>
            <w:vAlign w:val="center"/>
          </w:tcPr>
          <w:p>
            <w:pPr>
              <w:keepNext w:val="0"/>
              <w:keepLines w:val="0"/>
              <w:suppressLineNumbers w:val="0"/>
              <w:spacing w:before="0" w:beforeAutospacing="0" w:after="0" w:afterAutospacing="0"/>
              <w:ind w:left="-44" w:leftChars="-20" w:right="-44" w:rightChars="-20" w:firstLine="0" w:firstLineChars="0"/>
              <w:jc w:val="center"/>
              <w:rPr>
                <w:rFonts w:hint="default" w:ascii="Times New Roman" w:hAnsi="Times New Roman" w:cs="Times New Roman" w:eastAsiaTheme="minorEastAsia"/>
                <w:color w:val="auto"/>
                <w:kern w:val="2"/>
                <w:sz w:val="24"/>
                <w:lang w:val="en-US" w:eastAsia="zh-CN"/>
              </w:rPr>
            </w:pPr>
            <w:r>
              <w:rPr>
                <w:rFonts w:hint="eastAsia" w:cs="Times New Roman" w:eastAsiaTheme="minorEastAsia"/>
                <w:color w:val="auto"/>
                <w:kern w:val="2"/>
                <w:sz w:val="24"/>
                <w:lang w:val="en-US" w:eastAsia="zh-CN"/>
              </w:rPr>
              <w:t>0</w:t>
            </w:r>
          </w:p>
        </w:tc>
      </w:tr>
    </w:tbl>
    <w:p>
      <w:pPr>
        <w:pStyle w:val="6"/>
        <w:ind w:firstLine="602"/>
        <w:rPr>
          <w:rFonts w:hint="default" w:ascii="Times New Roman" w:hAnsi="Times New Roman" w:cs="Times New Roman" w:eastAsiaTheme="minorEastAsia"/>
          <w:color w:val="auto"/>
        </w:rPr>
      </w:pPr>
      <w:bookmarkStart w:id="317" w:name="_Toc20891"/>
      <w:bookmarkStart w:id="318" w:name="_Toc22653"/>
      <w:bookmarkStart w:id="319" w:name="_Toc18334"/>
      <w:r>
        <w:rPr>
          <w:rFonts w:hint="default" w:ascii="Times New Roman" w:hAnsi="Times New Roman" w:cs="Times New Roman" w:eastAsiaTheme="minorEastAsia"/>
          <w:color w:val="auto"/>
        </w:rPr>
        <w:t>7.3.4雨排水、清净下水、生产废水排放去向</w:t>
      </w:r>
      <w:bookmarkEnd w:id="317"/>
      <w:bookmarkEnd w:id="318"/>
      <w:bookmarkEnd w:id="319"/>
    </w:p>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表7-7 企业雨排水、清净下水、生产废水排放去向</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3"/>
        <w:gridCol w:w="850"/>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评估依据</w:t>
            </w:r>
          </w:p>
        </w:tc>
        <w:tc>
          <w:tcPr>
            <w:tcW w:w="8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分值</w:t>
            </w:r>
          </w:p>
        </w:tc>
        <w:tc>
          <w:tcPr>
            <w:tcW w:w="759"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不产生废水或废水处理后100%回用</w:t>
            </w:r>
          </w:p>
        </w:tc>
        <w:tc>
          <w:tcPr>
            <w:tcW w:w="850"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0</w:t>
            </w:r>
          </w:p>
        </w:tc>
        <w:tc>
          <w:tcPr>
            <w:tcW w:w="759"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lang w:val="en-US" w:eastAsia="zh-CN"/>
              </w:rPr>
            </w:pPr>
            <w:r>
              <w:rPr>
                <w:rFonts w:hint="eastAsia" w:cs="Times New Roman" w:eastAsiaTheme="minorEastAsia"/>
                <w:color w:val="auto"/>
                <w:kern w:val="2"/>
                <w:sz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进入城市污水处理厂或工业废水集中处理厂（如工业园区的废水处理厂）</w:t>
            </w:r>
          </w:p>
        </w:tc>
        <w:tc>
          <w:tcPr>
            <w:tcW w:w="850"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7</w:t>
            </w: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进入其它单位</w:t>
            </w:r>
          </w:p>
        </w:tc>
        <w:tc>
          <w:tcPr>
            <w:tcW w:w="85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其他（包括回喷、回灌、回用等）</w:t>
            </w:r>
          </w:p>
        </w:tc>
        <w:tc>
          <w:tcPr>
            <w:tcW w:w="85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直接进入海域或江河、湖、库等水环境</w:t>
            </w:r>
          </w:p>
        </w:tc>
        <w:tc>
          <w:tcPr>
            <w:tcW w:w="850" w:type="dxa"/>
            <w:vMerge w:val="restart"/>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10</w:t>
            </w: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进入城市下水道再入江河湖库或进入城市下水道再入沿海海域</w:t>
            </w:r>
          </w:p>
        </w:tc>
        <w:tc>
          <w:tcPr>
            <w:tcW w:w="85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13" w:type="dxa"/>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直接进入污灌农田或进入地渗或蒸发地</w:t>
            </w:r>
          </w:p>
        </w:tc>
        <w:tc>
          <w:tcPr>
            <w:tcW w:w="850"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c>
          <w:tcPr>
            <w:tcW w:w="759" w:type="dxa"/>
            <w:vMerge w:val="continue"/>
            <w:vAlign w:val="center"/>
          </w:tcPr>
          <w:p>
            <w:pPr>
              <w:keepNext w:val="0"/>
              <w:keepLines w:val="0"/>
              <w:suppressLineNumbers w:val="0"/>
              <w:spacing w:before="0" w:beforeAutospacing="0" w:after="0" w:afterAutospacing="0"/>
              <w:ind w:left="0" w:right="0" w:firstLine="0" w:firstLineChars="0"/>
              <w:jc w:val="center"/>
              <w:rPr>
                <w:rFonts w:hint="default" w:ascii="Times New Roman" w:hAnsi="Times New Roman" w:cs="Times New Roman" w:eastAsiaTheme="minorEastAsia"/>
                <w:color w:val="auto"/>
                <w:kern w:val="2"/>
                <w:sz w:val="24"/>
              </w:rPr>
            </w:pPr>
          </w:p>
        </w:tc>
      </w:tr>
    </w:tbl>
    <w:p>
      <w:pPr>
        <w:ind w:firstLine="560"/>
        <w:rPr>
          <w:rFonts w:hint="default" w:ascii="Times New Roman" w:hAnsi="Times New Roman" w:cs="Times New Roman" w:eastAsiaTheme="minorEastAsia"/>
          <w:color w:val="auto"/>
          <w:szCs w:val="18"/>
        </w:rPr>
      </w:pPr>
      <w:r>
        <w:rPr>
          <w:rFonts w:hint="default" w:ascii="Times New Roman" w:hAnsi="Times New Roman" w:cs="Times New Roman" w:eastAsiaTheme="minorEastAsia"/>
          <w:color w:val="auto"/>
          <w:szCs w:val="18"/>
        </w:rPr>
        <w:t>综上，工艺与环境风险控制水平值为</w:t>
      </w:r>
      <w:r>
        <w:rPr>
          <w:rFonts w:hint="eastAsia" w:cs="Times New Roman" w:eastAsiaTheme="minorEastAsia"/>
          <w:color w:val="auto"/>
          <w:szCs w:val="18"/>
          <w:lang w:val="en-US" w:eastAsia="zh-CN"/>
        </w:rPr>
        <w:t>12</w:t>
      </w:r>
      <w:r>
        <w:rPr>
          <w:rFonts w:hint="default" w:ascii="Times New Roman" w:hAnsi="Times New Roman" w:cs="Times New Roman" w:eastAsiaTheme="minorEastAsia"/>
          <w:color w:val="auto"/>
          <w:szCs w:val="18"/>
        </w:rPr>
        <w:t>分，工艺过程与环境风险控制水平为M</w:t>
      </w:r>
      <w:r>
        <w:rPr>
          <w:rFonts w:hint="eastAsia" w:cs="Times New Roman" w:eastAsiaTheme="minorEastAsia"/>
          <w:color w:val="auto"/>
          <w:szCs w:val="18"/>
          <w:lang w:val="en-US" w:eastAsia="zh-CN"/>
        </w:rPr>
        <w:t>1</w:t>
      </w:r>
      <w:r>
        <w:rPr>
          <w:rFonts w:hint="default" w:ascii="Times New Roman" w:hAnsi="Times New Roman" w:cs="Times New Roman" w:eastAsiaTheme="minorEastAsia"/>
          <w:color w:val="auto"/>
          <w:szCs w:val="18"/>
        </w:rPr>
        <w:t>类水平。</w:t>
      </w:r>
    </w:p>
    <w:p>
      <w:pPr>
        <w:pStyle w:val="5"/>
        <w:ind w:firstLine="643"/>
        <w:rPr>
          <w:rFonts w:hint="default" w:ascii="Times New Roman" w:hAnsi="Times New Roman" w:cs="Times New Roman" w:eastAsiaTheme="minorEastAsia"/>
          <w:color w:val="auto"/>
        </w:rPr>
      </w:pPr>
      <w:bookmarkStart w:id="320" w:name="_Toc13591"/>
      <w:bookmarkStart w:id="321" w:name="_Toc1226"/>
      <w:bookmarkStart w:id="322" w:name="_Toc17630"/>
      <w:bookmarkStart w:id="323" w:name="_Toc16125"/>
      <w:bookmarkStart w:id="324" w:name="_Toc31283"/>
      <w:r>
        <w:rPr>
          <w:rFonts w:hint="default" w:ascii="Times New Roman" w:hAnsi="Times New Roman" w:cs="Times New Roman" w:eastAsiaTheme="minorEastAsia"/>
          <w:color w:val="auto"/>
        </w:rPr>
        <w:t>7.4环境风险受体敏感性（E）</w:t>
      </w:r>
      <w:bookmarkEnd w:id="320"/>
      <w:bookmarkEnd w:id="321"/>
      <w:bookmarkEnd w:id="322"/>
      <w:bookmarkEnd w:id="323"/>
      <w:bookmarkEnd w:id="324"/>
    </w:p>
    <w:p>
      <w:pPr>
        <w:pStyle w:val="6"/>
        <w:ind w:firstLine="602"/>
        <w:rPr>
          <w:rFonts w:hint="default" w:ascii="Times New Roman" w:hAnsi="Times New Roman" w:cs="Times New Roman" w:eastAsiaTheme="minorEastAsia"/>
          <w:color w:val="auto"/>
        </w:rPr>
      </w:pPr>
      <w:bookmarkStart w:id="325" w:name="_Toc20318"/>
      <w:bookmarkStart w:id="326" w:name="_Toc18733"/>
      <w:bookmarkStart w:id="327" w:name="_Toc24288"/>
      <w:r>
        <w:rPr>
          <w:rFonts w:hint="default" w:ascii="Times New Roman" w:hAnsi="Times New Roman" w:cs="Times New Roman" w:eastAsiaTheme="minorEastAsia"/>
          <w:color w:val="auto"/>
        </w:rPr>
        <w:t>7.4.1大气环境受体</w:t>
      </w:r>
      <w:bookmarkEnd w:id="325"/>
      <w:bookmarkEnd w:id="326"/>
      <w:bookmarkEnd w:id="327"/>
    </w:p>
    <w:p>
      <w:pPr>
        <w:pStyle w:val="6"/>
        <w:ind w:firstLine="602"/>
        <w:jc w:val="center"/>
        <w:rPr>
          <w:rFonts w:hint="default" w:ascii="Times New Roman" w:hAnsi="Times New Roman" w:cs="Times New Roman" w:eastAsiaTheme="minorEastAsia"/>
          <w:color w:val="auto"/>
        </w:rPr>
      </w:pPr>
      <w:bookmarkStart w:id="328" w:name="_Toc32622"/>
      <w:r>
        <w:rPr>
          <w:rFonts w:hint="default" w:ascii="Times New Roman" w:hAnsi="Times New Roman" w:cs="Times New Roman" w:eastAsiaTheme="minorEastAsia"/>
          <w:b/>
          <w:bCs/>
          <w:color w:val="auto"/>
          <w:sz w:val="24"/>
        </w:rPr>
        <w:t>表7-8 项目大气环境风险受体</w:t>
      </w:r>
      <w:bookmarkEnd w:id="328"/>
      <w:bookmarkStart w:id="329" w:name="_Toc14295"/>
      <w:bookmarkStart w:id="330" w:name="_Toc8547"/>
    </w:p>
    <w:tbl>
      <w:tblPr>
        <w:tblStyle w:val="40"/>
        <w:tblW w:w="9094"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2119"/>
        <w:gridCol w:w="570"/>
        <w:gridCol w:w="570"/>
        <w:gridCol w:w="795"/>
        <w:gridCol w:w="1140"/>
        <w:gridCol w:w="1530"/>
        <w:gridCol w:w="16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672" w:type="dxa"/>
            <w:vMerge w:val="restart"/>
            <w:tcBorders>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环境 要素</w:t>
            </w:r>
          </w:p>
        </w:tc>
        <w:tc>
          <w:tcPr>
            <w:tcW w:w="2119"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环境保护目标</w:t>
            </w:r>
          </w:p>
        </w:tc>
        <w:tc>
          <w:tcPr>
            <w:tcW w:w="1140" w:type="dxa"/>
            <w:gridSpan w:val="2"/>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坐标</w:t>
            </w:r>
          </w:p>
        </w:tc>
        <w:tc>
          <w:tcPr>
            <w:tcW w:w="795"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方位</w:t>
            </w:r>
          </w:p>
        </w:tc>
        <w:tc>
          <w:tcPr>
            <w:tcW w:w="1140"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距离</w:t>
            </w:r>
            <w:r>
              <w:rPr>
                <w:rFonts w:hint="eastAsia" w:ascii="宋体" w:hAnsi="宋体" w:eastAsia="宋体" w:cs="宋体"/>
                <w:b/>
                <w:bCs/>
                <w:snapToGrid w:val="0"/>
                <w:color w:val="auto"/>
                <w:spacing w:val="6"/>
                <w:kern w:val="0"/>
                <w:sz w:val="20"/>
                <w:szCs w:val="20"/>
                <w:lang w:val="en-US" w:eastAsia="zh-CN"/>
              </w:rPr>
              <w:t>本项目</w:t>
            </w:r>
            <w:r>
              <w:rPr>
                <w:rFonts w:ascii="宋体" w:hAnsi="宋体" w:eastAsia="宋体" w:cs="宋体"/>
                <w:b/>
                <w:bCs/>
                <w:snapToGrid w:val="0"/>
                <w:color w:val="auto"/>
                <w:spacing w:val="6"/>
                <w:kern w:val="0"/>
                <w:sz w:val="20"/>
                <w:szCs w:val="20"/>
              </w:rPr>
              <w:t>最近距离/m</w:t>
            </w:r>
          </w:p>
        </w:tc>
        <w:tc>
          <w:tcPr>
            <w:tcW w:w="1530" w:type="dxa"/>
            <w:vMerge w:val="restart"/>
            <w:tcBorders>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规模/人</w:t>
            </w:r>
          </w:p>
        </w:tc>
        <w:tc>
          <w:tcPr>
            <w:tcW w:w="1698" w:type="dxa"/>
            <w:vMerge w:val="restart"/>
            <w:tcBorders>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保护级别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2" w:type="dxa"/>
            <w:vMerge w:val="continue"/>
            <w:tcBorders>
              <w:top w:val="nil"/>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X</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b/>
                <w:bCs/>
                <w:snapToGrid w:val="0"/>
                <w:color w:val="auto"/>
                <w:spacing w:val="6"/>
                <w:kern w:val="0"/>
                <w:sz w:val="20"/>
                <w:szCs w:val="20"/>
              </w:rPr>
            </w:pPr>
            <w:r>
              <w:rPr>
                <w:rFonts w:ascii="宋体" w:hAnsi="宋体" w:eastAsia="宋体" w:cs="宋体"/>
                <w:b/>
                <w:bCs/>
                <w:snapToGrid w:val="0"/>
                <w:color w:val="auto"/>
                <w:spacing w:val="6"/>
                <w:kern w:val="0"/>
                <w:sz w:val="20"/>
                <w:szCs w:val="20"/>
              </w:rPr>
              <w:t>Y</w:t>
            </w:r>
          </w:p>
        </w:tc>
        <w:tc>
          <w:tcPr>
            <w:tcW w:w="795"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140"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530" w:type="dxa"/>
            <w:vMerge w:val="continue"/>
            <w:tcBorders>
              <w:top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1698" w:type="dxa"/>
            <w:vMerge w:val="continue"/>
            <w:tcBorders>
              <w:top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2" w:type="dxa"/>
            <w:vMerge w:val="restart"/>
            <w:tcBorders>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大气 环境</w:t>
            </w: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八号安置小区</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9</w:t>
            </w:r>
            <w:r>
              <w:rPr>
                <w:rFonts w:ascii="宋体" w:hAnsi="宋体" w:eastAsia="宋体" w:cs="宋体"/>
                <w:snapToGrid w:val="0"/>
                <w:color w:val="auto"/>
                <w:spacing w:val="6"/>
                <w:kern w:val="0"/>
                <w:sz w:val="20"/>
                <w:szCs w:val="20"/>
              </w:rPr>
              <w:t>0</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- 1</w:t>
            </w:r>
            <w:r>
              <w:rPr>
                <w:rFonts w:hint="eastAsia" w:ascii="宋体" w:hAnsi="宋体" w:eastAsia="宋体" w:cs="宋体"/>
                <w:snapToGrid w:val="0"/>
                <w:color w:val="auto"/>
                <w:spacing w:val="6"/>
                <w:kern w:val="0"/>
                <w:sz w:val="20"/>
                <w:szCs w:val="20"/>
                <w:lang w:val="en-US" w:eastAsia="zh-CN"/>
              </w:rPr>
              <w:t>7</w:t>
            </w:r>
            <w:r>
              <w:rPr>
                <w:rFonts w:ascii="宋体" w:hAnsi="宋体" w:eastAsia="宋体" w:cs="宋体"/>
                <w:snapToGrid w:val="0"/>
                <w:color w:val="auto"/>
                <w:spacing w:val="6"/>
                <w:kern w:val="0"/>
                <w:sz w:val="20"/>
                <w:szCs w:val="20"/>
              </w:rPr>
              <w:t>0</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西南</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210</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1200 人</w:t>
            </w:r>
          </w:p>
        </w:tc>
        <w:tc>
          <w:tcPr>
            <w:tcW w:w="1698" w:type="dxa"/>
            <w:vMerge w:val="restart"/>
            <w:tcBorders>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(GB3095-2012) 二级标准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2"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千鸿花苑</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- 1</w:t>
            </w:r>
            <w:r>
              <w:rPr>
                <w:rFonts w:hint="eastAsia" w:ascii="宋体" w:hAnsi="宋体" w:eastAsia="宋体" w:cs="宋体"/>
                <w:snapToGrid w:val="0"/>
                <w:color w:val="auto"/>
                <w:spacing w:val="6"/>
                <w:kern w:val="0"/>
                <w:sz w:val="20"/>
                <w:szCs w:val="20"/>
                <w:lang w:val="en-US" w:eastAsia="zh-CN"/>
              </w:rPr>
              <w:t>23</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62</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1</w:t>
            </w:r>
            <w:r>
              <w:rPr>
                <w:rFonts w:hint="eastAsia" w:ascii="宋体" w:hAnsi="宋体" w:eastAsia="宋体" w:cs="宋体"/>
                <w:snapToGrid w:val="0"/>
                <w:color w:val="auto"/>
                <w:spacing w:val="6"/>
                <w:kern w:val="0"/>
                <w:sz w:val="20"/>
                <w:szCs w:val="20"/>
                <w:lang w:val="en-US" w:eastAsia="zh-CN"/>
              </w:rPr>
              <w:t>25</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800 人</w:t>
            </w:r>
          </w:p>
        </w:tc>
        <w:tc>
          <w:tcPr>
            <w:tcW w:w="1698"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72"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石岭布小坑组</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-3</w:t>
            </w:r>
            <w:r>
              <w:rPr>
                <w:rFonts w:hint="eastAsia" w:ascii="宋体" w:hAnsi="宋体" w:eastAsia="宋体" w:cs="宋体"/>
                <w:snapToGrid w:val="0"/>
                <w:color w:val="auto"/>
                <w:spacing w:val="6"/>
                <w:kern w:val="0"/>
                <w:sz w:val="20"/>
                <w:szCs w:val="20"/>
                <w:lang w:val="en-US" w:eastAsia="zh-CN"/>
              </w:rPr>
              <w:t>23</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38</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hint="eastAsia" w:ascii="宋体" w:hAnsi="宋体" w:eastAsia="宋体" w:cs="宋体"/>
                <w:snapToGrid w:val="0"/>
                <w:color w:val="auto"/>
                <w:spacing w:val="6"/>
                <w:kern w:val="0"/>
                <w:sz w:val="20"/>
                <w:szCs w:val="20"/>
                <w:lang w:val="en-US" w:eastAsia="zh-CN"/>
              </w:rPr>
              <w:t>32</w:t>
            </w:r>
            <w:r>
              <w:rPr>
                <w:rFonts w:ascii="宋体" w:hAnsi="宋体" w:eastAsia="宋体" w:cs="宋体"/>
                <w:snapToGrid w:val="0"/>
                <w:color w:val="auto"/>
                <w:spacing w:val="6"/>
                <w:kern w:val="0"/>
                <w:sz w:val="20"/>
                <w:szCs w:val="20"/>
              </w:rPr>
              <w:t>0</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120 人</w:t>
            </w:r>
          </w:p>
        </w:tc>
        <w:tc>
          <w:tcPr>
            <w:tcW w:w="1698"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72"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家具城</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158</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w:t>
            </w:r>
            <w:r>
              <w:rPr>
                <w:rFonts w:hint="eastAsia" w:ascii="宋体" w:hAnsi="宋体" w:eastAsia="宋体" w:cs="宋体"/>
                <w:snapToGrid w:val="0"/>
                <w:color w:val="auto"/>
                <w:spacing w:val="6"/>
                <w:kern w:val="0"/>
                <w:sz w:val="20"/>
                <w:szCs w:val="20"/>
                <w:lang w:val="en-US" w:eastAsia="zh-CN"/>
              </w:rPr>
              <w:t>223</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西南</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eastAsia"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26</w:t>
            </w:r>
            <w:r>
              <w:rPr>
                <w:rFonts w:ascii="宋体" w:hAnsi="宋体" w:eastAsia="宋体" w:cs="宋体"/>
                <w:snapToGrid w:val="0"/>
                <w:color w:val="auto"/>
                <w:spacing w:val="6"/>
                <w:kern w:val="0"/>
                <w:sz w:val="20"/>
                <w:szCs w:val="20"/>
              </w:rPr>
              <w:t>0</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w:t>
            </w:r>
            <w:r>
              <w:rPr>
                <w:rFonts w:hint="eastAsia" w:ascii="宋体" w:hAnsi="宋体" w:eastAsia="宋体" w:cs="宋体"/>
                <w:snapToGrid w:val="0"/>
                <w:color w:val="auto"/>
                <w:spacing w:val="6"/>
                <w:kern w:val="0"/>
                <w:sz w:val="20"/>
                <w:szCs w:val="20"/>
                <w:lang w:val="en-US" w:eastAsia="zh-CN"/>
              </w:rPr>
              <w:t>0</w:t>
            </w:r>
            <w:r>
              <w:rPr>
                <w:rFonts w:ascii="宋体" w:hAnsi="宋体" w:eastAsia="宋体" w:cs="宋体"/>
                <w:snapToGrid w:val="0"/>
                <w:color w:val="auto"/>
                <w:spacing w:val="6"/>
                <w:kern w:val="0"/>
                <w:sz w:val="20"/>
                <w:szCs w:val="20"/>
              </w:rPr>
              <w:t>00 人</w:t>
            </w:r>
          </w:p>
        </w:tc>
        <w:tc>
          <w:tcPr>
            <w:tcW w:w="1698"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672"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宜</w:t>
            </w:r>
            <w:r>
              <w:rPr>
                <w:rFonts w:hint="eastAsia" w:ascii="宋体" w:hAnsi="宋体" w:eastAsia="宋体" w:cs="宋体"/>
                <w:snapToGrid w:val="0"/>
                <w:color w:val="auto"/>
                <w:spacing w:val="6"/>
                <w:kern w:val="0"/>
                <w:sz w:val="20"/>
                <w:szCs w:val="20"/>
                <w:lang w:val="en-US" w:eastAsia="zh-CN"/>
              </w:rPr>
              <w:t>安</w:t>
            </w:r>
            <w:r>
              <w:rPr>
                <w:rFonts w:ascii="宋体" w:hAnsi="宋体" w:eastAsia="宋体" w:cs="宋体"/>
                <w:snapToGrid w:val="0"/>
                <w:color w:val="auto"/>
                <w:spacing w:val="6"/>
                <w:kern w:val="0"/>
                <w:sz w:val="20"/>
                <w:szCs w:val="20"/>
              </w:rPr>
              <w:t>小区</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-310</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-424</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西南</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500</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600 人</w:t>
            </w:r>
          </w:p>
        </w:tc>
        <w:tc>
          <w:tcPr>
            <w:tcW w:w="1698"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2" w:type="dxa"/>
            <w:vMerge w:val="continue"/>
            <w:tcBorders>
              <w:top w:val="nil"/>
              <w:left w:val="nil"/>
              <w:bottom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石岭布</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 xml:space="preserve">- </w:t>
            </w:r>
            <w:r>
              <w:rPr>
                <w:rFonts w:hint="eastAsia" w:ascii="宋体" w:hAnsi="宋体" w:eastAsia="宋体" w:cs="宋体"/>
                <w:snapToGrid w:val="0"/>
                <w:color w:val="auto"/>
                <w:spacing w:val="6"/>
                <w:kern w:val="0"/>
                <w:sz w:val="20"/>
                <w:szCs w:val="20"/>
                <w:lang w:val="en-US" w:eastAsia="zh-CN"/>
              </w:rPr>
              <w:t>94</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hint="eastAsia" w:ascii="宋体" w:hAnsi="宋体" w:eastAsia="宋体" w:cs="宋体"/>
                <w:snapToGrid w:val="0"/>
                <w:color w:val="auto"/>
                <w:spacing w:val="6"/>
                <w:kern w:val="0"/>
                <w:sz w:val="20"/>
                <w:szCs w:val="20"/>
                <w:lang w:val="en-US" w:eastAsia="zh-CN"/>
              </w:rPr>
              <w:t>227</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西北</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2</w:t>
            </w:r>
            <w:r>
              <w:rPr>
                <w:rFonts w:hint="eastAsia" w:ascii="宋体" w:hAnsi="宋体" w:eastAsia="宋体" w:cs="宋体"/>
                <w:snapToGrid w:val="0"/>
                <w:color w:val="auto"/>
                <w:spacing w:val="6"/>
                <w:kern w:val="0"/>
                <w:sz w:val="20"/>
                <w:szCs w:val="20"/>
                <w:lang w:val="en-US" w:eastAsia="zh-CN"/>
              </w:rPr>
              <w:t>00</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150 人</w:t>
            </w:r>
          </w:p>
        </w:tc>
        <w:tc>
          <w:tcPr>
            <w:tcW w:w="1698" w:type="dxa"/>
            <w:vMerge w:val="continue"/>
            <w:tcBorders>
              <w:top w:val="nil"/>
              <w:bottom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672" w:type="dxa"/>
            <w:vMerge w:val="continue"/>
            <w:tcBorders>
              <w:top w:val="nil"/>
              <w:lef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c>
          <w:tcPr>
            <w:tcW w:w="2119"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润达美墅</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eastAsia" w:ascii="宋体" w:hAnsi="宋体" w:eastAsia="宋体" w:cs="宋体"/>
                <w:snapToGrid w:val="0"/>
                <w:color w:val="auto"/>
                <w:spacing w:val="6"/>
                <w:kern w:val="0"/>
                <w:sz w:val="20"/>
                <w:szCs w:val="20"/>
                <w:lang w:eastAsia="zh-CN"/>
              </w:rPr>
            </w:pPr>
            <w:r>
              <w:rPr>
                <w:rFonts w:ascii="宋体" w:hAnsi="宋体" w:eastAsia="宋体" w:cs="宋体"/>
                <w:snapToGrid w:val="0"/>
                <w:color w:val="auto"/>
                <w:spacing w:val="6"/>
                <w:kern w:val="0"/>
                <w:sz w:val="20"/>
                <w:szCs w:val="20"/>
              </w:rPr>
              <w:t>-45</w:t>
            </w:r>
            <w:r>
              <w:rPr>
                <w:rFonts w:hint="eastAsia" w:ascii="宋体" w:hAnsi="宋体" w:eastAsia="宋体" w:cs="宋体"/>
                <w:snapToGrid w:val="0"/>
                <w:color w:val="auto"/>
                <w:spacing w:val="6"/>
                <w:kern w:val="0"/>
                <w:sz w:val="20"/>
                <w:szCs w:val="20"/>
                <w:lang w:val="en-US" w:eastAsia="zh-CN"/>
              </w:rPr>
              <w:t>9</w:t>
            </w:r>
          </w:p>
        </w:tc>
        <w:tc>
          <w:tcPr>
            <w:tcW w:w="57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hint="default" w:ascii="宋体" w:hAnsi="宋体" w:eastAsia="宋体" w:cs="宋体"/>
                <w:snapToGrid w:val="0"/>
                <w:color w:val="auto"/>
                <w:spacing w:val="6"/>
                <w:kern w:val="0"/>
                <w:sz w:val="20"/>
                <w:szCs w:val="20"/>
                <w:lang w:val="en-US" w:eastAsia="zh-CN"/>
              </w:rPr>
            </w:pPr>
            <w:r>
              <w:rPr>
                <w:rFonts w:ascii="宋体" w:hAnsi="宋体" w:eastAsia="宋体" w:cs="宋体"/>
                <w:snapToGrid w:val="0"/>
                <w:color w:val="auto"/>
                <w:spacing w:val="6"/>
                <w:kern w:val="0"/>
                <w:sz w:val="20"/>
                <w:szCs w:val="20"/>
              </w:rPr>
              <w:t>1</w:t>
            </w:r>
            <w:r>
              <w:rPr>
                <w:rFonts w:hint="eastAsia" w:ascii="宋体" w:hAnsi="宋体" w:eastAsia="宋体" w:cs="宋体"/>
                <w:snapToGrid w:val="0"/>
                <w:color w:val="auto"/>
                <w:spacing w:val="6"/>
                <w:kern w:val="0"/>
                <w:sz w:val="20"/>
                <w:szCs w:val="20"/>
                <w:lang w:val="en-US" w:eastAsia="zh-CN"/>
              </w:rPr>
              <w:t>30</w:t>
            </w:r>
          </w:p>
        </w:tc>
        <w:tc>
          <w:tcPr>
            <w:tcW w:w="795"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西北</w:t>
            </w:r>
          </w:p>
        </w:tc>
        <w:tc>
          <w:tcPr>
            <w:tcW w:w="114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475</w:t>
            </w:r>
          </w:p>
        </w:tc>
        <w:tc>
          <w:tcPr>
            <w:tcW w:w="1530" w:type="dxa"/>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r>
              <w:rPr>
                <w:rFonts w:ascii="宋体" w:hAnsi="宋体" w:eastAsia="宋体" w:cs="宋体"/>
                <w:snapToGrid w:val="0"/>
                <w:color w:val="auto"/>
                <w:spacing w:val="6"/>
                <w:kern w:val="0"/>
                <w:sz w:val="20"/>
                <w:szCs w:val="20"/>
              </w:rPr>
              <w:t>约 150 人</w:t>
            </w:r>
          </w:p>
        </w:tc>
        <w:tc>
          <w:tcPr>
            <w:tcW w:w="1698" w:type="dxa"/>
            <w:vMerge w:val="continue"/>
            <w:tcBorders>
              <w:top w:val="nil"/>
              <w:right w:val="nil"/>
            </w:tcBorders>
            <w:vAlign w:val="top"/>
          </w:tcPr>
          <w:p>
            <w:pPr>
              <w:widowControl/>
              <w:kinsoku w:val="0"/>
              <w:autoSpaceDE w:val="0"/>
              <w:autoSpaceDN w:val="0"/>
              <w:adjustRightInd w:val="0"/>
              <w:snapToGrid w:val="0"/>
              <w:spacing w:before="172" w:line="228" w:lineRule="auto"/>
              <w:ind w:left="28" w:firstLine="0" w:firstLineChars="0"/>
              <w:jc w:val="center"/>
              <w:textAlignment w:val="baseline"/>
              <w:rPr>
                <w:rFonts w:ascii="宋体" w:hAnsi="宋体" w:eastAsia="宋体" w:cs="宋体"/>
                <w:snapToGrid w:val="0"/>
                <w:color w:val="auto"/>
                <w:spacing w:val="6"/>
                <w:kern w:val="0"/>
                <w:sz w:val="20"/>
                <w:szCs w:val="20"/>
              </w:rPr>
            </w:pPr>
          </w:p>
        </w:tc>
      </w:tr>
    </w:tbl>
    <w:p>
      <w:pPr>
        <w:pStyle w:val="6"/>
        <w:ind w:firstLine="602"/>
        <w:rPr>
          <w:rFonts w:hint="default" w:ascii="Times New Roman" w:hAnsi="Times New Roman" w:cs="Times New Roman" w:eastAsiaTheme="minorEastAsia"/>
          <w:color w:val="auto"/>
        </w:rPr>
      </w:pPr>
      <w:bookmarkStart w:id="331" w:name="_Toc19273"/>
      <w:r>
        <w:rPr>
          <w:rFonts w:hint="default" w:ascii="Times New Roman" w:hAnsi="Times New Roman" w:cs="Times New Roman" w:eastAsiaTheme="minorEastAsia"/>
          <w:color w:val="auto"/>
        </w:rPr>
        <w:t>7.4.2水环境受体</w:t>
      </w:r>
      <w:bookmarkEnd w:id="329"/>
      <w:bookmarkEnd w:id="330"/>
      <w:bookmarkEnd w:id="331"/>
    </w:p>
    <w:p>
      <w:pPr>
        <w:pStyle w:val="6"/>
        <w:ind w:firstLine="602"/>
        <w:jc w:val="center"/>
        <w:rPr>
          <w:rFonts w:hint="default" w:ascii="Times New Roman" w:hAnsi="Times New Roman" w:cs="Times New Roman" w:eastAsiaTheme="minorEastAsia"/>
          <w:color w:val="auto"/>
        </w:rPr>
      </w:pPr>
      <w:bookmarkStart w:id="332" w:name="_Toc28998"/>
      <w:r>
        <w:rPr>
          <w:rFonts w:hint="default" w:ascii="Times New Roman" w:hAnsi="Times New Roman" w:cs="Times New Roman" w:eastAsiaTheme="minorEastAsia"/>
          <w:b/>
          <w:bCs/>
          <w:color w:val="auto"/>
          <w:sz w:val="24"/>
        </w:rPr>
        <w:t>表7-9  项目水环境风险受体</w:t>
      </w:r>
      <w:bookmarkEnd w:id="332"/>
      <w:bookmarkStart w:id="333" w:name="_Toc7519"/>
      <w:bookmarkStart w:id="334" w:name="_Toc10923"/>
    </w:p>
    <w:tbl>
      <w:tblPr>
        <w:tblStyle w:val="40"/>
        <w:tblW w:w="9361" w:type="dxa"/>
        <w:tblInd w:w="10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2"/>
        <w:gridCol w:w="1909"/>
        <w:gridCol w:w="540"/>
        <w:gridCol w:w="399"/>
        <w:gridCol w:w="921"/>
        <w:gridCol w:w="1380"/>
        <w:gridCol w:w="1515"/>
        <w:gridCol w:w="20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672" w:type="dxa"/>
            <w:vMerge w:val="restart"/>
            <w:tcBorders>
              <w:left w:val="nil"/>
              <w:bottom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环境 要素</w:t>
            </w:r>
          </w:p>
        </w:tc>
        <w:tc>
          <w:tcPr>
            <w:tcW w:w="1909" w:type="dxa"/>
            <w:vMerge w:val="restart"/>
            <w:tcBorders>
              <w:bottom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p>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环境保护目标</w:t>
            </w:r>
          </w:p>
        </w:tc>
        <w:tc>
          <w:tcPr>
            <w:tcW w:w="939" w:type="dxa"/>
            <w:gridSpan w:val="2"/>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坐标</w:t>
            </w:r>
          </w:p>
        </w:tc>
        <w:tc>
          <w:tcPr>
            <w:tcW w:w="921" w:type="dxa"/>
            <w:vMerge w:val="restart"/>
            <w:tcBorders>
              <w:bottom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p>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方位</w:t>
            </w:r>
          </w:p>
        </w:tc>
        <w:tc>
          <w:tcPr>
            <w:tcW w:w="1380" w:type="dxa"/>
            <w:vMerge w:val="restart"/>
            <w:tcBorders>
              <w:bottom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距离</w:t>
            </w:r>
            <w:r>
              <w:rPr>
                <w:rFonts w:hint="eastAsia" w:ascii="Times New Roman" w:hAnsi="Times New Roman" w:eastAsia="宋体" w:cs="Times New Roman"/>
                <w:b/>
                <w:bCs/>
                <w:snapToGrid w:val="0"/>
                <w:color w:val="auto"/>
                <w:spacing w:val="11"/>
                <w:kern w:val="0"/>
                <w:sz w:val="20"/>
                <w:szCs w:val="20"/>
                <w:lang w:val="en-US" w:eastAsia="zh-CN"/>
              </w:rPr>
              <w:t>本项目</w:t>
            </w:r>
            <w:r>
              <w:rPr>
                <w:rFonts w:hint="default" w:ascii="Times New Roman" w:hAnsi="Times New Roman" w:eastAsia="宋体" w:cs="Times New Roman"/>
                <w:b/>
                <w:bCs/>
                <w:snapToGrid w:val="0"/>
                <w:color w:val="auto"/>
                <w:spacing w:val="11"/>
                <w:kern w:val="0"/>
                <w:sz w:val="20"/>
                <w:szCs w:val="20"/>
                <w:lang w:val="en-US" w:eastAsia="zh-CN"/>
              </w:rPr>
              <w:t>最近距离/m</w:t>
            </w:r>
          </w:p>
        </w:tc>
        <w:tc>
          <w:tcPr>
            <w:tcW w:w="1515" w:type="dxa"/>
            <w:vMerge w:val="restart"/>
            <w:tcBorders>
              <w:bottom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p>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规模/人</w:t>
            </w:r>
          </w:p>
        </w:tc>
        <w:tc>
          <w:tcPr>
            <w:tcW w:w="2025" w:type="dxa"/>
            <w:vMerge w:val="restart"/>
            <w:tcBorders>
              <w:bottom w:val="nil"/>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p>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保护级别</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72" w:type="dxa"/>
            <w:vMerge w:val="continue"/>
            <w:tcBorders>
              <w:top w:val="nil"/>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909" w:type="dxa"/>
            <w:vMerge w:val="continue"/>
            <w:tcBorders>
              <w:top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X</w:t>
            </w: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b/>
                <w:bCs/>
                <w:snapToGrid w:val="0"/>
                <w:color w:val="auto"/>
                <w:spacing w:val="11"/>
                <w:kern w:val="0"/>
                <w:sz w:val="20"/>
                <w:szCs w:val="20"/>
                <w:lang w:val="en-US" w:eastAsia="zh-CN"/>
              </w:rPr>
            </w:pPr>
            <w:r>
              <w:rPr>
                <w:rFonts w:hint="default" w:ascii="Times New Roman" w:hAnsi="Times New Roman" w:eastAsia="宋体" w:cs="Times New Roman"/>
                <w:b/>
                <w:bCs/>
                <w:snapToGrid w:val="0"/>
                <w:color w:val="auto"/>
                <w:spacing w:val="11"/>
                <w:kern w:val="0"/>
                <w:sz w:val="20"/>
                <w:szCs w:val="20"/>
                <w:lang w:val="en-US" w:eastAsia="zh-CN"/>
              </w:rPr>
              <w:t>Y</w:t>
            </w:r>
          </w:p>
        </w:tc>
        <w:tc>
          <w:tcPr>
            <w:tcW w:w="921" w:type="dxa"/>
            <w:vMerge w:val="continue"/>
            <w:tcBorders>
              <w:top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380" w:type="dxa"/>
            <w:vMerge w:val="continue"/>
            <w:tcBorders>
              <w:top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515" w:type="dxa"/>
            <w:vMerge w:val="continue"/>
            <w:tcBorders>
              <w:top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2025" w:type="dxa"/>
            <w:vMerge w:val="continue"/>
            <w:tcBorders>
              <w:top w:val="nil"/>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672" w:type="dxa"/>
            <w:vMerge w:val="restart"/>
            <w:tcBorders>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水环境</w:t>
            </w:r>
          </w:p>
        </w:tc>
        <w:tc>
          <w:tcPr>
            <w:tcW w:w="190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三阳河</w:t>
            </w: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w:t>
            </w: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w:t>
            </w:r>
          </w:p>
        </w:tc>
        <w:tc>
          <w:tcPr>
            <w:tcW w:w="921"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东</w:t>
            </w:r>
          </w:p>
        </w:tc>
        <w:tc>
          <w:tcPr>
            <w:tcW w:w="138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1150</w:t>
            </w:r>
          </w:p>
        </w:tc>
        <w:tc>
          <w:tcPr>
            <w:tcW w:w="1515"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小河</w:t>
            </w:r>
          </w:p>
        </w:tc>
        <w:tc>
          <w:tcPr>
            <w:tcW w:w="2025" w:type="dxa"/>
            <w:vMerge w:val="restart"/>
            <w:tcBorders>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(GB3838-2002) Ⅲ类标准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672" w:type="dxa"/>
            <w:vMerge w:val="continue"/>
            <w:tcBorders>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90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渥江</w:t>
            </w: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921"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东南</w:t>
            </w:r>
          </w:p>
        </w:tc>
        <w:tc>
          <w:tcPr>
            <w:tcW w:w="138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5500</w:t>
            </w:r>
          </w:p>
        </w:tc>
        <w:tc>
          <w:tcPr>
            <w:tcW w:w="1515"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小河</w:t>
            </w:r>
          </w:p>
        </w:tc>
        <w:tc>
          <w:tcPr>
            <w:tcW w:w="2025" w:type="dxa"/>
            <w:vMerge w:val="continue"/>
            <w:tcBorders>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672" w:type="dxa"/>
            <w:vMerge w:val="continue"/>
            <w:tcBorders>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90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袁河</w:t>
            </w: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921"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东南</w:t>
            </w:r>
          </w:p>
        </w:tc>
        <w:tc>
          <w:tcPr>
            <w:tcW w:w="138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8000</w:t>
            </w:r>
          </w:p>
        </w:tc>
        <w:tc>
          <w:tcPr>
            <w:tcW w:w="1515"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中河</w:t>
            </w:r>
          </w:p>
        </w:tc>
        <w:tc>
          <w:tcPr>
            <w:tcW w:w="2025" w:type="dxa"/>
            <w:vMerge w:val="continue"/>
            <w:tcBorders>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672" w:type="dxa"/>
            <w:vMerge w:val="continue"/>
            <w:tcBorders>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90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圩塘江水库</w:t>
            </w: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921"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西南</w:t>
            </w:r>
          </w:p>
        </w:tc>
        <w:tc>
          <w:tcPr>
            <w:tcW w:w="138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470</w:t>
            </w:r>
          </w:p>
        </w:tc>
        <w:tc>
          <w:tcPr>
            <w:tcW w:w="1515"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小型</w:t>
            </w:r>
          </w:p>
        </w:tc>
        <w:tc>
          <w:tcPr>
            <w:tcW w:w="2025" w:type="dxa"/>
            <w:vMerge w:val="restart"/>
            <w:tcBorders>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 xml:space="preserve">(GB3838-2002) </w:t>
            </w:r>
            <w:r>
              <w:rPr>
                <w:rFonts w:hint="default" w:ascii="Times New Roman" w:hAnsi="Times New Roman" w:eastAsia="宋体" w:cs="Times New Roman"/>
                <w:snapToGrid w:val="0"/>
                <w:color w:val="auto"/>
                <w:spacing w:val="11"/>
                <w:kern w:val="0"/>
                <w:sz w:val="20"/>
                <w:szCs w:val="20"/>
                <w:lang w:val="en-US" w:eastAsia="zh-CN"/>
              </w:rPr>
              <w:fldChar w:fldCharType="begin"/>
            </w:r>
            <w:r>
              <w:rPr>
                <w:rFonts w:hint="default" w:ascii="Times New Roman" w:hAnsi="Times New Roman" w:eastAsia="宋体" w:cs="Times New Roman"/>
                <w:snapToGrid w:val="0"/>
                <w:color w:val="auto"/>
                <w:spacing w:val="11"/>
                <w:kern w:val="0"/>
                <w:sz w:val="20"/>
                <w:szCs w:val="20"/>
                <w:lang w:val="en-US" w:eastAsia="zh-CN"/>
              </w:rPr>
              <w:instrText xml:space="preserve"> = 4 \* ROMAN \* MERGEFORMAT </w:instrText>
            </w:r>
            <w:r>
              <w:rPr>
                <w:rFonts w:hint="default" w:ascii="Times New Roman" w:hAnsi="Times New Roman" w:eastAsia="宋体" w:cs="Times New Roman"/>
                <w:snapToGrid w:val="0"/>
                <w:color w:val="auto"/>
                <w:spacing w:val="11"/>
                <w:kern w:val="0"/>
                <w:sz w:val="20"/>
                <w:szCs w:val="20"/>
                <w:lang w:val="en-US" w:eastAsia="zh-CN"/>
              </w:rPr>
              <w:fldChar w:fldCharType="separate"/>
            </w:r>
            <w:r>
              <w:rPr>
                <w:rFonts w:hint="default" w:ascii="Times New Roman" w:hAnsi="Times New Roman" w:eastAsia="宋体" w:cs="Times New Roman"/>
                <w:snapToGrid w:val="0"/>
                <w:color w:val="auto"/>
                <w:spacing w:val="11"/>
                <w:kern w:val="0"/>
                <w:sz w:val="20"/>
                <w:szCs w:val="20"/>
                <w:lang w:val="en-US" w:eastAsia="zh-CN"/>
              </w:rPr>
              <w:t>IV</w:t>
            </w:r>
            <w:r>
              <w:rPr>
                <w:rFonts w:hint="default" w:ascii="Times New Roman" w:hAnsi="Times New Roman" w:eastAsia="宋体" w:cs="Times New Roman"/>
                <w:snapToGrid w:val="0"/>
                <w:color w:val="auto"/>
                <w:spacing w:val="11"/>
                <w:kern w:val="0"/>
                <w:sz w:val="20"/>
                <w:szCs w:val="20"/>
                <w:lang w:val="en-US" w:eastAsia="zh-CN"/>
              </w:rPr>
              <w:fldChar w:fldCharType="end"/>
            </w:r>
            <w:r>
              <w:rPr>
                <w:rFonts w:hint="default" w:ascii="Times New Roman" w:hAnsi="Times New Roman" w:eastAsia="宋体" w:cs="Times New Roman"/>
                <w:snapToGrid w:val="0"/>
                <w:color w:val="auto"/>
                <w:spacing w:val="11"/>
                <w:kern w:val="0"/>
                <w:sz w:val="20"/>
                <w:szCs w:val="20"/>
                <w:lang w:val="en-US" w:eastAsia="zh-CN"/>
              </w:rPr>
              <w:t>类标准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exact"/>
        </w:trPr>
        <w:tc>
          <w:tcPr>
            <w:tcW w:w="672" w:type="dxa"/>
            <w:vMerge w:val="continue"/>
            <w:tcBorders>
              <w:lef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190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总路线水库</w:t>
            </w:r>
          </w:p>
        </w:tc>
        <w:tc>
          <w:tcPr>
            <w:tcW w:w="54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399"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c>
          <w:tcPr>
            <w:tcW w:w="921"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西北</w:t>
            </w:r>
          </w:p>
        </w:tc>
        <w:tc>
          <w:tcPr>
            <w:tcW w:w="1380"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1100</w:t>
            </w:r>
          </w:p>
        </w:tc>
        <w:tc>
          <w:tcPr>
            <w:tcW w:w="1515" w:type="dxa"/>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r>
              <w:rPr>
                <w:rFonts w:hint="default" w:ascii="Times New Roman" w:hAnsi="Times New Roman" w:eastAsia="宋体" w:cs="Times New Roman"/>
                <w:snapToGrid w:val="0"/>
                <w:color w:val="auto"/>
                <w:spacing w:val="11"/>
                <w:kern w:val="0"/>
                <w:sz w:val="20"/>
                <w:szCs w:val="20"/>
                <w:lang w:val="en-US" w:eastAsia="zh-CN"/>
              </w:rPr>
              <w:t>小型</w:t>
            </w:r>
          </w:p>
        </w:tc>
        <w:tc>
          <w:tcPr>
            <w:tcW w:w="2025" w:type="dxa"/>
            <w:vMerge w:val="continue"/>
            <w:tcBorders>
              <w:right w:val="nil"/>
            </w:tcBorders>
            <w:vAlign w:val="top"/>
          </w:tcPr>
          <w:p>
            <w:pPr>
              <w:widowControl/>
              <w:kinsoku w:val="0"/>
              <w:autoSpaceDE w:val="0"/>
              <w:autoSpaceDN w:val="0"/>
              <w:adjustRightInd w:val="0"/>
              <w:snapToGrid w:val="0"/>
              <w:spacing w:before="53" w:line="229" w:lineRule="auto"/>
              <w:ind w:left="218" w:firstLine="0" w:firstLineChars="0"/>
              <w:jc w:val="center"/>
              <w:textAlignment w:val="baseline"/>
              <w:rPr>
                <w:rFonts w:hint="default" w:ascii="Times New Roman" w:hAnsi="Times New Roman" w:eastAsia="宋体" w:cs="Times New Roman"/>
                <w:snapToGrid w:val="0"/>
                <w:color w:val="auto"/>
                <w:spacing w:val="11"/>
                <w:kern w:val="0"/>
                <w:sz w:val="20"/>
                <w:szCs w:val="20"/>
                <w:lang w:val="en-US" w:eastAsia="zh-CN"/>
              </w:rPr>
            </w:pPr>
          </w:p>
        </w:tc>
      </w:tr>
    </w:tbl>
    <w:p>
      <w:pPr>
        <w:pStyle w:val="6"/>
        <w:ind w:firstLine="602"/>
        <w:rPr>
          <w:rFonts w:hint="default" w:ascii="Times New Roman" w:hAnsi="Times New Roman" w:cs="Times New Roman" w:eastAsiaTheme="minorEastAsia"/>
          <w:color w:val="auto"/>
        </w:rPr>
      </w:pPr>
      <w:bookmarkStart w:id="335" w:name="_Toc18840"/>
      <w:r>
        <w:rPr>
          <w:rFonts w:hint="default" w:ascii="Times New Roman" w:hAnsi="Times New Roman" w:cs="Times New Roman" w:eastAsiaTheme="minorEastAsia"/>
          <w:color w:val="auto"/>
        </w:rPr>
        <w:t>7.4.3环境风险受体类型</w:t>
      </w:r>
      <w:bookmarkEnd w:id="333"/>
      <w:bookmarkEnd w:id="334"/>
      <w:bookmarkEnd w:id="335"/>
    </w:p>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表7-10企业周边环境风险受体情况划分</w:t>
      </w:r>
    </w:p>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7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Align w:val="center"/>
          </w:tcPr>
          <w:p>
            <w:pPr>
              <w:keepNext w:val="0"/>
              <w:keepLines w:val="0"/>
              <w:suppressLineNumbers w:val="0"/>
              <w:spacing w:before="0" w:beforeAutospacing="0" w:after="0" w:afterAutospacing="0"/>
              <w:ind w:left="-66" w:leftChars="-30" w:right="-66" w:rightChars="-3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类别</w:t>
            </w:r>
          </w:p>
        </w:tc>
        <w:tc>
          <w:tcPr>
            <w:tcW w:w="7759" w:type="dxa"/>
            <w:vAlign w:val="center"/>
          </w:tcPr>
          <w:p>
            <w:pPr>
              <w:keepNext w:val="0"/>
              <w:keepLines w:val="0"/>
              <w:suppressLineNumbers w:val="0"/>
              <w:spacing w:before="0" w:beforeAutospacing="0" w:after="0" w:afterAutospacing="0"/>
              <w:ind w:left="-66" w:leftChars="-30" w:right="-66" w:rightChars="-30" w:firstLine="0" w:firstLineChars="0"/>
              <w:jc w:val="center"/>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环境风险受体情况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类型</w:t>
            </w:r>
            <w:bookmarkStart w:id="336" w:name="_Toc12604_WPSOffice_Level2"/>
            <w:r>
              <w:rPr>
                <w:rFonts w:hint="default" w:ascii="Times New Roman" w:hAnsi="Times New Roman" w:cs="Times New Roman" w:eastAsiaTheme="minorEastAsia"/>
                <w:color w:val="auto"/>
                <w:kern w:val="2"/>
                <w:sz w:val="24"/>
              </w:rPr>
              <w:t>1(E</w:t>
            </w:r>
            <w:r>
              <w:rPr>
                <w:rFonts w:hint="default" w:ascii="Times New Roman" w:hAnsi="Times New Roman" w:cs="Times New Roman" w:eastAsiaTheme="minorEastAsia"/>
                <w:color w:val="auto"/>
                <w:kern w:val="2"/>
                <w:sz w:val="24"/>
                <w:vertAlign w:val="subscript"/>
              </w:rPr>
              <w:t>1</w:t>
            </w:r>
            <w:r>
              <w:rPr>
                <w:rFonts w:hint="default" w:ascii="Times New Roman" w:hAnsi="Times New Roman" w:cs="Times New Roman" w:eastAsiaTheme="minorEastAsia"/>
                <w:color w:val="auto"/>
                <w:kern w:val="2"/>
                <w:sz w:val="24"/>
              </w:rPr>
              <w:t>)</w:t>
            </w:r>
          </w:p>
        </w:tc>
        <w:tc>
          <w:tcPr>
            <w:tcW w:w="7759"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●企业雨水排</w:t>
            </w:r>
            <w:bookmarkEnd w:id="336"/>
            <w:r>
              <w:rPr>
                <w:rFonts w:hint="default" w:ascii="Times New Roman" w:hAnsi="Times New Roman" w:cs="Times New Roman" w:eastAsiaTheme="minorEastAsia"/>
                <w:color w:val="auto"/>
                <w:kern w:val="2"/>
                <w:sz w:val="24"/>
              </w:rPr>
              <w:t>口、清净下水排口、污水排口下游10公里范围内有如下一类或多类环境风险受体的：乡镇及以上城镇饮用水水源（地表水或地下水）保护区；自来水厂取水口；水源涵养区；自然保护区；重要湿地；珍稀濒危野生动植物天然集中分布区；重要水生生物的自然产卵场及索饵场、越冬场和洄游通道；风景名胜区；特殊生态系统；世界文化和自然遗产地</w:t>
            </w:r>
            <w:bookmarkStart w:id="337" w:name="_Toc14682_WPSOffice_Level2"/>
            <w:r>
              <w:rPr>
                <w:rFonts w:hint="default" w:ascii="Times New Roman" w:hAnsi="Times New Roman" w:cs="Times New Roman" w:eastAsiaTheme="minorEastAsia"/>
                <w:color w:val="auto"/>
                <w:kern w:val="2"/>
                <w:sz w:val="24"/>
              </w:rPr>
              <w:t>；红树林、珊瑚</w:t>
            </w:r>
            <w:bookmarkEnd w:id="337"/>
            <w:r>
              <w:rPr>
                <w:rFonts w:hint="default" w:ascii="Times New Roman" w:hAnsi="Times New Roman" w:cs="Times New Roman" w:eastAsiaTheme="minorEastAsia"/>
                <w:color w:val="auto"/>
                <w:kern w:val="2"/>
                <w:sz w:val="24"/>
              </w:rPr>
              <w:t>礁等滨海湿地生态系统；珍稀、濒危海洋生物的天然集中分布区；海洋特别保护区；海上自然保护区；盐场保护区；海水浴场；海洋自然历史遗迹；或</w:t>
            </w:r>
          </w:p>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●以企业雨水排口（含泄洪渠）、清净下水排口、废水总排口算起，排水进入受纳河流最大流速时，24小时流经范围内涉跨国界或省界的；或</w:t>
            </w:r>
          </w:p>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●企业周边现状不满足环评及批复的卫生防护距离或大气环境防护距离等要求的；或</w:t>
            </w:r>
          </w:p>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●企业周边5公里范围内居住区、医疗卫生、文化教育、</w:t>
            </w:r>
            <w:bookmarkStart w:id="338" w:name="_Toc32467_WPSOffice_Level1"/>
            <w:r>
              <w:rPr>
                <w:rFonts w:hint="default" w:ascii="Times New Roman" w:hAnsi="Times New Roman" w:cs="Times New Roman" w:eastAsiaTheme="minorEastAsia"/>
                <w:color w:val="auto"/>
                <w:kern w:val="2"/>
                <w:sz w:val="24"/>
              </w:rPr>
              <w:t>科研、行政办公等机构人口总数大</w:t>
            </w:r>
            <w:bookmarkEnd w:id="338"/>
            <w:r>
              <w:rPr>
                <w:rFonts w:hint="default" w:ascii="Times New Roman" w:hAnsi="Times New Roman" w:cs="Times New Roman" w:eastAsiaTheme="minorEastAsia"/>
                <w:color w:val="auto"/>
                <w:kern w:val="2"/>
                <w:sz w:val="24"/>
              </w:rPr>
              <w:t>于5万人，或企业周边50</w:t>
            </w:r>
            <w:bookmarkStart w:id="339" w:name="_Toc16003_WPSOffice_Level1"/>
            <w:r>
              <w:rPr>
                <w:rFonts w:hint="default" w:ascii="Times New Roman" w:hAnsi="Times New Roman" w:cs="Times New Roman" w:eastAsiaTheme="minorEastAsia"/>
                <w:color w:val="auto"/>
                <w:kern w:val="2"/>
                <w:sz w:val="24"/>
              </w:rPr>
              <w:t>0米范围内人口</w:t>
            </w:r>
            <w:bookmarkEnd w:id="339"/>
            <w:r>
              <w:rPr>
                <w:rFonts w:hint="default" w:ascii="Times New Roman" w:hAnsi="Times New Roman" w:cs="Times New Roman" w:eastAsiaTheme="minorEastAsia"/>
                <w:color w:val="auto"/>
                <w:kern w:val="2"/>
                <w:sz w:val="24"/>
              </w:rPr>
              <w:t>总数大于1000人，或企业周边5公里涉及军事禁区、军事管理区、国家相关保密区域；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类型2（E</w:t>
            </w:r>
            <w:r>
              <w:rPr>
                <w:rFonts w:hint="default" w:ascii="Times New Roman" w:hAnsi="Times New Roman" w:cs="Times New Roman" w:eastAsiaTheme="minorEastAsia"/>
                <w:color w:val="auto"/>
                <w:kern w:val="2"/>
                <w:sz w:val="24"/>
                <w:vertAlign w:val="subscript"/>
              </w:rPr>
              <w:t>2</w:t>
            </w:r>
            <w:r>
              <w:rPr>
                <w:rFonts w:hint="default" w:ascii="Times New Roman" w:hAnsi="Times New Roman" w:cs="Times New Roman" w:eastAsiaTheme="minorEastAsia"/>
                <w:color w:val="auto"/>
                <w:kern w:val="2"/>
                <w:sz w:val="24"/>
              </w:rPr>
              <w:t>）</w:t>
            </w:r>
          </w:p>
        </w:tc>
        <w:tc>
          <w:tcPr>
            <w:tcW w:w="7759"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雨水排口、清净下水排口、污水排口下游10公里范围内有如下一类或多类环境风险受体的：水产养殖区；天然渔场；耕地、基本农田保护区；富营养化水域；基本草原；森林公园；地质公园；天然林；海滨风景游览区；具有重要经济价值的海洋生物生存区域；或</w:t>
            </w:r>
          </w:p>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●企业周边5公里范围内居住区、医疗卫生、文化教育、科研、行政办公等机构人口总数大于1万人，小于5万人；或企业周边500米范围内人口总数大于500人，小于1000人；</w:t>
            </w:r>
          </w:p>
          <w:p>
            <w:pPr>
              <w:keepNext w:val="0"/>
              <w:keepLines w:val="0"/>
              <w:suppressLineNumbers w:val="0"/>
              <w:spacing w:before="0" w:beforeAutospacing="0" w:after="0" w:afterAutospacing="0"/>
              <w:ind w:left="-66" w:leftChars="-30" w:right="-66" w:rightChars="-30" w:firstLine="0" w:firstLineChars="0"/>
              <w:jc w:val="both"/>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●企业位于溶岩地貌、泄洪区、泥石流多发等地区；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类型3（E</w:t>
            </w:r>
            <w:r>
              <w:rPr>
                <w:rFonts w:hint="default" w:ascii="Times New Roman" w:hAnsi="Times New Roman" w:cs="Times New Roman" w:eastAsiaTheme="minorEastAsia"/>
                <w:color w:val="auto"/>
                <w:kern w:val="2"/>
                <w:sz w:val="24"/>
                <w:vertAlign w:val="subscript"/>
              </w:rPr>
              <w:t>3</w:t>
            </w:r>
            <w:r>
              <w:rPr>
                <w:rFonts w:hint="default" w:ascii="Times New Roman" w:hAnsi="Times New Roman" w:cs="Times New Roman" w:eastAsiaTheme="minorEastAsia"/>
                <w:color w:val="auto"/>
                <w:kern w:val="2"/>
                <w:sz w:val="24"/>
              </w:rPr>
              <w:t>）</w:t>
            </w:r>
          </w:p>
        </w:tc>
        <w:tc>
          <w:tcPr>
            <w:tcW w:w="7759" w:type="dxa"/>
            <w:vAlign w:val="center"/>
          </w:tcPr>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●企业下游10公里范围无上述类型1和类型2包括的环境风险受体；或</w:t>
            </w:r>
          </w:p>
          <w:p>
            <w:pPr>
              <w:keepNext w:val="0"/>
              <w:keepLines w:val="0"/>
              <w:suppressLineNumbers w:val="0"/>
              <w:spacing w:before="0" w:beforeAutospacing="0" w:after="0" w:afterAutospacing="0"/>
              <w:ind w:left="-66" w:leftChars="-30" w:right="-66" w:rightChars="-30" w:firstLine="0" w:firstLineChars="0"/>
              <w:jc w:val="left"/>
              <w:rPr>
                <w:rFonts w:hint="default" w:ascii="Times New Roman" w:hAnsi="Times New Roman" w:cs="Times New Roman" w:eastAsiaTheme="minorEastAsia"/>
                <w:color w:val="auto"/>
                <w:kern w:val="2"/>
                <w:sz w:val="24"/>
              </w:rPr>
            </w:pPr>
            <w:r>
              <w:rPr>
                <w:rFonts w:hint="default" w:ascii="Times New Roman" w:hAnsi="Times New Roman" w:cs="Times New Roman" w:eastAsiaTheme="minorEastAsia"/>
                <w:color w:val="auto"/>
                <w:kern w:val="2"/>
                <w:sz w:val="24"/>
              </w:rPr>
              <w:t>●企业周边5公里范围内居住区、医疗卫生、文化教育、科研、行政办公等机构人口总数小于1万人，或企业周边500米范围内人口总数小于500人。</w:t>
            </w:r>
          </w:p>
        </w:tc>
      </w:tr>
    </w:tbl>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color w:val="auto"/>
          <w:sz w:val="24"/>
          <w:szCs w:val="24"/>
        </w:rPr>
        <w:t>根据环境风险受体的重要性和敏感程度，企业受体类型为E</w:t>
      </w:r>
      <w:r>
        <w:rPr>
          <w:rFonts w:hint="eastAsia" w:cs="Times New Roman" w:eastAsiaTheme="minorEastAsia"/>
          <w:color w:val="auto"/>
          <w:sz w:val="24"/>
          <w:szCs w:val="24"/>
          <w:vertAlign w:val="subscript"/>
          <w:lang w:val="en-US" w:eastAsia="zh-CN"/>
        </w:rPr>
        <w:t>3</w:t>
      </w:r>
      <w:r>
        <w:rPr>
          <w:rFonts w:hint="default" w:ascii="Times New Roman" w:hAnsi="Times New Roman" w:cs="Times New Roman" w:eastAsiaTheme="minorEastAsia"/>
          <w:color w:val="auto"/>
          <w:sz w:val="24"/>
          <w:szCs w:val="24"/>
        </w:rPr>
        <w:t>。</w:t>
      </w:r>
    </w:p>
    <w:p>
      <w:pPr>
        <w:pStyle w:val="5"/>
        <w:ind w:firstLine="643"/>
        <w:rPr>
          <w:rFonts w:hint="default" w:ascii="Times New Roman" w:hAnsi="Times New Roman" w:cs="Times New Roman" w:eastAsiaTheme="minorEastAsia"/>
          <w:color w:val="auto"/>
        </w:rPr>
      </w:pPr>
      <w:bookmarkStart w:id="340" w:name="_Toc14794"/>
      <w:bookmarkStart w:id="341" w:name="_Toc9974"/>
      <w:bookmarkStart w:id="342" w:name="_Toc27895"/>
      <w:bookmarkStart w:id="343" w:name="_Toc8382"/>
      <w:bookmarkStart w:id="344" w:name="_Toc16629"/>
      <w:r>
        <w:rPr>
          <w:rFonts w:hint="default" w:ascii="Times New Roman" w:hAnsi="Times New Roman" w:cs="Times New Roman" w:eastAsiaTheme="minorEastAsia"/>
          <w:color w:val="auto"/>
        </w:rPr>
        <w:t>7.5企业环境风险等级划分</w:t>
      </w:r>
      <w:bookmarkEnd w:id="340"/>
      <w:bookmarkEnd w:id="341"/>
      <w:bookmarkEnd w:id="342"/>
      <w:bookmarkEnd w:id="343"/>
      <w:bookmarkEnd w:id="344"/>
    </w:p>
    <w:p>
      <w:pPr>
        <w:ind w:firstLine="600"/>
        <w:rPr>
          <w:rFonts w:hint="default" w:ascii="Times New Roman" w:hAnsi="Times New Roman" w:cs="Times New Roman" w:eastAsiaTheme="minorEastAsia"/>
          <w:color w:val="auto"/>
          <w:sz w:val="30"/>
        </w:rPr>
      </w:pPr>
      <w:r>
        <w:rPr>
          <w:rFonts w:hint="default" w:ascii="Times New Roman" w:hAnsi="Times New Roman" w:cs="Times New Roman" w:eastAsiaTheme="minorEastAsia"/>
          <w:color w:val="auto"/>
          <w:sz w:val="24"/>
          <w:szCs w:val="21"/>
        </w:rPr>
        <w:t>企业周边环境风险受体属于类型</w:t>
      </w:r>
      <w:r>
        <w:rPr>
          <w:rFonts w:hint="eastAsia" w:cs="Times New Roman" w:eastAsiaTheme="minorEastAsia"/>
          <w:color w:val="auto"/>
          <w:sz w:val="24"/>
          <w:szCs w:val="21"/>
          <w:lang w:val="en-US" w:eastAsia="zh-CN"/>
        </w:rPr>
        <w:t>3</w:t>
      </w:r>
      <w:r>
        <w:rPr>
          <w:rFonts w:hint="default" w:ascii="Times New Roman" w:hAnsi="Times New Roman" w:cs="Times New Roman" w:eastAsiaTheme="minorEastAsia"/>
          <w:color w:val="auto"/>
          <w:sz w:val="24"/>
          <w:szCs w:val="21"/>
        </w:rPr>
        <w:t>时，按表7-11确定环境风险等级。</w:t>
      </w:r>
    </w:p>
    <w:p>
      <w:pPr>
        <w:ind w:firstLine="482"/>
        <w:jc w:val="center"/>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表7-11  类型</w:t>
      </w:r>
      <w:r>
        <w:rPr>
          <w:rFonts w:hint="eastAsia" w:cs="Times New Roman" w:eastAsiaTheme="minorEastAsia"/>
          <w:b/>
          <w:bCs/>
          <w:color w:val="auto"/>
          <w:sz w:val="24"/>
          <w:lang w:val="en-US" w:eastAsia="zh-CN"/>
        </w:rPr>
        <w:t>3</w:t>
      </w:r>
      <w:r>
        <w:rPr>
          <w:rFonts w:hint="default" w:ascii="Times New Roman" w:hAnsi="Times New Roman" w:cs="Times New Roman" w:eastAsiaTheme="minorEastAsia"/>
          <w:b/>
          <w:bCs/>
          <w:color w:val="auto"/>
          <w:sz w:val="24"/>
        </w:rPr>
        <w:t>（E</w:t>
      </w:r>
      <w:r>
        <w:rPr>
          <w:rFonts w:hint="eastAsia" w:cs="Times New Roman" w:eastAsiaTheme="minorEastAsia"/>
          <w:b/>
          <w:bCs/>
          <w:color w:val="auto"/>
          <w:sz w:val="24"/>
          <w:vertAlign w:val="subscript"/>
          <w:lang w:val="en-US" w:eastAsia="zh-CN"/>
        </w:rPr>
        <w:t>3</w:t>
      </w:r>
      <w:r>
        <w:rPr>
          <w:rFonts w:hint="default" w:ascii="Times New Roman" w:hAnsi="Times New Roman" w:cs="Times New Roman" w:eastAsiaTheme="minorEastAsia"/>
          <w:b/>
          <w:bCs/>
          <w:color w:val="auto"/>
          <w:sz w:val="24"/>
        </w:rPr>
        <w:t>）——企业环境风险分级表</w:t>
      </w:r>
    </w:p>
    <w:p>
      <w:pPr>
        <w:ind w:firstLine="0" w:firstLineChars="0"/>
        <w:jc w:val="center"/>
        <w:rPr>
          <w:rFonts w:hint="default" w:ascii="Times New Roman" w:hAnsi="Times New Roman" w:cs="Times New Roman" w:eastAsiaTheme="minorEastAsia"/>
          <w:color w:val="auto"/>
        </w:rPr>
      </w:pPr>
      <w:r>
        <w:drawing>
          <wp:inline distT="0" distB="0" distL="114300" distR="114300">
            <wp:extent cx="5271135" cy="1501140"/>
            <wp:effectExtent l="0" t="0" r="5715" b="3810"/>
            <wp:docPr id="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6"/>
                    <pic:cNvPicPr>
                      <a:picLocks noChangeAspect="1"/>
                    </pic:cNvPicPr>
                  </pic:nvPicPr>
                  <pic:blipFill>
                    <a:blip r:embed="rId10"/>
                    <a:stretch>
                      <a:fillRect/>
                    </a:stretch>
                  </pic:blipFill>
                  <pic:spPr>
                    <a:xfrm>
                      <a:off x="0" y="0"/>
                      <a:ext cx="5271135" cy="1501140"/>
                    </a:xfrm>
                    <a:prstGeom prst="rect">
                      <a:avLst/>
                    </a:prstGeom>
                    <a:noFill/>
                    <a:ln>
                      <a:noFill/>
                    </a:ln>
                  </pic:spPr>
                </pic:pic>
              </a:graphicData>
            </a:graphic>
          </wp:inline>
        </w:drawing>
      </w:r>
    </w:p>
    <w:p>
      <w:pPr>
        <w:ind w:firstLine="560"/>
        <w:rPr>
          <w:rFonts w:hint="default" w:ascii="Times New Roman" w:hAnsi="Times New Roman" w:cs="Times New Roman" w:eastAsiaTheme="minorEastAsia"/>
          <w:color w:val="auto"/>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ascii="Times New Roman" w:hAnsi="Times New Roman" w:cs="Times New Roman" w:eastAsiaTheme="minorEastAsia"/>
          <w:color w:val="auto"/>
        </w:rPr>
      </w:pPr>
      <w:r>
        <w:rPr>
          <w:rFonts w:hint="eastAsia" w:asciiTheme="minorEastAsia" w:hAnsiTheme="minorEastAsia" w:eastAsiaTheme="minorEastAsia" w:cstheme="minorEastAsia"/>
          <w:color w:val="auto"/>
          <w:sz w:val="24"/>
          <w:szCs w:val="24"/>
        </w:rPr>
        <w:t>综上，企业环境风险等级为</w:t>
      </w:r>
      <w:r>
        <w:rPr>
          <w:rFonts w:hint="eastAsia" w:asciiTheme="minorEastAsia" w:hAnsiTheme="minorEastAsia" w:eastAsiaTheme="minorEastAsia" w:cstheme="minorEastAsia"/>
          <w:color w:val="auto"/>
          <w:sz w:val="24"/>
          <w:szCs w:val="24"/>
          <w:lang w:eastAsia="zh-CN"/>
        </w:rPr>
        <w:t>较大</w:t>
      </w:r>
      <w:r>
        <w:rPr>
          <w:rFonts w:hint="eastAsia" w:asciiTheme="minorEastAsia" w:hAnsiTheme="minorEastAsia" w:eastAsiaTheme="minorEastAsia" w:cstheme="minorEastAsia"/>
          <w:color w:val="auto"/>
          <w:sz w:val="24"/>
          <w:szCs w:val="24"/>
        </w:rPr>
        <w:t>环境风险</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 xml:space="preserve">企业突发环境事件环境风险等级可表示为“ </w:t>
      </w:r>
      <w:r>
        <w:rPr>
          <w:rFonts w:hint="eastAsia" w:asciiTheme="minorEastAsia" w:hAnsiTheme="minorEastAsia" w:eastAsiaTheme="minorEastAsia" w:cstheme="minorEastAsia"/>
          <w:color w:val="auto"/>
          <w:sz w:val="24"/>
          <w:szCs w:val="24"/>
          <w:lang w:eastAsia="zh-CN"/>
        </w:rPr>
        <w:t>一般</w:t>
      </w:r>
      <w:r>
        <w:rPr>
          <w:rFonts w:hint="eastAsia" w:asciiTheme="minorEastAsia" w:hAnsiTheme="minorEastAsia" w:eastAsiaTheme="minorEastAsia" w:cstheme="minorEastAsia"/>
          <w:color w:val="auto"/>
          <w:sz w:val="24"/>
          <w:szCs w:val="24"/>
        </w:rPr>
        <w:t>（Q</w:t>
      </w:r>
      <w:r>
        <w:rPr>
          <w:rFonts w:hint="eastAsia" w:asciiTheme="minorEastAsia" w:hAnsiTheme="minorEastAsia" w:eastAsiaTheme="minorEastAsia" w:cstheme="minorEastAsia"/>
          <w:color w:val="auto"/>
          <w:sz w:val="24"/>
          <w:szCs w:val="24"/>
          <w:vertAlign w:val="subscript"/>
          <w:lang w:val="en-US" w:eastAsia="zh-CN"/>
        </w:rPr>
        <w:t>1</w:t>
      </w:r>
      <w:r>
        <w:rPr>
          <w:rFonts w:hint="eastAsia" w:asciiTheme="minorEastAsia" w:hAnsiTheme="minorEastAsia" w:eastAsiaTheme="minorEastAsia" w:cstheme="minorEastAsia"/>
          <w:color w:val="auto"/>
          <w:sz w:val="24"/>
          <w:szCs w:val="24"/>
        </w:rPr>
        <w:t>M</w:t>
      </w:r>
      <w:r>
        <w:rPr>
          <w:rFonts w:hint="eastAsia" w:asciiTheme="minorEastAsia" w:hAnsiTheme="minorEastAsia" w:eastAsiaTheme="minorEastAsia" w:cstheme="minorEastAsia"/>
          <w:color w:val="auto"/>
          <w:sz w:val="24"/>
          <w:szCs w:val="24"/>
          <w:vertAlign w:val="subscript"/>
          <w:lang w:val="en-US" w:eastAsia="zh-CN"/>
        </w:rPr>
        <w:t>1</w:t>
      </w:r>
      <w:r>
        <w:rPr>
          <w:rFonts w:hint="eastAsia" w:asciiTheme="minorEastAsia" w:hAnsiTheme="minorEastAsia" w:eastAsiaTheme="minorEastAsia" w:cstheme="minorEastAsia"/>
          <w:color w:val="auto"/>
          <w:sz w:val="24"/>
          <w:szCs w:val="24"/>
        </w:rPr>
        <w:t>E</w:t>
      </w:r>
      <w:r>
        <w:rPr>
          <w:rFonts w:hint="eastAsia" w:asciiTheme="minorEastAsia" w:hAnsiTheme="minorEastAsia" w:eastAsiaTheme="minorEastAsia" w:cstheme="minorEastAsia"/>
          <w:color w:val="auto"/>
          <w:sz w:val="24"/>
          <w:szCs w:val="24"/>
          <w:vertAlign w:val="subscript"/>
          <w:lang w:val="en-US" w:eastAsia="zh-CN"/>
        </w:rPr>
        <w:t>3</w:t>
      </w:r>
      <w:r>
        <w:rPr>
          <w:rFonts w:hint="eastAsia" w:asciiTheme="minorEastAsia" w:hAnsiTheme="minorEastAsia" w:eastAsiaTheme="minorEastAsia" w:cstheme="minorEastAsia"/>
          <w:color w:val="auto"/>
          <w:sz w:val="24"/>
          <w:szCs w:val="24"/>
        </w:rPr>
        <w:t>）”。</w:t>
      </w:r>
    </w:p>
    <w:p>
      <w:pPr>
        <w:pStyle w:val="42"/>
        <w:keepNext w:val="0"/>
        <w:keepLines w:val="0"/>
        <w:pageBreakBefore w:val="0"/>
        <w:widowControl w:val="0"/>
        <w:kinsoku/>
        <w:wordWrap/>
        <w:overflowPunct/>
        <w:topLinePunct w:val="0"/>
        <w:autoSpaceDE w:val="0"/>
        <w:autoSpaceDN w:val="0"/>
        <w:bidi w:val="0"/>
        <w:adjustRightInd/>
        <w:snapToGrid/>
        <w:spacing w:line="360" w:lineRule="auto"/>
        <w:ind w:left="0" w:leftChars="0" w:right="0" w:firstLine="0" w:firstLineChars="0"/>
        <w:jc w:val="left"/>
        <w:textAlignment w:val="auto"/>
        <w:outlineLvl w:val="9"/>
        <w:rPr>
          <w:rFonts w:hint="default" w:eastAsia="宋体"/>
          <w:lang w:val="en-US" w:eastAsia="zh-CN"/>
        </w:rPr>
      </w:pPr>
    </w:p>
    <w:sectPr>
      <w:footerReference r:id="rId6" w:type="default"/>
      <w:pgSz w:w="11900" w:h="16840"/>
      <w:pgMar w:top="1451" w:right="1757" w:bottom="1340" w:left="1757" w:header="850" w:footer="992" w:gutter="0"/>
      <w:pgBorders>
        <w:top w:val="none" w:sz="0" w:space="0"/>
        <w:left w:val="none" w:sz="0" w:space="0"/>
        <w:bottom w:val="none" w:sz="0" w:space="0"/>
        <w:right w:val="none" w:sz="0" w:space="0"/>
      </w:pgBorders>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Geneva">
    <w:altName w:val="Arial"/>
    <w:panose1 w:val="00000000000000000000"/>
    <w:charset w:val="00"/>
    <w:family w:val="swiss"/>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STSongStd-Light-Acro">
    <w:altName w:val="Segoe Print"/>
    <w:panose1 w:val="00000000000000000000"/>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r>
      <w:rPr>
        <w:sz w:val="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pStyle w:val="37"/>
      <w:lvlText w:val="%3."/>
      <w:lvlJc w:val="left"/>
      <w:pPr>
        <w:tabs>
          <w:tab w:val="left" w:pos="2160"/>
        </w:tabs>
        <w:ind w:left="2160" w:hanging="360"/>
      </w:pPr>
    </w:lvl>
    <w:lvl w:ilvl="3" w:tentative="0">
      <w:start w:val="1"/>
      <w:numFmt w:val="decimal"/>
      <w:pStyle w:val="36"/>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E73D48D"/>
    <w:multiLevelType w:val="singleLevel"/>
    <w:tmpl w:val="1E73D48D"/>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nforcement="0"/>
  <w:defaultTabStop w:val="720"/>
  <w:drawingGridHorizontalSpacing w:val="110"/>
  <w:displayHorizontalDrawingGridEvery w:val="0"/>
  <w:displayVerticalDrawingGridEvery w:val="2"/>
  <w:characterSpacingControl w:val="doNotCompress"/>
  <w:compat>
    <w:balanceSingleByteDoubleByteWidth/>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lYmY4OThlNWM3MTk5NTMzODQyZjg0YTg4OTdmYTQifQ=="/>
  </w:docVars>
  <w:rsids>
    <w:rsidRoot w:val="00254E1A"/>
    <w:rsid w:val="00033083"/>
    <w:rsid w:val="00254E1A"/>
    <w:rsid w:val="006B4ACA"/>
    <w:rsid w:val="00C11942"/>
    <w:rsid w:val="00C9657C"/>
    <w:rsid w:val="0281509D"/>
    <w:rsid w:val="02DC7F3F"/>
    <w:rsid w:val="032326CF"/>
    <w:rsid w:val="034B7ECA"/>
    <w:rsid w:val="045E5663"/>
    <w:rsid w:val="048605CC"/>
    <w:rsid w:val="04892D62"/>
    <w:rsid w:val="04D74D11"/>
    <w:rsid w:val="0569279F"/>
    <w:rsid w:val="06400C4E"/>
    <w:rsid w:val="07311CC2"/>
    <w:rsid w:val="077F4187"/>
    <w:rsid w:val="080C043A"/>
    <w:rsid w:val="08395ABE"/>
    <w:rsid w:val="08877577"/>
    <w:rsid w:val="0B9D12DF"/>
    <w:rsid w:val="0CEB6226"/>
    <w:rsid w:val="0FFB12F3"/>
    <w:rsid w:val="109C204F"/>
    <w:rsid w:val="11DA73AF"/>
    <w:rsid w:val="12163C0B"/>
    <w:rsid w:val="12842FF5"/>
    <w:rsid w:val="13320F15"/>
    <w:rsid w:val="14BE5E1A"/>
    <w:rsid w:val="160C5934"/>
    <w:rsid w:val="16E413EF"/>
    <w:rsid w:val="172F3687"/>
    <w:rsid w:val="17394D9D"/>
    <w:rsid w:val="17827597"/>
    <w:rsid w:val="18C01188"/>
    <w:rsid w:val="18CC01ED"/>
    <w:rsid w:val="19861735"/>
    <w:rsid w:val="1A197A44"/>
    <w:rsid w:val="1A3262A3"/>
    <w:rsid w:val="1A3B6380"/>
    <w:rsid w:val="1A660A9D"/>
    <w:rsid w:val="1C192705"/>
    <w:rsid w:val="1D4B06B8"/>
    <w:rsid w:val="1D6C74B5"/>
    <w:rsid w:val="1E173B92"/>
    <w:rsid w:val="1E760F5D"/>
    <w:rsid w:val="1F100E8E"/>
    <w:rsid w:val="1F83140B"/>
    <w:rsid w:val="1FDC2AF8"/>
    <w:rsid w:val="20472177"/>
    <w:rsid w:val="23933B56"/>
    <w:rsid w:val="23FC0209"/>
    <w:rsid w:val="24F75AE0"/>
    <w:rsid w:val="252A4469"/>
    <w:rsid w:val="2623424C"/>
    <w:rsid w:val="26465BDF"/>
    <w:rsid w:val="269359BB"/>
    <w:rsid w:val="26F24EDB"/>
    <w:rsid w:val="26FA0B47"/>
    <w:rsid w:val="27291833"/>
    <w:rsid w:val="2A070E15"/>
    <w:rsid w:val="2A332E1B"/>
    <w:rsid w:val="2ACE26CC"/>
    <w:rsid w:val="2B43367E"/>
    <w:rsid w:val="2D2E6C76"/>
    <w:rsid w:val="2D65721E"/>
    <w:rsid w:val="2D954840"/>
    <w:rsid w:val="2F6A001E"/>
    <w:rsid w:val="2FC70446"/>
    <w:rsid w:val="2FE141F7"/>
    <w:rsid w:val="304A6969"/>
    <w:rsid w:val="3070278A"/>
    <w:rsid w:val="30D02DDA"/>
    <w:rsid w:val="30FF401D"/>
    <w:rsid w:val="31EB4FDB"/>
    <w:rsid w:val="32D228C1"/>
    <w:rsid w:val="345C6CF0"/>
    <w:rsid w:val="347610FA"/>
    <w:rsid w:val="35B95693"/>
    <w:rsid w:val="35EE6A51"/>
    <w:rsid w:val="363F7A1B"/>
    <w:rsid w:val="36A1779C"/>
    <w:rsid w:val="37D16A3D"/>
    <w:rsid w:val="382830F9"/>
    <w:rsid w:val="388249CD"/>
    <w:rsid w:val="38D51483"/>
    <w:rsid w:val="393902E7"/>
    <w:rsid w:val="394D1ABC"/>
    <w:rsid w:val="39E13E47"/>
    <w:rsid w:val="3A4C4912"/>
    <w:rsid w:val="3AA90A55"/>
    <w:rsid w:val="3ADE4E51"/>
    <w:rsid w:val="3B0F13A5"/>
    <w:rsid w:val="3DC54BF0"/>
    <w:rsid w:val="3E1E3FE0"/>
    <w:rsid w:val="3E321C2C"/>
    <w:rsid w:val="3F767907"/>
    <w:rsid w:val="3FF469A0"/>
    <w:rsid w:val="40AB01A4"/>
    <w:rsid w:val="40B72066"/>
    <w:rsid w:val="42AC5AB0"/>
    <w:rsid w:val="42AE5298"/>
    <w:rsid w:val="43E433A7"/>
    <w:rsid w:val="45694A78"/>
    <w:rsid w:val="46B63EF6"/>
    <w:rsid w:val="46FF6323"/>
    <w:rsid w:val="47521365"/>
    <w:rsid w:val="47A62395"/>
    <w:rsid w:val="47FC2FAC"/>
    <w:rsid w:val="48A224EC"/>
    <w:rsid w:val="4A593937"/>
    <w:rsid w:val="4AAE286B"/>
    <w:rsid w:val="4B28721C"/>
    <w:rsid w:val="4C021012"/>
    <w:rsid w:val="4D206D82"/>
    <w:rsid w:val="4D9D47E4"/>
    <w:rsid w:val="4E19395D"/>
    <w:rsid w:val="4E721B25"/>
    <w:rsid w:val="4EDE4624"/>
    <w:rsid w:val="51734460"/>
    <w:rsid w:val="523A5903"/>
    <w:rsid w:val="5240100A"/>
    <w:rsid w:val="52414E7A"/>
    <w:rsid w:val="5519780D"/>
    <w:rsid w:val="55C15A33"/>
    <w:rsid w:val="56270AA5"/>
    <w:rsid w:val="56681DAE"/>
    <w:rsid w:val="577F1C89"/>
    <w:rsid w:val="59382E89"/>
    <w:rsid w:val="59B63CFA"/>
    <w:rsid w:val="5A5F6E50"/>
    <w:rsid w:val="5A6E79DF"/>
    <w:rsid w:val="5B0A1038"/>
    <w:rsid w:val="5B673C08"/>
    <w:rsid w:val="5B9F031B"/>
    <w:rsid w:val="5BA20659"/>
    <w:rsid w:val="5CAE0EFB"/>
    <w:rsid w:val="5CBE7418"/>
    <w:rsid w:val="5CD00C80"/>
    <w:rsid w:val="5CD248A5"/>
    <w:rsid w:val="5D011BCC"/>
    <w:rsid w:val="5D3759CD"/>
    <w:rsid w:val="5EC75E8A"/>
    <w:rsid w:val="603E14B3"/>
    <w:rsid w:val="6102675B"/>
    <w:rsid w:val="61075BA0"/>
    <w:rsid w:val="619D36E3"/>
    <w:rsid w:val="626E4CBC"/>
    <w:rsid w:val="63241E14"/>
    <w:rsid w:val="63A14CDA"/>
    <w:rsid w:val="63B409E1"/>
    <w:rsid w:val="640077A9"/>
    <w:rsid w:val="64191C17"/>
    <w:rsid w:val="65F0798B"/>
    <w:rsid w:val="66441378"/>
    <w:rsid w:val="66A73C98"/>
    <w:rsid w:val="66B630EE"/>
    <w:rsid w:val="66D86B25"/>
    <w:rsid w:val="66DB044E"/>
    <w:rsid w:val="66DE578C"/>
    <w:rsid w:val="675368C0"/>
    <w:rsid w:val="685A31BC"/>
    <w:rsid w:val="691F731F"/>
    <w:rsid w:val="69986141"/>
    <w:rsid w:val="69A76358"/>
    <w:rsid w:val="6CEF0621"/>
    <w:rsid w:val="6E0A09B5"/>
    <w:rsid w:val="715C32AF"/>
    <w:rsid w:val="71A50C7F"/>
    <w:rsid w:val="72F73518"/>
    <w:rsid w:val="73BA09A0"/>
    <w:rsid w:val="752D373F"/>
    <w:rsid w:val="760113E2"/>
    <w:rsid w:val="76CB7C4B"/>
    <w:rsid w:val="772B4C1D"/>
    <w:rsid w:val="781041AF"/>
    <w:rsid w:val="7835248D"/>
    <w:rsid w:val="78574B3A"/>
    <w:rsid w:val="789D7382"/>
    <w:rsid w:val="78B122CA"/>
    <w:rsid w:val="795B065F"/>
    <w:rsid w:val="7C7C1707"/>
    <w:rsid w:val="7D362CE2"/>
    <w:rsid w:val="7D676B6B"/>
    <w:rsid w:val="7E7960DA"/>
    <w:rsid w:val="7ED65CC4"/>
    <w:rsid w:val="7F393A5D"/>
    <w:rsid w:val="7F94004B"/>
    <w:rsid w:val="7F9B73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nhideWhenUsed="0" w:uiPriority="9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zh-CN" w:eastAsia="zh-CN" w:bidi="zh-CN"/>
    </w:rPr>
  </w:style>
  <w:style w:type="paragraph" w:styleId="4">
    <w:name w:val="heading 1"/>
    <w:basedOn w:val="1"/>
    <w:next w:val="1"/>
    <w:link w:val="89"/>
    <w:qFormat/>
    <w:uiPriority w:val="9"/>
    <w:pPr>
      <w:keepNext/>
      <w:keepLines/>
      <w:spacing w:after="60"/>
      <w:outlineLvl w:val="0"/>
    </w:pPr>
    <w:rPr>
      <w:b/>
      <w:bCs/>
      <w:kern w:val="44"/>
      <w:sz w:val="36"/>
      <w:szCs w:val="44"/>
    </w:rPr>
  </w:style>
  <w:style w:type="paragraph" w:styleId="5">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qFormat/>
    <w:uiPriority w:val="99"/>
    <w:pPr>
      <w:keepNext/>
      <w:keepLines/>
      <w:outlineLvl w:val="2"/>
    </w:pPr>
    <w:rPr>
      <w:rFonts w:ascii="Times New Roman" w:hAnsi="Times New Roman" w:eastAsia="宋体"/>
      <w:b/>
      <w:bCs/>
      <w:sz w:val="30"/>
      <w:szCs w:val="32"/>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CellMar>
        <w:top w:w="0" w:type="dxa"/>
        <w:left w:w="108" w:type="dxa"/>
        <w:bottom w:w="0" w:type="dxa"/>
        <w:right w:w="108" w:type="dxa"/>
      </w:tblCellMar>
    </w:tblPr>
  </w:style>
  <w:style w:type="paragraph" w:styleId="2">
    <w:name w:val="Body Text"/>
    <w:basedOn w:val="1"/>
    <w:next w:val="3"/>
    <w:link w:val="81"/>
    <w:qFormat/>
    <w:uiPriority w:val="1"/>
    <w:rPr>
      <w:sz w:val="24"/>
      <w:szCs w:val="24"/>
    </w:rPr>
  </w:style>
  <w:style w:type="paragraph" w:customStyle="1" w:styleId="3">
    <w:name w:val="xl27"/>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kern w:val="0"/>
      <w:szCs w:val="21"/>
    </w:rPr>
  </w:style>
  <w:style w:type="paragraph" w:styleId="8">
    <w:name w:val="Normal Indent"/>
    <w:basedOn w:val="1"/>
    <w:next w:val="1"/>
    <w:qFormat/>
    <w:uiPriority w:val="0"/>
    <w:pPr>
      <w:ind w:firstLine="420"/>
    </w:pPr>
    <w:rPr>
      <w:szCs w:val="20"/>
    </w:rPr>
  </w:style>
  <w:style w:type="paragraph" w:styleId="9">
    <w:name w:val="annotation text"/>
    <w:basedOn w:val="1"/>
    <w:link w:val="80"/>
    <w:semiHidden/>
    <w:unhideWhenUsed/>
    <w:qFormat/>
    <w:uiPriority w:val="99"/>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kern w:val="0"/>
      <w:sz w:val="24"/>
      <w:szCs w:val="20"/>
      <w:lang w:val="en-US" w:eastAsia="zh-CN" w:bidi="ar"/>
    </w:rPr>
  </w:style>
  <w:style w:type="paragraph" w:styleId="10">
    <w:name w:val="Body Text Indent"/>
    <w:basedOn w:val="1"/>
    <w:next w:val="1"/>
    <w:qFormat/>
    <w:uiPriority w:val="0"/>
    <w:pPr>
      <w:adjustRightInd w:val="0"/>
      <w:spacing w:line="480" w:lineRule="exact"/>
      <w:ind w:firstLine="480"/>
      <w:textAlignment w:val="baseline"/>
    </w:pPr>
    <w:rPr>
      <w:rFonts w:ascii="宋体" w:hAnsi="宋体"/>
      <w:kern w:val="0"/>
      <w:sz w:val="24"/>
      <w:szCs w:val="20"/>
    </w:rPr>
  </w:style>
  <w:style w:type="paragraph" w:styleId="11">
    <w:name w:val="Plain Text"/>
    <w:basedOn w:val="1"/>
    <w:qFormat/>
    <w:uiPriority w:val="0"/>
    <w:rPr>
      <w:rFonts w:ascii="宋体" w:hAnsi="Courier New"/>
    </w:rPr>
  </w:style>
  <w:style w:type="paragraph" w:styleId="12">
    <w:name w:val="Body Text Indent 2"/>
    <w:basedOn w:val="1"/>
    <w:qFormat/>
    <w:uiPriority w:val="0"/>
    <w:pPr>
      <w:spacing w:after="120" w:line="480" w:lineRule="auto"/>
      <w:ind w:left="420" w:leftChars="200"/>
    </w:pPr>
    <w:rPr>
      <w:rFonts w:ascii="Times New Roman" w:hAnsi="Times New Roman"/>
      <w:kern w:val="0"/>
      <w:sz w:val="20"/>
    </w:rPr>
  </w:style>
  <w:style w:type="paragraph" w:styleId="13">
    <w:name w:val="footer"/>
    <w:basedOn w:val="1"/>
    <w:semiHidden/>
    <w:unhideWhenUsed/>
    <w:qFormat/>
    <w:uiPriority w:val="99"/>
    <w:pPr>
      <w:tabs>
        <w:tab w:val="center" w:pos="4153"/>
        <w:tab w:val="right" w:pos="8306"/>
      </w:tabs>
      <w:snapToGrid w:val="0"/>
      <w:jc w:val="left"/>
    </w:pPr>
    <w:rPr>
      <w:sz w:val="18"/>
    </w:rPr>
  </w:style>
  <w:style w:type="paragraph" w:styleId="1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Body Text Indent 3"/>
    <w:basedOn w:val="1"/>
    <w:qFormat/>
    <w:uiPriority w:val="0"/>
    <w:pPr>
      <w:spacing w:line="360" w:lineRule="auto"/>
      <w:ind w:firstLine="570"/>
    </w:pPr>
    <w:rPr>
      <w:sz w:val="24"/>
    </w:rPr>
  </w:style>
  <w:style w:type="paragraph" w:styleId="16">
    <w:name w:val="Body Text 2"/>
    <w:basedOn w:val="1"/>
    <w:qFormat/>
    <w:uiPriority w:val="0"/>
    <w:pPr>
      <w:spacing w:after="120" w:line="480" w:lineRule="auto"/>
    </w:pPr>
  </w:style>
  <w:style w:type="paragraph" w:styleId="17">
    <w:name w:val="Normal (Web)"/>
    <w:basedOn w:val="1"/>
    <w:next w:val="18"/>
    <w:qFormat/>
    <w:uiPriority w:val="99"/>
    <w:pPr>
      <w:widowControl/>
      <w:spacing w:before="100" w:beforeLines="0" w:beforeAutospacing="1" w:after="100" w:afterLines="0" w:afterAutospacing="1"/>
      <w:jc w:val="left"/>
    </w:pPr>
    <w:rPr>
      <w:rFonts w:ascii="宋体" w:hAnsi="宋体" w:cs="宋体"/>
      <w:kern w:val="0"/>
      <w:sz w:val="24"/>
      <w:szCs w:val="24"/>
    </w:rPr>
  </w:style>
  <w:style w:type="paragraph" w:customStyle="1" w:styleId="18">
    <w:name w:val="toc 84"/>
    <w:next w:val="1"/>
    <w:qFormat/>
    <w:uiPriority w:val="0"/>
    <w:pPr>
      <w:wordWrap w:val="0"/>
      <w:ind w:left="2975"/>
      <w:jc w:val="both"/>
    </w:pPr>
    <w:rPr>
      <w:rFonts w:ascii="宋体" w:hAnsi="宋体" w:eastAsia="Calibri" w:cs="Times New Roman"/>
      <w:sz w:val="21"/>
      <w:szCs w:val="22"/>
      <w:lang w:val="en-US" w:eastAsia="zh-CN" w:bidi="ar-SA"/>
    </w:rPr>
  </w:style>
  <w:style w:type="paragraph" w:styleId="19">
    <w:name w:val="Body Text First Indent"/>
    <w:basedOn w:val="2"/>
    <w:qFormat/>
    <w:uiPriority w:val="0"/>
    <w:pPr>
      <w:overflowPunct w:val="0"/>
      <w:autoSpaceDE w:val="0"/>
      <w:autoSpaceDN w:val="0"/>
      <w:spacing w:after="0" w:afterLines="0" w:line="0" w:lineRule="atLeast"/>
      <w:ind w:firstLine="578"/>
    </w:pPr>
    <w:rPr>
      <w:sz w:val="28"/>
    </w:rPr>
  </w:style>
  <w:style w:type="paragraph" w:styleId="20">
    <w:name w:val="Body Text First Indent 2"/>
    <w:basedOn w:val="10"/>
    <w:next w:val="1"/>
    <w:qFormat/>
    <w:uiPriority w:val="0"/>
    <w:pPr>
      <w:spacing w:after="120" w:line="240" w:lineRule="auto"/>
      <w:ind w:left="420" w:leftChars="200" w:firstLine="420" w:firstLineChars="200"/>
    </w:pPr>
    <w:rPr>
      <w:rFonts w:eastAsia="仿宋_GB2312"/>
      <w:snapToGrid w:val="0"/>
      <w:color w:val="000000"/>
      <w:kern w:val="0"/>
      <w:sz w:val="28"/>
      <w:szCs w:val="2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22"/>
    <w:rPr>
      <w:b/>
    </w:rPr>
  </w:style>
  <w:style w:type="character" w:styleId="25">
    <w:name w:val="Hyperlink"/>
    <w:qFormat/>
    <w:uiPriority w:val="99"/>
    <w:rPr>
      <w:color w:val="0000FF"/>
      <w:u w:val="single"/>
    </w:rPr>
  </w:style>
  <w:style w:type="character" w:styleId="26">
    <w:name w:val="annotation reference"/>
    <w:qFormat/>
    <w:uiPriority w:val="0"/>
    <w:rPr>
      <w:sz w:val="21"/>
      <w:szCs w:val="21"/>
    </w:rPr>
  </w:style>
  <w:style w:type="paragraph" w:customStyle="1" w:styleId="27">
    <w:name w:val="样式 标题 2"/>
    <w:basedOn w:val="5"/>
    <w:qFormat/>
    <w:uiPriority w:val="0"/>
    <w:pPr>
      <w:spacing w:before="50" w:after="50"/>
      <w:jc w:val="both"/>
    </w:pPr>
    <w:rPr>
      <w:szCs w:val="28"/>
    </w:rPr>
  </w:style>
  <w:style w:type="paragraph" w:customStyle="1" w:styleId="28">
    <w:name w:val="正文首行缩进 21"/>
    <w:qFormat/>
    <w:uiPriority w:val="2457"/>
    <w:pPr>
      <w:widowControl/>
      <w:suppressAutoHyphens w:val="0"/>
      <w:bidi w:val="0"/>
      <w:ind w:left="0" w:right="0" w:firstLine="420"/>
    </w:pPr>
    <w:rPr>
      <w:rFonts w:ascii="Times New Roman" w:hAnsi="Times New Roman" w:eastAsia="Times New Roman" w:cs="Times New Roman"/>
      <w:color w:val="auto"/>
      <w:sz w:val="20"/>
      <w:szCs w:val="20"/>
      <w:lang w:val="en-US" w:eastAsia="zh-CN" w:bidi="hi-IN"/>
    </w:rPr>
  </w:style>
  <w:style w:type="paragraph" w:customStyle="1" w:styleId="29">
    <w:name w:val="样式 正文文本缩进 + 行距: 1.5 倍行距"/>
    <w:basedOn w:val="1"/>
    <w:qFormat/>
    <w:uiPriority w:val="0"/>
    <w:pPr>
      <w:spacing w:after="120" w:line="360" w:lineRule="auto"/>
      <w:ind w:left="90" w:leftChars="32" w:firstLine="560" w:firstLineChars="200"/>
    </w:pPr>
    <w:rPr>
      <w:rFonts w:cs="宋体"/>
      <w:sz w:val="24"/>
    </w:rPr>
  </w:style>
  <w:style w:type="paragraph" w:customStyle="1" w:styleId="30">
    <w:name w:val="Default"/>
    <w:basedOn w:val="3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1">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2">
    <w:name w:val="样式 小四 行距: 1.5 倍行距"/>
    <w:basedOn w:val="1"/>
    <w:qFormat/>
    <w:uiPriority w:val="0"/>
    <w:pPr>
      <w:ind w:firstLine="480" w:firstLineChars="200"/>
    </w:pPr>
    <w:rPr>
      <w:rFonts w:hint="default" w:cs="宋体"/>
    </w:rPr>
  </w:style>
  <w:style w:type="paragraph" w:customStyle="1" w:styleId="33">
    <w:name w:val="Default1"/>
    <w:qFormat/>
    <w:uiPriority w:val="0"/>
    <w:pPr>
      <w:widowControl w:val="0"/>
      <w:autoSpaceDE w:val="0"/>
      <w:autoSpaceDN w:val="0"/>
      <w:adjustRightInd w:val="0"/>
    </w:pPr>
    <w:rPr>
      <w:rFonts w:ascii="宋体" w:hAnsi="Times New Roman" w:eastAsia="宋体" w:cs="宋体"/>
      <w:snapToGrid w:val="0"/>
      <w:color w:val="000000"/>
      <w:sz w:val="24"/>
      <w:szCs w:val="24"/>
      <w:lang w:val="en-US" w:eastAsia="zh-CN" w:bidi="ar-SA"/>
    </w:rPr>
  </w:style>
  <w:style w:type="paragraph" w:customStyle="1" w:styleId="34">
    <w:name w:val="四级条标题"/>
    <w:basedOn w:val="35"/>
    <w:next w:val="39"/>
    <w:qFormat/>
    <w:uiPriority w:val="0"/>
    <w:pPr>
      <w:tabs>
        <w:tab w:val="left" w:pos="2160"/>
      </w:tabs>
      <w:outlineLvl w:val="5"/>
    </w:pPr>
    <w:rPr>
      <w:szCs w:val="20"/>
    </w:rPr>
  </w:style>
  <w:style w:type="paragraph" w:customStyle="1" w:styleId="35">
    <w:name w:val="三级条标题"/>
    <w:basedOn w:val="36"/>
    <w:next w:val="39"/>
    <w:qFormat/>
    <w:uiPriority w:val="0"/>
    <w:pPr>
      <w:numPr>
        <w:ilvl w:val="0"/>
        <w:numId w:val="0"/>
      </w:numPr>
      <w:tabs>
        <w:tab w:val="left" w:pos="2160"/>
      </w:tabs>
      <w:outlineLvl w:val="4"/>
    </w:pPr>
  </w:style>
  <w:style w:type="paragraph" w:customStyle="1" w:styleId="36">
    <w:name w:val="二级条标题"/>
    <w:basedOn w:val="37"/>
    <w:next w:val="39"/>
    <w:qFormat/>
    <w:uiPriority w:val="0"/>
    <w:pPr>
      <w:numPr>
        <w:ilvl w:val="3"/>
      </w:numPr>
      <w:tabs>
        <w:tab w:val="left" w:pos="2160"/>
      </w:tabs>
      <w:outlineLvl w:val="3"/>
    </w:pPr>
  </w:style>
  <w:style w:type="paragraph" w:customStyle="1" w:styleId="37">
    <w:name w:val="一级条标题"/>
    <w:basedOn w:val="38"/>
    <w:next w:val="39"/>
    <w:qFormat/>
    <w:uiPriority w:val="0"/>
    <w:pPr>
      <w:numPr>
        <w:ilvl w:val="2"/>
        <w:numId w:val="1"/>
      </w:numPr>
      <w:spacing w:before="0" w:beforeLines="0" w:after="0" w:afterLines="0"/>
      <w:outlineLvl w:val="2"/>
    </w:pPr>
  </w:style>
  <w:style w:type="paragraph" w:customStyle="1" w:styleId="38">
    <w:name w:val="章标题"/>
    <w:next w:val="39"/>
    <w:qFormat/>
    <w:uiPriority w:val="0"/>
    <w:pPr>
      <w:spacing w:before="156" w:beforeLines="50" w:after="156" w:afterLines="50"/>
      <w:jc w:val="both"/>
      <w:outlineLvl w:val="1"/>
    </w:pPr>
    <w:rPr>
      <w:rFonts w:ascii="黑体" w:hAnsi="Times New Roman" w:eastAsia="黑体" w:cs="Times New Roman"/>
      <w:sz w:val="21"/>
      <w:szCs w:val="22"/>
      <w:lang w:val="en-US" w:eastAsia="zh-CN" w:bidi="ar-SA"/>
    </w:rPr>
  </w:style>
  <w:style w:type="paragraph" w:customStyle="1" w:styleId="39">
    <w:name w:val="段"/>
    <w:qFormat/>
    <w:uiPriority w:val="0"/>
    <w:pPr>
      <w:autoSpaceDE w:val="0"/>
      <w:autoSpaceDN w:val="0"/>
      <w:ind w:firstLine="200" w:firstLineChars="200"/>
      <w:jc w:val="both"/>
    </w:pPr>
    <w:rPr>
      <w:rFonts w:ascii="宋体" w:hAnsi="Times New Roman" w:eastAsia="宋体" w:cs="Times New Roman"/>
      <w:sz w:val="21"/>
      <w:szCs w:val="22"/>
      <w:lang w:val="zh-CN" w:eastAsia="zh-CN" w:bidi="ar-SA"/>
    </w:rPr>
  </w:style>
  <w:style w:type="table" w:customStyle="1" w:styleId="40">
    <w:name w:val="Table Normal"/>
    <w:semiHidden/>
    <w:unhideWhenUsed/>
    <w:qFormat/>
    <w:uiPriority w:val="2"/>
    <w:tblPr>
      <w:tblCellMar>
        <w:top w:w="0" w:type="dxa"/>
        <w:left w:w="0" w:type="dxa"/>
        <w:bottom w:w="0" w:type="dxa"/>
        <w:right w:w="0" w:type="dxa"/>
      </w:tblCellMar>
    </w:tblPr>
  </w:style>
  <w:style w:type="paragraph" w:customStyle="1" w:styleId="41">
    <w:name w:val="Heading 1"/>
    <w:basedOn w:val="1"/>
    <w:qFormat/>
    <w:uiPriority w:val="1"/>
    <w:pPr>
      <w:spacing w:line="552" w:lineRule="exact"/>
      <w:ind w:left="655" w:hanging="258"/>
      <w:outlineLvl w:val="1"/>
    </w:pPr>
    <w:rPr>
      <w:rFonts w:ascii="Microsoft JhengHei" w:hAnsi="Microsoft JhengHei" w:eastAsia="Microsoft JhengHei" w:cs="Microsoft JhengHei"/>
      <w:b/>
      <w:bCs/>
      <w:sz w:val="32"/>
      <w:szCs w:val="32"/>
    </w:rPr>
  </w:style>
  <w:style w:type="paragraph" w:customStyle="1" w:styleId="42">
    <w:name w:val="Heading 2"/>
    <w:basedOn w:val="1"/>
    <w:qFormat/>
    <w:uiPriority w:val="1"/>
    <w:pPr>
      <w:ind w:left="777"/>
      <w:outlineLvl w:val="2"/>
    </w:pPr>
    <w:rPr>
      <w:rFonts w:ascii="Microsoft JhengHei" w:hAnsi="Microsoft JhengHei" w:eastAsia="Microsoft JhengHei" w:cs="Microsoft JhengHei"/>
      <w:b/>
      <w:bCs/>
      <w:sz w:val="30"/>
      <w:szCs w:val="30"/>
    </w:rPr>
  </w:style>
  <w:style w:type="paragraph" w:customStyle="1" w:styleId="43">
    <w:name w:val="Heading 3"/>
    <w:basedOn w:val="1"/>
    <w:qFormat/>
    <w:uiPriority w:val="1"/>
    <w:pPr>
      <w:spacing w:before="70"/>
      <w:ind w:left="100" w:hanging="450"/>
      <w:outlineLvl w:val="3"/>
    </w:pPr>
    <w:rPr>
      <w:sz w:val="30"/>
      <w:szCs w:val="30"/>
    </w:rPr>
  </w:style>
  <w:style w:type="paragraph" w:customStyle="1" w:styleId="44">
    <w:name w:val="Heading 4"/>
    <w:basedOn w:val="1"/>
    <w:qFormat/>
    <w:uiPriority w:val="1"/>
    <w:pPr>
      <w:ind w:left="818" w:hanging="421"/>
      <w:outlineLvl w:val="4"/>
    </w:pPr>
    <w:rPr>
      <w:rFonts w:ascii="Microsoft JhengHei" w:hAnsi="Microsoft JhengHei" w:eastAsia="Microsoft JhengHei" w:cs="Microsoft JhengHei"/>
      <w:b/>
      <w:bCs/>
      <w:sz w:val="28"/>
      <w:szCs w:val="28"/>
    </w:rPr>
  </w:style>
  <w:style w:type="paragraph" w:customStyle="1" w:styleId="45">
    <w:name w:val="Heading 5"/>
    <w:basedOn w:val="1"/>
    <w:qFormat/>
    <w:uiPriority w:val="1"/>
    <w:pPr>
      <w:ind w:left="1406" w:hanging="841"/>
      <w:outlineLvl w:val="5"/>
    </w:pPr>
    <w:rPr>
      <w:sz w:val="28"/>
      <w:szCs w:val="28"/>
    </w:rPr>
  </w:style>
  <w:style w:type="paragraph" w:customStyle="1" w:styleId="46">
    <w:name w:val="Heading 6"/>
    <w:basedOn w:val="1"/>
    <w:qFormat/>
    <w:uiPriority w:val="1"/>
    <w:pPr>
      <w:ind w:left="1377"/>
      <w:outlineLvl w:val="6"/>
    </w:pPr>
    <w:rPr>
      <w:rFonts w:ascii="Microsoft JhengHei" w:hAnsi="Microsoft JhengHei" w:eastAsia="Microsoft JhengHei" w:cs="Microsoft JhengHei"/>
      <w:b/>
      <w:bCs/>
      <w:sz w:val="24"/>
      <w:szCs w:val="24"/>
    </w:rPr>
  </w:style>
  <w:style w:type="paragraph" w:styleId="47">
    <w:name w:val="List Paragraph"/>
    <w:basedOn w:val="1"/>
    <w:qFormat/>
    <w:uiPriority w:val="1"/>
    <w:pPr>
      <w:ind w:left="818" w:hanging="541"/>
    </w:pPr>
  </w:style>
  <w:style w:type="paragraph" w:customStyle="1" w:styleId="48">
    <w:name w:val="Table Paragraph"/>
    <w:basedOn w:val="1"/>
    <w:qFormat/>
    <w:uiPriority w:val="1"/>
  </w:style>
  <w:style w:type="paragraph" w:customStyle="1" w:styleId="49">
    <w:name w:val="CM18"/>
    <w:basedOn w:val="30"/>
    <w:next w:val="30"/>
    <w:qFormat/>
    <w:uiPriority w:val="99"/>
    <w:pPr>
      <w:spacing w:line="500" w:lineRule="atLeast"/>
    </w:pPr>
    <w:rPr>
      <w:rFonts w:ascii="黑体" w:hAnsi="Calibri" w:eastAsia="黑体" w:cs="Times New Roman"/>
      <w:color w:val="auto"/>
    </w:rPr>
  </w:style>
  <w:style w:type="paragraph" w:customStyle="1" w:styleId="50">
    <w:name w:val="CM62"/>
    <w:basedOn w:val="30"/>
    <w:next w:val="30"/>
    <w:qFormat/>
    <w:uiPriority w:val="99"/>
    <w:rPr>
      <w:rFonts w:ascii="黑体" w:hAnsi="Calibri" w:eastAsia="黑体" w:cs="Times New Roman"/>
      <w:color w:val="auto"/>
    </w:rPr>
  </w:style>
  <w:style w:type="paragraph" w:customStyle="1" w:styleId="51">
    <w:name w:val="CM38"/>
    <w:basedOn w:val="30"/>
    <w:next w:val="30"/>
    <w:qFormat/>
    <w:uiPriority w:val="99"/>
    <w:pPr>
      <w:spacing w:line="500" w:lineRule="atLeast"/>
    </w:pPr>
    <w:rPr>
      <w:rFonts w:ascii="黑体" w:hAnsi="Calibri" w:eastAsia="黑体" w:cs="Times New Roman"/>
      <w:color w:val="auto"/>
    </w:rPr>
  </w:style>
  <w:style w:type="paragraph" w:customStyle="1" w:styleId="52">
    <w:name w:val="环科院正文"/>
    <w:basedOn w:val="1"/>
    <w:qFormat/>
    <w:uiPriority w:val="0"/>
    <w:pPr>
      <w:tabs>
        <w:tab w:val="left" w:pos="5760"/>
      </w:tabs>
      <w:spacing w:line="360" w:lineRule="auto"/>
      <w:ind w:firstLine="480" w:firstLineChars="200"/>
    </w:pPr>
    <w:rPr>
      <w:rFonts w:hAnsi="宋体"/>
      <w:bCs/>
      <w:sz w:val="24"/>
      <w:szCs w:val="20"/>
    </w:rPr>
  </w:style>
  <w:style w:type="paragraph" w:customStyle="1" w:styleId="53">
    <w:name w:val="中文报告书样式"/>
    <w:basedOn w:val="1"/>
    <w:qFormat/>
    <w:uiPriority w:val="0"/>
    <w:pPr>
      <w:adjustRightInd w:val="0"/>
      <w:spacing w:line="480" w:lineRule="atLeast"/>
      <w:ind w:firstLine="482"/>
      <w:textAlignment w:val="baseline"/>
    </w:pPr>
    <w:rPr>
      <w:kern w:val="24"/>
      <w:sz w:val="24"/>
      <w:szCs w:val="20"/>
    </w:rPr>
  </w:style>
  <w:style w:type="character" w:customStyle="1" w:styleId="54">
    <w:name w:val="dz1"/>
    <w:qFormat/>
    <w:uiPriority w:val="0"/>
    <w:rPr>
      <w:rFonts w:hint="default" w:ascii="Geneva" w:hAnsi="Geneva"/>
      <w:sz w:val="20"/>
      <w:szCs w:val="20"/>
    </w:rPr>
  </w:style>
  <w:style w:type="paragraph" w:customStyle="1" w:styleId="55">
    <w:name w:val="表头表格"/>
    <w:basedOn w:val="1"/>
    <w:qFormat/>
    <w:uiPriority w:val="0"/>
    <w:pPr>
      <w:snapToGrid w:val="0"/>
      <w:spacing w:beforeLines="50" w:line="360" w:lineRule="auto"/>
      <w:jc w:val="center"/>
    </w:pPr>
    <w:rPr>
      <w:rFonts w:ascii="Times New Roman"/>
      <w:b/>
      <w:bCs/>
      <w:color w:val="000000"/>
      <w:kern w:val="2"/>
      <w:sz w:val="21"/>
      <w:szCs w:val="21"/>
    </w:rPr>
  </w:style>
  <w:style w:type="paragraph" w:customStyle="1" w:styleId="56">
    <w:name w:val="表格内文字"/>
    <w:basedOn w:val="57"/>
    <w:qFormat/>
    <w:uiPriority w:val="0"/>
    <w:pPr>
      <w:snapToGrid/>
      <w:spacing w:line="240" w:lineRule="auto"/>
      <w:ind w:left="0" w:leftChars="0" w:right="0" w:rightChars="0" w:firstLine="0" w:firstLineChars="0"/>
    </w:pPr>
    <w:rPr>
      <w:color w:val="auto"/>
      <w:kern w:val="0"/>
      <w:sz w:val="21"/>
      <w:szCs w:val="20"/>
    </w:rPr>
  </w:style>
  <w:style w:type="paragraph" w:customStyle="1" w:styleId="57">
    <w:name w:val="表头"/>
    <w:basedOn w:val="1"/>
    <w:qFormat/>
    <w:uiPriority w:val="99"/>
    <w:pPr>
      <w:adjustRightInd w:val="0"/>
      <w:snapToGrid w:val="0"/>
      <w:spacing w:line="360" w:lineRule="auto"/>
      <w:ind w:left="-120" w:leftChars="-50" w:right="-120" w:rightChars="-50" w:firstLine="113" w:firstLineChars="49"/>
      <w:jc w:val="center"/>
    </w:pPr>
    <w:rPr>
      <w:rFonts w:ascii="Times New Roman"/>
      <w:color w:val="000000"/>
      <w:kern w:val="2"/>
      <w:sz w:val="23"/>
      <w:szCs w:val="21"/>
    </w:rPr>
  </w:style>
  <w:style w:type="paragraph" w:customStyle="1" w:styleId="58">
    <w:name w:val="CM15"/>
    <w:basedOn w:val="30"/>
    <w:next w:val="30"/>
    <w:qFormat/>
    <w:uiPriority w:val="99"/>
    <w:pPr>
      <w:spacing w:line="500" w:lineRule="atLeast"/>
    </w:pPr>
    <w:rPr>
      <w:rFonts w:ascii="黑体" w:hAnsi="Calibri" w:eastAsia="黑体" w:cs="Times New Roman"/>
      <w:color w:val="auto"/>
    </w:rPr>
  </w:style>
  <w:style w:type="paragraph" w:customStyle="1" w:styleId="59">
    <w:name w:val="我的正文"/>
    <w:basedOn w:val="1"/>
    <w:qFormat/>
    <w:uiPriority w:val="0"/>
    <w:pPr>
      <w:spacing w:line="520" w:lineRule="exact"/>
      <w:ind w:firstLine="200" w:firstLineChars="200"/>
    </w:pPr>
    <w:rPr>
      <w:color w:val="000000"/>
      <w:sz w:val="24"/>
    </w:rPr>
  </w:style>
  <w:style w:type="paragraph" w:customStyle="1" w:styleId="60">
    <w:name w:val="a表格"/>
    <w:next w:val="19"/>
    <w:qFormat/>
    <w:uiPriority w:val="0"/>
    <w:pPr>
      <w:jc w:val="center"/>
    </w:pPr>
    <w:rPr>
      <w:rFonts w:ascii="Times New Roman" w:hAnsi="Times New Roman" w:eastAsia="宋体" w:cs="Times New Roman"/>
      <w:sz w:val="21"/>
      <w:szCs w:val="24"/>
      <w:lang w:val="en-US" w:eastAsia="zh-CN" w:bidi="ar-SA"/>
    </w:rPr>
  </w:style>
  <w:style w:type="paragraph" w:customStyle="1" w:styleId="61">
    <w:name w:val="报告书表格"/>
    <w:basedOn w:val="1"/>
    <w:qFormat/>
    <w:uiPriority w:val="0"/>
    <w:pPr>
      <w:adjustRightInd w:val="0"/>
      <w:spacing w:before="60" w:beforeLines="0" w:beforeAutospacing="0" w:after="60" w:afterLines="0" w:afterAutospacing="0" w:line="240" w:lineRule="atLeast"/>
      <w:jc w:val="center"/>
      <w:textAlignment w:val="baseline"/>
    </w:pPr>
    <w:rPr>
      <w:kern w:val="0"/>
    </w:rPr>
  </w:style>
  <w:style w:type="paragraph" w:customStyle="1" w:styleId="62">
    <w:name w:val="p0"/>
    <w:basedOn w:val="1"/>
    <w:qFormat/>
    <w:uiPriority w:val="0"/>
    <w:pPr>
      <w:widowControl/>
    </w:pPr>
    <w:rPr>
      <w:kern w:val="0"/>
      <w:szCs w:val="21"/>
    </w:rPr>
  </w:style>
  <w:style w:type="paragraph" w:customStyle="1" w:styleId="63">
    <w:name w:val="zl正文"/>
    <w:basedOn w:val="1"/>
    <w:qFormat/>
    <w:uiPriority w:val="0"/>
    <w:pPr>
      <w:spacing w:line="360" w:lineRule="auto"/>
      <w:ind w:firstLine="480" w:firstLineChars="200"/>
    </w:pPr>
    <w:rPr>
      <w:sz w:val="24"/>
      <w:szCs w:val="24"/>
    </w:rPr>
  </w:style>
  <w:style w:type="paragraph" w:customStyle="1" w:styleId="64">
    <w:name w:val="表格"/>
    <w:basedOn w:val="1"/>
    <w:next w:val="1"/>
    <w:qFormat/>
    <w:uiPriority w:val="0"/>
    <w:pPr>
      <w:autoSpaceDE w:val="0"/>
      <w:autoSpaceDN w:val="0"/>
      <w:adjustRightInd w:val="0"/>
      <w:jc w:val="center"/>
    </w:pPr>
    <w:rPr>
      <w:rFonts w:eastAsia="楷体_GB2312"/>
      <w:kern w:val="0"/>
      <w:sz w:val="24"/>
      <w:szCs w:val="20"/>
    </w:rPr>
  </w:style>
  <w:style w:type="paragraph" w:customStyle="1" w:styleId="65">
    <w:name w:val="XZW"/>
    <w:basedOn w:val="66"/>
    <w:qFormat/>
    <w:uiPriority w:val="0"/>
    <w:rPr>
      <w:rFonts w:eastAsia="仿宋_GB2312"/>
      <w:sz w:val="28"/>
    </w:rPr>
  </w:style>
  <w:style w:type="paragraph" w:customStyle="1" w:styleId="66">
    <w:name w:val="ZW"/>
    <w:basedOn w:val="1"/>
    <w:qFormat/>
    <w:uiPriority w:val="0"/>
    <w:pPr>
      <w:adjustRightInd w:val="0"/>
      <w:snapToGrid w:val="0"/>
      <w:ind w:firstLine="200"/>
    </w:pPr>
    <w:rPr>
      <w:kern w:val="0"/>
    </w:rPr>
  </w:style>
  <w:style w:type="paragraph" w:customStyle="1" w:styleId="67">
    <w:name w:val="正文样式"/>
    <w:basedOn w:val="1"/>
    <w:qFormat/>
    <w:uiPriority w:val="0"/>
    <w:pPr>
      <w:spacing w:line="360" w:lineRule="auto"/>
      <w:ind w:right="170" w:firstLine="480" w:firstLineChars="200"/>
    </w:pPr>
    <w:rPr>
      <w:rFonts w:ascii="Calibri" w:hAnsi="宋体"/>
      <w:sz w:val="24"/>
    </w:rPr>
  </w:style>
  <w:style w:type="paragraph" w:customStyle="1" w:styleId="68">
    <w:name w:val="表头 1"/>
    <w:basedOn w:val="1"/>
    <w:next w:val="1"/>
    <w:qFormat/>
    <w:uiPriority w:val="0"/>
    <w:pPr>
      <w:adjustRightInd w:val="0"/>
      <w:snapToGrid w:val="0"/>
      <w:jc w:val="center"/>
    </w:pPr>
    <w:rPr>
      <w:b/>
      <w:sz w:val="24"/>
    </w:rPr>
  </w:style>
  <w:style w:type="paragraph" w:customStyle="1" w:styleId="69">
    <w:name w:val="表格字体"/>
    <w:basedOn w:val="1"/>
    <w:qFormat/>
    <w:uiPriority w:val="0"/>
    <w:pPr>
      <w:spacing w:before="62" w:beforeLines="20" w:after="62" w:afterLines="20" w:line="360" w:lineRule="auto"/>
      <w:jc w:val="center"/>
    </w:pPr>
    <w:rPr>
      <w:sz w:val="24"/>
      <w:szCs w:val="21"/>
    </w:rPr>
  </w:style>
  <w:style w:type="paragraph" w:customStyle="1" w:styleId="70">
    <w:name w:val="表格字体1"/>
    <w:basedOn w:val="1"/>
    <w:qFormat/>
    <w:uiPriority w:val="0"/>
    <w:pPr>
      <w:widowControl/>
      <w:adjustRightInd w:val="0"/>
      <w:snapToGrid w:val="0"/>
      <w:spacing w:beforeLines="20" w:afterLines="20"/>
      <w:jc w:val="center"/>
    </w:pPr>
    <w:rPr>
      <w:color w:val="000000"/>
      <w:kern w:val="0"/>
      <w:szCs w:val="21"/>
    </w:rPr>
  </w:style>
  <w:style w:type="paragraph" w:customStyle="1" w:styleId="71">
    <w:name w:val="表格正文"/>
    <w:basedOn w:val="31"/>
    <w:next w:val="1"/>
    <w:qFormat/>
    <w:uiPriority w:val="0"/>
    <w:pPr>
      <w:spacing w:line="360" w:lineRule="exact"/>
      <w:jc w:val="center"/>
    </w:pPr>
    <w:rPr>
      <w:rFonts w:ascii="Arial" w:hAnsi="Arial" w:cs="Arial"/>
    </w:rPr>
  </w:style>
  <w:style w:type="paragraph" w:customStyle="1" w:styleId="72">
    <w:name w:val="标题2"/>
    <w:basedOn w:val="1"/>
    <w:next w:val="5"/>
    <w:qFormat/>
    <w:uiPriority w:val="0"/>
    <w:pPr>
      <w:adjustRightInd w:val="0"/>
      <w:snapToGrid w:val="0"/>
      <w:spacing w:line="360" w:lineRule="auto"/>
    </w:pPr>
    <w:rPr>
      <w:rFonts w:hAnsi="宋体"/>
      <w:b/>
      <w:bCs/>
      <w:sz w:val="28"/>
      <w:szCs w:val="28"/>
    </w:rPr>
  </w:style>
  <w:style w:type="character" w:customStyle="1" w:styleId="73">
    <w:name w:val="font11"/>
    <w:basedOn w:val="23"/>
    <w:qFormat/>
    <w:uiPriority w:val="0"/>
    <w:rPr>
      <w:rFonts w:hint="eastAsia" w:ascii="宋体" w:hAnsi="宋体" w:eastAsia="宋体" w:cs="宋体"/>
      <w:color w:val="000000"/>
      <w:sz w:val="20"/>
      <w:szCs w:val="20"/>
      <w:u w:val="none"/>
    </w:rPr>
  </w:style>
  <w:style w:type="paragraph" w:customStyle="1" w:styleId="74">
    <w:name w:val="0正文"/>
    <w:basedOn w:val="1"/>
    <w:qFormat/>
    <w:uiPriority w:val="0"/>
    <w:pPr>
      <w:keepNext w:val="0"/>
      <w:keepLines w:val="0"/>
      <w:widowControl w:val="0"/>
      <w:suppressLineNumbers w:val="0"/>
      <w:adjustRightInd w:val="0"/>
      <w:snapToGrid w:val="0"/>
      <w:spacing w:before="0" w:beforeAutospacing="0" w:after="0" w:afterAutospacing="0" w:line="360" w:lineRule="auto"/>
      <w:ind w:left="0" w:right="0" w:firstLine="200" w:firstLineChars="200"/>
      <w:jc w:val="both"/>
    </w:pPr>
    <w:rPr>
      <w:rFonts w:hint="default" w:ascii="Times New Roman" w:hAnsi="Times New Roman" w:eastAsia="宋体" w:cs="Times New Roman"/>
      <w:kern w:val="2"/>
      <w:sz w:val="24"/>
      <w:szCs w:val="24"/>
      <w:lang w:val="en-US" w:eastAsia="zh-CN" w:bidi="ar"/>
    </w:rPr>
  </w:style>
  <w:style w:type="paragraph" w:customStyle="1" w:styleId="75">
    <w:name w:val="Char Char Char Char Char Char Char Char Char Char Char Char Char 字元 字元"/>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4"/>
      <w:lang w:val="en-US" w:eastAsia="zh-CN" w:bidi="ar"/>
    </w:rPr>
  </w:style>
  <w:style w:type="paragraph" w:customStyle="1" w:styleId="76">
    <w:name w:val="正文20110824"/>
    <w:basedOn w:val="1"/>
    <w:qFormat/>
    <w:uiPriority w:val="0"/>
    <w:pPr>
      <w:keepNext w:val="0"/>
      <w:keepLines w:val="0"/>
      <w:widowControl w:val="0"/>
      <w:suppressLineNumbers w:val="0"/>
      <w:spacing w:before="0" w:beforeAutospacing="0" w:after="0" w:afterAutospacing="0" w:line="360" w:lineRule="auto"/>
      <w:ind w:left="0" w:right="0" w:firstLine="200" w:firstLineChars="200"/>
      <w:jc w:val="both"/>
    </w:pPr>
    <w:rPr>
      <w:rFonts w:hint="default" w:ascii="Calibri" w:hAnsi="Calibri" w:eastAsia="宋体" w:cs="Times New Roman"/>
      <w:color w:val="000000"/>
      <w:kern w:val="2"/>
      <w:sz w:val="24"/>
      <w:szCs w:val="24"/>
      <w:lang w:val="en-US" w:eastAsia="zh-CN" w:bidi="ar"/>
    </w:rPr>
  </w:style>
  <w:style w:type="character" w:customStyle="1" w:styleId="77">
    <w:name w:val="font71"/>
    <w:basedOn w:val="23"/>
    <w:qFormat/>
    <w:uiPriority w:val="0"/>
    <w:rPr>
      <w:rFonts w:hint="default" w:ascii="Times New Roman" w:hAnsi="Times New Roman" w:cs="Times New Roman"/>
      <w:b/>
      <w:color w:val="000000"/>
      <w:sz w:val="22"/>
      <w:szCs w:val="22"/>
      <w:u w:val="none"/>
    </w:rPr>
  </w:style>
  <w:style w:type="character" w:customStyle="1" w:styleId="78">
    <w:name w:val="font51"/>
    <w:basedOn w:val="23"/>
    <w:qFormat/>
    <w:uiPriority w:val="0"/>
    <w:rPr>
      <w:rFonts w:hint="default" w:ascii="Times New Roman" w:hAnsi="Times New Roman" w:cs="Times New Roman"/>
      <w:color w:val="000000"/>
      <w:sz w:val="21"/>
      <w:szCs w:val="21"/>
      <w:u w:val="none"/>
    </w:rPr>
  </w:style>
  <w:style w:type="paragraph" w:customStyle="1" w:styleId="79">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0"/>
      <w:sz w:val="24"/>
      <w:szCs w:val="24"/>
      <w:lang w:val="en-US" w:eastAsia="zh-CN" w:bidi="ar"/>
    </w:rPr>
  </w:style>
  <w:style w:type="character" w:customStyle="1" w:styleId="80">
    <w:name w:val="批注文字 Char"/>
    <w:basedOn w:val="23"/>
    <w:link w:val="9"/>
    <w:qFormat/>
    <w:uiPriority w:val="0"/>
    <w:rPr>
      <w:sz w:val="24"/>
    </w:rPr>
  </w:style>
  <w:style w:type="character" w:customStyle="1" w:styleId="81">
    <w:name w:val="正文文本 Char"/>
    <w:basedOn w:val="23"/>
    <w:link w:val="2"/>
    <w:qFormat/>
    <w:uiPriority w:val="0"/>
    <w:rPr>
      <w:kern w:val="2"/>
      <w:sz w:val="21"/>
      <w:szCs w:val="24"/>
    </w:rPr>
  </w:style>
  <w:style w:type="paragraph" w:customStyle="1" w:styleId="82">
    <w:name w:val="标题3"/>
    <w:next w:val="1"/>
    <w:qFormat/>
    <w:uiPriority w:val="99"/>
    <w:pPr>
      <w:spacing w:line="360" w:lineRule="auto"/>
      <w:jc w:val="both"/>
      <w:outlineLvl w:val="2"/>
    </w:pPr>
    <w:rPr>
      <w:rFonts w:ascii="Times New Roman" w:hAnsi="Times New Roman" w:eastAsia="宋体" w:cs="Times New Roman"/>
      <w:b/>
      <w:bCs/>
      <w:kern w:val="2"/>
      <w:sz w:val="28"/>
      <w:szCs w:val="28"/>
      <w:lang w:val="en-US" w:eastAsia="zh-CN" w:bidi="ar-SA"/>
    </w:rPr>
  </w:style>
  <w:style w:type="paragraph" w:customStyle="1" w:styleId="83">
    <w:name w:val="Char Char11"/>
    <w:basedOn w:val="1"/>
    <w:qFormat/>
    <w:uiPriority w:val="0"/>
    <w:pPr>
      <w:spacing w:line="360" w:lineRule="auto"/>
      <w:ind w:firstLine="200" w:firstLineChars="200"/>
    </w:pPr>
    <w:rPr>
      <w:rFonts w:ascii="Times New Roman" w:hAnsi="宋体" w:cs="宋体"/>
      <w:sz w:val="24"/>
    </w:rPr>
  </w:style>
  <w:style w:type="paragraph" w:customStyle="1" w:styleId="84">
    <w:name w:val="表格名称"/>
    <w:basedOn w:val="1"/>
    <w:next w:val="1"/>
    <w:qFormat/>
    <w:uiPriority w:val="0"/>
    <w:pPr>
      <w:keepNext/>
      <w:keepLines/>
      <w:widowControl/>
      <w:tabs>
        <w:tab w:val="left" w:pos="993"/>
        <w:tab w:val="center" w:pos="4112"/>
      </w:tabs>
      <w:topLinePunct/>
      <w:autoSpaceDE w:val="0"/>
      <w:autoSpaceDN w:val="0"/>
      <w:adjustRightInd w:val="0"/>
      <w:spacing w:before="156" w:beforeLines="50" w:line="360" w:lineRule="auto"/>
      <w:jc w:val="left"/>
      <w:outlineLvl w:val="8"/>
    </w:pPr>
    <w:rPr>
      <w:rFonts w:eastAsia="仿宋_GB2312"/>
      <w:sz w:val="24"/>
    </w:rPr>
  </w:style>
  <w:style w:type="paragraph" w:customStyle="1" w:styleId="85">
    <w:name w:val="样式 正文文本文本正文正文文字 Char Char Char Char + 居中 首行缩进:  0 厘米 段前: 6 磅"/>
    <w:basedOn w:val="2"/>
    <w:next w:val="1"/>
    <w:qFormat/>
    <w:uiPriority w:val="0"/>
    <w:pPr>
      <w:tabs>
        <w:tab w:val="center" w:pos="4153"/>
        <w:tab w:val="right" w:pos="8306"/>
      </w:tabs>
      <w:snapToGrid/>
      <w:spacing w:before="120"/>
      <w:jc w:val="center"/>
    </w:pPr>
    <w:rPr>
      <w:rFonts w:ascii="宋体" w:cs="宋体"/>
      <w:w w:val="90"/>
      <w:sz w:val="24"/>
      <w:szCs w:val="24"/>
    </w:rPr>
  </w:style>
  <w:style w:type="paragraph" w:customStyle="1" w:styleId="86">
    <w:name w:val="（报告）正文"/>
    <w:basedOn w:val="1"/>
    <w:qFormat/>
    <w:uiPriority w:val="0"/>
    <w:pPr>
      <w:adjustRightInd w:val="0"/>
      <w:spacing w:line="360" w:lineRule="auto"/>
      <w:ind w:firstLine="480" w:firstLineChars="200"/>
    </w:pPr>
    <w:rPr>
      <w:rFonts w:cs="宋体"/>
      <w:sz w:val="24"/>
      <w:szCs w:val="28"/>
    </w:rPr>
  </w:style>
  <w:style w:type="paragraph" w:customStyle="1" w:styleId="87">
    <w:name w:val="lgg文本"/>
    <w:basedOn w:val="1"/>
    <w:qFormat/>
    <w:uiPriority w:val="0"/>
    <w:pPr>
      <w:spacing w:line="360" w:lineRule="auto"/>
      <w:ind w:firstLine="480" w:firstLineChars="200"/>
    </w:pPr>
    <w:rPr>
      <w:sz w:val="24"/>
      <w:szCs w:val="24"/>
    </w:rPr>
  </w:style>
  <w:style w:type="paragraph" w:customStyle="1" w:styleId="88">
    <w:name w:val="cjk"/>
    <w:basedOn w:val="1"/>
    <w:qFormat/>
    <w:uiPriority w:val="0"/>
    <w:pPr>
      <w:jc w:val="left"/>
    </w:pPr>
    <w:rPr>
      <w:rFonts w:ascii="等线" w:hAnsi="等线" w:eastAsia="等线" w:cs="等线"/>
      <w:kern w:val="0"/>
      <w:sz w:val="20"/>
      <w:szCs w:val="20"/>
      <w:lang w:val="en-US" w:eastAsia="zh-CN" w:bidi="ar"/>
    </w:rPr>
  </w:style>
  <w:style w:type="character" w:customStyle="1" w:styleId="89">
    <w:name w:val="标题 1 Char"/>
    <w:basedOn w:val="23"/>
    <w:link w:val="4"/>
    <w:qFormat/>
    <w:uiPriority w:val="9"/>
    <w:rPr>
      <w:b/>
      <w:bCs/>
      <w:kern w:val="44"/>
      <w:sz w:val="36"/>
      <w:szCs w:val="44"/>
    </w:rPr>
  </w:style>
  <w:style w:type="paragraph" w:customStyle="1" w:styleId="90">
    <w:name w:val="!正文"/>
    <w:basedOn w:val="1"/>
    <w:qFormat/>
    <w:uiPriority w:val="0"/>
    <w:pPr>
      <w:ind w:firstLine="480"/>
    </w:pPr>
  </w:style>
  <w:style w:type="character" w:customStyle="1" w:styleId="91">
    <w:name w:val="font41"/>
    <w:basedOn w:val="23"/>
    <w:qFormat/>
    <w:uiPriority w:val="0"/>
    <w:rPr>
      <w:rFonts w:hint="eastAsia" w:ascii="宋体" w:hAnsi="宋体" w:eastAsia="宋体" w:cs="宋体"/>
      <w:color w:val="000000"/>
      <w:sz w:val="16"/>
      <w:szCs w:val="16"/>
      <w:u w:val="none"/>
    </w:rPr>
  </w:style>
  <w:style w:type="paragraph" w:customStyle="1" w:styleId="92">
    <w:name w:val="cucd-0"/>
    <w:qFormat/>
    <w:uiPriority w:val="0"/>
    <w:pPr>
      <w:spacing w:line="360"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93">
    <w:name w:val="图表标题"/>
    <w:basedOn w:val="71"/>
    <w:next w:val="1"/>
    <w:qFormat/>
    <w:uiPriority w:val="0"/>
    <w:pPr>
      <w:spacing w:before="50" w:beforeLines="50" w:line="240" w:lineRule="auto"/>
      <w:jc w:val="center"/>
    </w:pPr>
    <w:rPr>
      <w:b/>
      <w:sz w:val="21"/>
      <w:szCs w:val="21"/>
    </w:rPr>
  </w:style>
  <w:style w:type="paragraph" w:customStyle="1" w:styleId="94">
    <w:name w:val="正文(邵)"/>
    <w:basedOn w:val="1"/>
    <w:qFormat/>
    <w:uiPriority w:val="99"/>
    <w:pPr>
      <w:snapToGrid w:val="0"/>
      <w:ind w:firstLine="480"/>
    </w:pPr>
    <w:rPr>
      <w:sz w:val="24"/>
    </w:rPr>
  </w:style>
  <w:style w:type="paragraph" w:styleId="95">
    <w:name w:val="No Spacing"/>
    <w:qFormat/>
    <w:uiPriority w:val="1"/>
    <w:pPr>
      <w:widowControl w:val="0"/>
    </w:pPr>
    <w:rPr>
      <w:rFonts w:ascii="Times New Roman" w:hAnsi="Times New Roman" w:eastAsia="宋体" w:cs="Times New Roman"/>
      <w:kern w:val="2"/>
      <w:sz w:val="24"/>
      <w:szCs w:val="24"/>
      <w:lang w:val="en-US" w:eastAsia="zh-CN" w:bidi="ar-SA"/>
    </w:rPr>
  </w:style>
  <w:style w:type="paragraph" w:customStyle="1" w:styleId="96">
    <w:name w:val="样式 10 磅"/>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7">
    <w:name w:val="正本文字"/>
    <w:basedOn w:val="1"/>
    <w:qFormat/>
    <w:uiPriority w:val="0"/>
    <w:pPr>
      <w:snapToGrid w:val="0"/>
      <w:ind w:firstLine="200"/>
    </w:pPr>
    <w:rPr>
      <w:rFonts w:cs="宋体"/>
      <w:kern w:val="18"/>
      <w:sz w:val="24"/>
    </w:rPr>
  </w:style>
  <w:style w:type="paragraph" w:customStyle="1" w:styleId="98">
    <w:name w:val="WPSOffice手动目录 1"/>
    <w:qFormat/>
    <w:uiPriority w:val="0"/>
    <w:pPr>
      <w:ind w:leftChars="0"/>
    </w:pPr>
    <w:rPr>
      <w:rFonts w:ascii="Times New Roman" w:hAnsi="Times New Roman" w:eastAsia="宋体" w:cs="Times New Roman"/>
      <w:sz w:val="20"/>
      <w:szCs w:val="20"/>
    </w:rPr>
  </w:style>
  <w:style w:type="paragraph" w:customStyle="1" w:styleId="99">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25754</Words>
  <Characters>27927</Characters>
  <Lines>259</Lines>
  <Paragraphs>72</Paragraphs>
  <TotalTime>4</TotalTime>
  <ScaleCrop>false</ScaleCrop>
  <LinksUpToDate>false</LinksUpToDate>
  <CharactersWithSpaces>28569</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2021-04-13T00:35:00Z</dcterms:created>
  <dc:creator>Administrator</dc:creator>
  <cp:lastModifiedBy>仙人掌</cp:lastModifiedBy>
  <dcterms:modified xsi:type="dcterms:W3CDTF">2023-10-10T01:54:28Z</dcterms:modified>
  <dc:title>宜春市宜西福环保有限公司环境风险评估报告.doc</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2020-07-29T00:00:00Z</vt:filetime>
  </property>
  <property fmtid="{D5CDD505-2E9C-101B-9397-08002B2CF9AE}" pid="3" name="Creator">
    <vt:lpwstr>pdfFactory Pro www.fineprint.cn</vt:lpwstr>
  </property>
  <property fmtid="{D5CDD505-2E9C-101B-9397-08002B2CF9AE}" pid="4" name="LastSaved">
    <vt:filetime>2020-07-29T00:00:00Z</vt:filetime>
  </property>
  <property fmtid="{D5CDD505-2E9C-101B-9397-08002B2CF9AE}" pid="5" name="KSOProductBuildVer">
    <vt:lpwstr>2052-12.1.0.15374</vt:lpwstr>
  </property>
  <property fmtid="{D5CDD505-2E9C-101B-9397-08002B2CF9AE}" pid="6" name="ICV">
    <vt:lpwstr>5EE6B62AF9E2413C9EB2AF6C7BD11A6A_13</vt:lpwstr>
  </property>
</Properties>
</file>