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817" w:firstLineChars="568"/>
        <w:jc w:val="left"/>
        <w:rPr>
          <w:rFonts w:ascii="仿宋_GB2312" w:hAnsi="宋体" w:eastAsia="仿宋_GB2312"/>
          <w:sz w:val="32"/>
          <w:szCs w:val="32"/>
        </w:rPr>
      </w:pPr>
    </w:p>
    <w:p>
      <w:pPr>
        <w:spacing w:line="360" w:lineRule="auto"/>
        <w:rPr>
          <w:rFonts w:eastAsia="仿宋_GB2312"/>
          <w:sz w:val="28"/>
          <w:szCs w:val="28"/>
        </w:rPr>
      </w:pPr>
    </w:p>
    <w:p>
      <w:pPr>
        <w:spacing w:line="360" w:lineRule="auto"/>
      </w:pPr>
    </w:p>
    <w:p>
      <w:pPr>
        <w:pStyle w:val="38"/>
        <w:spacing w:line="360" w:lineRule="auto"/>
      </w:pPr>
    </w:p>
    <w:p>
      <w:pPr>
        <w:spacing w:line="360" w:lineRule="auto"/>
      </w:pPr>
    </w:p>
    <w:p>
      <w:pPr>
        <w:pStyle w:val="38"/>
        <w:spacing w:line="360" w:lineRule="auto"/>
      </w:pPr>
    </w:p>
    <w:p>
      <w:pPr>
        <w:pStyle w:val="38"/>
        <w:spacing w:line="360" w:lineRule="auto"/>
      </w:pPr>
    </w:p>
    <w:p>
      <w:pPr>
        <w:spacing w:line="360" w:lineRule="auto"/>
        <w:jc w:val="center"/>
        <w:rPr>
          <w:rFonts w:hint="eastAsia"/>
          <w:b/>
          <w:sz w:val="48"/>
          <w:szCs w:val="48"/>
          <w:lang w:eastAsia="zh-CN"/>
        </w:rPr>
      </w:pPr>
      <w:r>
        <w:rPr>
          <w:rFonts w:hint="eastAsia"/>
          <w:b/>
          <w:sz w:val="48"/>
          <w:szCs w:val="48"/>
          <w:lang w:eastAsia="zh-CN"/>
        </w:rPr>
        <w:t>宜春宇泽新能源有限公司</w:t>
      </w:r>
    </w:p>
    <w:p>
      <w:pPr>
        <w:spacing w:line="360" w:lineRule="auto"/>
        <w:jc w:val="center"/>
        <w:rPr>
          <w:b/>
          <w:sz w:val="48"/>
          <w:szCs w:val="48"/>
        </w:rPr>
      </w:pPr>
      <w:r>
        <w:rPr>
          <w:b/>
          <w:sz w:val="48"/>
          <w:szCs w:val="48"/>
        </w:rPr>
        <w:t>突发环境事件应急预案</w:t>
      </w:r>
    </w:p>
    <w:p>
      <w:pPr>
        <w:spacing w:line="360" w:lineRule="auto"/>
        <w:rPr>
          <w:rFonts w:eastAsia="仿宋_GB2312"/>
          <w:sz w:val="52"/>
          <w:szCs w:val="52"/>
        </w:rPr>
      </w:pPr>
    </w:p>
    <w:p>
      <w:pPr>
        <w:spacing w:line="360" w:lineRule="auto"/>
      </w:pPr>
    </w:p>
    <w:p>
      <w:pPr>
        <w:pStyle w:val="38"/>
        <w:spacing w:line="360" w:lineRule="auto"/>
      </w:pPr>
    </w:p>
    <w:p>
      <w:pPr>
        <w:pStyle w:val="38"/>
        <w:spacing w:line="360" w:lineRule="auto"/>
      </w:pPr>
    </w:p>
    <w:p>
      <w:pPr>
        <w:spacing w:line="360" w:lineRule="auto"/>
      </w:pPr>
    </w:p>
    <w:p>
      <w:pPr>
        <w:pStyle w:val="38"/>
        <w:spacing w:line="360" w:lineRule="auto"/>
      </w:pPr>
    </w:p>
    <w:p>
      <w:pPr>
        <w:spacing w:line="360" w:lineRule="auto"/>
      </w:pPr>
    </w:p>
    <w:p>
      <w:pPr>
        <w:spacing w:line="360" w:lineRule="auto"/>
        <w:rPr>
          <w:rFonts w:eastAsia="仿宋_GB2312"/>
          <w:sz w:val="52"/>
          <w:szCs w:val="52"/>
        </w:rPr>
      </w:pPr>
    </w:p>
    <w:p>
      <w:pPr>
        <w:spacing w:line="360" w:lineRule="auto"/>
        <w:ind w:firstLine="2579" w:firstLineChars="806"/>
        <w:rPr>
          <w:rFonts w:ascii="仿宋_GB2312" w:hAnsi="宋体" w:eastAsia="仿宋_GB2312"/>
          <w:sz w:val="32"/>
          <w:szCs w:val="32"/>
          <w:highlight w:val="yellow"/>
        </w:rPr>
      </w:pPr>
      <w:r>
        <w:rPr>
          <w:rFonts w:hint="eastAsia" w:ascii="仿宋_GB2312" w:hAnsi="宋体" w:eastAsia="仿宋_GB2312"/>
          <w:sz w:val="32"/>
          <w:szCs w:val="32"/>
        </w:rPr>
        <w:t>预案版本号：</w:t>
      </w:r>
      <w:r>
        <w:rPr>
          <w:rFonts w:hint="default" w:ascii="仿宋_GB2312" w:hAnsi="宋体" w:eastAsia="仿宋_GB2312"/>
          <w:sz w:val="32"/>
          <w:szCs w:val="32"/>
        </w:rPr>
        <w:t>(202</w:t>
      </w:r>
      <w:r>
        <w:rPr>
          <w:rFonts w:hint="eastAsia" w:ascii="仿宋_GB2312" w:hAnsi="宋体" w:eastAsia="仿宋_GB2312"/>
          <w:sz w:val="32"/>
          <w:szCs w:val="32"/>
          <w:lang w:val="en-US" w:eastAsia="zh-CN"/>
        </w:rPr>
        <w:t>3</w:t>
      </w:r>
      <w:r>
        <w:rPr>
          <w:rFonts w:hint="default" w:ascii="仿宋_GB2312" w:hAnsi="宋体" w:eastAsia="仿宋_GB2312"/>
          <w:sz w:val="32"/>
          <w:szCs w:val="32"/>
        </w:rPr>
        <w:t>)第一版</w:t>
      </w:r>
    </w:p>
    <w:p>
      <w:pPr>
        <w:spacing w:line="360" w:lineRule="auto"/>
        <w:ind w:firstLine="2579" w:firstLineChars="806"/>
        <w:rPr>
          <w:rFonts w:hint="default" w:ascii="仿宋_GB2312" w:hAnsi="宋体" w:eastAsia="仿宋_GB2312"/>
          <w:sz w:val="32"/>
          <w:szCs w:val="32"/>
          <w:lang w:val="en-US" w:eastAsia="zh-CN"/>
        </w:rPr>
      </w:pPr>
      <w:r>
        <w:rPr>
          <w:rFonts w:hint="eastAsia" w:ascii="仿宋_GB2312" w:hAnsi="宋体" w:eastAsia="仿宋_GB2312"/>
          <w:sz w:val="32"/>
          <w:szCs w:val="32"/>
        </w:rPr>
        <w:t>审      核：</w:t>
      </w:r>
      <w:r>
        <w:rPr>
          <w:rFonts w:hint="eastAsia" w:ascii="仿宋_GB2312" w:hAnsi="宋体" w:eastAsia="仿宋_GB2312"/>
          <w:sz w:val="32"/>
          <w:szCs w:val="32"/>
          <w:lang w:val="en-US" w:eastAsia="zh-CN"/>
        </w:rPr>
        <w:t>贺立超</w:t>
      </w:r>
    </w:p>
    <w:p>
      <w:pPr>
        <w:spacing w:line="360" w:lineRule="auto"/>
        <w:ind w:firstLine="2579" w:firstLineChars="806"/>
        <w:rPr>
          <w:rFonts w:hint="eastAsia" w:ascii="仿宋_GB2312" w:hAnsi="宋体" w:eastAsia="仿宋_GB2312"/>
          <w:sz w:val="32"/>
          <w:szCs w:val="32"/>
          <w:lang w:eastAsia="zh-CN"/>
        </w:rPr>
      </w:pPr>
      <w:r>
        <w:rPr>
          <w:rFonts w:hint="eastAsia" w:ascii="仿宋_GB2312" w:hAnsi="宋体" w:eastAsia="仿宋_GB2312"/>
          <w:sz w:val="32"/>
          <w:szCs w:val="32"/>
        </w:rPr>
        <w:t>批      准：</w:t>
      </w:r>
      <w:r>
        <w:rPr>
          <w:rFonts w:hint="eastAsia" w:ascii="仿宋_GB2312" w:hAnsi="宋体" w:eastAsia="仿宋_GB2312"/>
          <w:sz w:val="32"/>
          <w:szCs w:val="32"/>
          <w:lang w:eastAsia="zh-CN"/>
        </w:rPr>
        <w:t>邢立勋</w:t>
      </w:r>
    </w:p>
    <w:p>
      <w:pPr>
        <w:spacing w:line="360" w:lineRule="auto"/>
        <w:rPr>
          <w:rFonts w:ascii="仿宋_GB2312" w:hAnsi="宋体" w:eastAsia="仿宋_GB2312"/>
          <w:sz w:val="32"/>
          <w:szCs w:val="32"/>
        </w:rPr>
      </w:pPr>
    </w:p>
    <w:p>
      <w:pPr>
        <w:pStyle w:val="38"/>
      </w:pPr>
    </w:p>
    <w:p>
      <w:pPr>
        <w:spacing w:line="360" w:lineRule="auto"/>
        <w:rPr>
          <w:rFonts w:ascii="仿宋_GB2312" w:hAnsi="宋体" w:eastAsia="仿宋_GB2312"/>
          <w:sz w:val="32"/>
          <w:szCs w:val="32"/>
        </w:rPr>
      </w:pPr>
    </w:p>
    <w:p>
      <w:pPr>
        <w:spacing w:line="360" w:lineRule="auto"/>
        <w:jc w:val="center"/>
        <w:rPr>
          <w:rFonts w:hint="eastAsia" w:ascii="仿宋_GB2312" w:hAnsi="宋体" w:eastAsia="仿宋_GB2312"/>
          <w:sz w:val="32"/>
          <w:szCs w:val="32"/>
          <w:lang w:eastAsia="zh-CN"/>
        </w:rPr>
      </w:pPr>
      <w:r>
        <w:rPr>
          <w:rFonts w:hint="eastAsia" w:ascii="仿宋_GB2312" w:hAnsi="宋体" w:eastAsia="仿宋_GB2312"/>
          <w:sz w:val="32"/>
          <w:szCs w:val="32"/>
        </w:rPr>
        <w:t>编制单位：</w:t>
      </w:r>
      <w:r>
        <w:rPr>
          <w:rFonts w:hint="eastAsia" w:ascii="仿宋_GB2312" w:hAnsi="宋体" w:eastAsia="仿宋_GB2312"/>
          <w:sz w:val="32"/>
          <w:szCs w:val="32"/>
          <w:lang w:eastAsia="zh-CN"/>
        </w:rPr>
        <w:t>宜春宇泽新能源有限公司</w:t>
      </w:r>
    </w:p>
    <w:p>
      <w:pPr>
        <w:spacing w:line="360" w:lineRule="auto"/>
        <w:jc w:val="center"/>
        <w:rPr>
          <w:rFonts w:ascii="仿宋_GB2312" w:hAnsi="宋体" w:eastAsia="仿宋_GB2312"/>
          <w:sz w:val="32"/>
          <w:szCs w:val="32"/>
        </w:rPr>
      </w:pPr>
      <w:r>
        <w:rPr>
          <w:rFonts w:hint="eastAsia" w:ascii="仿宋_GB2312" w:hAnsi="宋体" w:eastAsia="仿宋_GB2312"/>
          <w:sz w:val="32"/>
          <w:szCs w:val="32"/>
        </w:rPr>
        <w:t>颁布日期：202</w:t>
      </w:r>
      <w:r>
        <w:rPr>
          <w:rFonts w:hint="eastAsia" w:ascii="仿宋_GB2312" w:hAnsi="宋体" w:eastAsia="仿宋_GB2312"/>
          <w:sz w:val="32"/>
          <w:szCs w:val="32"/>
          <w:lang w:val="en-US" w:eastAsia="zh-CN"/>
        </w:rPr>
        <w:t>3</w:t>
      </w:r>
      <w:r>
        <w:rPr>
          <w:rFonts w:hint="eastAsia" w:ascii="仿宋_GB2312" w:hAnsi="宋体" w:eastAsia="仿宋_GB2312"/>
          <w:sz w:val="32"/>
          <w:szCs w:val="32"/>
        </w:rPr>
        <w:t>年</w:t>
      </w:r>
      <w:r>
        <w:rPr>
          <w:rFonts w:hint="eastAsia" w:ascii="仿宋_GB2312" w:hAnsi="宋体" w:eastAsia="仿宋_GB2312"/>
          <w:sz w:val="32"/>
          <w:szCs w:val="32"/>
          <w:lang w:val="en-US" w:eastAsia="zh-CN"/>
        </w:rPr>
        <w:t>7</w:t>
      </w:r>
      <w:r>
        <w:rPr>
          <w:rFonts w:hint="eastAsia" w:ascii="仿宋_GB2312" w:hAnsi="宋体" w:eastAsia="仿宋_GB2312"/>
          <w:sz w:val="32"/>
          <w:szCs w:val="32"/>
        </w:rPr>
        <w:t>月</w:t>
      </w:r>
    </w:p>
    <w:p>
      <w:pPr>
        <w:adjustRightInd w:val="0"/>
        <w:snapToGrid w:val="0"/>
        <w:spacing w:line="360" w:lineRule="auto"/>
        <w:ind w:left="-359" w:leftChars="-171" w:right="-153" w:rightChars="-73"/>
        <w:jc w:val="center"/>
        <w:rPr>
          <w:rFonts w:ascii="仿宋_GB2312" w:eastAsia="仿宋_GB2312"/>
          <w:b/>
          <w:color w:val="000000"/>
          <w:sz w:val="32"/>
          <w:szCs w:val="32"/>
        </w:rPr>
      </w:pPr>
    </w:p>
    <w:p>
      <w:pPr>
        <w:tabs>
          <w:tab w:val="center" w:pos="4422"/>
        </w:tabs>
        <w:spacing w:line="360" w:lineRule="auto"/>
        <w:jc w:val="center"/>
        <w:rPr>
          <w:rFonts w:ascii="宋体" w:hAnsi="宋体"/>
          <w:sz w:val="48"/>
          <w:szCs w:val="48"/>
          <w:u w:val="thick"/>
        </w:rPr>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fmt="upperRoman" w:start="1"/>
          <w:cols w:space="425" w:num="1"/>
          <w:titlePg/>
          <w:docGrid w:type="linesAndChars" w:linePitch="312" w:charSpace="0"/>
        </w:sectPr>
      </w:pPr>
    </w:p>
    <w:p>
      <w:pPr>
        <w:tabs>
          <w:tab w:val="center" w:pos="4422"/>
        </w:tabs>
        <w:spacing w:line="360" w:lineRule="auto"/>
        <w:jc w:val="center"/>
        <w:rPr>
          <w:rFonts w:ascii="宋体" w:hAnsi="宋体"/>
          <w:sz w:val="48"/>
          <w:szCs w:val="48"/>
        </w:rPr>
      </w:pPr>
      <w:r>
        <w:rPr>
          <w:rFonts w:hint="eastAsia" w:ascii="宋体" w:hAnsi="宋体"/>
          <w:sz w:val="48"/>
          <w:szCs w:val="48"/>
        </w:rPr>
        <w:t>批 准 页</w:t>
      </w:r>
    </w:p>
    <w:p>
      <w:pPr>
        <w:spacing w:line="360" w:lineRule="auto"/>
        <w:ind w:right="201" w:rightChars="96"/>
        <w:jc w:val="center"/>
        <w:rPr>
          <w:sz w:val="24"/>
        </w:rPr>
      </w:pPr>
    </w:p>
    <w:p>
      <w:pPr>
        <w:spacing w:line="360" w:lineRule="auto"/>
        <w:ind w:firstLine="560" w:firstLineChars="200"/>
        <w:rPr>
          <w:rFonts w:ascii="宋体" w:hAnsi="宋体"/>
          <w:sz w:val="28"/>
          <w:szCs w:val="28"/>
        </w:rPr>
      </w:pPr>
      <w:r>
        <w:rPr>
          <w:rFonts w:ascii="宋体" w:hAnsi="宋体"/>
          <w:sz w:val="28"/>
          <w:szCs w:val="28"/>
        </w:rPr>
        <w:t>为贯彻落实《中华人民共和国环境保护法》、《企业事业单位突发环境事件应急预案备案管理办法(试行)》、《突发环境事件应急管理办法》等法律、法规有关规定，建立健全</w:t>
      </w:r>
      <w:r>
        <w:rPr>
          <w:rFonts w:hint="eastAsia" w:ascii="宋体" w:hAnsi="宋体"/>
          <w:sz w:val="28"/>
          <w:szCs w:val="28"/>
          <w:lang w:eastAsia="zh-CN"/>
        </w:rPr>
        <w:t>宜春宇泽新能源有限公司</w:t>
      </w:r>
      <w:r>
        <w:rPr>
          <w:rFonts w:ascii="宋体" w:hAnsi="宋体"/>
          <w:sz w:val="28"/>
          <w:szCs w:val="28"/>
        </w:rPr>
        <w:t>环境应急体系，确保</w:t>
      </w:r>
      <w:r>
        <w:rPr>
          <w:rFonts w:hint="eastAsia" w:ascii="宋体" w:hAnsi="宋体"/>
          <w:sz w:val="28"/>
          <w:szCs w:val="28"/>
          <w:lang w:eastAsia="zh-CN"/>
        </w:rPr>
        <w:t>宜春宇泽新能源有限公司</w:t>
      </w:r>
      <w:r>
        <w:rPr>
          <w:rFonts w:ascii="宋体" w:hAnsi="宋体"/>
          <w:sz w:val="28"/>
          <w:szCs w:val="28"/>
        </w:rPr>
        <w:t>在发生突发环境事件时，各项应急工作能够高效有序地快速启动，避免和最大限度地减轻突发环境事件对环境造成的损失和危害，结合</w:t>
      </w:r>
      <w:r>
        <w:rPr>
          <w:rFonts w:hint="eastAsia" w:ascii="宋体" w:hAnsi="宋体"/>
          <w:sz w:val="28"/>
          <w:szCs w:val="28"/>
          <w:lang w:eastAsia="zh-CN"/>
        </w:rPr>
        <w:t>宜春宇泽新能源有限公司</w:t>
      </w:r>
      <w:r>
        <w:rPr>
          <w:rFonts w:ascii="宋体" w:hAnsi="宋体"/>
          <w:sz w:val="28"/>
          <w:szCs w:val="28"/>
        </w:rPr>
        <w:t>实际情况，制定了《</w:t>
      </w:r>
      <w:r>
        <w:rPr>
          <w:rFonts w:hint="eastAsia" w:ascii="宋体" w:hAnsi="宋体"/>
          <w:sz w:val="28"/>
          <w:szCs w:val="28"/>
          <w:lang w:eastAsia="zh-CN"/>
        </w:rPr>
        <w:t>宜春宇泽新能源有限公司</w:t>
      </w:r>
      <w:r>
        <w:rPr>
          <w:rFonts w:ascii="宋体" w:hAnsi="宋体"/>
          <w:sz w:val="28"/>
          <w:szCs w:val="28"/>
        </w:rPr>
        <w:t>突发环境事件应急预案》。</w:t>
      </w:r>
    </w:p>
    <w:p>
      <w:pPr>
        <w:spacing w:line="360" w:lineRule="auto"/>
        <w:ind w:firstLine="560" w:firstLineChars="200"/>
        <w:rPr>
          <w:rFonts w:ascii="宋体" w:hAnsi="宋体"/>
          <w:sz w:val="28"/>
          <w:szCs w:val="28"/>
        </w:rPr>
      </w:pPr>
      <w:r>
        <w:rPr>
          <w:rFonts w:ascii="宋体" w:hAnsi="宋体"/>
          <w:sz w:val="28"/>
          <w:szCs w:val="28"/>
        </w:rPr>
        <w:t>本预案结合</w:t>
      </w:r>
      <w:r>
        <w:rPr>
          <w:rFonts w:hint="eastAsia" w:ascii="宋体" w:hAnsi="宋体"/>
          <w:sz w:val="28"/>
          <w:szCs w:val="28"/>
          <w:lang w:eastAsia="zh-CN"/>
        </w:rPr>
        <w:t>宜春宇泽新能源有限公司</w:t>
      </w:r>
      <w:r>
        <w:rPr>
          <w:rFonts w:ascii="宋体" w:hAnsi="宋体"/>
          <w:sz w:val="28"/>
          <w:szCs w:val="28"/>
        </w:rPr>
        <w:t>实际生产经营情况、存在的环境风险和区域环境特征进行编制，内容包含环境风险评估、突发环境事件应急组织机构和职责、预防与预警、应急响应、信息报送和后期处置等内容。</w:t>
      </w:r>
    </w:p>
    <w:p>
      <w:pPr>
        <w:spacing w:line="360" w:lineRule="auto"/>
        <w:ind w:firstLine="560" w:firstLineChars="200"/>
        <w:rPr>
          <w:rFonts w:ascii="宋体" w:hAnsi="宋体"/>
          <w:sz w:val="28"/>
          <w:szCs w:val="28"/>
        </w:rPr>
      </w:pPr>
      <w:r>
        <w:rPr>
          <w:rFonts w:ascii="宋体" w:hAnsi="宋体"/>
          <w:sz w:val="28"/>
          <w:szCs w:val="28"/>
        </w:rPr>
        <w:t>《</w:t>
      </w:r>
      <w:r>
        <w:rPr>
          <w:rFonts w:hint="eastAsia" w:ascii="宋体" w:hAnsi="宋体"/>
          <w:sz w:val="28"/>
          <w:szCs w:val="28"/>
          <w:lang w:eastAsia="zh-CN"/>
        </w:rPr>
        <w:t>宜春宇泽新能源有限公司</w:t>
      </w:r>
      <w:r>
        <w:rPr>
          <w:rFonts w:ascii="宋体" w:hAnsi="宋体"/>
          <w:sz w:val="28"/>
          <w:szCs w:val="28"/>
        </w:rPr>
        <w:t>突发环境事件应急预案》经</w:t>
      </w:r>
      <w:r>
        <w:rPr>
          <w:rFonts w:hint="eastAsia" w:ascii="宋体" w:hAnsi="宋体"/>
          <w:sz w:val="28"/>
          <w:szCs w:val="28"/>
          <w:lang w:eastAsia="zh-CN"/>
        </w:rPr>
        <w:t>宜春宇泽新能源有限公司</w:t>
      </w:r>
      <w:r>
        <w:rPr>
          <w:rFonts w:ascii="宋体" w:hAnsi="宋体"/>
          <w:sz w:val="28"/>
          <w:szCs w:val="28"/>
        </w:rPr>
        <w:t>突发环境事件应急救援指挥部审核通过，现正式发布。</w:t>
      </w:r>
    </w:p>
    <w:p>
      <w:pPr>
        <w:spacing w:line="360" w:lineRule="auto"/>
        <w:jc w:val="left"/>
        <w:rPr>
          <w:sz w:val="30"/>
          <w:szCs w:val="30"/>
        </w:rPr>
      </w:pPr>
    </w:p>
    <w:p>
      <w:pPr>
        <w:spacing w:line="360" w:lineRule="auto"/>
        <w:rPr>
          <w:sz w:val="30"/>
          <w:szCs w:val="30"/>
        </w:rPr>
      </w:pPr>
    </w:p>
    <w:p>
      <w:pPr>
        <w:spacing w:line="360" w:lineRule="auto"/>
        <w:rPr>
          <w:sz w:val="30"/>
          <w:szCs w:val="30"/>
        </w:rPr>
      </w:pPr>
    </w:p>
    <w:p>
      <w:pPr>
        <w:spacing w:line="360" w:lineRule="auto"/>
        <w:ind w:firstLine="560" w:firstLineChars="200"/>
        <w:jc w:val="center"/>
        <w:rPr>
          <w:rFonts w:hint="eastAsia" w:ascii="宋体" w:hAnsi="宋体" w:cs="Times New Roman"/>
          <w:sz w:val="28"/>
          <w:szCs w:val="28"/>
          <w:lang w:eastAsia="zh-CN"/>
        </w:rPr>
      </w:pPr>
      <w:r>
        <w:rPr>
          <w:rFonts w:hint="eastAsia" w:ascii="宋体" w:hAnsi="宋体" w:cs="Times New Roman"/>
          <w:sz w:val="28"/>
          <w:szCs w:val="28"/>
          <w:lang w:val="en-US" w:eastAsia="zh-CN"/>
        </w:rPr>
        <w:t xml:space="preserve"> </w:t>
      </w:r>
      <w:r>
        <w:rPr>
          <w:rFonts w:hint="eastAsia" w:ascii="宋体" w:hAnsi="宋体" w:cs="Times New Roman"/>
          <w:sz w:val="28"/>
          <w:szCs w:val="28"/>
          <w:lang w:eastAsia="zh-CN"/>
        </w:rPr>
        <w:t>宜春宇泽新能源有限公司</w:t>
      </w:r>
      <w:r>
        <w:rPr>
          <w:rFonts w:ascii="宋体" w:hAnsi="宋体" w:cs="Times New Roman"/>
          <w:sz w:val="28"/>
          <w:szCs w:val="28"/>
        </w:rPr>
        <w:t>总经理：</w:t>
      </w:r>
    </w:p>
    <w:p>
      <w:pPr>
        <w:spacing w:line="360" w:lineRule="auto"/>
        <w:ind w:firstLine="560" w:firstLineChars="200"/>
        <w:jc w:val="right"/>
        <w:rPr>
          <w:rFonts w:ascii="宋体" w:hAnsi="宋体" w:cs="Times New Roman"/>
          <w:sz w:val="28"/>
          <w:szCs w:val="28"/>
        </w:rPr>
        <w:sectPr>
          <w:headerReference r:id="rId8" w:type="first"/>
          <w:footerReference r:id="rId10" w:type="first"/>
          <w:footerReference r:id="rId9" w:type="default"/>
          <w:pgSz w:w="11906" w:h="16838"/>
          <w:pgMar w:top="1418" w:right="1418" w:bottom="1418" w:left="1418" w:header="851" w:footer="992" w:gutter="0"/>
          <w:pgNumType w:fmt="upperRoman" w:start="1"/>
          <w:cols w:space="425" w:num="1"/>
          <w:titlePg/>
          <w:docGrid w:type="linesAndChars" w:linePitch="312" w:charSpace="0"/>
        </w:sectPr>
      </w:pPr>
      <w:r>
        <w:rPr>
          <w:rFonts w:hint="eastAsia" w:ascii="宋体" w:hAnsi="宋体" w:cs="Times New Roman"/>
          <w:sz w:val="28"/>
          <w:szCs w:val="28"/>
        </w:rPr>
        <w:t>202</w:t>
      </w:r>
      <w:r>
        <w:rPr>
          <w:rFonts w:hint="eastAsia" w:ascii="宋体" w:hAnsi="宋体" w:cs="Times New Roman"/>
          <w:sz w:val="28"/>
          <w:szCs w:val="28"/>
          <w:lang w:val="en-US" w:eastAsia="zh-CN"/>
        </w:rPr>
        <w:t>3</w:t>
      </w:r>
      <w:r>
        <w:rPr>
          <w:rFonts w:hint="eastAsia" w:ascii="宋体" w:hAnsi="宋体" w:cs="Times New Roman"/>
          <w:sz w:val="28"/>
          <w:szCs w:val="28"/>
        </w:rPr>
        <w:t>年</w:t>
      </w:r>
      <w:r>
        <w:rPr>
          <w:rFonts w:hint="eastAsia" w:ascii="宋体" w:hAnsi="宋体" w:cs="Times New Roman"/>
          <w:sz w:val="28"/>
          <w:szCs w:val="28"/>
          <w:lang w:val="en-US" w:eastAsia="zh-CN"/>
        </w:rPr>
        <w:t>7</w:t>
      </w:r>
      <w:r>
        <w:rPr>
          <w:rFonts w:hint="eastAsia" w:ascii="宋体" w:hAnsi="宋体" w:cs="Times New Roman"/>
          <w:sz w:val="28"/>
          <w:szCs w:val="28"/>
        </w:rPr>
        <w:t>月</w:t>
      </w:r>
    </w:p>
    <w:p>
      <w:pPr>
        <w:pStyle w:val="4"/>
        <w:spacing w:before="120" w:after="0" w:line="360" w:lineRule="auto"/>
        <w:jc w:val="center"/>
      </w:pPr>
      <w:bookmarkStart w:id="0" w:name="_Toc46857499"/>
      <w:bookmarkStart w:id="1" w:name="_Toc1806"/>
      <w:bookmarkStart w:id="2" w:name="_Toc45742155"/>
      <w:bookmarkStart w:id="3" w:name="_Toc43202911"/>
      <w:bookmarkStart w:id="4" w:name="_Toc20371_WPSOffice_Level1"/>
      <w:bookmarkStart w:id="5" w:name="_Toc27447_WPSOffice_Level1"/>
      <w:bookmarkStart w:id="6" w:name="_Toc161808434"/>
      <w:bookmarkStart w:id="7" w:name="_Toc160532462"/>
      <w:bookmarkStart w:id="8" w:name="_Toc408502996"/>
      <w:r>
        <w:rPr>
          <w:rFonts w:hint="eastAsia"/>
        </w:rPr>
        <w:t>目录</w:t>
      </w:r>
      <w:bookmarkEnd w:id="0"/>
      <w:bookmarkEnd w:id="1"/>
      <w:bookmarkEnd w:id="2"/>
      <w:bookmarkEnd w:id="3"/>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TOC \o "1-2" \h \u </w:instrText>
      </w:r>
      <w:r>
        <w:rPr>
          <w:rFonts w:ascii="宋体" w:hAnsi="宋体" w:eastAsia="宋体" w:cs="宋体"/>
        </w:rPr>
        <w:fldChar w:fldCharType="separate"/>
      </w:r>
      <w:r>
        <w:rPr>
          <w:rFonts w:ascii="宋体" w:hAnsi="宋体" w:eastAsia="宋体" w:cs="宋体"/>
        </w:rPr>
        <w:fldChar w:fldCharType="begin"/>
      </w:r>
      <w:r>
        <w:rPr>
          <w:rFonts w:ascii="宋体" w:hAnsi="宋体" w:eastAsia="宋体" w:cs="宋体"/>
        </w:rPr>
        <w:instrText xml:space="preserve"> HYPERLINK \l _Toc1806 </w:instrText>
      </w:r>
      <w:r>
        <w:rPr>
          <w:rFonts w:ascii="宋体" w:hAnsi="宋体" w:eastAsia="宋体" w:cs="宋体"/>
        </w:rPr>
        <w:fldChar w:fldCharType="separate"/>
      </w:r>
      <w:r>
        <w:rPr>
          <w:rFonts w:hint="eastAsia"/>
        </w:rPr>
        <w:t>目录</w:t>
      </w:r>
      <w:r>
        <w:tab/>
      </w:r>
      <w:r>
        <w:fldChar w:fldCharType="begin"/>
      </w:r>
      <w:r>
        <w:instrText xml:space="preserve"> PAGEREF _Toc1806 \h </w:instrText>
      </w:r>
      <w:r>
        <w:fldChar w:fldCharType="separate"/>
      </w:r>
      <w:r>
        <w:t>1</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_Toc5687 </w:instrText>
      </w:r>
      <w:r>
        <w:rPr>
          <w:rFonts w:ascii="宋体" w:hAnsi="宋体" w:eastAsia="宋体" w:cs="宋体"/>
        </w:rPr>
        <w:fldChar w:fldCharType="separate"/>
      </w:r>
      <w:r>
        <w:t>第一</w:t>
      </w:r>
      <w:r>
        <w:rPr>
          <w:rFonts w:hint="eastAsia"/>
        </w:rPr>
        <w:t>章</w:t>
      </w:r>
      <w:r>
        <w:rPr>
          <w:rFonts w:hint="eastAsia"/>
          <w:lang w:val="en-US" w:eastAsia="zh-CN"/>
        </w:rPr>
        <w:t xml:space="preserve"> </w:t>
      </w:r>
      <w:r>
        <w:t>总则</w:t>
      </w:r>
      <w:r>
        <w:tab/>
      </w:r>
      <w:r>
        <w:fldChar w:fldCharType="begin"/>
      </w:r>
      <w:r>
        <w:instrText xml:space="preserve"> PAGEREF _Toc5687 \h </w:instrText>
      </w:r>
      <w:r>
        <w:fldChar w:fldCharType="separate"/>
      </w:r>
      <w:r>
        <w:t>1</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_Toc288 </w:instrText>
      </w:r>
      <w:r>
        <w:rPr>
          <w:rFonts w:ascii="宋体" w:hAnsi="宋体" w:eastAsia="宋体" w:cs="宋体"/>
        </w:rPr>
        <w:fldChar w:fldCharType="separate"/>
      </w:r>
      <w:r>
        <w:t>1.</w:t>
      </w:r>
      <w:r>
        <w:rPr>
          <w:rFonts w:hint="eastAsia"/>
        </w:rPr>
        <w:t>1</w:t>
      </w:r>
      <w:r>
        <w:t>编制目的</w:t>
      </w:r>
      <w:r>
        <w:tab/>
      </w:r>
      <w:r>
        <w:fldChar w:fldCharType="begin"/>
      </w:r>
      <w:r>
        <w:instrText xml:space="preserve"> PAGEREF _Toc288 \h </w:instrText>
      </w:r>
      <w:r>
        <w:fldChar w:fldCharType="separate"/>
      </w:r>
      <w:r>
        <w:t>1</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_Toc17898 </w:instrText>
      </w:r>
      <w:r>
        <w:rPr>
          <w:rFonts w:ascii="宋体" w:hAnsi="宋体" w:eastAsia="宋体" w:cs="宋体"/>
        </w:rPr>
        <w:fldChar w:fldCharType="separate"/>
      </w:r>
      <w:r>
        <w:t>1.</w:t>
      </w:r>
      <w:r>
        <w:rPr>
          <w:rFonts w:hint="eastAsia"/>
        </w:rPr>
        <w:t>2</w:t>
      </w:r>
      <w:r>
        <w:t>编制依据</w:t>
      </w:r>
      <w:r>
        <w:tab/>
      </w:r>
      <w:r>
        <w:fldChar w:fldCharType="begin"/>
      </w:r>
      <w:r>
        <w:instrText xml:space="preserve"> PAGEREF _Toc17898 \h </w:instrText>
      </w:r>
      <w:r>
        <w:fldChar w:fldCharType="separate"/>
      </w:r>
      <w:r>
        <w:t>1</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_Toc15087 </w:instrText>
      </w:r>
      <w:r>
        <w:rPr>
          <w:rFonts w:ascii="宋体" w:hAnsi="宋体" w:eastAsia="宋体" w:cs="宋体"/>
        </w:rPr>
        <w:fldChar w:fldCharType="separate"/>
      </w:r>
      <w:r>
        <w:rPr>
          <w:rFonts w:hint="eastAsia"/>
        </w:rPr>
        <w:t>1.3适用范围</w:t>
      </w:r>
      <w:r>
        <w:tab/>
      </w:r>
      <w:r>
        <w:fldChar w:fldCharType="begin"/>
      </w:r>
      <w:r>
        <w:instrText xml:space="preserve"> PAGEREF _Toc15087 \h </w:instrText>
      </w:r>
      <w:r>
        <w:fldChar w:fldCharType="separate"/>
      </w:r>
      <w:r>
        <w:t>3</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_Toc21989 </w:instrText>
      </w:r>
      <w:r>
        <w:rPr>
          <w:rFonts w:ascii="宋体" w:hAnsi="宋体" w:eastAsia="宋体" w:cs="宋体"/>
        </w:rPr>
        <w:fldChar w:fldCharType="separate"/>
      </w:r>
      <w:r>
        <w:rPr>
          <w:rFonts w:hint="eastAsia"/>
        </w:rPr>
        <w:t>1.4 应急预案编制程序和内容</w:t>
      </w:r>
      <w:r>
        <w:tab/>
      </w:r>
      <w:r>
        <w:fldChar w:fldCharType="begin"/>
      </w:r>
      <w:r>
        <w:instrText xml:space="preserve"> PAGEREF _Toc21989 \h </w:instrText>
      </w:r>
      <w:r>
        <w:fldChar w:fldCharType="separate"/>
      </w:r>
      <w:r>
        <w:t>4</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_Toc2656 </w:instrText>
      </w:r>
      <w:r>
        <w:rPr>
          <w:rFonts w:ascii="宋体" w:hAnsi="宋体" w:eastAsia="宋体" w:cs="宋体"/>
        </w:rPr>
        <w:fldChar w:fldCharType="separate"/>
      </w:r>
      <w:r>
        <w:t>1.</w:t>
      </w:r>
      <w:r>
        <w:rPr>
          <w:rFonts w:hint="eastAsia"/>
        </w:rPr>
        <w:t>5突发环境事件分级标准</w:t>
      </w:r>
      <w:r>
        <w:tab/>
      </w:r>
      <w:r>
        <w:fldChar w:fldCharType="begin"/>
      </w:r>
      <w:r>
        <w:instrText xml:space="preserve"> PAGEREF _Toc2656 \h </w:instrText>
      </w:r>
      <w:r>
        <w:fldChar w:fldCharType="separate"/>
      </w:r>
      <w:r>
        <w:t>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_Toc17032 </w:instrText>
      </w:r>
      <w:r>
        <w:rPr>
          <w:rFonts w:ascii="宋体" w:hAnsi="宋体" w:eastAsia="宋体" w:cs="宋体"/>
        </w:rPr>
        <w:fldChar w:fldCharType="separate"/>
      </w:r>
      <w:r>
        <w:t>1.</w:t>
      </w:r>
      <w:r>
        <w:rPr>
          <w:rFonts w:hint="eastAsia"/>
        </w:rPr>
        <w:t>6</w:t>
      </w:r>
      <w:r>
        <w:t>工作原则</w:t>
      </w:r>
      <w:r>
        <w:tab/>
      </w:r>
      <w:r>
        <w:fldChar w:fldCharType="begin"/>
      </w:r>
      <w:r>
        <w:instrText xml:space="preserve"> PAGEREF _Toc17032 \h </w:instrText>
      </w:r>
      <w:r>
        <w:fldChar w:fldCharType="separate"/>
      </w:r>
      <w:r>
        <w:t>6</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_Toc10297 </w:instrText>
      </w:r>
      <w:r>
        <w:rPr>
          <w:rFonts w:ascii="宋体" w:hAnsi="宋体" w:eastAsia="宋体" w:cs="宋体"/>
        </w:rPr>
        <w:fldChar w:fldCharType="separate"/>
      </w:r>
      <w:r>
        <w:t>1.</w:t>
      </w:r>
      <w:r>
        <w:rPr>
          <w:rFonts w:hint="eastAsia"/>
        </w:rPr>
        <w:t>7</w:t>
      </w:r>
      <w:r>
        <w:t>突发环境事件应急预案的启动</w:t>
      </w:r>
      <w:r>
        <w:tab/>
      </w:r>
      <w:r>
        <w:fldChar w:fldCharType="begin"/>
      </w:r>
      <w:r>
        <w:instrText xml:space="preserve"> PAGEREF _Toc10297 \h </w:instrText>
      </w:r>
      <w:r>
        <w:fldChar w:fldCharType="separate"/>
      </w:r>
      <w:r>
        <w:t>7</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_Toc24533 </w:instrText>
      </w:r>
      <w:r>
        <w:rPr>
          <w:rFonts w:ascii="宋体" w:hAnsi="宋体" w:eastAsia="宋体" w:cs="宋体"/>
        </w:rPr>
        <w:fldChar w:fldCharType="separate"/>
      </w:r>
      <w:r>
        <w:rPr>
          <w:rFonts w:hint="eastAsia"/>
        </w:rPr>
        <w:t>1.8 事故基本处置程序</w:t>
      </w:r>
      <w:r>
        <w:tab/>
      </w:r>
      <w:r>
        <w:fldChar w:fldCharType="begin"/>
      </w:r>
      <w:r>
        <w:instrText xml:space="preserve"> PAGEREF _Toc24533 \h </w:instrText>
      </w:r>
      <w:r>
        <w:fldChar w:fldCharType="separate"/>
      </w:r>
      <w:r>
        <w:t>7</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_Toc1383 </w:instrText>
      </w:r>
      <w:r>
        <w:rPr>
          <w:rFonts w:ascii="宋体" w:hAnsi="宋体" w:eastAsia="宋体" w:cs="宋体"/>
        </w:rPr>
        <w:fldChar w:fldCharType="separate"/>
      </w:r>
      <w:r>
        <w:rPr>
          <w:rFonts w:hint="default"/>
        </w:rPr>
        <w:t>1.</w:t>
      </w:r>
      <w:r>
        <w:rPr>
          <w:rFonts w:hint="eastAsia"/>
          <w:lang w:val="en-US" w:eastAsia="zh-CN"/>
        </w:rPr>
        <w:t>9</w:t>
      </w:r>
      <w:r>
        <w:rPr>
          <w:rFonts w:hint="default"/>
        </w:rPr>
        <w:t>应急预案体系</w:t>
      </w:r>
      <w:r>
        <w:tab/>
      </w:r>
      <w:r>
        <w:fldChar w:fldCharType="begin"/>
      </w:r>
      <w:r>
        <w:instrText xml:space="preserve"> PAGEREF _Toc1383 \h </w:instrText>
      </w:r>
      <w:r>
        <w:fldChar w:fldCharType="separate"/>
      </w:r>
      <w:r>
        <w:t>8</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_Toc23606 </w:instrText>
      </w:r>
      <w:r>
        <w:rPr>
          <w:rFonts w:ascii="宋体" w:hAnsi="宋体" w:eastAsia="宋体" w:cs="宋体"/>
        </w:rPr>
        <w:fldChar w:fldCharType="separate"/>
      </w:r>
      <w:r>
        <w:rPr>
          <w:rFonts w:hint="eastAsia"/>
          <w:lang w:val="en-US" w:eastAsia="zh-CN"/>
        </w:rPr>
        <w:t>第二章</w:t>
      </w:r>
      <w:r>
        <w:rPr>
          <w:rFonts w:hint="default"/>
          <w:lang w:val="en-US" w:eastAsia="zh-CN"/>
        </w:rPr>
        <w:t xml:space="preserve"> 公司的基本情况</w:t>
      </w:r>
      <w:r>
        <w:tab/>
      </w:r>
      <w:r>
        <w:fldChar w:fldCharType="begin"/>
      </w:r>
      <w:r>
        <w:instrText xml:space="preserve"> PAGEREF _Toc23606 \h </w:instrText>
      </w:r>
      <w:r>
        <w:fldChar w:fldCharType="separate"/>
      </w:r>
      <w:r>
        <w:t>10</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_Toc15144 </w:instrText>
      </w:r>
      <w:r>
        <w:rPr>
          <w:rFonts w:ascii="宋体" w:hAnsi="宋体" w:eastAsia="宋体" w:cs="宋体"/>
        </w:rPr>
        <w:fldChar w:fldCharType="separate"/>
      </w:r>
      <w:r>
        <w:rPr>
          <w:rFonts w:hint="default"/>
          <w:lang w:val="en-US" w:eastAsia="zh-CN"/>
        </w:rPr>
        <w:t>2.1 企</w:t>
      </w:r>
      <w:r>
        <w:rPr>
          <w:rFonts w:hint="eastAsia"/>
          <w:lang w:val="en-US" w:eastAsia="zh-CN"/>
        </w:rPr>
        <w:t>业基本信息</w:t>
      </w:r>
      <w:r>
        <w:tab/>
      </w:r>
      <w:r>
        <w:fldChar w:fldCharType="begin"/>
      </w:r>
      <w:r>
        <w:instrText xml:space="preserve"> PAGEREF _Toc15144 \h </w:instrText>
      </w:r>
      <w:r>
        <w:fldChar w:fldCharType="separate"/>
      </w:r>
      <w:r>
        <w:t>10</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_Toc1637 </w:instrText>
      </w:r>
      <w:r>
        <w:rPr>
          <w:rFonts w:ascii="宋体" w:hAnsi="宋体" w:eastAsia="宋体" w:cs="宋体"/>
        </w:rPr>
        <w:fldChar w:fldCharType="separate"/>
      </w:r>
      <w:r>
        <w:rPr>
          <w:rFonts w:hint="default"/>
          <w:lang w:val="en-US" w:eastAsia="zh-CN"/>
        </w:rPr>
        <w:t>2.</w:t>
      </w:r>
      <w:r>
        <w:rPr>
          <w:rFonts w:hint="eastAsia"/>
          <w:lang w:val="en-US" w:eastAsia="zh-CN"/>
        </w:rPr>
        <w:t>2</w:t>
      </w:r>
      <w:r>
        <w:rPr>
          <w:rFonts w:hint="default"/>
          <w:lang w:val="en-US" w:eastAsia="zh-CN"/>
        </w:rPr>
        <w:t xml:space="preserve"> 环境功能区划</w:t>
      </w:r>
      <w:r>
        <w:tab/>
      </w:r>
      <w:r>
        <w:fldChar w:fldCharType="begin"/>
      </w:r>
      <w:r>
        <w:instrText xml:space="preserve"> PAGEREF _Toc1637 \h </w:instrText>
      </w:r>
      <w:r>
        <w:fldChar w:fldCharType="separate"/>
      </w:r>
      <w:r>
        <w:t>13</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_Toc30180 </w:instrText>
      </w:r>
      <w:r>
        <w:rPr>
          <w:rFonts w:ascii="宋体" w:hAnsi="宋体" w:eastAsia="宋体" w:cs="宋体"/>
        </w:rPr>
        <w:fldChar w:fldCharType="separate"/>
      </w:r>
      <w:r>
        <w:rPr>
          <w:rFonts w:hint="default"/>
          <w:lang w:val="en-US" w:eastAsia="zh-CN"/>
        </w:rPr>
        <w:t>2.</w:t>
      </w:r>
      <w:r>
        <w:rPr>
          <w:rFonts w:hint="eastAsia"/>
          <w:lang w:val="en-US" w:eastAsia="zh-CN"/>
        </w:rPr>
        <w:t>3</w:t>
      </w:r>
      <w:r>
        <w:rPr>
          <w:rFonts w:hint="default"/>
          <w:lang w:val="en-US" w:eastAsia="zh-CN"/>
        </w:rPr>
        <w:t xml:space="preserve"> </w:t>
      </w:r>
      <w:r>
        <w:rPr>
          <w:rFonts w:hint="eastAsia"/>
          <w:lang w:val="en-US" w:eastAsia="zh-CN"/>
        </w:rPr>
        <w:t>自然环境概况</w:t>
      </w:r>
      <w:r>
        <w:tab/>
      </w:r>
      <w:r>
        <w:fldChar w:fldCharType="begin"/>
      </w:r>
      <w:r>
        <w:instrText xml:space="preserve"> PAGEREF _Toc30180 \h </w:instrText>
      </w:r>
      <w:r>
        <w:fldChar w:fldCharType="separate"/>
      </w:r>
      <w:r>
        <w:t>13</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_Toc22390 </w:instrText>
      </w:r>
      <w:r>
        <w:rPr>
          <w:rFonts w:ascii="宋体" w:hAnsi="宋体" w:eastAsia="宋体" w:cs="宋体"/>
        </w:rPr>
        <w:fldChar w:fldCharType="separate"/>
      </w:r>
      <w:r>
        <w:rPr>
          <w:rFonts w:hint="default"/>
          <w:lang w:val="en-US" w:eastAsia="zh-CN"/>
        </w:rPr>
        <w:t>2.</w:t>
      </w:r>
      <w:r>
        <w:rPr>
          <w:rFonts w:hint="eastAsia"/>
          <w:lang w:val="en-US" w:eastAsia="zh-CN"/>
        </w:rPr>
        <w:t>4</w:t>
      </w:r>
      <w:r>
        <w:rPr>
          <w:rFonts w:hint="default"/>
          <w:lang w:val="en-US" w:eastAsia="zh-CN"/>
        </w:rPr>
        <w:t xml:space="preserve"> 生产工艺</w:t>
      </w:r>
      <w:r>
        <w:tab/>
      </w:r>
      <w:r>
        <w:fldChar w:fldCharType="begin"/>
      </w:r>
      <w:r>
        <w:instrText xml:space="preserve"> PAGEREF _Toc22390 \h </w:instrText>
      </w:r>
      <w:r>
        <w:fldChar w:fldCharType="separate"/>
      </w:r>
      <w:r>
        <w:t>17</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_Toc2650 </w:instrText>
      </w:r>
      <w:r>
        <w:rPr>
          <w:rFonts w:ascii="宋体" w:hAnsi="宋体" w:eastAsia="宋体" w:cs="宋体"/>
        </w:rPr>
        <w:fldChar w:fldCharType="separate"/>
      </w:r>
      <w:r>
        <w:rPr>
          <w:rFonts w:hint="default"/>
          <w:lang w:val="en-US" w:eastAsia="zh-CN"/>
        </w:rPr>
        <w:t>2.</w:t>
      </w:r>
      <w:r>
        <w:rPr>
          <w:rFonts w:hint="eastAsia"/>
          <w:lang w:val="en-US" w:eastAsia="zh-CN"/>
        </w:rPr>
        <w:t>5</w:t>
      </w:r>
      <w:r>
        <w:rPr>
          <w:rFonts w:hint="default"/>
          <w:lang w:val="en-US" w:eastAsia="zh-CN"/>
        </w:rPr>
        <w:t xml:space="preserve"> 污染源分析</w:t>
      </w:r>
      <w:r>
        <w:tab/>
      </w:r>
      <w:r>
        <w:fldChar w:fldCharType="begin"/>
      </w:r>
      <w:r>
        <w:instrText xml:space="preserve"> PAGEREF _Toc2650 \h </w:instrText>
      </w:r>
      <w:r>
        <w:fldChar w:fldCharType="separate"/>
      </w:r>
      <w:r>
        <w:t>18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_Toc30041 </w:instrText>
      </w:r>
      <w:r>
        <w:rPr>
          <w:rFonts w:ascii="宋体" w:hAnsi="宋体" w:eastAsia="宋体" w:cs="宋体"/>
        </w:rPr>
        <w:fldChar w:fldCharType="separate"/>
      </w:r>
      <w:r>
        <w:rPr>
          <w:rFonts w:hint="eastAsia"/>
          <w:lang w:val="en-US" w:eastAsia="zh-CN"/>
        </w:rPr>
        <w:t>2.6 主要环境影响和保护措施</w:t>
      </w:r>
      <w:r>
        <w:tab/>
      </w:r>
      <w:r>
        <w:fldChar w:fldCharType="begin"/>
      </w:r>
      <w:r>
        <w:instrText xml:space="preserve"> PAGEREF _Toc30041 \h </w:instrText>
      </w:r>
      <w:r>
        <w:fldChar w:fldCharType="separate"/>
      </w:r>
      <w:r>
        <w:t>18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_Toc5204 </w:instrText>
      </w:r>
      <w:r>
        <w:rPr>
          <w:rFonts w:ascii="宋体" w:hAnsi="宋体" w:eastAsia="宋体" w:cs="宋体"/>
        </w:rPr>
        <w:fldChar w:fldCharType="separate"/>
      </w:r>
      <w:r>
        <w:rPr>
          <w:rFonts w:hint="eastAsia"/>
          <w:lang w:val="en-US" w:eastAsia="zh-CN"/>
        </w:rPr>
        <w:t>2.7</w:t>
      </w:r>
      <w:r>
        <w:rPr>
          <w:rFonts w:hint="default"/>
          <w:lang w:val="en-US" w:eastAsia="zh-CN"/>
        </w:rPr>
        <w:t>环境风险识别</w:t>
      </w:r>
      <w:r>
        <w:tab/>
      </w:r>
      <w:r>
        <w:fldChar w:fldCharType="begin"/>
      </w:r>
      <w:r>
        <w:instrText xml:space="preserve"> PAGEREF _Toc5204 \h </w:instrText>
      </w:r>
      <w:r>
        <w:fldChar w:fldCharType="separate"/>
      </w:r>
      <w:r>
        <w:t>19</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_Toc30573 </w:instrText>
      </w:r>
      <w:r>
        <w:rPr>
          <w:rFonts w:ascii="宋体" w:hAnsi="宋体" w:eastAsia="宋体" w:cs="宋体"/>
        </w:rPr>
        <w:fldChar w:fldCharType="separate"/>
      </w:r>
      <w:r>
        <w:t>第</w:t>
      </w:r>
      <w:r>
        <w:rPr>
          <w:rFonts w:hint="eastAsia"/>
          <w:lang w:val="en-US" w:eastAsia="zh-CN"/>
        </w:rPr>
        <w:t>三</w:t>
      </w:r>
      <w:r>
        <w:rPr>
          <w:rFonts w:hint="eastAsia"/>
        </w:rPr>
        <w:t>章</w:t>
      </w:r>
      <w:r>
        <w:rPr>
          <w:rFonts w:hint="eastAsia"/>
          <w:lang w:val="en-US" w:eastAsia="zh-CN"/>
        </w:rPr>
        <w:t xml:space="preserve"> </w:t>
      </w:r>
      <w:r>
        <w:rPr>
          <w:rFonts w:hint="eastAsia"/>
        </w:rPr>
        <w:t>组织机构与职责</w:t>
      </w:r>
      <w:r>
        <w:tab/>
      </w:r>
      <w:r>
        <w:fldChar w:fldCharType="begin"/>
      </w:r>
      <w:r>
        <w:instrText xml:space="preserve"> PAGEREF _Toc30573 \h </w:instrText>
      </w:r>
      <w:r>
        <w:fldChar w:fldCharType="separate"/>
      </w:r>
      <w:r>
        <w:t>22</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_Toc11827 </w:instrText>
      </w:r>
      <w:r>
        <w:rPr>
          <w:rFonts w:ascii="宋体" w:hAnsi="宋体" w:eastAsia="宋体" w:cs="宋体"/>
        </w:rPr>
        <w:fldChar w:fldCharType="separate"/>
      </w:r>
      <w:r>
        <w:rPr>
          <w:rFonts w:hint="eastAsia"/>
          <w:lang w:val="en-US" w:eastAsia="zh-CN"/>
        </w:rPr>
        <w:t>3</w:t>
      </w:r>
      <w:r>
        <w:rPr>
          <w:rFonts w:hint="eastAsia"/>
        </w:rPr>
        <w:t>.1企业应急组织体系</w:t>
      </w:r>
      <w:r>
        <w:tab/>
      </w:r>
      <w:r>
        <w:fldChar w:fldCharType="begin"/>
      </w:r>
      <w:r>
        <w:instrText xml:space="preserve"> PAGEREF _Toc11827 \h </w:instrText>
      </w:r>
      <w:r>
        <w:fldChar w:fldCharType="separate"/>
      </w:r>
      <w:r>
        <w:t>22</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_Toc18719 </w:instrText>
      </w:r>
      <w:r>
        <w:rPr>
          <w:rFonts w:ascii="宋体" w:hAnsi="宋体" w:eastAsia="宋体" w:cs="宋体"/>
        </w:rPr>
        <w:fldChar w:fldCharType="separate"/>
      </w:r>
      <w:r>
        <w:rPr>
          <w:rFonts w:hint="eastAsia"/>
          <w:lang w:val="en-US" w:eastAsia="zh-CN"/>
        </w:rPr>
        <w:t>3</w:t>
      </w:r>
      <w:r>
        <w:rPr>
          <w:rFonts w:hint="eastAsia"/>
        </w:rPr>
        <w:t>.2指挥部与应急小组职责</w:t>
      </w:r>
      <w:r>
        <w:tab/>
      </w:r>
      <w:r>
        <w:fldChar w:fldCharType="begin"/>
      </w:r>
      <w:r>
        <w:instrText xml:space="preserve"> PAGEREF _Toc18719 \h </w:instrText>
      </w:r>
      <w:r>
        <w:fldChar w:fldCharType="separate"/>
      </w:r>
      <w:r>
        <w:t>23</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_Toc23636 </w:instrText>
      </w:r>
      <w:r>
        <w:rPr>
          <w:rFonts w:ascii="宋体" w:hAnsi="宋体" w:eastAsia="宋体" w:cs="宋体"/>
        </w:rPr>
        <w:fldChar w:fldCharType="separate"/>
      </w:r>
      <w:r>
        <w:rPr>
          <w:rFonts w:hint="eastAsia"/>
          <w:lang w:val="en-US" w:eastAsia="zh-CN"/>
        </w:rPr>
        <w:t>3</w:t>
      </w:r>
      <w:r>
        <w:rPr>
          <w:rFonts w:hint="eastAsia"/>
        </w:rPr>
        <w:t>.3其他制度</w:t>
      </w:r>
      <w:r>
        <w:tab/>
      </w:r>
      <w:r>
        <w:fldChar w:fldCharType="begin"/>
      </w:r>
      <w:r>
        <w:instrText xml:space="preserve"> PAGEREF _Toc23636 \h </w:instrText>
      </w:r>
      <w:r>
        <w:fldChar w:fldCharType="separate"/>
      </w:r>
      <w:r>
        <w:t>26</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_Toc20919 </w:instrText>
      </w:r>
      <w:r>
        <w:rPr>
          <w:rFonts w:ascii="宋体" w:hAnsi="宋体" w:eastAsia="宋体" w:cs="宋体"/>
        </w:rPr>
        <w:fldChar w:fldCharType="separate"/>
      </w:r>
      <w:r>
        <w:rPr>
          <w:rFonts w:hint="eastAsia"/>
        </w:rPr>
        <w:t>第</w:t>
      </w:r>
      <w:r>
        <w:rPr>
          <w:rFonts w:hint="eastAsia"/>
          <w:lang w:val="en-US" w:eastAsia="zh-CN"/>
        </w:rPr>
        <w:t>四</w:t>
      </w:r>
      <w:r>
        <w:rPr>
          <w:rFonts w:hint="eastAsia"/>
        </w:rPr>
        <w:t>章</w:t>
      </w:r>
      <w:r>
        <w:rPr>
          <w:rFonts w:hint="eastAsia"/>
          <w:lang w:val="en-US" w:eastAsia="zh-CN"/>
        </w:rPr>
        <w:t xml:space="preserve"> </w:t>
      </w:r>
      <w:r>
        <w:rPr>
          <w:rFonts w:hint="eastAsia"/>
        </w:rPr>
        <w:t>预防与预警</w:t>
      </w:r>
      <w:r>
        <w:tab/>
      </w:r>
      <w:r>
        <w:fldChar w:fldCharType="begin"/>
      </w:r>
      <w:r>
        <w:instrText xml:space="preserve"> PAGEREF _Toc20919 \h </w:instrText>
      </w:r>
      <w:r>
        <w:fldChar w:fldCharType="separate"/>
      </w:r>
      <w:r>
        <w:t>28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_Toc5047 </w:instrText>
      </w:r>
      <w:r>
        <w:rPr>
          <w:rFonts w:ascii="宋体" w:hAnsi="宋体" w:eastAsia="宋体" w:cs="宋体"/>
        </w:rPr>
        <w:fldChar w:fldCharType="separate"/>
      </w:r>
      <w:r>
        <w:rPr>
          <w:rFonts w:hint="eastAsia"/>
          <w:lang w:val="en-US" w:eastAsia="zh-CN"/>
        </w:rPr>
        <w:t>4</w:t>
      </w:r>
      <w:r>
        <w:rPr>
          <w:rFonts w:hint="eastAsia"/>
        </w:rPr>
        <w:t>.1建立健全预案体系</w:t>
      </w:r>
      <w:r>
        <w:tab/>
      </w:r>
      <w:r>
        <w:fldChar w:fldCharType="begin"/>
      </w:r>
      <w:r>
        <w:instrText xml:space="preserve"> PAGEREF _Toc5047 \h </w:instrText>
      </w:r>
      <w:r>
        <w:fldChar w:fldCharType="separate"/>
      </w:r>
      <w:r>
        <w:t>28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_Toc6571 </w:instrText>
      </w:r>
      <w:r>
        <w:rPr>
          <w:rFonts w:ascii="宋体" w:hAnsi="宋体" w:eastAsia="宋体" w:cs="宋体"/>
        </w:rPr>
        <w:fldChar w:fldCharType="separate"/>
      </w:r>
      <w:r>
        <w:rPr>
          <w:rFonts w:hint="eastAsia"/>
          <w:lang w:val="en-US" w:eastAsia="zh-CN"/>
        </w:rPr>
        <w:t>4</w:t>
      </w:r>
      <w:r>
        <w:t>.</w:t>
      </w:r>
      <w:r>
        <w:rPr>
          <w:rFonts w:hint="eastAsia"/>
        </w:rPr>
        <w:t>2环境危险源监控</w:t>
      </w:r>
      <w:r>
        <w:tab/>
      </w:r>
      <w:r>
        <w:fldChar w:fldCharType="begin"/>
      </w:r>
      <w:r>
        <w:instrText xml:space="preserve"> PAGEREF _Toc6571 \h </w:instrText>
      </w:r>
      <w:r>
        <w:fldChar w:fldCharType="separate"/>
      </w:r>
      <w:r>
        <w:t>28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_Toc19625 </w:instrText>
      </w:r>
      <w:r>
        <w:rPr>
          <w:rFonts w:ascii="宋体" w:hAnsi="宋体" w:eastAsia="宋体" w:cs="宋体"/>
        </w:rPr>
        <w:fldChar w:fldCharType="separate"/>
      </w:r>
      <w:r>
        <w:rPr>
          <w:rFonts w:hint="eastAsia"/>
          <w:lang w:val="en-US" w:eastAsia="zh-CN"/>
        </w:rPr>
        <w:t>4</w:t>
      </w:r>
      <w:r>
        <w:t>.</w:t>
      </w:r>
      <w:r>
        <w:rPr>
          <w:rFonts w:hint="eastAsia"/>
        </w:rPr>
        <w:t>3</w:t>
      </w:r>
      <w:r>
        <w:t>事故预防措施</w:t>
      </w:r>
      <w:r>
        <w:tab/>
      </w:r>
      <w:r>
        <w:fldChar w:fldCharType="begin"/>
      </w:r>
      <w:r>
        <w:instrText xml:space="preserve"> PAGEREF _Toc19625 \h </w:instrText>
      </w:r>
      <w:r>
        <w:fldChar w:fldCharType="separate"/>
      </w:r>
      <w:r>
        <w:t>28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_Toc11028 </w:instrText>
      </w:r>
      <w:r>
        <w:rPr>
          <w:rFonts w:ascii="宋体" w:hAnsi="宋体" w:eastAsia="宋体" w:cs="宋体"/>
        </w:rPr>
        <w:fldChar w:fldCharType="separate"/>
      </w:r>
      <w:r>
        <w:rPr>
          <w:rFonts w:hint="eastAsia"/>
          <w:lang w:val="en-US" w:eastAsia="zh-CN"/>
        </w:rPr>
        <w:t>4</w:t>
      </w:r>
      <w:r>
        <w:rPr>
          <w:rFonts w:hint="eastAsia"/>
        </w:rPr>
        <w:t>.4预警</w:t>
      </w:r>
      <w:r>
        <w:tab/>
      </w:r>
      <w:r>
        <w:fldChar w:fldCharType="begin"/>
      </w:r>
      <w:r>
        <w:instrText xml:space="preserve"> PAGEREF _Toc11028 \h </w:instrText>
      </w:r>
      <w:r>
        <w:fldChar w:fldCharType="separate"/>
      </w:r>
      <w:r>
        <w:t>30</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_Toc6097 </w:instrText>
      </w:r>
      <w:r>
        <w:rPr>
          <w:rFonts w:ascii="宋体" w:hAnsi="宋体" w:eastAsia="宋体" w:cs="宋体"/>
        </w:rPr>
        <w:fldChar w:fldCharType="separate"/>
      </w:r>
      <w:r>
        <w:rPr>
          <w:rFonts w:hint="eastAsia"/>
        </w:rPr>
        <w:t>第</w:t>
      </w:r>
      <w:r>
        <w:rPr>
          <w:rFonts w:hint="eastAsia"/>
          <w:lang w:val="en-US" w:eastAsia="zh-CN"/>
        </w:rPr>
        <w:t>五</w:t>
      </w:r>
      <w:r>
        <w:rPr>
          <w:rFonts w:hint="eastAsia"/>
        </w:rPr>
        <w:t>章</w:t>
      </w:r>
      <w:r>
        <w:rPr>
          <w:rFonts w:hint="eastAsia"/>
          <w:lang w:val="en-US" w:eastAsia="zh-CN"/>
        </w:rPr>
        <w:t xml:space="preserve"> </w:t>
      </w:r>
      <w:r>
        <w:rPr>
          <w:rFonts w:hint="eastAsia"/>
        </w:rPr>
        <w:t>应急响应</w:t>
      </w:r>
      <w:r>
        <w:tab/>
      </w:r>
      <w:r>
        <w:fldChar w:fldCharType="begin"/>
      </w:r>
      <w:r>
        <w:instrText xml:space="preserve"> PAGEREF _Toc6097 \h </w:instrText>
      </w:r>
      <w:r>
        <w:fldChar w:fldCharType="separate"/>
      </w:r>
      <w:r>
        <w:t>32</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_Toc12047 </w:instrText>
      </w:r>
      <w:r>
        <w:rPr>
          <w:rFonts w:ascii="宋体" w:hAnsi="宋体" w:eastAsia="宋体" w:cs="宋体"/>
        </w:rPr>
        <w:fldChar w:fldCharType="separate"/>
      </w:r>
      <w:r>
        <w:rPr>
          <w:rFonts w:hint="eastAsia"/>
          <w:lang w:val="en-US" w:eastAsia="zh-CN"/>
        </w:rPr>
        <w:t>5</w:t>
      </w:r>
      <w:r>
        <w:rPr>
          <w:rFonts w:hint="eastAsia"/>
        </w:rPr>
        <w:t>.1应急响应流程</w:t>
      </w:r>
      <w:r>
        <w:tab/>
      </w:r>
      <w:r>
        <w:fldChar w:fldCharType="begin"/>
      </w:r>
      <w:r>
        <w:instrText xml:space="preserve"> PAGEREF _Toc12047 \h </w:instrText>
      </w:r>
      <w:r>
        <w:fldChar w:fldCharType="separate"/>
      </w:r>
      <w:r>
        <w:t>32</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_Toc12455 </w:instrText>
      </w:r>
      <w:r>
        <w:rPr>
          <w:rFonts w:ascii="宋体" w:hAnsi="宋体" w:eastAsia="宋体" w:cs="宋体"/>
        </w:rPr>
        <w:fldChar w:fldCharType="separate"/>
      </w:r>
      <w:r>
        <w:rPr>
          <w:rFonts w:hint="eastAsia"/>
          <w:lang w:val="en-US" w:eastAsia="zh-CN"/>
        </w:rPr>
        <w:t>5</w:t>
      </w:r>
      <w:r>
        <w:rPr>
          <w:rFonts w:hint="eastAsia"/>
        </w:rPr>
        <w:t>.2 应急分级响应机制</w:t>
      </w:r>
      <w:r>
        <w:tab/>
      </w:r>
      <w:r>
        <w:fldChar w:fldCharType="begin"/>
      </w:r>
      <w:r>
        <w:instrText xml:space="preserve"> PAGEREF _Toc12455 \h </w:instrText>
      </w:r>
      <w:r>
        <w:fldChar w:fldCharType="separate"/>
      </w:r>
      <w:r>
        <w:t>32</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_Toc30420 </w:instrText>
      </w:r>
      <w:r>
        <w:rPr>
          <w:rFonts w:ascii="宋体" w:hAnsi="宋体" w:eastAsia="宋体" w:cs="宋体"/>
        </w:rPr>
        <w:fldChar w:fldCharType="separate"/>
      </w:r>
      <w:r>
        <w:rPr>
          <w:rFonts w:hint="eastAsia"/>
          <w:lang w:val="en-US" w:eastAsia="zh-CN"/>
        </w:rPr>
        <w:t>5</w:t>
      </w:r>
      <w:r>
        <w:rPr>
          <w:rFonts w:hint="eastAsia"/>
        </w:rPr>
        <w:t>.3 启动条件</w:t>
      </w:r>
      <w:r>
        <w:tab/>
      </w:r>
      <w:r>
        <w:fldChar w:fldCharType="begin"/>
      </w:r>
      <w:r>
        <w:instrText xml:space="preserve"> PAGEREF _Toc30420 \h </w:instrText>
      </w:r>
      <w:r>
        <w:fldChar w:fldCharType="separate"/>
      </w:r>
      <w:r>
        <w:t>35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_Toc8349 </w:instrText>
      </w:r>
      <w:r>
        <w:rPr>
          <w:rFonts w:ascii="宋体" w:hAnsi="宋体" w:eastAsia="宋体" w:cs="宋体"/>
        </w:rPr>
        <w:fldChar w:fldCharType="separate"/>
      </w:r>
      <w:r>
        <w:rPr>
          <w:rFonts w:hint="eastAsia"/>
          <w:lang w:val="en-US" w:eastAsia="zh-CN"/>
        </w:rPr>
        <w:t>5</w:t>
      </w:r>
      <w:r>
        <w:rPr>
          <w:rFonts w:hint="eastAsia"/>
        </w:rPr>
        <w:t>.4信息报告与通报</w:t>
      </w:r>
      <w:r>
        <w:tab/>
      </w:r>
      <w:r>
        <w:fldChar w:fldCharType="begin"/>
      </w:r>
      <w:r>
        <w:instrText xml:space="preserve"> PAGEREF _Toc8349 \h </w:instrText>
      </w:r>
      <w:r>
        <w:fldChar w:fldCharType="separate"/>
      </w:r>
      <w:r>
        <w:t>35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_Toc22211 </w:instrText>
      </w:r>
      <w:r>
        <w:rPr>
          <w:rFonts w:ascii="宋体" w:hAnsi="宋体" w:eastAsia="宋体" w:cs="宋体"/>
        </w:rPr>
        <w:fldChar w:fldCharType="separate"/>
      </w:r>
      <w:r>
        <w:rPr>
          <w:rFonts w:hint="eastAsia"/>
          <w:lang w:val="en-US" w:eastAsia="zh-CN"/>
        </w:rPr>
        <w:t>5</w:t>
      </w:r>
      <w:r>
        <w:rPr>
          <w:rFonts w:hint="eastAsia"/>
        </w:rPr>
        <w:t>.5 应急准备</w:t>
      </w:r>
      <w:r>
        <w:tab/>
      </w:r>
      <w:r>
        <w:fldChar w:fldCharType="begin"/>
      </w:r>
      <w:r>
        <w:instrText xml:space="preserve"> PAGEREF _Toc22211 \h </w:instrText>
      </w:r>
      <w:r>
        <w:fldChar w:fldCharType="separate"/>
      </w:r>
      <w:r>
        <w:t>37</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_Toc24699 </w:instrText>
      </w:r>
      <w:r>
        <w:rPr>
          <w:rFonts w:ascii="宋体" w:hAnsi="宋体" w:eastAsia="宋体" w:cs="宋体"/>
        </w:rPr>
        <w:fldChar w:fldCharType="separate"/>
      </w:r>
      <w:r>
        <w:rPr>
          <w:rFonts w:hint="eastAsia"/>
          <w:lang w:val="en-US" w:eastAsia="zh-CN"/>
        </w:rPr>
        <w:t>5</w:t>
      </w:r>
      <w:r>
        <w:rPr>
          <w:rFonts w:hint="eastAsia"/>
        </w:rPr>
        <w:t>.6 现场应急措施</w:t>
      </w:r>
      <w:r>
        <w:tab/>
      </w:r>
      <w:r>
        <w:fldChar w:fldCharType="begin"/>
      </w:r>
      <w:r>
        <w:instrText xml:space="preserve"> PAGEREF _Toc24699 \h </w:instrText>
      </w:r>
      <w:r>
        <w:fldChar w:fldCharType="separate"/>
      </w:r>
      <w:r>
        <w:t>38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_Toc10949 </w:instrText>
      </w:r>
      <w:r>
        <w:rPr>
          <w:rFonts w:ascii="宋体" w:hAnsi="宋体" w:eastAsia="宋体" w:cs="宋体"/>
        </w:rPr>
        <w:fldChar w:fldCharType="separate"/>
      </w:r>
      <w:r>
        <w:rPr>
          <w:rFonts w:hint="eastAsia"/>
          <w:lang w:val="en-US" w:eastAsia="zh-CN"/>
        </w:rPr>
        <w:t>5</w:t>
      </w:r>
      <w:r>
        <w:rPr>
          <w:rFonts w:hint="eastAsia"/>
        </w:rPr>
        <w:t>.7 人员紧急撤离和疏散</w:t>
      </w:r>
      <w:r>
        <w:tab/>
      </w:r>
      <w:r>
        <w:fldChar w:fldCharType="begin"/>
      </w:r>
      <w:r>
        <w:instrText xml:space="preserve"> PAGEREF _Toc10949 \h </w:instrText>
      </w:r>
      <w:r>
        <w:fldChar w:fldCharType="separate"/>
      </w:r>
      <w:r>
        <w:t>44</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_Toc4547 </w:instrText>
      </w:r>
      <w:r>
        <w:rPr>
          <w:rFonts w:ascii="宋体" w:hAnsi="宋体" w:eastAsia="宋体" w:cs="宋体"/>
        </w:rPr>
        <w:fldChar w:fldCharType="separate"/>
      </w:r>
      <w:r>
        <w:rPr>
          <w:rFonts w:hint="eastAsia"/>
          <w:lang w:val="en-US" w:eastAsia="zh-CN"/>
        </w:rPr>
        <w:t>5</w:t>
      </w:r>
      <w:r>
        <w:rPr>
          <w:rFonts w:hint="eastAsia"/>
        </w:rPr>
        <w:t>.8现场救援、防护措施</w:t>
      </w:r>
      <w:r>
        <w:tab/>
      </w:r>
      <w:r>
        <w:fldChar w:fldCharType="begin"/>
      </w:r>
      <w:r>
        <w:instrText xml:space="preserve"> PAGEREF _Toc4547 \h </w:instrText>
      </w:r>
      <w:r>
        <w:fldChar w:fldCharType="separate"/>
      </w:r>
      <w:r>
        <w:t>45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_Toc22182 </w:instrText>
      </w:r>
      <w:r>
        <w:rPr>
          <w:rFonts w:ascii="宋体" w:hAnsi="宋体" w:eastAsia="宋体" w:cs="宋体"/>
        </w:rPr>
        <w:fldChar w:fldCharType="separate"/>
      </w:r>
      <w:r>
        <w:rPr>
          <w:rFonts w:hint="eastAsia"/>
          <w:lang w:val="en-US" w:eastAsia="zh-CN"/>
        </w:rPr>
        <w:t>5</w:t>
      </w:r>
      <w:r>
        <w:rPr>
          <w:rFonts w:hint="eastAsia"/>
        </w:rPr>
        <w:t>.9应急监测</w:t>
      </w:r>
      <w:r>
        <w:tab/>
      </w:r>
      <w:r>
        <w:fldChar w:fldCharType="begin"/>
      </w:r>
      <w:r>
        <w:instrText xml:space="preserve"> PAGEREF _Toc22182 \h </w:instrText>
      </w:r>
      <w:r>
        <w:fldChar w:fldCharType="separate"/>
      </w:r>
      <w:r>
        <w:t>46</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_Toc30746 </w:instrText>
      </w:r>
      <w:r>
        <w:rPr>
          <w:rFonts w:ascii="宋体" w:hAnsi="宋体" w:eastAsia="宋体" w:cs="宋体"/>
        </w:rPr>
        <w:fldChar w:fldCharType="separate"/>
      </w:r>
      <w:r>
        <w:rPr>
          <w:rFonts w:hint="eastAsia"/>
          <w:lang w:val="en-US" w:eastAsia="zh-CN"/>
        </w:rPr>
        <w:t>5</w:t>
      </w:r>
      <w:r>
        <w:rPr>
          <w:rFonts w:hint="eastAsia"/>
        </w:rPr>
        <w:t>.10现场洗消</w:t>
      </w:r>
      <w:r>
        <w:tab/>
      </w:r>
      <w:r>
        <w:fldChar w:fldCharType="begin"/>
      </w:r>
      <w:r>
        <w:instrText xml:space="preserve"> PAGEREF _Toc30746 \h </w:instrText>
      </w:r>
      <w:r>
        <w:fldChar w:fldCharType="separate"/>
      </w:r>
      <w:r>
        <w:t>48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_Toc27223 </w:instrText>
      </w:r>
      <w:r>
        <w:rPr>
          <w:rFonts w:ascii="宋体" w:hAnsi="宋体" w:eastAsia="宋体" w:cs="宋体"/>
        </w:rPr>
        <w:fldChar w:fldCharType="separate"/>
      </w:r>
      <w:r>
        <w:rPr>
          <w:rFonts w:hint="eastAsia"/>
          <w:lang w:val="en-US" w:eastAsia="zh-CN"/>
        </w:rPr>
        <w:t>5</w:t>
      </w:r>
      <w:r>
        <w:rPr>
          <w:rFonts w:hint="eastAsia"/>
        </w:rPr>
        <w:t>.11</w:t>
      </w:r>
      <w:r>
        <w:t>次生灾害防范</w:t>
      </w:r>
      <w:r>
        <w:tab/>
      </w:r>
      <w:r>
        <w:fldChar w:fldCharType="begin"/>
      </w:r>
      <w:r>
        <w:instrText xml:space="preserve"> PAGEREF _Toc27223 \h </w:instrText>
      </w:r>
      <w:r>
        <w:fldChar w:fldCharType="separate"/>
      </w:r>
      <w:r>
        <w:t>50</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_Toc23300 </w:instrText>
      </w:r>
      <w:r>
        <w:rPr>
          <w:rFonts w:ascii="宋体" w:hAnsi="宋体" w:eastAsia="宋体" w:cs="宋体"/>
        </w:rPr>
        <w:fldChar w:fldCharType="separate"/>
      </w:r>
      <w:r>
        <w:rPr>
          <w:rFonts w:hint="eastAsia" w:ascii="Times New Roman" w:hAnsi="Times New Roman" w:eastAsia="仿宋_GB2312"/>
          <w:lang w:val="en-US" w:eastAsia="zh-CN"/>
        </w:rPr>
        <w:t>5</w:t>
      </w:r>
      <w:r>
        <w:rPr>
          <w:rFonts w:hint="eastAsia" w:ascii="Times New Roman" w:hAnsi="Times New Roman" w:eastAsia="仿宋_GB2312"/>
        </w:rPr>
        <w:t>.12</w:t>
      </w:r>
      <w:r>
        <w:rPr>
          <w:rFonts w:ascii="Times New Roman" w:hAnsi="仿宋_GB2312" w:eastAsia="仿宋_GB2312"/>
        </w:rPr>
        <w:t>事故应急终止</w:t>
      </w:r>
      <w:r>
        <w:tab/>
      </w:r>
      <w:r>
        <w:fldChar w:fldCharType="begin"/>
      </w:r>
      <w:r>
        <w:instrText xml:space="preserve"> PAGEREF _Toc23300 \h </w:instrText>
      </w:r>
      <w:r>
        <w:fldChar w:fldCharType="separate"/>
      </w:r>
      <w:r>
        <w:t>50</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_Toc4416 </w:instrText>
      </w:r>
      <w:r>
        <w:rPr>
          <w:rFonts w:ascii="宋体" w:hAnsi="宋体" w:eastAsia="宋体" w:cs="宋体"/>
        </w:rPr>
        <w:fldChar w:fldCharType="separate"/>
      </w:r>
      <w:r>
        <w:rPr>
          <w:rFonts w:hint="eastAsia"/>
        </w:rPr>
        <w:t>第</w:t>
      </w:r>
      <w:r>
        <w:rPr>
          <w:rFonts w:hint="eastAsia"/>
          <w:lang w:val="en-US" w:eastAsia="zh-CN"/>
        </w:rPr>
        <w:t>六</w:t>
      </w:r>
      <w:r>
        <w:rPr>
          <w:rFonts w:hint="eastAsia"/>
        </w:rPr>
        <w:t>章</w:t>
      </w:r>
      <w:r>
        <w:rPr>
          <w:rFonts w:hint="eastAsia"/>
          <w:lang w:val="en-US" w:eastAsia="zh-CN"/>
        </w:rPr>
        <w:t xml:space="preserve"> </w:t>
      </w:r>
      <w:r>
        <w:rPr>
          <w:rFonts w:hint="eastAsia"/>
        </w:rPr>
        <w:t>后期处置</w:t>
      </w:r>
      <w:r>
        <w:tab/>
      </w:r>
      <w:r>
        <w:fldChar w:fldCharType="begin"/>
      </w:r>
      <w:r>
        <w:instrText xml:space="preserve"> PAGEREF _Toc4416 \h </w:instrText>
      </w:r>
      <w:r>
        <w:fldChar w:fldCharType="separate"/>
      </w:r>
      <w:r>
        <w:t>52</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_Toc31351 </w:instrText>
      </w:r>
      <w:r>
        <w:rPr>
          <w:rFonts w:ascii="宋体" w:hAnsi="宋体" w:eastAsia="宋体" w:cs="宋体"/>
        </w:rPr>
        <w:fldChar w:fldCharType="separate"/>
      </w:r>
      <w:r>
        <w:rPr>
          <w:rFonts w:hint="eastAsia"/>
          <w:lang w:val="en-US" w:eastAsia="zh-CN"/>
        </w:rPr>
        <w:t>6</w:t>
      </w:r>
      <w:r>
        <w:rPr>
          <w:rFonts w:hint="eastAsia"/>
        </w:rPr>
        <w:t>.1  现场恢复</w:t>
      </w:r>
      <w:r>
        <w:tab/>
      </w:r>
      <w:r>
        <w:fldChar w:fldCharType="begin"/>
      </w:r>
      <w:r>
        <w:instrText xml:space="preserve"> PAGEREF _Toc31351 \h </w:instrText>
      </w:r>
      <w:r>
        <w:fldChar w:fldCharType="separate"/>
      </w:r>
      <w:r>
        <w:t>52</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_Toc27902 </w:instrText>
      </w:r>
      <w:r>
        <w:rPr>
          <w:rFonts w:ascii="宋体" w:hAnsi="宋体" w:eastAsia="宋体" w:cs="宋体"/>
        </w:rPr>
        <w:fldChar w:fldCharType="separate"/>
      </w:r>
      <w:r>
        <w:rPr>
          <w:rFonts w:hint="eastAsia"/>
          <w:lang w:val="en-US" w:eastAsia="zh-CN"/>
        </w:rPr>
        <w:t>6</w:t>
      </w:r>
      <w:r>
        <w:rPr>
          <w:rFonts w:hint="eastAsia"/>
        </w:rPr>
        <w:t>.2  善后处置</w:t>
      </w:r>
      <w:r>
        <w:tab/>
      </w:r>
      <w:r>
        <w:fldChar w:fldCharType="begin"/>
      </w:r>
      <w:r>
        <w:instrText xml:space="preserve"> PAGEREF _Toc27902 \h </w:instrText>
      </w:r>
      <w:r>
        <w:fldChar w:fldCharType="separate"/>
      </w:r>
      <w:r>
        <w:t>53</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_Toc21778 </w:instrText>
      </w:r>
      <w:r>
        <w:rPr>
          <w:rFonts w:ascii="宋体" w:hAnsi="宋体" w:eastAsia="宋体" w:cs="宋体"/>
        </w:rPr>
        <w:fldChar w:fldCharType="separate"/>
      </w:r>
      <w:r>
        <w:rPr>
          <w:rFonts w:hint="eastAsia"/>
          <w:lang w:val="en-US" w:eastAsia="zh-CN"/>
        </w:rPr>
        <w:t>6</w:t>
      </w:r>
      <w:r>
        <w:rPr>
          <w:rFonts w:hint="eastAsia"/>
        </w:rPr>
        <w:t>.3  事件调查</w:t>
      </w:r>
      <w:r>
        <w:tab/>
      </w:r>
      <w:r>
        <w:fldChar w:fldCharType="begin"/>
      </w:r>
      <w:r>
        <w:instrText xml:space="preserve"> PAGEREF _Toc21778 \h </w:instrText>
      </w:r>
      <w:r>
        <w:fldChar w:fldCharType="separate"/>
      </w:r>
      <w:r>
        <w:t>54</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_Toc16202 </w:instrText>
      </w:r>
      <w:r>
        <w:rPr>
          <w:rFonts w:ascii="宋体" w:hAnsi="宋体" w:eastAsia="宋体" w:cs="宋体"/>
        </w:rPr>
        <w:fldChar w:fldCharType="separate"/>
      </w:r>
      <w:r>
        <w:rPr>
          <w:rFonts w:hint="eastAsia"/>
        </w:rPr>
        <w:t>第</w:t>
      </w:r>
      <w:r>
        <w:rPr>
          <w:rFonts w:hint="eastAsia"/>
          <w:lang w:val="en-US" w:eastAsia="zh-CN"/>
        </w:rPr>
        <w:t>七</w:t>
      </w:r>
      <w:r>
        <w:rPr>
          <w:rFonts w:hint="eastAsia"/>
        </w:rPr>
        <w:t>章</w:t>
      </w:r>
      <w:r>
        <w:rPr>
          <w:rFonts w:hint="eastAsia"/>
          <w:lang w:val="en-US" w:eastAsia="zh-CN"/>
        </w:rPr>
        <w:t xml:space="preserve"> </w:t>
      </w:r>
      <w:r>
        <w:rPr>
          <w:rFonts w:hint="eastAsia"/>
        </w:rPr>
        <w:t>应急保障措施</w:t>
      </w:r>
      <w:r>
        <w:tab/>
      </w:r>
      <w:r>
        <w:fldChar w:fldCharType="begin"/>
      </w:r>
      <w:r>
        <w:instrText xml:space="preserve"> PAGEREF _Toc16202 \h </w:instrText>
      </w:r>
      <w:r>
        <w:fldChar w:fldCharType="separate"/>
      </w:r>
      <w:r>
        <w:t>55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_Toc13561 </w:instrText>
      </w:r>
      <w:r>
        <w:rPr>
          <w:rFonts w:ascii="宋体" w:hAnsi="宋体" w:eastAsia="宋体" w:cs="宋体"/>
        </w:rPr>
        <w:fldChar w:fldCharType="separate"/>
      </w:r>
      <w:r>
        <w:rPr>
          <w:rFonts w:hint="eastAsia"/>
          <w:lang w:val="en-US" w:eastAsia="zh-CN"/>
        </w:rPr>
        <w:t>7</w:t>
      </w:r>
      <w:r>
        <w:rPr>
          <w:rFonts w:hint="eastAsia"/>
        </w:rPr>
        <w:t>.1应急安全保障</w:t>
      </w:r>
      <w:r>
        <w:tab/>
      </w:r>
      <w:r>
        <w:fldChar w:fldCharType="begin"/>
      </w:r>
      <w:r>
        <w:instrText xml:space="preserve"> PAGEREF _Toc13561 \h </w:instrText>
      </w:r>
      <w:r>
        <w:fldChar w:fldCharType="separate"/>
      </w:r>
      <w:r>
        <w:t>55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_Toc9176 </w:instrText>
      </w:r>
      <w:r>
        <w:rPr>
          <w:rFonts w:ascii="宋体" w:hAnsi="宋体" w:eastAsia="宋体" w:cs="宋体"/>
        </w:rPr>
        <w:fldChar w:fldCharType="separate"/>
      </w:r>
      <w:r>
        <w:rPr>
          <w:rFonts w:hint="eastAsia"/>
          <w:lang w:val="en-US" w:eastAsia="zh-CN"/>
        </w:rPr>
        <w:t>7</w:t>
      </w:r>
      <w:r>
        <w:rPr>
          <w:rFonts w:hint="eastAsia"/>
        </w:rPr>
        <w:t>.2应急交通保障</w:t>
      </w:r>
      <w:r>
        <w:tab/>
      </w:r>
      <w:r>
        <w:fldChar w:fldCharType="begin"/>
      </w:r>
      <w:r>
        <w:instrText xml:space="preserve"> PAGEREF _Toc9176 \h </w:instrText>
      </w:r>
      <w:r>
        <w:fldChar w:fldCharType="separate"/>
      </w:r>
      <w:r>
        <w:t>56</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_Toc24741 </w:instrText>
      </w:r>
      <w:r>
        <w:rPr>
          <w:rFonts w:ascii="宋体" w:hAnsi="宋体" w:eastAsia="宋体" w:cs="宋体"/>
        </w:rPr>
        <w:fldChar w:fldCharType="separate"/>
      </w:r>
      <w:r>
        <w:rPr>
          <w:rFonts w:hint="eastAsia"/>
          <w:lang w:val="en-US" w:eastAsia="zh-CN"/>
        </w:rPr>
        <w:t>7</w:t>
      </w:r>
      <w:r>
        <w:rPr>
          <w:rFonts w:hint="eastAsia"/>
        </w:rPr>
        <w:t>.3通信与信息保障</w:t>
      </w:r>
      <w:r>
        <w:tab/>
      </w:r>
      <w:r>
        <w:fldChar w:fldCharType="begin"/>
      </w:r>
      <w:r>
        <w:instrText xml:space="preserve"> PAGEREF _Toc24741 \h </w:instrText>
      </w:r>
      <w:r>
        <w:fldChar w:fldCharType="separate"/>
      </w:r>
      <w:r>
        <w:t>56</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_Toc25200 </w:instrText>
      </w:r>
      <w:r>
        <w:rPr>
          <w:rFonts w:ascii="宋体" w:hAnsi="宋体" w:eastAsia="宋体" w:cs="宋体"/>
        </w:rPr>
        <w:fldChar w:fldCharType="separate"/>
      </w:r>
      <w:r>
        <w:rPr>
          <w:rFonts w:hint="eastAsia"/>
          <w:lang w:val="en-US" w:eastAsia="zh-CN"/>
        </w:rPr>
        <w:t>7</w:t>
      </w:r>
      <w:r>
        <w:rPr>
          <w:rFonts w:hint="eastAsia"/>
        </w:rPr>
        <w:t>.4人力资源保障</w:t>
      </w:r>
      <w:r>
        <w:tab/>
      </w:r>
      <w:r>
        <w:fldChar w:fldCharType="begin"/>
      </w:r>
      <w:r>
        <w:instrText xml:space="preserve"> PAGEREF _Toc25200 \h </w:instrText>
      </w:r>
      <w:r>
        <w:fldChar w:fldCharType="separate"/>
      </w:r>
      <w:r>
        <w:t>56</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_Toc30508 </w:instrText>
      </w:r>
      <w:r>
        <w:rPr>
          <w:rFonts w:ascii="宋体" w:hAnsi="宋体" w:eastAsia="宋体" w:cs="宋体"/>
        </w:rPr>
        <w:fldChar w:fldCharType="separate"/>
      </w:r>
      <w:r>
        <w:rPr>
          <w:rFonts w:hint="eastAsia"/>
          <w:lang w:val="en-US" w:eastAsia="zh-CN"/>
        </w:rPr>
        <w:t>7</w:t>
      </w:r>
      <w:r>
        <w:rPr>
          <w:rFonts w:hint="eastAsia"/>
        </w:rPr>
        <w:t>.5资金保障</w:t>
      </w:r>
      <w:r>
        <w:tab/>
      </w:r>
      <w:r>
        <w:fldChar w:fldCharType="begin"/>
      </w:r>
      <w:r>
        <w:instrText xml:space="preserve"> PAGEREF _Toc30508 \h </w:instrText>
      </w:r>
      <w:r>
        <w:fldChar w:fldCharType="separate"/>
      </w:r>
      <w:r>
        <w:t>58</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_Toc25232 </w:instrText>
      </w:r>
      <w:r>
        <w:rPr>
          <w:rFonts w:ascii="宋体" w:hAnsi="宋体" w:eastAsia="宋体" w:cs="宋体"/>
        </w:rPr>
        <w:fldChar w:fldCharType="separate"/>
      </w:r>
      <w:r>
        <w:rPr>
          <w:rFonts w:hint="eastAsia"/>
          <w:lang w:val="en-US" w:eastAsia="zh-CN"/>
        </w:rPr>
        <w:t>7</w:t>
      </w:r>
      <w:r>
        <w:rPr>
          <w:rFonts w:hint="eastAsia"/>
        </w:rPr>
        <w:t>.6物资装备保障</w:t>
      </w:r>
      <w:r>
        <w:tab/>
      </w:r>
      <w:r>
        <w:fldChar w:fldCharType="begin"/>
      </w:r>
      <w:r>
        <w:instrText xml:space="preserve"> PAGEREF _Toc25232 \h </w:instrText>
      </w:r>
      <w:r>
        <w:fldChar w:fldCharType="separate"/>
      </w:r>
      <w:r>
        <w:t>58</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_Toc31691 </w:instrText>
      </w:r>
      <w:r>
        <w:rPr>
          <w:rFonts w:ascii="宋体" w:hAnsi="宋体" w:eastAsia="宋体" w:cs="宋体"/>
        </w:rPr>
        <w:fldChar w:fldCharType="separate"/>
      </w:r>
      <w:r>
        <w:rPr>
          <w:rFonts w:hint="eastAsia"/>
        </w:rPr>
        <w:t>第</w:t>
      </w:r>
      <w:r>
        <w:rPr>
          <w:rFonts w:hint="eastAsia"/>
          <w:lang w:val="en-US" w:eastAsia="zh-CN"/>
        </w:rPr>
        <w:t>八</w:t>
      </w:r>
      <w:r>
        <w:rPr>
          <w:rFonts w:hint="eastAsia"/>
        </w:rPr>
        <w:t>章</w:t>
      </w:r>
      <w:r>
        <w:rPr>
          <w:rFonts w:hint="eastAsia"/>
          <w:lang w:val="en-US" w:eastAsia="zh-CN"/>
        </w:rPr>
        <w:t xml:space="preserve"> </w:t>
      </w:r>
      <w:r>
        <w:rPr>
          <w:rFonts w:hint="eastAsia"/>
        </w:rPr>
        <w:t>应急培训与演练</w:t>
      </w:r>
      <w:r>
        <w:tab/>
      </w:r>
      <w:r>
        <w:fldChar w:fldCharType="begin"/>
      </w:r>
      <w:r>
        <w:instrText xml:space="preserve"> PAGEREF _Toc31691 \h </w:instrText>
      </w:r>
      <w:r>
        <w:fldChar w:fldCharType="separate"/>
      </w:r>
      <w:r>
        <w:t>61</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_Toc21845 </w:instrText>
      </w:r>
      <w:r>
        <w:rPr>
          <w:rFonts w:ascii="宋体" w:hAnsi="宋体" w:eastAsia="宋体" w:cs="宋体"/>
        </w:rPr>
        <w:fldChar w:fldCharType="separate"/>
      </w:r>
      <w:r>
        <w:rPr>
          <w:rFonts w:hint="eastAsia"/>
          <w:lang w:val="en-US" w:eastAsia="zh-CN"/>
        </w:rPr>
        <w:t>8</w:t>
      </w:r>
      <w:r>
        <w:t>.1培训</w:t>
      </w:r>
      <w:r>
        <w:tab/>
      </w:r>
      <w:r>
        <w:fldChar w:fldCharType="begin"/>
      </w:r>
      <w:r>
        <w:instrText xml:space="preserve"> PAGEREF _Toc21845 \h </w:instrText>
      </w:r>
      <w:r>
        <w:fldChar w:fldCharType="separate"/>
      </w:r>
      <w:r>
        <w:t>61</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_Toc29367 </w:instrText>
      </w:r>
      <w:r>
        <w:rPr>
          <w:rFonts w:ascii="宋体" w:hAnsi="宋体" w:eastAsia="宋体" w:cs="宋体"/>
        </w:rPr>
        <w:fldChar w:fldCharType="separate"/>
      </w:r>
      <w:r>
        <w:rPr>
          <w:rFonts w:hint="eastAsia"/>
          <w:lang w:val="en-US" w:eastAsia="zh-CN"/>
        </w:rPr>
        <w:t>8</w:t>
      </w:r>
      <w:r>
        <w:t>.2演练</w:t>
      </w:r>
      <w:r>
        <w:tab/>
      </w:r>
      <w:r>
        <w:fldChar w:fldCharType="begin"/>
      </w:r>
      <w:r>
        <w:instrText xml:space="preserve"> PAGEREF _Toc29367 \h </w:instrText>
      </w:r>
      <w:r>
        <w:fldChar w:fldCharType="separate"/>
      </w:r>
      <w:r>
        <w:t>62</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_Toc3970 </w:instrText>
      </w:r>
      <w:r>
        <w:rPr>
          <w:rFonts w:ascii="宋体" w:hAnsi="宋体" w:eastAsia="宋体" w:cs="宋体"/>
        </w:rPr>
        <w:fldChar w:fldCharType="separate"/>
      </w:r>
      <w:r>
        <w:rPr>
          <w:rFonts w:hint="eastAsia"/>
        </w:rPr>
        <w:t>第</w:t>
      </w:r>
      <w:r>
        <w:rPr>
          <w:rFonts w:hint="eastAsia"/>
          <w:lang w:val="en-US" w:eastAsia="zh-CN"/>
        </w:rPr>
        <w:t>九</w:t>
      </w:r>
      <w:r>
        <w:rPr>
          <w:rFonts w:hint="eastAsia"/>
        </w:rPr>
        <w:t>章</w:t>
      </w:r>
      <w:r>
        <w:rPr>
          <w:rFonts w:hint="eastAsia"/>
          <w:lang w:val="en-US" w:eastAsia="zh-CN"/>
        </w:rPr>
        <w:t xml:space="preserve"> </w:t>
      </w:r>
      <w:r>
        <w:rPr>
          <w:rFonts w:hint="eastAsia"/>
        </w:rPr>
        <w:t>奖惩</w:t>
      </w:r>
      <w:r>
        <w:tab/>
      </w:r>
      <w:r>
        <w:fldChar w:fldCharType="begin"/>
      </w:r>
      <w:r>
        <w:instrText xml:space="preserve"> PAGEREF _Toc3970 \h </w:instrText>
      </w:r>
      <w:r>
        <w:fldChar w:fldCharType="separate"/>
      </w:r>
      <w:r>
        <w:t>64</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_Toc16767 </w:instrText>
      </w:r>
      <w:r>
        <w:rPr>
          <w:rFonts w:ascii="宋体" w:hAnsi="宋体" w:eastAsia="宋体" w:cs="宋体"/>
        </w:rPr>
        <w:fldChar w:fldCharType="separate"/>
      </w:r>
      <w:r>
        <w:rPr>
          <w:rFonts w:hint="eastAsia"/>
          <w:lang w:val="en-US" w:eastAsia="zh-CN"/>
        </w:rPr>
        <w:t>9</w:t>
      </w:r>
      <w:r>
        <w:t>.1奖励</w:t>
      </w:r>
      <w:r>
        <w:tab/>
      </w:r>
      <w:r>
        <w:fldChar w:fldCharType="begin"/>
      </w:r>
      <w:r>
        <w:instrText xml:space="preserve"> PAGEREF _Toc16767 \h </w:instrText>
      </w:r>
      <w:r>
        <w:fldChar w:fldCharType="separate"/>
      </w:r>
      <w:r>
        <w:t>64</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_Toc7384 </w:instrText>
      </w:r>
      <w:r>
        <w:rPr>
          <w:rFonts w:ascii="宋体" w:hAnsi="宋体" w:eastAsia="宋体" w:cs="宋体"/>
        </w:rPr>
        <w:fldChar w:fldCharType="separate"/>
      </w:r>
      <w:r>
        <w:rPr>
          <w:rFonts w:hint="eastAsia"/>
          <w:lang w:val="en-US" w:eastAsia="zh-CN"/>
        </w:rPr>
        <w:t>9</w:t>
      </w:r>
      <w:r>
        <w:rPr>
          <w:rFonts w:hint="eastAsia"/>
        </w:rPr>
        <w:t>.2责任追究</w:t>
      </w:r>
      <w:r>
        <w:tab/>
      </w:r>
      <w:r>
        <w:fldChar w:fldCharType="begin"/>
      </w:r>
      <w:r>
        <w:instrText xml:space="preserve"> PAGEREF _Toc7384 \h </w:instrText>
      </w:r>
      <w:r>
        <w:fldChar w:fldCharType="separate"/>
      </w:r>
      <w:r>
        <w:t>64</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_Toc22414 </w:instrText>
      </w:r>
      <w:r>
        <w:rPr>
          <w:rFonts w:ascii="宋体" w:hAnsi="宋体" w:eastAsia="宋体" w:cs="宋体"/>
        </w:rPr>
        <w:fldChar w:fldCharType="separate"/>
      </w:r>
      <w:r>
        <w:rPr>
          <w:rFonts w:hint="eastAsia"/>
        </w:rPr>
        <w:t>第</w:t>
      </w:r>
      <w:r>
        <w:rPr>
          <w:rFonts w:hint="eastAsia"/>
          <w:lang w:val="en-US" w:eastAsia="zh-CN"/>
        </w:rPr>
        <w:t>十</w:t>
      </w:r>
      <w:r>
        <w:rPr>
          <w:rFonts w:hint="eastAsia"/>
        </w:rPr>
        <w:t>章</w:t>
      </w:r>
      <w:r>
        <w:rPr>
          <w:rFonts w:hint="eastAsia"/>
          <w:lang w:val="en-US" w:eastAsia="zh-CN"/>
        </w:rPr>
        <w:t xml:space="preserve"> </w:t>
      </w:r>
      <w:r>
        <w:t>预案评审、发布和更新</w:t>
      </w:r>
      <w:r>
        <w:tab/>
      </w:r>
      <w:r>
        <w:fldChar w:fldCharType="begin"/>
      </w:r>
      <w:r>
        <w:instrText xml:space="preserve"> PAGEREF _Toc22414 \h </w:instrText>
      </w:r>
      <w:r>
        <w:fldChar w:fldCharType="separate"/>
      </w:r>
      <w:r>
        <w:t>65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_Toc7968 </w:instrText>
      </w:r>
      <w:r>
        <w:rPr>
          <w:rFonts w:ascii="宋体" w:hAnsi="宋体" w:eastAsia="宋体" w:cs="宋体"/>
        </w:rPr>
        <w:fldChar w:fldCharType="separate"/>
      </w:r>
      <w:r>
        <w:rPr>
          <w:rFonts w:hint="eastAsia"/>
          <w:lang w:val="en-US" w:eastAsia="zh-CN"/>
        </w:rPr>
        <w:t>10</w:t>
      </w:r>
      <w:r>
        <w:rPr>
          <w:rFonts w:hint="eastAsia"/>
        </w:rPr>
        <w:t>.1</w:t>
      </w:r>
      <w:r>
        <w:t>预案评审</w:t>
      </w:r>
      <w:r>
        <w:tab/>
      </w:r>
      <w:r>
        <w:fldChar w:fldCharType="begin"/>
      </w:r>
      <w:r>
        <w:instrText xml:space="preserve"> PAGEREF _Toc7968 \h </w:instrText>
      </w:r>
      <w:r>
        <w:fldChar w:fldCharType="separate"/>
      </w:r>
      <w:r>
        <w:t>65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_Toc1918 </w:instrText>
      </w:r>
      <w:r>
        <w:rPr>
          <w:rFonts w:ascii="宋体" w:hAnsi="宋体" w:eastAsia="宋体" w:cs="宋体"/>
        </w:rPr>
        <w:fldChar w:fldCharType="separate"/>
      </w:r>
      <w:r>
        <w:rPr>
          <w:rFonts w:hint="eastAsia"/>
          <w:lang w:val="en-US" w:eastAsia="zh-CN"/>
        </w:rPr>
        <w:t>10</w:t>
      </w:r>
      <w:r>
        <w:rPr>
          <w:rFonts w:hint="eastAsia"/>
        </w:rPr>
        <w:t>.2</w:t>
      </w:r>
      <w:r>
        <w:t>预案备案</w:t>
      </w:r>
      <w:r>
        <w:tab/>
      </w:r>
      <w:r>
        <w:fldChar w:fldCharType="begin"/>
      </w:r>
      <w:r>
        <w:instrText xml:space="preserve"> PAGEREF _Toc1918 \h </w:instrText>
      </w:r>
      <w:r>
        <w:fldChar w:fldCharType="separate"/>
      </w:r>
      <w:r>
        <w:t>65</w:t>
      </w:r>
      <w:r>
        <w:fldChar w:fldCharType="end"/>
      </w:r>
      <w:r>
        <w:rPr>
          <w:rFonts w:ascii="宋体" w:hAnsi="宋体" w:eastAsia="宋体" w:cs="宋体"/>
        </w:rPr>
        <w:fldChar w:fldCharType="end"/>
      </w:r>
    </w:p>
    <w:p>
      <w:pPr>
        <w:pStyle w:val="38"/>
        <w:tabs>
          <w:tab w:val="right" w:leader="dot" w:pos="9070"/>
        </w:tabs>
      </w:pPr>
      <w:r>
        <w:rPr>
          <w:rFonts w:ascii="宋体" w:hAnsi="宋体" w:eastAsia="宋体" w:cs="宋体"/>
        </w:rPr>
        <w:fldChar w:fldCharType="begin"/>
      </w:r>
      <w:r>
        <w:rPr>
          <w:rFonts w:ascii="宋体" w:hAnsi="宋体" w:eastAsia="宋体" w:cs="宋体"/>
        </w:rPr>
        <w:instrText xml:space="preserve"> HYPERLINK \l _Toc24214 </w:instrText>
      </w:r>
      <w:r>
        <w:rPr>
          <w:rFonts w:ascii="宋体" w:hAnsi="宋体" w:eastAsia="宋体" w:cs="宋体"/>
        </w:rPr>
        <w:fldChar w:fldCharType="separate"/>
      </w:r>
      <w:r>
        <w:rPr>
          <w:rFonts w:hint="eastAsia"/>
        </w:rPr>
        <w:t>9.3</w:t>
      </w:r>
      <w:r>
        <w:t>预案更新</w:t>
      </w:r>
      <w:r>
        <w:tab/>
      </w:r>
      <w:r>
        <w:fldChar w:fldCharType="begin"/>
      </w:r>
      <w:r>
        <w:instrText xml:space="preserve"> PAGEREF _Toc24214 \h </w:instrText>
      </w:r>
      <w:r>
        <w:fldChar w:fldCharType="separate"/>
      </w:r>
      <w:r>
        <w:t>65</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_Toc104 </w:instrText>
      </w:r>
      <w:r>
        <w:rPr>
          <w:rFonts w:ascii="宋体" w:hAnsi="宋体" w:eastAsia="宋体" w:cs="宋体"/>
        </w:rPr>
        <w:fldChar w:fldCharType="separate"/>
      </w:r>
      <w:r>
        <w:rPr>
          <w:rFonts w:hint="eastAsia" w:ascii="仿宋_GB2312" w:eastAsia="仿宋_GB2312"/>
          <w:szCs w:val="36"/>
        </w:rPr>
        <w:t>附  则</w:t>
      </w:r>
      <w:r>
        <w:tab/>
      </w:r>
      <w:r>
        <w:fldChar w:fldCharType="begin"/>
      </w:r>
      <w:r>
        <w:instrText xml:space="preserve"> PAGEREF _Toc104 \h </w:instrText>
      </w:r>
      <w:r>
        <w:fldChar w:fldCharType="separate"/>
      </w:r>
      <w:r>
        <w:t>66</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_Toc24212 </w:instrText>
      </w:r>
      <w:r>
        <w:rPr>
          <w:rFonts w:ascii="宋体" w:hAnsi="宋体" w:eastAsia="宋体" w:cs="宋体"/>
        </w:rPr>
        <w:fldChar w:fldCharType="separate"/>
      </w:r>
      <w:r>
        <w:rPr>
          <w:rFonts w:hint="eastAsia" w:ascii="宋体" w:hAnsi="宋体" w:cs="宋体"/>
          <w:bCs/>
          <w:kern w:val="0"/>
        </w:rPr>
        <w:t>一、预案的签署和解释</w:t>
      </w:r>
      <w:r>
        <w:tab/>
      </w:r>
      <w:r>
        <w:fldChar w:fldCharType="begin"/>
      </w:r>
      <w:r>
        <w:instrText xml:space="preserve"> PAGEREF _Toc24212 \h </w:instrText>
      </w:r>
      <w:r>
        <w:fldChar w:fldCharType="separate"/>
      </w:r>
      <w:r>
        <w:t>66</w:t>
      </w:r>
      <w:r>
        <w:fldChar w:fldCharType="end"/>
      </w:r>
      <w:r>
        <w:rPr>
          <w:rFonts w:ascii="宋体" w:hAnsi="宋体" w:eastAsia="宋体" w:cs="宋体"/>
        </w:rPr>
        <w:fldChar w:fldCharType="end"/>
      </w:r>
    </w:p>
    <w:p>
      <w:pPr>
        <w:pStyle w:val="33"/>
        <w:tabs>
          <w:tab w:val="right" w:leader="dot" w:pos="9070"/>
          <w:tab w:val="clear" w:pos="9000"/>
        </w:tabs>
      </w:pPr>
      <w:r>
        <w:rPr>
          <w:rFonts w:ascii="宋体" w:hAnsi="宋体" w:eastAsia="宋体" w:cs="宋体"/>
        </w:rPr>
        <w:fldChar w:fldCharType="begin"/>
      </w:r>
      <w:r>
        <w:rPr>
          <w:rFonts w:ascii="宋体" w:hAnsi="宋体" w:eastAsia="宋体" w:cs="宋体"/>
        </w:rPr>
        <w:instrText xml:space="preserve"> HYPERLINK \l _Toc3670 </w:instrText>
      </w:r>
      <w:r>
        <w:rPr>
          <w:rFonts w:ascii="宋体" w:hAnsi="宋体" w:eastAsia="宋体" w:cs="宋体"/>
        </w:rPr>
        <w:fldChar w:fldCharType="separate"/>
      </w:r>
      <w:r>
        <w:rPr>
          <w:rFonts w:hint="eastAsia" w:ascii="宋体" w:hAnsi="宋体" w:cs="宋体"/>
        </w:rPr>
        <w:t>二、</w:t>
      </w:r>
      <w:r>
        <w:rPr>
          <w:rFonts w:hint="eastAsia" w:ascii="宋体" w:hAnsi="宋体" w:cs="宋体"/>
          <w:bCs/>
          <w:kern w:val="0"/>
        </w:rPr>
        <w:t>预案的实施</w:t>
      </w:r>
      <w:r>
        <w:tab/>
      </w:r>
      <w:r>
        <w:fldChar w:fldCharType="begin"/>
      </w:r>
      <w:r>
        <w:instrText xml:space="preserve"> PAGEREF _Toc3670 \h </w:instrText>
      </w:r>
      <w:r>
        <w:fldChar w:fldCharType="separate"/>
      </w:r>
      <w:r>
        <w:t>66</w:t>
      </w:r>
      <w:r>
        <w:fldChar w:fldCharType="end"/>
      </w:r>
      <w:r>
        <w:rPr>
          <w:rFonts w:ascii="宋体" w:hAnsi="宋体" w:eastAsia="宋体" w:cs="宋体"/>
        </w:rPr>
        <w:fldChar w:fldCharType="end"/>
      </w:r>
    </w:p>
    <w:p>
      <w:pPr>
        <w:pStyle w:val="58"/>
        <w:spacing w:line="360" w:lineRule="auto"/>
        <w:rPr>
          <w:rFonts w:ascii="宋体" w:hAnsi="宋体" w:eastAsia="宋体" w:cs="宋体"/>
        </w:rPr>
      </w:pPr>
      <w:r>
        <w:rPr>
          <w:rFonts w:ascii="宋体" w:hAnsi="宋体" w:eastAsia="宋体" w:cs="宋体"/>
        </w:rPr>
        <w:fldChar w:fldCharType="end"/>
      </w:r>
    </w:p>
    <w:p>
      <w:pPr>
        <w:pStyle w:val="4"/>
        <w:spacing w:line="360" w:lineRule="auto"/>
        <w:jc w:val="center"/>
        <w:rPr>
          <w:rFonts w:ascii="宋体" w:hAnsi="宋体"/>
          <w:sz w:val="24"/>
          <w:szCs w:val="24"/>
        </w:rPr>
        <w:sectPr>
          <w:footerReference r:id="rId11" w:type="default"/>
          <w:pgSz w:w="11906" w:h="16838"/>
          <w:pgMar w:top="1418" w:right="1418" w:bottom="1418" w:left="1418" w:header="850" w:footer="1021" w:gutter="0"/>
          <w:pgNumType w:start="1"/>
          <w:cols w:space="720" w:num="1"/>
          <w:docGrid w:linePitch="312" w:charSpace="0"/>
        </w:sectPr>
      </w:pPr>
      <w:bookmarkStart w:id="9" w:name="_Toc43202912"/>
    </w:p>
    <w:p>
      <w:pPr>
        <w:pStyle w:val="4"/>
        <w:jc w:val="center"/>
      </w:pPr>
      <w:bookmarkStart w:id="10" w:name="_Toc5687"/>
      <w:bookmarkStart w:id="11" w:name="_Toc46857500"/>
      <w:r>
        <w:t>第一</w:t>
      </w:r>
      <w:r>
        <w:rPr>
          <w:rFonts w:hint="eastAsia"/>
        </w:rPr>
        <w:t>章</w:t>
      </w:r>
      <w:r>
        <w:rPr>
          <w:rFonts w:hint="eastAsia"/>
          <w:lang w:val="en-US" w:eastAsia="zh-CN"/>
        </w:rPr>
        <w:t xml:space="preserve"> </w:t>
      </w:r>
      <w:r>
        <w:t>总则</w:t>
      </w:r>
      <w:bookmarkEnd w:id="4"/>
      <w:bookmarkEnd w:id="5"/>
      <w:bookmarkEnd w:id="6"/>
      <w:bookmarkEnd w:id="7"/>
      <w:bookmarkEnd w:id="8"/>
      <w:bookmarkEnd w:id="9"/>
      <w:bookmarkEnd w:id="10"/>
      <w:bookmarkEnd w:id="11"/>
    </w:p>
    <w:p>
      <w:pPr>
        <w:pStyle w:val="5"/>
      </w:pPr>
      <w:bookmarkStart w:id="12" w:name="_Toc408502997"/>
      <w:bookmarkStart w:id="13" w:name="_Toc1483_WPSOffice_Level2"/>
      <w:bookmarkStart w:id="14" w:name="_Toc288"/>
      <w:bookmarkStart w:id="15" w:name="_Toc46857501"/>
      <w:bookmarkStart w:id="16" w:name="_Toc12030_WPSOffice_Level2"/>
      <w:bookmarkStart w:id="17" w:name="_Toc43202913"/>
      <w:r>
        <w:t>1.</w:t>
      </w:r>
      <w:r>
        <w:rPr>
          <w:rFonts w:hint="eastAsia"/>
        </w:rPr>
        <w:t>1</w:t>
      </w:r>
      <w:r>
        <w:t>编制目的</w:t>
      </w:r>
      <w:bookmarkEnd w:id="12"/>
      <w:bookmarkEnd w:id="13"/>
      <w:bookmarkEnd w:id="14"/>
      <w:bookmarkEnd w:id="15"/>
      <w:bookmarkEnd w:id="16"/>
      <w:bookmarkEnd w:id="17"/>
    </w:p>
    <w:p>
      <w:pPr>
        <w:adjustRightInd w:val="0"/>
        <w:snapToGrid w:val="0"/>
        <w:spacing w:line="360" w:lineRule="auto"/>
        <w:ind w:firstLine="480"/>
        <w:rPr>
          <w:rFonts w:ascii="宋体" w:hAnsi="宋体" w:cs="宋体"/>
          <w:color w:val="000000"/>
          <w:sz w:val="24"/>
        </w:rPr>
      </w:pPr>
      <w:r>
        <w:rPr>
          <w:rFonts w:hint="eastAsia" w:ascii="宋体" w:hAnsi="宋体" w:cs="宋体"/>
          <w:color w:val="000000"/>
          <w:sz w:val="24"/>
        </w:rPr>
        <w:t>本次突发环境事件应急预案编制主要目的如下：</w:t>
      </w:r>
    </w:p>
    <w:p>
      <w:pPr>
        <w:adjustRightInd w:val="0"/>
        <w:snapToGrid w:val="0"/>
        <w:spacing w:line="360" w:lineRule="auto"/>
        <w:ind w:firstLine="482"/>
        <w:rPr>
          <w:rFonts w:ascii="宋体" w:hAnsi="宋体" w:cs="宋体"/>
          <w:color w:val="000000"/>
          <w:sz w:val="24"/>
        </w:rPr>
      </w:pPr>
      <w:r>
        <w:rPr>
          <w:rFonts w:hint="eastAsia" w:ascii="宋体" w:hAnsi="宋体" w:cs="宋体"/>
          <w:color w:val="000000"/>
          <w:sz w:val="24"/>
        </w:rPr>
        <w:t>1、通过调查了解企业突发环境事件类型、环境危险源的基本情况以及可能产生的环境危害后果及严重程度，全面分析企业环境风险情况；</w:t>
      </w:r>
    </w:p>
    <w:p>
      <w:pPr>
        <w:adjustRightInd w:val="0"/>
        <w:snapToGrid w:val="0"/>
        <w:spacing w:line="360" w:lineRule="auto"/>
        <w:ind w:firstLine="482"/>
        <w:rPr>
          <w:rFonts w:ascii="宋体" w:hAnsi="宋体" w:cs="宋体"/>
          <w:color w:val="000000"/>
          <w:sz w:val="24"/>
        </w:rPr>
      </w:pPr>
      <w:r>
        <w:rPr>
          <w:rFonts w:hint="eastAsia" w:ascii="宋体" w:hAnsi="宋体" w:cs="宋体"/>
          <w:color w:val="000000"/>
          <w:sz w:val="24"/>
        </w:rPr>
        <w:t>2、全面评估企业突发环境事件的应急能力，加强企业对突发环境事件的管理能力，全面预防突发环境事件的发生；</w:t>
      </w:r>
    </w:p>
    <w:p>
      <w:pPr>
        <w:adjustRightInd w:val="0"/>
        <w:snapToGrid w:val="0"/>
        <w:spacing w:line="360" w:lineRule="auto"/>
        <w:ind w:firstLine="482"/>
        <w:rPr>
          <w:rFonts w:ascii="宋体" w:hAnsi="宋体" w:cs="宋体"/>
          <w:color w:val="000000"/>
          <w:sz w:val="24"/>
        </w:rPr>
      </w:pPr>
      <w:r>
        <w:rPr>
          <w:rFonts w:hint="eastAsia" w:ascii="宋体" w:hAnsi="宋体" w:cs="宋体"/>
          <w:color w:val="000000"/>
          <w:sz w:val="24"/>
        </w:rPr>
        <w:t>3、建立健全环境污染事件应急机制，提高企业应对公共危机的突发环境事件的能力，确保事故发生时能够及时、有效处理事故源，控制事故扩大，减小事故造成的损失；</w:t>
      </w:r>
    </w:p>
    <w:p>
      <w:pPr>
        <w:adjustRightInd w:val="0"/>
        <w:snapToGrid w:val="0"/>
        <w:spacing w:line="360" w:lineRule="auto"/>
        <w:ind w:firstLine="482"/>
        <w:rPr>
          <w:rFonts w:ascii="宋体" w:hAnsi="宋体" w:cs="宋体"/>
          <w:color w:val="000000"/>
          <w:sz w:val="24"/>
        </w:rPr>
      </w:pPr>
      <w:r>
        <w:rPr>
          <w:rFonts w:hint="eastAsia" w:ascii="宋体" w:hAnsi="宋体" w:cs="宋体"/>
          <w:color w:val="000000"/>
          <w:sz w:val="24"/>
        </w:rPr>
        <w:t>4、降低企业突发环境事件所造成的环境危害。通过突发环境事件的应急处理、环境应急监测、事故信息的及时发布、受影响人员迅速转移等措施，将事故所造成的危害降至最低。</w:t>
      </w:r>
    </w:p>
    <w:p>
      <w:pPr>
        <w:adjustRightInd w:val="0"/>
        <w:snapToGrid w:val="0"/>
        <w:spacing w:line="360" w:lineRule="auto"/>
        <w:ind w:firstLine="480"/>
        <w:rPr>
          <w:rFonts w:ascii="宋体" w:hAnsi="宋体" w:cs="宋体"/>
          <w:color w:val="000000"/>
          <w:sz w:val="24"/>
        </w:rPr>
      </w:pPr>
      <w:r>
        <w:rPr>
          <w:rFonts w:hint="eastAsia" w:ascii="宋体" w:hAnsi="宋体" w:cs="宋体"/>
          <w:color w:val="000000"/>
          <w:sz w:val="24"/>
        </w:rPr>
        <w:t>5、通过应急预案的编制，促进企业提高环境风险意识，并通过应急物资、设备的落实和环境管理制度的完善，降低企业环境风险发生概率。</w:t>
      </w:r>
    </w:p>
    <w:p>
      <w:pPr>
        <w:pStyle w:val="5"/>
      </w:pPr>
      <w:bookmarkStart w:id="18" w:name="_Toc46857502"/>
      <w:bookmarkStart w:id="19" w:name="_Toc160532464"/>
      <w:bookmarkStart w:id="20" w:name="_Toc43202914"/>
      <w:bookmarkStart w:id="21" w:name="_Toc17898"/>
      <w:bookmarkStart w:id="22" w:name="_Toc408502998"/>
      <w:bookmarkStart w:id="23" w:name="_Toc3172_WPSOffice_Level2"/>
      <w:bookmarkStart w:id="24" w:name="_Toc161808436"/>
      <w:bookmarkStart w:id="25" w:name="_Toc27055_WPSOffice_Level2"/>
      <w:r>
        <w:t>1.</w:t>
      </w:r>
      <w:r>
        <w:rPr>
          <w:rFonts w:hint="eastAsia"/>
        </w:rPr>
        <w:t>2</w:t>
      </w:r>
      <w:r>
        <w:t>编制依据</w:t>
      </w:r>
      <w:bookmarkEnd w:id="18"/>
      <w:bookmarkEnd w:id="19"/>
      <w:bookmarkEnd w:id="20"/>
      <w:bookmarkEnd w:id="21"/>
      <w:bookmarkEnd w:id="22"/>
      <w:bookmarkEnd w:id="23"/>
      <w:bookmarkEnd w:id="24"/>
      <w:bookmarkEnd w:id="25"/>
    </w:p>
    <w:p>
      <w:pPr>
        <w:pStyle w:val="6"/>
      </w:pPr>
      <w:bookmarkStart w:id="26" w:name="_Toc345416677"/>
      <w:bookmarkStart w:id="27" w:name="_Toc43202915"/>
      <w:bookmarkStart w:id="28" w:name="_Toc408502999"/>
      <w:r>
        <w:t>1.</w:t>
      </w:r>
      <w:r>
        <w:rPr>
          <w:rFonts w:hint="eastAsia"/>
        </w:rPr>
        <w:t>2</w:t>
      </w:r>
      <w:r>
        <w:t>.1法律法规</w:t>
      </w:r>
      <w:bookmarkEnd w:id="26"/>
      <w:bookmarkEnd w:id="27"/>
      <w:bookmarkEnd w:id="28"/>
    </w:p>
    <w:p>
      <w:pPr>
        <w:spacing w:line="360" w:lineRule="auto"/>
        <w:ind w:firstLine="480" w:firstLineChars="200"/>
        <w:rPr>
          <w:color w:val="000000"/>
          <w:sz w:val="24"/>
        </w:rPr>
      </w:pPr>
      <w:bookmarkStart w:id="29" w:name="_Toc345416678"/>
      <w:bookmarkStart w:id="30" w:name="_Toc408503007"/>
      <w:bookmarkStart w:id="31" w:name="_Toc43202916"/>
      <w:r>
        <w:rPr>
          <w:color w:val="000000"/>
          <w:sz w:val="24"/>
        </w:rPr>
        <w:t>1、《中华人民共和国环境保护法》（2014年4月24日修订）；</w:t>
      </w:r>
    </w:p>
    <w:p>
      <w:pPr>
        <w:widowControl/>
        <w:spacing w:line="360" w:lineRule="auto"/>
        <w:ind w:firstLine="480" w:firstLineChars="200"/>
        <w:rPr>
          <w:color w:val="000000"/>
          <w:kern w:val="0"/>
          <w:sz w:val="24"/>
        </w:rPr>
      </w:pPr>
      <w:r>
        <w:rPr>
          <w:color w:val="000000"/>
          <w:kern w:val="0"/>
          <w:sz w:val="24"/>
        </w:rPr>
        <w:t>2、《中华人民共和国大气污染防治法》（</w:t>
      </w:r>
      <w:r>
        <w:rPr>
          <w:color w:val="000000"/>
          <w:sz w:val="24"/>
        </w:rPr>
        <w:t>2015年8月29日修订</w:t>
      </w:r>
      <w:r>
        <w:rPr>
          <w:color w:val="000000"/>
          <w:kern w:val="0"/>
          <w:sz w:val="24"/>
        </w:rPr>
        <w:t>）；</w:t>
      </w:r>
    </w:p>
    <w:p>
      <w:pPr>
        <w:widowControl/>
        <w:spacing w:line="360" w:lineRule="auto"/>
        <w:ind w:firstLine="480" w:firstLineChars="200"/>
        <w:rPr>
          <w:color w:val="000000"/>
          <w:kern w:val="0"/>
          <w:sz w:val="24"/>
        </w:rPr>
      </w:pPr>
      <w:r>
        <w:rPr>
          <w:color w:val="000000"/>
          <w:kern w:val="0"/>
          <w:sz w:val="24"/>
        </w:rPr>
        <w:t>3、《中华人民共和国水污染防治法》（</w:t>
      </w:r>
      <w:r>
        <w:rPr>
          <w:color w:val="000000"/>
          <w:sz w:val="24"/>
        </w:rPr>
        <w:t>2018年修订</w:t>
      </w:r>
      <w:r>
        <w:rPr>
          <w:color w:val="000000"/>
          <w:kern w:val="0"/>
          <w:sz w:val="24"/>
        </w:rPr>
        <w:t>）；</w:t>
      </w:r>
    </w:p>
    <w:p>
      <w:pPr>
        <w:widowControl/>
        <w:spacing w:line="360" w:lineRule="auto"/>
        <w:ind w:firstLine="480" w:firstLineChars="200"/>
        <w:rPr>
          <w:color w:val="000000"/>
          <w:kern w:val="0"/>
          <w:sz w:val="24"/>
        </w:rPr>
      </w:pPr>
      <w:r>
        <w:rPr>
          <w:color w:val="000000"/>
          <w:kern w:val="0"/>
          <w:sz w:val="24"/>
        </w:rPr>
        <w:t>4、《中华人民共和国固体废物污染环境防治法》（</w:t>
      </w:r>
      <w:r>
        <w:rPr>
          <w:color w:val="000000"/>
          <w:sz w:val="24"/>
        </w:rPr>
        <w:t>20</w:t>
      </w:r>
      <w:r>
        <w:rPr>
          <w:rFonts w:hint="eastAsia"/>
          <w:color w:val="000000"/>
          <w:sz w:val="24"/>
          <w:lang w:val="en-US" w:eastAsia="zh-CN"/>
        </w:rPr>
        <w:t>20</w:t>
      </w:r>
      <w:r>
        <w:rPr>
          <w:color w:val="000000"/>
          <w:sz w:val="24"/>
        </w:rPr>
        <w:t>年</w:t>
      </w:r>
      <w:r>
        <w:rPr>
          <w:rFonts w:hint="eastAsia"/>
          <w:color w:val="000000"/>
          <w:sz w:val="24"/>
          <w:lang w:val="en-US" w:eastAsia="zh-CN"/>
        </w:rPr>
        <w:t>12</w:t>
      </w:r>
      <w:r>
        <w:rPr>
          <w:rFonts w:hint="eastAsia"/>
          <w:color w:val="000000"/>
          <w:sz w:val="24"/>
        </w:rPr>
        <w:t>月</w:t>
      </w:r>
      <w:r>
        <w:rPr>
          <w:rFonts w:hint="eastAsia"/>
          <w:color w:val="000000"/>
          <w:sz w:val="24"/>
          <w:lang w:val="en-US" w:eastAsia="zh-CN"/>
        </w:rPr>
        <w:t>8</w:t>
      </w:r>
      <w:r>
        <w:rPr>
          <w:rFonts w:hint="eastAsia"/>
          <w:color w:val="000000"/>
          <w:sz w:val="24"/>
        </w:rPr>
        <w:t>发布</w:t>
      </w:r>
      <w:r>
        <w:rPr>
          <w:color w:val="000000"/>
          <w:kern w:val="0"/>
          <w:sz w:val="24"/>
        </w:rPr>
        <w:t>）；</w:t>
      </w:r>
    </w:p>
    <w:p>
      <w:pPr>
        <w:widowControl/>
        <w:spacing w:line="360" w:lineRule="auto"/>
        <w:ind w:firstLine="480" w:firstLineChars="200"/>
        <w:rPr>
          <w:color w:val="000000"/>
          <w:sz w:val="24"/>
        </w:rPr>
      </w:pPr>
      <w:r>
        <w:rPr>
          <w:color w:val="000000"/>
          <w:kern w:val="0"/>
          <w:sz w:val="24"/>
        </w:rPr>
        <w:t>5、《中华人民共和国安全生产法》（</w:t>
      </w:r>
      <w:r>
        <w:rPr>
          <w:rFonts w:hint="eastAsia"/>
          <w:color w:val="000000"/>
          <w:kern w:val="0"/>
          <w:sz w:val="24"/>
          <w:lang w:val="en-US" w:eastAsia="zh-CN"/>
        </w:rPr>
        <w:t>2021年修订，</w:t>
      </w:r>
      <w:r>
        <w:rPr>
          <w:color w:val="000000"/>
          <w:kern w:val="0"/>
          <w:sz w:val="24"/>
        </w:rPr>
        <w:t>20</w:t>
      </w:r>
      <w:r>
        <w:rPr>
          <w:rFonts w:hint="eastAsia"/>
          <w:color w:val="000000"/>
          <w:kern w:val="0"/>
          <w:sz w:val="24"/>
          <w:lang w:val="en-US" w:eastAsia="zh-CN"/>
        </w:rPr>
        <w:t>21</w:t>
      </w:r>
      <w:r>
        <w:rPr>
          <w:color w:val="000000"/>
          <w:kern w:val="0"/>
          <w:sz w:val="24"/>
        </w:rPr>
        <w:t>.</w:t>
      </w:r>
      <w:r>
        <w:rPr>
          <w:rFonts w:hint="eastAsia"/>
          <w:color w:val="000000"/>
          <w:kern w:val="0"/>
          <w:sz w:val="24"/>
          <w:lang w:val="en-US" w:eastAsia="zh-CN"/>
        </w:rPr>
        <w:t>9</w:t>
      </w:r>
      <w:r>
        <w:rPr>
          <w:color w:val="000000"/>
          <w:kern w:val="0"/>
          <w:sz w:val="24"/>
        </w:rPr>
        <w:t>.1施行）；</w:t>
      </w:r>
    </w:p>
    <w:p>
      <w:pPr>
        <w:widowControl/>
        <w:spacing w:line="360" w:lineRule="auto"/>
        <w:ind w:firstLine="480" w:firstLineChars="200"/>
        <w:rPr>
          <w:color w:val="000000"/>
          <w:sz w:val="24"/>
        </w:rPr>
      </w:pPr>
      <w:bookmarkStart w:id="32" w:name="_Toc403659284"/>
      <w:bookmarkStart w:id="33" w:name="_Toc383172912"/>
      <w:bookmarkStart w:id="34" w:name="_Toc405384450"/>
      <w:bookmarkStart w:id="35" w:name="_Toc396237142"/>
      <w:bookmarkStart w:id="36" w:name="_Toc396934052"/>
      <w:bookmarkStart w:id="37" w:name="_Toc396934276"/>
      <w:bookmarkStart w:id="38" w:name="_Toc405881460"/>
      <w:bookmarkStart w:id="39" w:name="_Toc399352106"/>
      <w:bookmarkStart w:id="40" w:name="_Toc383072705"/>
      <w:bookmarkStart w:id="41" w:name="_Toc408503002"/>
      <w:bookmarkStart w:id="42" w:name="_Toc402875617"/>
      <w:bookmarkStart w:id="43" w:name="_Toc395804883"/>
      <w:bookmarkStart w:id="44" w:name="_Toc378105578"/>
      <w:r>
        <w:rPr>
          <w:color w:val="000000"/>
          <w:sz w:val="24"/>
        </w:rPr>
        <w:t>6、</w:t>
      </w:r>
      <w:bookmarkEnd w:id="32"/>
      <w:bookmarkEnd w:id="33"/>
      <w:bookmarkEnd w:id="34"/>
      <w:bookmarkEnd w:id="35"/>
      <w:bookmarkEnd w:id="36"/>
      <w:bookmarkEnd w:id="37"/>
      <w:bookmarkEnd w:id="38"/>
      <w:bookmarkEnd w:id="39"/>
      <w:bookmarkEnd w:id="40"/>
      <w:bookmarkEnd w:id="41"/>
      <w:bookmarkEnd w:id="42"/>
      <w:bookmarkEnd w:id="43"/>
      <w:bookmarkEnd w:id="44"/>
      <w:r>
        <w:rPr>
          <w:color w:val="000000"/>
          <w:sz w:val="24"/>
        </w:rPr>
        <w:t>《中华人民共和国消防法》（中华人民共和国主席令第83号），20</w:t>
      </w:r>
      <w:r>
        <w:rPr>
          <w:rFonts w:hint="eastAsia"/>
          <w:color w:val="000000"/>
          <w:sz w:val="24"/>
          <w:lang w:val="en-US" w:eastAsia="zh-CN"/>
        </w:rPr>
        <w:t>21</w:t>
      </w:r>
      <w:r>
        <w:rPr>
          <w:color w:val="000000"/>
          <w:sz w:val="24"/>
        </w:rPr>
        <w:t>.</w:t>
      </w:r>
      <w:r>
        <w:rPr>
          <w:rFonts w:hint="eastAsia"/>
          <w:color w:val="000000"/>
          <w:sz w:val="24"/>
          <w:lang w:val="en-US" w:eastAsia="zh-CN"/>
        </w:rPr>
        <w:t>4</w:t>
      </w:r>
      <w:r>
        <w:rPr>
          <w:color w:val="000000"/>
          <w:sz w:val="24"/>
        </w:rPr>
        <w:t>.2</w:t>
      </w:r>
      <w:r>
        <w:rPr>
          <w:rFonts w:hint="eastAsia"/>
          <w:color w:val="000000"/>
          <w:sz w:val="24"/>
          <w:lang w:val="en-US" w:eastAsia="zh-CN"/>
        </w:rPr>
        <w:t>9</w:t>
      </w:r>
      <w:r>
        <w:rPr>
          <w:color w:val="000000"/>
          <w:sz w:val="24"/>
        </w:rPr>
        <w:t>；</w:t>
      </w:r>
    </w:p>
    <w:p>
      <w:pPr>
        <w:widowControl/>
        <w:spacing w:line="360" w:lineRule="auto"/>
        <w:ind w:firstLine="480" w:firstLineChars="200"/>
        <w:rPr>
          <w:color w:val="000000"/>
          <w:sz w:val="24"/>
        </w:rPr>
      </w:pPr>
      <w:r>
        <w:rPr>
          <w:color w:val="000000"/>
          <w:kern w:val="0"/>
          <w:sz w:val="24"/>
        </w:rPr>
        <w:t>7、</w:t>
      </w:r>
      <w:r>
        <w:rPr>
          <w:color w:val="000000"/>
          <w:sz w:val="24"/>
        </w:rPr>
        <w:t>《</w:t>
      </w:r>
      <w:r>
        <w:rPr>
          <w:color w:val="000000"/>
          <w:kern w:val="0"/>
          <w:sz w:val="24"/>
        </w:rPr>
        <w:t>中华人民共和国突发事件应对法》（</w:t>
      </w:r>
      <w:r>
        <w:rPr>
          <w:color w:val="000000"/>
          <w:sz w:val="24"/>
        </w:rPr>
        <w:t>2007年）；</w:t>
      </w:r>
    </w:p>
    <w:p>
      <w:pPr>
        <w:widowControl/>
        <w:spacing w:line="360" w:lineRule="auto"/>
        <w:ind w:firstLine="480" w:firstLineChars="200"/>
        <w:rPr>
          <w:color w:val="000000"/>
          <w:kern w:val="0"/>
          <w:sz w:val="24"/>
        </w:rPr>
      </w:pPr>
      <w:r>
        <w:rPr>
          <w:color w:val="000000"/>
          <w:kern w:val="0"/>
          <w:sz w:val="24"/>
        </w:rPr>
        <w:t>8、《国家突发环境事件应急预案》（国办函〔2014〕119号）；</w:t>
      </w:r>
    </w:p>
    <w:p>
      <w:pPr>
        <w:spacing w:line="360" w:lineRule="auto"/>
        <w:ind w:firstLine="480" w:firstLineChars="200"/>
        <w:rPr>
          <w:color w:val="000000"/>
          <w:sz w:val="24"/>
        </w:rPr>
      </w:pPr>
      <w:r>
        <w:rPr>
          <w:color w:val="000000"/>
          <w:sz w:val="24"/>
        </w:rPr>
        <w:t>9、《国务院办公厅关于印发国家突发环境事件应急预案的通知》（国办函[2014]119号）；</w:t>
      </w:r>
    </w:p>
    <w:p>
      <w:pPr>
        <w:spacing w:line="360" w:lineRule="auto"/>
        <w:ind w:firstLine="480" w:firstLineChars="200"/>
        <w:rPr>
          <w:color w:val="000000"/>
          <w:sz w:val="24"/>
        </w:rPr>
      </w:pPr>
      <w:r>
        <w:rPr>
          <w:color w:val="000000"/>
          <w:sz w:val="24"/>
        </w:rPr>
        <w:t>10、《关于印发〈企业事业单位突发环境事件应急预案备案管理办法（试行）的通知〉》（环保部环发[2015]4号）；</w:t>
      </w:r>
    </w:p>
    <w:p>
      <w:pPr>
        <w:spacing w:line="360" w:lineRule="auto"/>
        <w:ind w:firstLine="480" w:firstLineChars="200"/>
        <w:rPr>
          <w:color w:val="000000"/>
          <w:sz w:val="24"/>
        </w:rPr>
      </w:pPr>
      <w:r>
        <w:rPr>
          <w:color w:val="000000"/>
          <w:sz w:val="24"/>
        </w:rPr>
        <w:t>11、《突发环境事件信息报告办法》（环保部17号令，</w:t>
      </w:r>
      <w:r>
        <w:rPr>
          <w:color w:val="000000"/>
          <w:kern w:val="0"/>
          <w:sz w:val="24"/>
        </w:rPr>
        <w:t>2011.04.18</w:t>
      </w:r>
      <w:r>
        <w:rPr>
          <w:color w:val="000000"/>
          <w:sz w:val="24"/>
        </w:rPr>
        <w:t>）；</w:t>
      </w:r>
    </w:p>
    <w:p>
      <w:pPr>
        <w:spacing w:line="360" w:lineRule="auto"/>
        <w:ind w:firstLine="480" w:firstLineChars="200"/>
        <w:rPr>
          <w:color w:val="000000"/>
          <w:sz w:val="24"/>
        </w:rPr>
      </w:pPr>
      <w:r>
        <w:rPr>
          <w:color w:val="000000"/>
          <w:sz w:val="24"/>
        </w:rPr>
        <w:t>12、《国务院关于加强环境保护重点工作的意见》（国发[2011]35号）；</w:t>
      </w:r>
    </w:p>
    <w:p>
      <w:pPr>
        <w:spacing w:line="360" w:lineRule="auto"/>
        <w:ind w:firstLine="480" w:firstLineChars="200"/>
        <w:rPr>
          <w:color w:val="000000"/>
          <w:sz w:val="24"/>
        </w:rPr>
      </w:pPr>
      <w:r>
        <w:rPr>
          <w:color w:val="000000"/>
          <w:sz w:val="24"/>
        </w:rPr>
        <w:t>1</w:t>
      </w:r>
      <w:r>
        <w:rPr>
          <w:rFonts w:hint="eastAsia"/>
          <w:color w:val="000000"/>
          <w:sz w:val="24"/>
          <w:lang w:val="en-US" w:eastAsia="zh-CN"/>
        </w:rPr>
        <w:t>3</w:t>
      </w:r>
      <w:r>
        <w:rPr>
          <w:color w:val="000000"/>
          <w:sz w:val="24"/>
        </w:rPr>
        <w:t>、《国务院关于进一步加强企业安全生产工作的通知》（国发〔2010〕23号），2010.7.23；</w:t>
      </w:r>
    </w:p>
    <w:p>
      <w:pPr>
        <w:spacing w:line="360" w:lineRule="auto"/>
        <w:ind w:firstLine="480" w:firstLineChars="200"/>
        <w:rPr>
          <w:color w:val="000000"/>
          <w:sz w:val="24"/>
        </w:rPr>
      </w:pPr>
      <w:r>
        <w:rPr>
          <w:color w:val="000000"/>
          <w:sz w:val="24"/>
        </w:rPr>
        <w:t>1</w:t>
      </w:r>
      <w:r>
        <w:rPr>
          <w:rFonts w:hint="eastAsia"/>
          <w:color w:val="000000"/>
          <w:sz w:val="24"/>
          <w:lang w:val="en-US" w:eastAsia="zh-CN"/>
        </w:rPr>
        <w:t>4</w:t>
      </w:r>
      <w:r>
        <w:rPr>
          <w:color w:val="000000"/>
          <w:sz w:val="24"/>
        </w:rPr>
        <w:t>、《突发环境事件应急预案管理暂行办法》环发〔2010〕113号；</w:t>
      </w:r>
    </w:p>
    <w:p>
      <w:pPr>
        <w:spacing w:line="360" w:lineRule="auto"/>
        <w:ind w:firstLine="480" w:firstLineChars="200"/>
        <w:rPr>
          <w:color w:val="000000"/>
          <w:sz w:val="24"/>
        </w:rPr>
      </w:pPr>
      <w:r>
        <w:rPr>
          <w:rFonts w:hint="eastAsia"/>
          <w:color w:val="000000"/>
          <w:sz w:val="24"/>
          <w:lang w:val="en-US" w:eastAsia="zh-CN"/>
        </w:rPr>
        <w:t>15</w:t>
      </w:r>
      <w:r>
        <w:rPr>
          <w:color w:val="000000"/>
          <w:sz w:val="24"/>
        </w:rPr>
        <w:t>、《突发环境事件应急管理办法》（部令第34号2015.6.5施行）；</w:t>
      </w:r>
    </w:p>
    <w:p>
      <w:pPr>
        <w:spacing w:line="360" w:lineRule="auto"/>
        <w:ind w:firstLine="480" w:firstLineChars="200"/>
        <w:rPr>
          <w:color w:val="000000"/>
          <w:sz w:val="24"/>
        </w:rPr>
      </w:pPr>
      <w:r>
        <w:rPr>
          <w:rFonts w:hint="eastAsia"/>
          <w:color w:val="000000"/>
          <w:sz w:val="24"/>
          <w:lang w:val="en-US" w:eastAsia="zh-CN"/>
        </w:rPr>
        <w:t>16</w:t>
      </w:r>
      <w:r>
        <w:rPr>
          <w:color w:val="000000"/>
          <w:sz w:val="24"/>
        </w:rPr>
        <w:t>、《突发环境事件调查处理办法》（2015.3.1施行）；</w:t>
      </w:r>
    </w:p>
    <w:p>
      <w:pPr>
        <w:spacing w:line="360" w:lineRule="auto"/>
        <w:ind w:firstLine="480" w:firstLineChars="200"/>
        <w:rPr>
          <w:color w:val="000000"/>
          <w:sz w:val="24"/>
        </w:rPr>
      </w:pPr>
      <w:r>
        <w:rPr>
          <w:rFonts w:hint="eastAsia"/>
          <w:color w:val="000000"/>
          <w:sz w:val="24"/>
          <w:lang w:val="en-US" w:eastAsia="zh-CN"/>
        </w:rPr>
        <w:t>17</w:t>
      </w:r>
      <w:r>
        <w:rPr>
          <w:color w:val="000000"/>
          <w:sz w:val="24"/>
        </w:rPr>
        <w:t>、《关于进一步加强环境影响评价管理防范环境风险的通知》，环发〔2012〕77号，2012.7.3；</w:t>
      </w:r>
    </w:p>
    <w:p>
      <w:pPr>
        <w:spacing w:line="360" w:lineRule="auto"/>
        <w:ind w:firstLine="480" w:firstLineChars="200"/>
        <w:rPr>
          <w:color w:val="000000"/>
          <w:sz w:val="24"/>
        </w:rPr>
      </w:pPr>
      <w:bookmarkStart w:id="45" w:name="_Toc378105579"/>
      <w:bookmarkStart w:id="46" w:name="_Toc399352107"/>
      <w:bookmarkStart w:id="47" w:name="_Toc405881461"/>
      <w:bookmarkStart w:id="48" w:name="_Toc408503003"/>
      <w:bookmarkStart w:id="49" w:name="_Toc396237143"/>
      <w:bookmarkStart w:id="50" w:name="_Toc383072706"/>
      <w:bookmarkStart w:id="51" w:name="_Toc403659285"/>
      <w:bookmarkStart w:id="52" w:name="_Toc402875618"/>
      <w:bookmarkStart w:id="53" w:name="_Toc396934277"/>
      <w:bookmarkStart w:id="54" w:name="_Toc396934053"/>
      <w:bookmarkStart w:id="55" w:name="_Toc383172913"/>
      <w:bookmarkStart w:id="56" w:name="_Toc405384451"/>
      <w:bookmarkStart w:id="57" w:name="_Toc395804884"/>
      <w:r>
        <w:rPr>
          <w:rFonts w:hint="eastAsia"/>
          <w:color w:val="000000"/>
          <w:sz w:val="24"/>
          <w:lang w:val="en-US" w:eastAsia="zh-CN"/>
        </w:rPr>
        <w:t>18</w:t>
      </w:r>
      <w:r>
        <w:rPr>
          <w:color w:val="000000"/>
          <w:sz w:val="24"/>
        </w:rPr>
        <w:t>、《关于切实加强风险防范严格环境影响评价管理的通知》（环发〔2012〕98号）；</w:t>
      </w:r>
      <w:bookmarkEnd w:id="45"/>
      <w:bookmarkEnd w:id="46"/>
      <w:bookmarkEnd w:id="47"/>
      <w:bookmarkEnd w:id="48"/>
      <w:bookmarkEnd w:id="49"/>
      <w:bookmarkEnd w:id="50"/>
      <w:bookmarkEnd w:id="51"/>
      <w:bookmarkEnd w:id="52"/>
      <w:bookmarkEnd w:id="53"/>
      <w:bookmarkEnd w:id="54"/>
      <w:bookmarkEnd w:id="55"/>
      <w:bookmarkEnd w:id="56"/>
      <w:bookmarkEnd w:id="57"/>
    </w:p>
    <w:p>
      <w:pPr>
        <w:spacing w:line="360" w:lineRule="auto"/>
        <w:ind w:firstLine="480" w:firstLineChars="200"/>
        <w:rPr>
          <w:color w:val="000000"/>
          <w:sz w:val="24"/>
        </w:rPr>
      </w:pPr>
      <w:r>
        <w:rPr>
          <w:rFonts w:hint="eastAsia"/>
          <w:color w:val="000000"/>
          <w:sz w:val="24"/>
          <w:lang w:val="en-US" w:eastAsia="zh-CN"/>
        </w:rPr>
        <w:t>19</w:t>
      </w:r>
      <w:r>
        <w:rPr>
          <w:color w:val="000000"/>
          <w:sz w:val="24"/>
        </w:rPr>
        <w:t>、《安全生产事故应急预案管理办法》安监总局第88号令；</w:t>
      </w:r>
    </w:p>
    <w:p>
      <w:pPr>
        <w:spacing w:line="360" w:lineRule="auto"/>
        <w:ind w:firstLine="480" w:firstLineChars="200"/>
        <w:rPr>
          <w:color w:val="000000"/>
          <w:sz w:val="24"/>
        </w:rPr>
      </w:pPr>
      <w:r>
        <w:rPr>
          <w:color w:val="000000"/>
          <w:sz w:val="24"/>
        </w:rPr>
        <w:t>2</w:t>
      </w:r>
      <w:r>
        <w:rPr>
          <w:rFonts w:hint="eastAsia"/>
          <w:color w:val="000000"/>
          <w:sz w:val="24"/>
          <w:lang w:val="en-US" w:eastAsia="zh-CN"/>
        </w:rPr>
        <w:t>0</w:t>
      </w:r>
      <w:r>
        <w:rPr>
          <w:color w:val="000000"/>
          <w:sz w:val="24"/>
        </w:rPr>
        <w:t>、《国家危险废物名录》（</w:t>
      </w:r>
      <w:r>
        <w:rPr>
          <w:rFonts w:hint="eastAsia"/>
          <w:color w:val="000000"/>
          <w:sz w:val="24"/>
          <w:lang w:val="en-US" w:eastAsia="zh-CN"/>
        </w:rPr>
        <w:t>2021版</w:t>
      </w:r>
      <w:r>
        <w:rPr>
          <w:color w:val="000000"/>
          <w:sz w:val="24"/>
        </w:rPr>
        <w:t>）；</w:t>
      </w:r>
    </w:p>
    <w:p>
      <w:pPr>
        <w:spacing w:line="360" w:lineRule="auto"/>
        <w:ind w:firstLine="480" w:firstLineChars="200"/>
        <w:rPr>
          <w:color w:val="000000"/>
          <w:sz w:val="24"/>
        </w:rPr>
      </w:pPr>
      <w:bookmarkStart w:id="58" w:name="_Toc408503004"/>
      <w:bookmarkStart w:id="59" w:name="_Toc405384452"/>
      <w:bookmarkStart w:id="60" w:name="_Toc405881462"/>
      <w:bookmarkStart w:id="61" w:name="_Toc383172914"/>
      <w:bookmarkStart w:id="62" w:name="_Toc395804885"/>
      <w:bookmarkStart w:id="63" w:name="_Toc396934278"/>
      <w:bookmarkStart w:id="64" w:name="_Toc399352108"/>
      <w:bookmarkStart w:id="65" w:name="_Toc378105580"/>
      <w:bookmarkStart w:id="66" w:name="_Toc402875619"/>
      <w:bookmarkStart w:id="67" w:name="_Toc396237144"/>
      <w:bookmarkStart w:id="68" w:name="_Toc403659286"/>
      <w:bookmarkStart w:id="69" w:name="_Toc383072707"/>
      <w:bookmarkStart w:id="70" w:name="_Toc396934054"/>
      <w:r>
        <w:rPr>
          <w:color w:val="000000"/>
          <w:sz w:val="24"/>
        </w:rPr>
        <w:t>2</w:t>
      </w:r>
      <w:r>
        <w:rPr>
          <w:rFonts w:hint="eastAsia"/>
          <w:color w:val="000000"/>
          <w:sz w:val="24"/>
          <w:lang w:val="en-US" w:eastAsia="zh-CN"/>
        </w:rPr>
        <w:t>1</w:t>
      </w:r>
      <w:r>
        <w:rPr>
          <w:color w:val="000000"/>
          <w:sz w:val="24"/>
        </w:rPr>
        <w:t>、《危险化学品名录》（2015年5月1日起施行）；</w:t>
      </w:r>
      <w:bookmarkEnd w:id="58"/>
      <w:bookmarkEnd w:id="59"/>
      <w:bookmarkEnd w:id="60"/>
      <w:bookmarkEnd w:id="61"/>
      <w:bookmarkEnd w:id="62"/>
      <w:bookmarkEnd w:id="63"/>
      <w:bookmarkEnd w:id="64"/>
      <w:bookmarkEnd w:id="65"/>
      <w:bookmarkEnd w:id="66"/>
      <w:bookmarkEnd w:id="67"/>
      <w:bookmarkEnd w:id="68"/>
      <w:bookmarkEnd w:id="69"/>
      <w:bookmarkEnd w:id="70"/>
    </w:p>
    <w:p>
      <w:pPr>
        <w:spacing w:line="360" w:lineRule="auto"/>
        <w:ind w:firstLine="480" w:firstLineChars="200"/>
        <w:rPr>
          <w:color w:val="000000"/>
          <w:sz w:val="24"/>
        </w:rPr>
      </w:pPr>
      <w:r>
        <w:rPr>
          <w:color w:val="000000"/>
          <w:sz w:val="24"/>
        </w:rPr>
        <w:t>2</w:t>
      </w:r>
      <w:r>
        <w:rPr>
          <w:rFonts w:hint="eastAsia"/>
          <w:color w:val="000000"/>
          <w:sz w:val="24"/>
          <w:lang w:val="en-US" w:eastAsia="zh-CN"/>
        </w:rPr>
        <w:t>2</w:t>
      </w:r>
      <w:r>
        <w:rPr>
          <w:color w:val="000000"/>
          <w:sz w:val="24"/>
        </w:rPr>
        <w:t>、《突发事件应急预案管理办法》（国办函〔2013〕101号）；</w:t>
      </w:r>
    </w:p>
    <w:p>
      <w:pPr>
        <w:spacing w:line="360" w:lineRule="auto"/>
        <w:ind w:firstLine="480" w:firstLineChars="200"/>
        <w:rPr>
          <w:color w:val="000000"/>
          <w:sz w:val="24"/>
        </w:rPr>
      </w:pPr>
      <w:r>
        <w:rPr>
          <w:rFonts w:hint="eastAsia"/>
          <w:color w:val="000000"/>
          <w:sz w:val="24"/>
          <w:lang w:val="en-US" w:eastAsia="zh-CN"/>
        </w:rPr>
        <w:t>23</w:t>
      </w:r>
      <w:r>
        <w:rPr>
          <w:color w:val="000000"/>
          <w:sz w:val="24"/>
        </w:rPr>
        <w:t>、《国家安全监管总局关于公布首批重点监管的危险化工工艺目录的通知》（国家安全生产监督管理总局，安监总管三〔2009〕116号）；</w:t>
      </w:r>
    </w:p>
    <w:p>
      <w:pPr>
        <w:spacing w:line="360" w:lineRule="auto"/>
        <w:ind w:firstLine="480" w:firstLineChars="200"/>
        <w:rPr>
          <w:color w:val="000000"/>
          <w:sz w:val="24"/>
        </w:rPr>
      </w:pPr>
      <w:bookmarkStart w:id="71" w:name="_Toc62302637"/>
      <w:bookmarkStart w:id="72" w:name="_Toc63142456"/>
      <w:bookmarkStart w:id="73" w:name="_Toc63142633"/>
      <w:bookmarkStart w:id="74" w:name="_Toc63671558"/>
      <w:bookmarkStart w:id="75" w:name="_Toc63091780"/>
      <w:bookmarkStart w:id="76" w:name="_Toc63667299"/>
      <w:bookmarkStart w:id="77" w:name="_Toc63217917"/>
      <w:bookmarkStart w:id="78" w:name="_Toc63087538"/>
      <w:bookmarkStart w:id="79" w:name="_Toc63671053"/>
      <w:bookmarkStart w:id="80" w:name="_Toc63668490"/>
      <w:bookmarkStart w:id="81" w:name="_Toc63671352"/>
      <w:r>
        <w:rPr>
          <w:rFonts w:hint="eastAsia"/>
          <w:color w:val="000000"/>
          <w:sz w:val="24"/>
          <w:lang w:val="en-US" w:eastAsia="zh-CN"/>
        </w:rPr>
        <w:t>24</w:t>
      </w:r>
      <w:r>
        <w:rPr>
          <w:color w:val="000000"/>
          <w:sz w:val="24"/>
        </w:rPr>
        <w:t>、《江西省环境保护条例》（江西省人大，2008年修订）；</w:t>
      </w:r>
    </w:p>
    <w:p>
      <w:pPr>
        <w:spacing w:line="360" w:lineRule="auto"/>
        <w:ind w:firstLine="480" w:firstLineChars="200"/>
        <w:rPr>
          <w:rFonts w:ascii="仿宋" w:hAnsi="仿宋" w:eastAsia="仿宋" w:cs="仿宋"/>
          <w:color w:val="000000"/>
          <w:sz w:val="24"/>
        </w:rPr>
      </w:pPr>
      <w:r>
        <w:rPr>
          <w:rFonts w:hint="eastAsia"/>
          <w:color w:val="000000"/>
          <w:sz w:val="24"/>
          <w:lang w:val="en-US" w:eastAsia="zh-CN"/>
        </w:rPr>
        <w:t>25</w:t>
      </w:r>
      <w:r>
        <w:rPr>
          <w:color w:val="000000"/>
          <w:sz w:val="24"/>
        </w:rPr>
        <w:t>、《江西省突发环境事件应急预案》（赣府厅字[2016]14号）；</w:t>
      </w:r>
    </w:p>
    <w:bookmarkEnd w:id="71"/>
    <w:bookmarkEnd w:id="72"/>
    <w:bookmarkEnd w:id="73"/>
    <w:bookmarkEnd w:id="74"/>
    <w:bookmarkEnd w:id="75"/>
    <w:bookmarkEnd w:id="76"/>
    <w:bookmarkEnd w:id="77"/>
    <w:bookmarkEnd w:id="78"/>
    <w:bookmarkEnd w:id="79"/>
    <w:bookmarkEnd w:id="80"/>
    <w:bookmarkEnd w:id="81"/>
    <w:p>
      <w:pPr>
        <w:pStyle w:val="6"/>
      </w:pPr>
      <w:r>
        <w:t>1.</w:t>
      </w:r>
      <w:r>
        <w:rPr>
          <w:rFonts w:hint="eastAsia"/>
        </w:rPr>
        <w:t>2</w:t>
      </w:r>
      <w:r>
        <w:t>.2技术规范与标准</w:t>
      </w:r>
      <w:bookmarkEnd w:id="29"/>
      <w:bookmarkEnd w:id="30"/>
      <w:bookmarkEnd w:id="31"/>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w:t>
      </w:r>
      <w:r>
        <w:rPr>
          <w:rFonts w:hint="eastAsia" w:ascii="宋体" w:hAnsi="宋体" w:cs="宋体"/>
          <w:color w:val="000000"/>
          <w:kern w:val="0"/>
          <w:sz w:val="24"/>
        </w:rPr>
        <w:t>《企业突发环境事件风险评估指南（试行）》（环办[2014]34号印发）；</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kern w:val="0"/>
          <w:sz w:val="24"/>
        </w:rPr>
        <w:t>突发环境事件应急预案编制导则（企业版事业单位版）》；</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3、《危险化学品重大危险源辨识》（GB18218-2018）；</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4、《建设项目环境风险评价技术导则》（HJ/T169-20</w:t>
      </w:r>
      <w:r>
        <w:rPr>
          <w:rFonts w:hint="eastAsia" w:ascii="宋体" w:hAnsi="宋体" w:cs="宋体"/>
          <w:color w:val="000000"/>
          <w:sz w:val="24"/>
          <w:lang w:val="en-US" w:eastAsia="zh-CN"/>
        </w:rPr>
        <w:t>18</w:t>
      </w:r>
      <w:r>
        <w:rPr>
          <w:rFonts w:hint="eastAsia" w:ascii="宋体" w:hAnsi="宋体" w:cs="宋体"/>
          <w:color w:val="000000"/>
          <w:sz w:val="24"/>
        </w:rPr>
        <w:t>）；</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5、《企业突发环境事件风险分级方法》（HJ941－2018）；</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6、《企业突发环境事件隐患排查和治理工作指南（试行）》（环境保护部公告2016年第74号）；</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7、《地表水环境质量标准》（GB3838-2002）；</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8、《地下水质量标准》（GB-T14848-2017）；</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9、《环境空气质量标准》（GB3095-201</w:t>
      </w:r>
      <w:r>
        <w:rPr>
          <w:rFonts w:ascii="宋体" w:hAnsi="宋体" w:cs="宋体"/>
          <w:color w:val="000000"/>
          <w:sz w:val="24"/>
        </w:rPr>
        <w:t>2</w:t>
      </w:r>
      <w:r>
        <w:rPr>
          <w:rFonts w:hint="eastAsia" w:ascii="宋体" w:hAnsi="宋体" w:cs="宋体"/>
          <w:color w:val="000000"/>
          <w:sz w:val="24"/>
        </w:rPr>
        <w:t>）；</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10、《农田灌溉水质标准》（GB5084-20</w:t>
      </w:r>
      <w:r>
        <w:rPr>
          <w:rFonts w:hint="eastAsia" w:ascii="宋体" w:hAnsi="宋体" w:cs="宋体"/>
          <w:color w:val="000000"/>
          <w:sz w:val="24"/>
          <w:lang w:val="en-US" w:eastAsia="zh-CN"/>
        </w:rPr>
        <w:t>17</w:t>
      </w:r>
      <w:r>
        <w:rPr>
          <w:rFonts w:hint="eastAsia" w:ascii="宋体" w:hAnsi="宋体" w:cs="宋体"/>
          <w:color w:val="000000"/>
          <w:sz w:val="24"/>
        </w:rPr>
        <w:t>）；</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w:t>
      </w:r>
      <w:r>
        <w:rPr>
          <w:rFonts w:ascii="宋体" w:hAnsi="宋体" w:cs="宋体"/>
          <w:color w:val="000000"/>
          <w:sz w:val="24"/>
        </w:rPr>
        <w:t>1</w:t>
      </w:r>
      <w:r>
        <w:rPr>
          <w:rFonts w:hint="eastAsia" w:ascii="宋体" w:hAnsi="宋体" w:cs="宋体"/>
          <w:color w:val="000000"/>
          <w:sz w:val="24"/>
        </w:rPr>
        <w:t>、《工作场所有害因素职业接触限值第一部分：有害化学因素》（GBZ2.1-20</w:t>
      </w:r>
      <w:r>
        <w:rPr>
          <w:rFonts w:hint="eastAsia" w:ascii="宋体" w:hAnsi="宋体" w:cs="宋体"/>
          <w:color w:val="000000"/>
          <w:sz w:val="24"/>
          <w:lang w:val="en-US" w:eastAsia="zh-CN"/>
        </w:rPr>
        <w:t>19</w:t>
      </w:r>
      <w:r>
        <w:rPr>
          <w:rFonts w:hint="eastAsia" w:ascii="宋体" w:hAnsi="宋体" w:cs="宋体"/>
          <w:color w:val="000000"/>
          <w:sz w:val="24"/>
        </w:rPr>
        <w:t>）；</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12、《工业企业设计卫生标准》（GBZ-2010）；</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13、《危险货物品名表》（GB12268-2012）；</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14、《用电安全导则》GB/T13869-2008；</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15、《常用化学危险品储存通则》GB15603-1995；</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16、《危险场所电气防爆安全规范》AQ3009-2007。</w:t>
      </w:r>
    </w:p>
    <w:p>
      <w:pPr>
        <w:pStyle w:val="5"/>
      </w:pPr>
      <w:bookmarkStart w:id="82" w:name="_Toc15087"/>
      <w:bookmarkStart w:id="83" w:name="_Toc160532465"/>
      <w:bookmarkStart w:id="84" w:name="_Toc161808437"/>
      <w:bookmarkStart w:id="85" w:name="_Toc46857503"/>
      <w:bookmarkStart w:id="86" w:name="_Toc18351_WPSOffice_Level2"/>
      <w:bookmarkStart w:id="87" w:name="_Toc408503009"/>
      <w:bookmarkStart w:id="88" w:name="_Toc43202917"/>
      <w:bookmarkStart w:id="89" w:name="_Toc23663_WPSOffice_Level2"/>
      <w:r>
        <w:rPr>
          <w:rFonts w:hint="eastAsia"/>
        </w:rPr>
        <w:t>1.3适用范围</w:t>
      </w:r>
      <w:bookmarkEnd w:id="82"/>
      <w:bookmarkEnd w:id="83"/>
      <w:bookmarkEnd w:id="84"/>
      <w:bookmarkEnd w:id="85"/>
      <w:bookmarkEnd w:id="86"/>
      <w:bookmarkEnd w:id="87"/>
      <w:bookmarkEnd w:id="88"/>
      <w:bookmarkEnd w:id="89"/>
    </w:p>
    <w:p>
      <w:pPr>
        <w:adjustRightInd w:val="0"/>
        <w:snapToGrid w:val="0"/>
        <w:spacing w:line="360" w:lineRule="auto"/>
        <w:ind w:firstLine="570"/>
        <w:rPr>
          <w:rFonts w:hint="eastAsia" w:ascii="宋体" w:hAnsi="宋体" w:cs="宋体"/>
          <w:color w:val="000000"/>
          <w:sz w:val="24"/>
          <w:lang w:eastAsia="zh-CN"/>
        </w:rPr>
      </w:pPr>
      <w:r>
        <w:rPr>
          <w:rFonts w:hint="eastAsia" w:ascii="宋体" w:hAnsi="宋体" w:cs="宋体"/>
          <w:color w:val="000000"/>
          <w:sz w:val="24"/>
        </w:rPr>
        <w:t>本预案适用于</w:t>
      </w:r>
      <w:r>
        <w:rPr>
          <w:rFonts w:hint="eastAsia" w:ascii="宋体" w:hAnsi="宋体" w:cs="宋体"/>
          <w:color w:val="000000"/>
          <w:sz w:val="24"/>
          <w:lang w:eastAsia="zh-CN"/>
        </w:rPr>
        <w:t>宜春宇泽新能源有限公司年产8GW太阳能硅片扩建项目相关活动发生的以下各类突发环境事件的应急响应：</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w:t>
      </w:r>
      <w:r>
        <w:rPr>
          <w:rFonts w:hint="eastAsia" w:ascii="宋体" w:hAnsi="宋体" w:cs="宋体"/>
          <w:color w:val="000000"/>
          <w:sz w:val="24"/>
          <w:lang w:eastAsia="zh-CN"/>
        </w:rPr>
        <w:t>宜春宇泽新能源有限公司</w:t>
      </w:r>
      <w:r>
        <w:rPr>
          <w:rFonts w:hint="eastAsia" w:ascii="宋体" w:hAnsi="宋体" w:cs="宋体"/>
          <w:color w:val="000000"/>
          <w:sz w:val="24"/>
        </w:rPr>
        <w:t>涉及的化学品及其它有毒有害物品在生产、使用、储存过程中发生的火灾爆炸、中毒、泄漏等事故，由于这些事故等而引起的工作人员及周围人员的身体伤害及因此可能造成的人身伤亡事故；</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2、</w:t>
      </w:r>
      <w:r>
        <w:rPr>
          <w:rFonts w:hint="eastAsia" w:ascii="宋体" w:hAnsi="宋体" w:cs="宋体"/>
          <w:color w:val="000000"/>
          <w:sz w:val="24"/>
          <w:lang w:eastAsia="zh-CN"/>
        </w:rPr>
        <w:t>宜春宇泽新能源有限公司</w:t>
      </w:r>
      <w:r>
        <w:rPr>
          <w:rFonts w:hint="eastAsia" w:ascii="宋体" w:hAnsi="宋体" w:cs="宋体"/>
          <w:color w:val="000000"/>
          <w:sz w:val="24"/>
        </w:rPr>
        <w:t>在非正常工况或污染物处理装置非正常运转条件下向外环境排放污染物造成突发性环境污染事故；</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eastAsia="zh-CN"/>
        </w:rPr>
        <w:t>宜春宇泽新能源有限公司</w:t>
      </w:r>
      <w:r>
        <w:rPr>
          <w:rFonts w:hint="eastAsia" w:ascii="宋体" w:hAnsi="宋体" w:cs="宋体"/>
          <w:color w:val="000000"/>
          <w:sz w:val="24"/>
        </w:rPr>
        <w:t>发生泄漏等事故向外界排放污染物造成突发性环境污染事故；</w:t>
      </w:r>
    </w:p>
    <w:p>
      <w:pPr>
        <w:adjustRightInd w:val="0"/>
        <w:snapToGrid w:val="0"/>
        <w:spacing w:line="360" w:lineRule="auto"/>
        <w:ind w:firstLine="570"/>
        <w:rPr>
          <w:rFonts w:hint="eastAsia" w:ascii="宋体" w:hAnsi="宋体" w:cs="宋体"/>
          <w:color w:val="000000"/>
          <w:sz w:val="24"/>
        </w:rPr>
      </w:pPr>
      <w:r>
        <w:rPr>
          <w:rFonts w:hint="eastAsia" w:ascii="宋体" w:hAnsi="宋体" w:cs="宋体"/>
          <w:color w:val="000000"/>
          <w:sz w:val="24"/>
        </w:rPr>
        <w:t>4、</w:t>
      </w:r>
      <w:r>
        <w:rPr>
          <w:rFonts w:hint="eastAsia" w:ascii="宋体" w:hAnsi="宋体" w:cs="宋体"/>
          <w:color w:val="000000"/>
          <w:sz w:val="24"/>
          <w:lang w:eastAsia="zh-CN"/>
        </w:rPr>
        <w:t>宜春宇泽新能源有限公司</w:t>
      </w:r>
      <w:r>
        <w:rPr>
          <w:rFonts w:hint="eastAsia" w:ascii="宋体" w:hAnsi="宋体" w:cs="宋体"/>
          <w:color w:val="000000"/>
          <w:sz w:val="24"/>
        </w:rPr>
        <w:t>由于自然条件（地震、暴雨等自然灾害等）造成的突发性环境污染事故。</w:t>
      </w:r>
    </w:p>
    <w:p>
      <w:pPr>
        <w:pStyle w:val="5"/>
        <w:bidi w:val="0"/>
      </w:pPr>
      <w:bookmarkStart w:id="90" w:name="_Toc43202918"/>
      <w:bookmarkStart w:id="91" w:name="_Toc46857504"/>
      <w:bookmarkStart w:id="92" w:name="_Toc21989"/>
      <w:r>
        <w:rPr>
          <w:rFonts w:hint="eastAsia"/>
        </w:rPr>
        <w:t>1.4 应急预案编制程序和内容</w:t>
      </w:r>
      <w:bookmarkEnd w:id="90"/>
      <w:bookmarkEnd w:id="91"/>
      <w:bookmarkEnd w:id="92"/>
    </w:p>
    <w:p>
      <w:pPr>
        <w:pStyle w:val="6"/>
      </w:pPr>
      <w:bookmarkStart w:id="93" w:name="_Toc43202919"/>
      <w:bookmarkStart w:id="94" w:name="_Toc30264_WPSOffice_Level2"/>
      <w:bookmarkStart w:id="95" w:name="_Toc336166260"/>
      <w:bookmarkStart w:id="96" w:name="_Toc19498_WPSOffice_Level2"/>
      <w:bookmarkStart w:id="97" w:name="_Toc339202949"/>
      <w:bookmarkStart w:id="98" w:name="_Toc408503010"/>
      <w:bookmarkStart w:id="99" w:name="_Toc334558297"/>
      <w:bookmarkStart w:id="100" w:name="_Toc335058695"/>
      <w:bookmarkStart w:id="101" w:name="_Toc345416681"/>
      <w:r>
        <w:rPr>
          <w:rFonts w:hint="eastAsia"/>
        </w:rPr>
        <w:t>1.4.1  编制程序</w:t>
      </w:r>
      <w:bookmarkEnd w:id="93"/>
    </w:p>
    <w:p>
      <w:pPr>
        <w:adjustRightInd w:val="0"/>
        <w:snapToGrid w:val="0"/>
        <w:spacing w:line="360" w:lineRule="auto"/>
        <w:ind w:firstLine="570"/>
        <w:jc w:val="both"/>
        <w:rPr>
          <w:rFonts w:hint="eastAsia" w:ascii="宋体" w:hAnsi="宋体" w:eastAsia="宋体" w:cs="宋体"/>
          <w:color w:val="000000"/>
          <w:sz w:val="24"/>
          <w:lang w:eastAsia="zh-CN"/>
        </w:rPr>
      </w:pPr>
      <w:bookmarkStart w:id="102" w:name="_Toc46857505"/>
      <w:bookmarkStart w:id="103" w:name="_Toc273"/>
      <w:bookmarkStart w:id="104" w:name="_Toc46857349"/>
      <w:bookmarkStart w:id="105" w:name="_Toc43202920"/>
      <w:bookmarkStart w:id="106" w:name="_Toc6822"/>
      <w:bookmarkStart w:id="107" w:name="_Toc43477541"/>
      <w:bookmarkStart w:id="108" w:name="_Toc13322"/>
      <w:bookmarkStart w:id="109" w:name="_Toc45742161"/>
      <w:bookmarkStart w:id="110" w:name="_Toc5394"/>
      <w:bookmarkStart w:id="111" w:name="_Toc45464725"/>
      <w:bookmarkStart w:id="112" w:name="_Toc20128"/>
      <w:bookmarkStart w:id="113" w:name="_Toc13302"/>
      <w:r>
        <w:rPr>
          <w:rFonts w:hint="eastAsia" w:ascii="宋体" w:hAnsi="宋体" w:eastAsia="宋体" w:cs="宋体"/>
          <w:color w:val="000000"/>
          <w:sz w:val="24"/>
          <w:lang w:eastAsia="zh-CN"/>
        </w:rPr>
        <w:t>本预案编制严格参照《突发环境事件应急预案管理暂行办法》（环发[2010]113 号）的规定进行，编制程序见图 1.4-1。</w:t>
      </w:r>
      <w:bookmarkEnd w:id="102"/>
      <w:bookmarkEnd w:id="103"/>
      <w:bookmarkEnd w:id="104"/>
      <w:bookmarkEnd w:id="105"/>
      <w:bookmarkEnd w:id="106"/>
      <w:bookmarkEnd w:id="107"/>
      <w:bookmarkEnd w:id="108"/>
      <w:bookmarkEnd w:id="109"/>
      <w:bookmarkEnd w:id="110"/>
      <w:bookmarkEnd w:id="111"/>
      <w:bookmarkEnd w:id="112"/>
      <w:bookmarkEnd w:id="113"/>
    </w:p>
    <w:p>
      <w:pPr>
        <w:bidi w:val="0"/>
      </w:pPr>
      <w:r>
        <w:rPr>
          <w:rFonts w:hint="eastAsia"/>
        </w:rPr>
        <w:drawing>
          <wp:inline distT="0" distB="0" distL="114300" distR="114300">
            <wp:extent cx="5754370" cy="4414520"/>
            <wp:effectExtent l="0" t="0" r="17780" b="5080"/>
            <wp:docPr id="7" name="图片 7" descr="4c5554576b7504a026e852be8c970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c5554576b7504a026e852be8c970c5"/>
                    <pic:cNvPicPr>
                      <a:picLocks noChangeAspect="1"/>
                    </pic:cNvPicPr>
                  </pic:nvPicPr>
                  <pic:blipFill>
                    <a:blip r:embed="rId15" cstate="print"/>
                    <a:stretch>
                      <a:fillRect/>
                    </a:stretch>
                  </pic:blipFill>
                  <pic:spPr>
                    <a:xfrm>
                      <a:off x="0" y="0"/>
                      <a:ext cx="5754370" cy="4414520"/>
                    </a:xfrm>
                    <a:prstGeom prst="rect">
                      <a:avLst/>
                    </a:prstGeom>
                  </pic:spPr>
                </pic:pic>
              </a:graphicData>
            </a:graphic>
          </wp:inline>
        </w:drawing>
      </w:r>
    </w:p>
    <w:p>
      <w:pPr>
        <w:jc w:val="center"/>
        <w:rPr>
          <w:rFonts w:ascii="宋体" w:hAnsi="宋体" w:cs="宋体"/>
          <w:b/>
          <w:bCs/>
          <w:sz w:val="24"/>
        </w:rPr>
      </w:pPr>
      <w:r>
        <w:rPr>
          <w:rFonts w:hint="eastAsia" w:ascii="宋体" w:hAnsi="宋体" w:cs="宋体"/>
          <w:b/>
          <w:bCs/>
          <w:sz w:val="24"/>
        </w:rPr>
        <w:t>图 1.4-1  突发环境事件应急预案编制程序</w:t>
      </w:r>
    </w:p>
    <w:p>
      <w:pPr>
        <w:pStyle w:val="6"/>
      </w:pPr>
      <w:bookmarkStart w:id="114" w:name="_Toc43202921"/>
      <w:r>
        <w:rPr>
          <w:rFonts w:hint="eastAsia"/>
        </w:rPr>
        <w:t>1.4.2  编制内容</w:t>
      </w:r>
      <w:bookmarkEnd w:id="114"/>
    </w:p>
    <w:p>
      <w:pPr>
        <w:adjustRightInd w:val="0"/>
        <w:snapToGrid w:val="0"/>
        <w:spacing w:line="360" w:lineRule="auto"/>
        <w:ind w:firstLine="570"/>
        <w:rPr>
          <w:rFonts w:hint="eastAsia" w:ascii="宋体" w:hAnsi="宋体" w:eastAsia="宋体" w:cs="宋体"/>
          <w:color w:val="000000"/>
          <w:sz w:val="24"/>
        </w:rPr>
      </w:pPr>
      <w:bookmarkStart w:id="115" w:name="_Toc43477542"/>
      <w:bookmarkStart w:id="116" w:name="_Toc46857506"/>
      <w:bookmarkStart w:id="117" w:name="_Toc28589"/>
      <w:bookmarkStart w:id="118" w:name="_Toc21481"/>
      <w:bookmarkStart w:id="119" w:name="_Toc13003"/>
      <w:bookmarkStart w:id="120" w:name="_Toc45742162"/>
      <w:bookmarkStart w:id="121" w:name="_Toc46857350"/>
      <w:bookmarkStart w:id="122" w:name="_Toc43202922"/>
      <w:bookmarkStart w:id="123" w:name="_Toc45464726"/>
      <w:bookmarkStart w:id="124" w:name="_Toc28118"/>
      <w:bookmarkStart w:id="125" w:name="_Toc20798"/>
      <w:bookmarkStart w:id="126" w:name="_Toc25616"/>
      <w:r>
        <w:rPr>
          <w:rFonts w:hint="eastAsia" w:ascii="宋体" w:hAnsi="宋体" w:eastAsia="宋体" w:cs="宋体"/>
          <w:color w:val="000000"/>
          <w:sz w:val="24"/>
        </w:rPr>
        <w:t>本预案的编制内容包括企业概况、企业环境风险辨识、风险防控和应急差距、应急</w:t>
      </w:r>
      <w:bookmarkEnd w:id="115"/>
      <w:bookmarkEnd w:id="116"/>
      <w:bookmarkEnd w:id="117"/>
      <w:bookmarkEnd w:id="118"/>
      <w:bookmarkEnd w:id="119"/>
      <w:bookmarkEnd w:id="120"/>
      <w:bookmarkEnd w:id="121"/>
      <w:bookmarkEnd w:id="122"/>
      <w:bookmarkEnd w:id="123"/>
      <w:bookmarkEnd w:id="124"/>
      <w:bookmarkEnd w:id="125"/>
      <w:bookmarkEnd w:id="126"/>
      <w:bookmarkStart w:id="127" w:name="_Toc43202923"/>
      <w:bookmarkStart w:id="128" w:name="_Toc46857507"/>
      <w:bookmarkStart w:id="129" w:name="_Toc24324"/>
      <w:bookmarkStart w:id="130" w:name="_Toc17638"/>
      <w:bookmarkStart w:id="131" w:name="_Toc45464727"/>
      <w:bookmarkStart w:id="132" w:name="_Toc46857351"/>
      <w:bookmarkStart w:id="133" w:name="_Toc27266"/>
      <w:bookmarkStart w:id="134" w:name="_Toc17289"/>
      <w:bookmarkStart w:id="135" w:name="_Toc45742163"/>
      <w:bookmarkStart w:id="136" w:name="_Toc12148"/>
      <w:bookmarkStart w:id="137" w:name="_Toc43477543"/>
      <w:bookmarkStart w:id="138" w:name="_Toc2824"/>
      <w:r>
        <w:rPr>
          <w:rFonts w:hint="eastAsia" w:ascii="宋体" w:hAnsi="宋体" w:eastAsia="宋体" w:cs="宋体"/>
          <w:color w:val="000000"/>
          <w:sz w:val="24"/>
        </w:rPr>
        <w:t>组织机构与职责、预防和预警机制、应急响应和措施、后期处置、保障措施、监督管理</w:t>
      </w:r>
      <w:bookmarkEnd w:id="127"/>
      <w:bookmarkEnd w:id="128"/>
      <w:bookmarkEnd w:id="129"/>
      <w:bookmarkEnd w:id="130"/>
      <w:bookmarkEnd w:id="131"/>
      <w:bookmarkEnd w:id="132"/>
      <w:bookmarkEnd w:id="133"/>
      <w:bookmarkEnd w:id="134"/>
      <w:bookmarkEnd w:id="135"/>
      <w:bookmarkEnd w:id="136"/>
      <w:bookmarkEnd w:id="137"/>
      <w:bookmarkEnd w:id="138"/>
      <w:bookmarkStart w:id="139" w:name="_Toc45464728"/>
      <w:bookmarkStart w:id="140" w:name="_Toc2751"/>
      <w:bookmarkStart w:id="141" w:name="_Toc46857508"/>
      <w:bookmarkStart w:id="142" w:name="_Toc45742164"/>
      <w:bookmarkStart w:id="143" w:name="_Toc46857352"/>
      <w:bookmarkStart w:id="144" w:name="_Toc29232"/>
      <w:bookmarkStart w:id="145" w:name="_Toc13724"/>
      <w:bookmarkStart w:id="146" w:name="_Toc43477544"/>
      <w:bookmarkStart w:id="147" w:name="_Toc43202924"/>
      <w:bookmarkStart w:id="148" w:name="_Toc24453"/>
      <w:bookmarkStart w:id="149" w:name="_Toc15992"/>
      <w:bookmarkStart w:id="150" w:name="_Toc26794"/>
      <w:r>
        <w:rPr>
          <w:rFonts w:hint="eastAsia" w:ascii="宋体" w:hAnsi="宋体" w:eastAsia="宋体" w:cs="宋体"/>
          <w:color w:val="000000"/>
          <w:sz w:val="24"/>
        </w:rPr>
        <w:t>及附则、附表、附图和附件。</w:t>
      </w:r>
      <w:bookmarkEnd w:id="139"/>
      <w:bookmarkEnd w:id="140"/>
      <w:bookmarkEnd w:id="141"/>
      <w:bookmarkEnd w:id="142"/>
      <w:bookmarkEnd w:id="143"/>
      <w:bookmarkEnd w:id="144"/>
      <w:bookmarkEnd w:id="145"/>
      <w:bookmarkEnd w:id="146"/>
      <w:bookmarkEnd w:id="147"/>
      <w:bookmarkEnd w:id="148"/>
      <w:bookmarkEnd w:id="149"/>
      <w:bookmarkEnd w:id="150"/>
    </w:p>
    <w:p>
      <w:pPr>
        <w:pStyle w:val="5"/>
      </w:pPr>
      <w:bookmarkStart w:id="151" w:name="_Toc2656"/>
      <w:bookmarkStart w:id="152" w:name="_Toc43202925"/>
      <w:bookmarkStart w:id="153" w:name="_Toc46857509"/>
      <w:r>
        <w:t>1.</w:t>
      </w:r>
      <w:bookmarkEnd w:id="94"/>
      <w:bookmarkEnd w:id="95"/>
      <w:bookmarkEnd w:id="96"/>
      <w:bookmarkEnd w:id="97"/>
      <w:bookmarkEnd w:id="98"/>
      <w:bookmarkEnd w:id="99"/>
      <w:bookmarkEnd w:id="100"/>
      <w:bookmarkEnd w:id="101"/>
      <w:r>
        <w:rPr>
          <w:rFonts w:hint="eastAsia"/>
        </w:rPr>
        <w:t>5突发环境事件分级标准</w:t>
      </w:r>
      <w:bookmarkEnd w:id="151"/>
      <w:bookmarkEnd w:id="152"/>
      <w:bookmarkEnd w:id="153"/>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根据《国家突发环境事件应急预案》，突发环境事件按照严重性和紧急程度，分为特别重大环境事件（Ⅰ级）、重大环境事件（Ⅱ级）、较大环境事件（Ⅲ级）和一般环境事件（Ⅳ级）四级。具体如下：</w:t>
      </w:r>
    </w:p>
    <w:p>
      <w:pPr>
        <w:pStyle w:val="6"/>
      </w:pPr>
      <w:bookmarkStart w:id="154" w:name="_Toc43202926"/>
      <w:r>
        <w:rPr>
          <w:rFonts w:hint="eastAsia"/>
        </w:rPr>
        <w:t>l.5.1  特别重大环境事件（Ⅰ级）</w:t>
      </w:r>
      <w:bookmarkEnd w:id="154"/>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凡符合下列情形之一的，为特别重大环境事件：</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（1）发生 30 人以上死亡，或中毒（重伤）100 人以上；</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（2）因环境事件需疏散、转移群众 5 万人以上，或直接经济损失 1000 万元以上；</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（3）区域生态功能严重丧失或濒危物种生存环境遭到严重污染；</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（4）因环境污染使当地正常的经济、社会活动受到严重影响；</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（5）利用放射性物质进行人为破坏事件，或 1、2 类放射源失控造成大范围严重辐</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射污染后果；</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（6）因环境污染造成重要城市主要水源地取水中断的污染事故；</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（7）因危险化学品（含剧毒品）生产和贮运中发生泄漏，严重影响人民群众生产、</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生活的污染事故。</w:t>
      </w:r>
    </w:p>
    <w:p>
      <w:pPr>
        <w:pStyle w:val="6"/>
      </w:pPr>
      <w:bookmarkStart w:id="155" w:name="_Toc43202927"/>
      <w:r>
        <w:rPr>
          <w:rFonts w:hint="eastAsia"/>
        </w:rPr>
        <w:t>1.5.2  重大环境事件（Ⅱ级）</w:t>
      </w:r>
      <w:bookmarkEnd w:id="155"/>
    </w:p>
    <w:p>
      <w:pPr>
        <w:pStyle w:val="38"/>
        <w:spacing w:line="360" w:lineRule="auto"/>
        <w:rPr>
          <w:rFonts w:ascii="宋体" w:hAnsi="宋体" w:eastAsia="宋体" w:cs="宋体"/>
        </w:rPr>
      </w:pPr>
      <w:r>
        <w:rPr>
          <w:rFonts w:hint="eastAsia" w:ascii="宋体" w:hAnsi="宋体" w:eastAsia="宋体" w:cs="宋体"/>
        </w:rPr>
        <w:t>凡符合下列情形之一的，为重大环境事件：</w:t>
      </w:r>
    </w:p>
    <w:p>
      <w:pPr>
        <w:pStyle w:val="38"/>
        <w:spacing w:line="360" w:lineRule="auto"/>
        <w:rPr>
          <w:rFonts w:ascii="宋体" w:hAnsi="宋体" w:eastAsia="宋体" w:cs="宋体"/>
        </w:rPr>
      </w:pPr>
      <w:r>
        <w:rPr>
          <w:rFonts w:hint="eastAsia" w:ascii="宋体" w:hAnsi="宋体" w:eastAsia="宋体" w:cs="宋体"/>
        </w:rPr>
        <w:t>（1）发生 10 人以上、30 人以下死亡，或中毒（重伤）50 人以上、100 人以下；</w:t>
      </w:r>
    </w:p>
    <w:p>
      <w:pPr>
        <w:pStyle w:val="38"/>
        <w:spacing w:line="360" w:lineRule="auto"/>
        <w:rPr>
          <w:rFonts w:ascii="宋体" w:hAnsi="宋体" w:eastAsia="宋体" w:cs="宋体"/>
        </w:rPr>
      </w:pPr>
      <w:r>
        <w:rPr>
          <w:rFonts w:hint="eastAsia" w:ascii="宋体" w:hAnsi="宋体" w:eastAsia="宋体" w:cs="宋体"/>
        </w:rPr>
        <w:t>（2）区域生态功能部分丧失或濒危物种生存环境受到污染；</w:t>
      </w:r>
    </w:p>
    <w:p>
      <w:pPr>
        <w:pStyle w:val="38"/>
        <w:spacing w:line="360" w:lineRule="auto"/>
        <w:rPr>
          <w:rFonts w:ascii="宋体" w:hAnsi="宋体" w:eastAsia="宋体" w:cs="宋体"/>
        </w:rPr>
      </w:pPr>
      <w:r>
        <w:rPr>
          <w:rFonts w:hint="eastAsia" w:ascii="宋体" w:hAnsi="宋体" w:eastAsia="宋体" w:cs="宋体"/>
        </w:rPr>
        <w:t>（3）因环境污染使当地经济、社会活动受到较大影响，疏散转移群众 1 万人以上、</w:t>
      </w:r>
    </w:p>
    <w:p>
      <w:pPr>
        <w:pStyle w:val="38"/>
        <w:spacing w:line="360" w:lineRule="auto"/>
        <w:rPr>
          <w:rFonts w:ascii="宋体" w:hAnsi="宋体" w:eastAsia="宋体" w:cs="宋体"/>
        </w:rPr>
      </w:pPr>
      <w:r>
        <w:rPr>
          <w:rFonts w:hint="eastAsia" w:ascii="宋体" w:hAnsi="宋体" w:eastAsia="宋体" w:cs="宋体"/>
        </w:rPr>
        <w:t>5 万人以下的；</w:t>
      </w:r>
    </w:p>
    <w:p>
      <w:pPr>
        <w:pStyle w:val="38"/>
        <w:spacing w:line="360" w:lineRule="auto"/>
        <w:rPr>
          <w:rFonts w:ascii="宋体" w:hAnsi="宋体" w:eastAsia="宋体" w:cs="宋体"/>
        </w:rPr>
      </w:pPr>
      <w:r>
        <w:rPr>
          <w:rFonts w:hint="eastAsia" w:ascii="宋体" w:hAnsi="宋体" w:eastAsia="宋体" w:cs="宋体"/>
        </w:rPr>
        <w:t>（4）1、2 类放射源丢失、被盗或失控；</w:t>
      </w:r>
    </w:p>
    <w:p>
      <w:pPr>
        <w:pStyle w:val="38"/>
        <w:spacing w:line="360" w:lineRule="auto"/>
        <w:rPr>
          <w:rFonts w:ascii="宋体" w:hAnsi="宋体" w:eastAsia="宋体" w:cs="宋体"/>
        </w:rPr>
      </w:pPr>
      <w:r>
        <w:rPr>
          <w:rFonts w:hint="eastAsia" w:ascii="宋体" w:hAnsi="宋体" w:eastAsia="宋体" w:cs="宋体"/>
        </w:rPr>
        <w:t>（5）因环境污染造成重要河流、湖泊、水库及沿海水域大面积污染，或县级以上城</w:t>
      </w:r>
    </w:p>
    <w:p>
      <w:pPr>
        <w:pStyle w:val="38"/>
        <w:spacing w:line="360" w:lineRule="auto"/>
        <w:rPr>
          <w:rFonts w:ascii="宋体" w:hAnsi="宋体" w:eastAsia="宋体" w:cs="宋体"/>
        </w:rPr>
      </w:pPr>
      <w:r>
        <w:rPr>
          <w:rFonts w:hint="eastAsia" w:ascii="宋体" w:hAnsi="宋体" w:eastAsia="宋体" w:cs="宋体"/>
        </w:rPr>
        <w:t>镇水源地取水中断的污染事件。</w:t>
      </w:r>
    </w:p>
    <w:p>
      <w:pPr>
        <w:pStyle w:val="6"/>
      </w:pPr>
      <w:bookmarkStart w:id="156" w:name="_Toc43202928"/>
      <w:r>
        <w:rPr>
          <w:rFonts w:hint="eastAsia"/>
        </w:rPr>
        <w:t>1.5.3  较大环境事件（Ⅲ级）</w:t>
      </w:r>
      <w:bookmarkEnd w:id="156"/>
    </w:p>
    <w:p>
      <w:pPr>
        <w:spacing w:line="360" w:lineRule="auto"/>
        <w:ind w:firstLine="480" w:firstLineChars="200"/>
        <w:rPr>
          <w:rFonts w:ascii="宋体" w:hAnsi="宋体" w:cs="宋体"/>
          <w:sz w:val="24"/>
        </w:rPr>
      </w:pPr>
      <w:r>
        <w:rPr>
          <w:rFonts w:hint="eastAsia" w:ascii="宋体" w:hAnsi="宋体" w:cs="宋体"/>
          <w:sz w:val="24"/>
        </w:rPr>
        <w:t>凡符合下列情形之一的，为较大环境事件：</w:t>
      </w:r>
    </w:p>
    <w:p>
      <w:pPr>
        <w:spacing w:line="360" w:lineRule="auto"/>
        <w:ind w:firstLine="480" w:firstLineChars="200"/>
        <w:rPr>
          <w:rFonts w:ascii="宋体" w:hAnsi="宋体" w:cs="宋体"/>
          <w:sz w:val="24"/>
        </w:rPr>
      </w:pPr>
      <w:r>
        <w:rPr>
          <w:rFonts w:hint="eastAsia" w:ascii="宋体" w:hAnsi="宋体" w:cs="宋体"/>
          <w:sz w:val="24"/>
        </w:rPr>
        <w:t>（1）发生 3 人以上、10 人以下死亡，或中毒（重伤）50 人以下；</w:t>
      </w:r>
    </w:p>
    <w:p>
      <w:pPr>
        <w:spacing w:line="360" w:lineRule="auto"/>
        <w:ind w:firstLine="480" w:firstLineChars="200"/>
        <w:rPr>
          <w:rFonts w:ascii="宋体" w:hAnsi="宋体" w:cs="宋体"/>
          <w:sz w:val="24"/>
        </w:rPr>
      </w:pPr>
      <w:r>
        <w:rPr>
          <w:rFonts w:hint="eastAsia" w:ascii="宋体" w:hAnsi="宋体" w:cs="宋体"/>
          <w:sz w:val="24"/>
        </w:rPr>
        <w:t>（2）因环境污染造成跨地级行政区域纠纷，使当地经济、社会活动受到影响；</w:t>
      </w:r>
    </w:p>
    <w:p>
      <w:pPr>
        <w:spacing w:line="360" w:lineRule="auto"/>
        <w:ind w:firstLine="480" w:firstLineChars="200"/>
        <w:rPr>
          <w:rFonts w:ascii="宋体" w:hAnsi="宋体" w:cs="宋体"/>
          <w:sz w:val="24"/>
        </w:rPr>
      </w:pPr>
      <w:r>
        <w:rPr>
          <w:rFonts w:hint="eastAsia" w:ascii="宋体" w:hAnsi="宋体" w:cs="宋体"/>
          <w:sz w:val="24"/>
        </w:rPr>
        <w:t>（3）3 类放射源丢失、被盗或失控。</w:t>
      </w:r>
    </w:p>
    <w:p>
      <w:pPr>
        <w:pStyle w:val="6"/>
      </w:pPr>
      <w:bookmarkStart w:id="157" w:name="_Toc43202929"/>
      <w:r>
        <w:rPr>
          <w:rFonts w:hint="eastAsia"/>
        </w:rPr>
        <w:t>l.5.4  一般环境事件（Ⅳ级）</w:t>
      </w:r>
      <w:bookmarkEnd w:id="157"/>
    </w:p>
    <w:p>
      <w:pPr>
        <w:spacing w:line="360" w:lineRule="auto"/>
        <w:ind w:firstLine="480" w:firstLineChars="200"/>
        <w:rPr>
          <w:rFonts w:ascii="宋体" w:hAnsi="宋体" w:cs="宋体"/>
          <w:sz w:val="24"/>
        </w:rPr>
      </w:pPr>
      <w:r>
        <w:rPr>
          <w:rFonts w:hint="eastAsia" w:ascii="宋体" w:hAnsi="宋体" w:cs="宋体"/>
          <w:sz w:val="24"/>
        </w:rPr>
        <w:t>凡符合下列情形之一的，为一般环境事件：</w:t>
      </w:r>
    </w:p>
    <w:p>
      <w:pPr>
        <w:spacing w:line="360" w:lineRule="auto"/>
        <w:ind w:firstLine="480" w:firstLineChars="200"/>
        <w:rPr>
          <w:rFonts w:ascii="宋体" w:hAnsi="宋体" w:cs="宋体"/>
          <w:sz w:val="24"/>
        </w:rPr>
      </w:pPr>
      <w:r>
        <w:rPr>
          <w:rFonts w:hint="eastAsia" w:ascii="宋体" w:hAnsi="宋体" w:cs="宋体"/>
          <w:sz w:val="24"/>
        </w:rPr>
        <w:t>（1）发生 3 人以下死亡；</w:t>
      </w:r>
    </w:p>
    <w:p>
      <w:pPr>
        <w:spacing w:line="360" w:lineRule="auto"/>
        <w:ind w:firstLine="480" w:firstLineChars="200"/>
        <w:rPr>
          <w:rFonts w:ascii="宋体" w:hAnsi="宋体" w:cs="宋体"/>
          <w:sz w:val="24"/>
        </w:rPr>
      </w:pPr>
      <w:r>
        <w:rPr>
          <w:rFonts w:hint="eastAsia" w:ascii="宋体" w:hAnsi="宋体" w:cs="宋体"/>
          <w:sz w:val="24"/>
        </w:rPr>
        <w:t>（2）因环境污染造成跨县级行政区域纠纷，引起一般群体性影响的；</w:t>
      </w:r>
    </w:p>
    <w:p>
      <w:pPr>
        <w:spacing w:line="360" w:lineRule="auto"/>
        <w:ind w:firstLine="480" w:firstLineChars="200"/>
        <w:rPr>
          <w:rFonts w:ascii="宋体" w:hAnsi="宋体" w:cs="宋体"/>
          <w:sz w:val="24"/>
        </w:rPr>
      </w:pPr>
      <w:r>
        <w:rPr>
          <w:rFonts w:hint="eastAsia" w:ascii="宋体" w:hAnsi="宋体" w:cs="宋体"/>
          <w:sz w:val="24"/>
        </w:rPr>
        <w:t>（3）4、5 类放射源丢失、被盗或失控。</w:t>
      </w:r>
    </w:p>
    <w:p>
      <w:pPr>
        <w:pStyle w:val="5"/>
      </w:pPr>
      <w:bookmarkStart w:id="158" w:name="_Toc8274_WPSOffice_Level2"/>
      <w:bookmarkStart w:id="159" w:name="_Toc305769709"/>
      <w:bookmarkStart w:id="160" w:name="_Toc21428_WPSOffice_Level2"/>
      <w:bookmarkStart w:id="161" w:name="_Toc17032"/>
      <w:bookmarkStart w:id="162" w:name="_Toc46857510"/>
      <w:bookmarkStart w:id="163" w:name="_Toc43202930"/>
      <w:bookmarkStart w:id="164" w:name="_Toc408503011"/>
      <w:r>
        <w:t>1.</w:t>
      </w:r>
      <w:r>
        <w:rPr>
          <w:rFonts w:hint="eastAsia"/>
        </w:rPr>
        <w:t>6</w:t>
      </w:r>
      <w:r>
        <w:t>工作原则</w:t>
      </w:r>
      <w:bookmarkEnd w:id="158"/>
      <w:bookmarkEnd w:id="159"/>
      <w:bookmarkEnd w:id="160"/>
      <w:bookmarkEnd w:id="161"/>
      <w:bookmarkEnd w:id="162"/>
      <w:bookmarkEnd w:id="163"/>
      <w:bookmarkEnd w:id="164"/>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企业在建立突发性环境污染事故应急系统及其响应程序时，应本着实事求是、切实可行的方针，贯彻如下原则：</w:t>
      </w:r>
    </w:p>
    <w:p>
      <w:pPr>
        <w:adjustRightInd w:val="0"/>
        <w:snapToGrid w:val="0"/>
        <w:spacing w:line="360" w:lineRule="auto"/>
        <w:ind w:firstLine="600" w:firstLineChars="250"/>
        <w:rPr>
          <w:rFonts w:ascii="宋体" w:hAnsi="宋体" w:cs="宋体"/>
          <w:color w:val="000000"/>
          <w:sz w:val="24"/>
        </w:rPr>
      </w:pPr>
      <w:r>
        <w:rPr>
          <w:rFonts w:hint="eastAsia" w:ascii="宋体" w:hAnsi="宋体" w:cs="宋体"/>
          <w:color w:val="000000"/>
          <w:sz w:val="24"/>
        </w:rPr>
        <w:t>1、坚持以人为本，预防为主。加强对环境事故危险源的监测、监控并实施监督管理，建立环境事故风险防范体系，积极预防、及时控制、消除隐患，提高突发性环境污染事故防范和处理能力，尽可能地避免或减少突发环境事件的发生，消除或减轻环境污染事故造成的中长期影响，最大程度地保障公众健康，保护人民群众生命财产安全。</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2、坚持统一领导，分类管理，分级响应。接受政府环保部门的指导，使企业的突发性环境污染事故应急系统成为区域系统的有机组成部分。加强企业各部门之间协同与合作，提高快速反应能力。针对不同污染源所造成的环境污染的特点，实行分类管理，充分发挥部门专业优势，使采取的措施与突发环境事件造成的危害范围和社会影响相适应。</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3、坚持平战结合，专兼结合，充分利用现有资源。积极做好应对突发性环境污染事故的思想准备、物资准备、技术准备、工作准备，加强培训演练，应急系统做到常备不懈，可为本企业和其它企业及社会提供服务，在应急时快速有效。</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4、企业自救与属地管理相结合原则。突发环境事件应急救援遵循企业自救和属地政府救援相结合的原则，建立统一指挥、反应敏捷、功能齐全、协调有序、运转高效的应急管理机制，充分发挥企业和属地政府应急资源的作用，确保一旦出现事故，能够快速反应、及时、果断处置工作。</w:t>
      </w:r>
    </w:p>
    <w:p>
      <w:pPr>
        <w:pStyle w:val="5"/>
      </w:pPr>
      <w:bookmarkStart w:id="165" w:name="_Toc15380_WPSOffice_Level2"/>
      <w:bookmarkStart w:id="166" w:name="_Toc305769711"/>
      <w:bookmarkStart w:id="167" w:name="_Toc408503012"/>
      <w:bookmarkStart w:id="168" w:name="_Toc345416684"/>
      <w:bookmarkStart w:id="169" w:name="_Toc27859_WPSOffice_Level2"/>
      <w:bookmarkStart w:id="170" w:name="_Toc302370085"/>
      <w:bookmarkStart w:id="171" w:name="_Toc10297"/>
      <w:bookmarkStart w:id="172" w:name="_Toc43202931"/>
      <w:bookmarkStart w:id="173" w:name="_Toc46857511"/>
      <w:r>
        <w:t>1.</w:t>
      </w:r>
      <w:r>
        <w:rPr>
          <w:rFonts w:hint="eastAsia"/>
        </w:rPr>
        <w:t>7</w:t>
      </w:r>
      <w:bookmarkEnd w:id="165"/>
      <w:bookmarkEnd w:id="166"/>
      <w:bookmarkEnd w:id="167"/>
      <w:bookmarkEnd w:id="168"/>
      <w:bookmarkEnd w:id="169"/>
      <w:bookmarkEnd w:id="170"/>
      <w:r>
        <w:t>突发环境事件应急预案的启动</w:t>
      </w:r>
      <w:bookmarkEnd w:id="171"/>
      <w:bookmarkEnd w:id="172"/>
      <w:bookmarkEnd w:id="173"/>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 xml:space="preserve"> 本公司突发环境事件应急预案</w:t>
      </w:r>
      <w:bookmarkStart w:id="174" w:name="_Toc271697147"/>
      <w:bookmarkStart w:id="175" w:name="_Toc271698288"/>
      <w:r>
        <w:rPr>
          <w:rFonts w:hint="eastAsia" w:ascii="宋体" w:hAnsi="宋体" w:cs="宋体"/>
          <w:color w:val="000000"/>
          <w:sz w:val="24"/>
        </w:rPr>
        <w:t>分四个阶段实施：</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（1）预防阶段。是指公司为预防、控制和消除环境污染事故，对人类生命、财产和环境的危害所采取的行为，包括制定安全环保管理制度、强化安全环保管理措施、实施安全环保技术标准和规范等。</w:t>
      </w:r>
      <w:bookmarkEnd w:id="174"/>
      <w:bookmarkEnd w:id="175"/>
      <w:bookmarkStart w:id="176" w:name="_Toc271698289"/>
      <w:bookmarkStart w:id="177" w:name="_Toc271697148"/>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（2）准备阶段。是在事故发生前采取的行动，包括研究国家相关法规、政策；编制、完善事故应急救援预案；开展培训和演练。</w:t>
      </w:r>
      <w:bookmarkEnd w:id="176"/>
      <w:bookmarkEnd w:id="177"/>
      <w:bookmarkStart w:id="178" w:name="_Toc271697149"/>
      <w:bookmarkStart w:id="179" w:name="_Toc271698290"/>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（3）响应阶段。是在事故发生后及事故发生期间采取救援行动的阶段，包括启动应急通告报警系统；启动应急救援中心；实施人员疏散和安置程序，实施警戒和交通管制；监测污染物浓度。</w:t>
      </w:r>
      <w:bookmarkEnd w:id="178"/>
      <w:bookmarkEnd w:id="179"/>
      <w:bookmarkStart w:id="180" w:name="_Toc271698291"/>
      <w:bookmarkStart w:id="181" w:name="_Toc271697150"/>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（4）恢复阶段。是在事故发生后立即进行的行动，包括实施应急响应关闭程序；事故调查；开展事故损失评估与索赔工作等。</w:t>
      </w:r>
      <w:bookmarkEnd w:id="180"/>
      <w:bookmarkEnd w:id="181"/>
    </w:p>
    <w:p>
      <w:pPr>
        <w:pStyle w:val="5"/>
      </w:pPr>
      <w:bookmarkStart w:id="182" w:name="_Toc24533"/>
      <w:bookmarkStart w:id="183" w:name="_Toc45742168"/>
      <w:r>
        <w:rPr>
          <w:rFonts w:hint="eastAsia"/>
        </w:rPr>
        <w:t>1.8 事故基本处置程序</w:t>
      </w:r>
      <w:bookmarkEnd w:id="182"/>
      <w:bookmarkEnd w:id="183"/>
    </w:p>
    <w:p>
      <w:pPr>
        <w:pStyle w:val="46"/>
        <w:ind w:firstLine="480"/>
      </w:pPr>
      <w:r>
        <w:rPr>
          <w:rFonts w:hint="eastAsia"/>
        </w:rPr>
        <w:t>基本分为发现事故、核实事故、事故报告、处置四个阶段。其基本处置程序图如下：</w:t>
      </w:r>
    </w:p>
    <w:p>
      <w:pPr>
        <w:pStyle w:val="46"/>
        <w:spacing w:line="240" w:lineRule="auto"/>
        <w:ind w:firstLine="480"/>
        <w:jc w:val="center"/>
      </w:pPr>
      <w:r>
        <w:drawing>
          <wp:inline distT="0" distB="0" distL="114300" distR="114300">
            <wp:extent cx="2422525" cy="6155690"/>
            <wp:effectExtent l="0" t="0" r="15875" b="1651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6"/>
                    <a:stretch>
                      <a:fillRect/>
                    </a:stretch>
                  </pic:blipFill>
                  <pic:spPr>
                    <a:xfrm>
                      <a:off x="0" y="0"/>
                      <a:ext cx="2422525" cy="6155690"/>
                    </a:xfrm>
                    <a:prstGeom prst="rect">
                      <a:avLst/>
                    </a:prstGeom>
                    <a:noFill/>
                    <a:ln>
                      <a:noFill/>
                    </a:ln>
                  </pic:spPr>
                </pic:pic>
              </a:graphicData>
            </a:graphic>
          </wp:inline>
        </w:drawing>
      </w:r>
    </w:p>
    <w:p>
      <w:pPr>
        <w:ind w:firstLine="1325" w:firstLineChars="550"/>
        <w:jc w:val="center"/>
        <w:rPr>
          <w:b/>
          <w:sz w:val="24"/>
        </w:rPr>
      </w:pPr>
      <w:bookmarkStart w:id="184" w:name="_Toc161808438"/>
      <w:bookmarkStart w:id="185" w:name="_Toc408503014"/>
      <w:bookmarkStart w:id="186" w:name="_Toc160532466"/>
      <w:r>
        <w:rPr>
          <w:rFonts w:hint="eastAsia"/>
          <w:b/>
          <w:sz w:val="24"/>
        </w:rPr>
        <w:t>图1.8-1 事故处置基本程序图</w:t>
      </w:r>
    </w:p>
    <w:p>
      <w:pPr>
        <w:pStyle w:val="5"/>
        <w:bidi w:val="0"/>
        <w:rPr>
          <w:rFonts w:hint="default"/>
        </w:rPr>
      </w:pPr>
      <w:bookmarkStart w:id="187" w:name="_Toc27645"/>
      <w:bookmarkStart w:id="188" w:name="_Toc3251"/>
      <w:bookmarkStart w:id="189" w:name="_Toc32211"/>
      <w:bookmarkStart w:id="190" w:name="_Toc955"/>
      <w:bookmarkStart w:id="191" w:name="_Toc397586966"/>
      <w:bookmarkStart w:id="192" w:name="_Toc1383"/>
      <w:bookmarkStart w:id="193" w:name="_Toc31301_WPSOffice_Level1"/>
      <w:r>
        <w:rPr>
          <w:rFonts w:hint="default"/>
        </w:rPr>
        <w:t>1.</w:t>
      </w:r>
      <w:r>
        <w:rPr>
          <w:rFonts w:hint="eastAsia"/>
          <w:lang w:val="en-US" w:eastAsia="zh-CN"/>
        </w:rPr>
        <w:t>9</w:t>
      </w:r>
      <w:r>
        <w:rPr>
          <w:rFonts w:hint="default"/>
        </w:rPr>
        <w:t>应急预案体系</w:t>
      </w:r>
      <w:bookmarkEnd w:id="187"/>
      <w:bookmarkEnd w:id="188"/>
      <w:bookmarkEnd w:id="189"/>
      <w:bookmarkEnd w:id="190"/>
      <w:bookmarkEnd w:id="191"/>
      <w:bookmarkEnd w:id="192"/>
      <w:bookmarkEnd w:id="193"/>
    </w:p>
    <w:p>
      <w:pPr>
        <w:adjustRightInd w:val="0"/>
        <w:snapToGrid w:val="0"/>
        <w:spacing w:line="480" w:lineRule="exact"/>
        <w:ind w:firstLine="480" w:firstLineChars="200"/>
        <w:rPr>
          <w:color w:val="auto"/>
          <w:sz w:val="24"/>
          <w:szCs w:val="24"/>
        </w:rPr>
      </w:pPr>
      <w:r>
        <w:rPr>
          <w:rFonts w:hint="eastAsia" w:ascii="宋体" w:hAnsi="宋体" w:cs="宋体"/>
          <w:color w:val="auto"/>
          <w:sz w:val="24"/>
          <w:szCs w:val="24"/>
          <w:lang w:eastAsia="zh-CN"/>
        </w:rPr>
        <w:t>宜春宇泽新能源有限公司</w:t>
      </w:r>
      <w:r>
        <w:rPr>
          <w:rFonts w:hint="eastAsia"/>
          <w:color w:val="auto"/>
          <w:sz w:val="24"/>
          <w:szCs w:val="24"/>
        </w:rPr>
        <w:t>应急预案体系主要包括</w:t>
      </w:r>
      <w:r>
        <w:rPr>
          <w:rFonts w:hint="default" w:ascii="Times New Roman" w:hAnsi="Times New Roman" w:cs="Times New Roman"/>
          <w:color w:val="auto"/>
          <w:sz w:val="24"/>
          <w:szCs w:val="24"/>
        </w:rPr>
        <w:t>生产安全事故应急预案</w:t>
      </w:r>
      <w:r>
        <w:rPr>
          <w:rFonts w:hint="eastAsia"/>
          <w:color w:val="auto"/>
          <w:sz w:val="24"/>
          <w:szCs w:val="24"/>
        </w:rPr>
        <w:t>、突发环境事件应急预案。其中突发环境事件应急预案</w:t>
      </w:r>
      <w:r>
        <w:rPr>
          <w:color w:val="auto"/>
          <w:sz w:val="24"/>
          <w:szCs w:val="24"/>
        </w:rPr>
        <w:t>在《</w:t>
      </w:r>
      <w:r>
        <w:rPr>
          <w:rFonts w:hint="eastAsia"/>
          <w:color w:val="auto"/>
          <w:sz w:val="24"/>
          <w:szCs w:val="24"/>
        </w:rPr>
        <w:t>江西</w:t>
      </w:r>
      <w:r>
        <w:rPr>
          <w:color w:val="auto"/>
          <w:sz w:val="24"/>
          <w:szCs w:val="24"/>
        </w:rPr>
        <w:t>省突发环境事件应急预案》、《</w:t>
      </w:r>
      <w:r>
        <w:rPr>
          <w:rFonts w:hint="eastAsia"/>
          <w:color w:val="auto"/>
          <w:sz w:val="24"/>
          <w:szCs w:val="24"/>
          <w:lang w:eastAsia="zh-CN"/>
        </w:rPr>
        <w:t>宜春</w:t>
      </w:r>
      <w:r>
        <w:rPr>
          <w:color w:val="auto"/>
          <w:sz w:val="24"/>
          <w:szCs w:val="24"/>
        </w:rPr>
        <w:t>市突发环境事件应急预案》和《</w:t>
      </w:r>
      <w:r>
        <w:rPr>
          <w:rFonts w:hint="eastAsia"/>
          <w:color w:val="auto"/>
          <w:sz w:val="24"/>
          <w:szCs w:val="24"/>
          <w:lang w:eastAsia="zh-CN"/>
        </w:rPr>
        <w:t>宜春经济技术开发区</w:t>
      </w:r>
      <w:r>
        <w:rPr>
          <w:color w:val="auto"/>
          <w:sz w:val="24"/>
          <w:szCs w:val="24"/>
        </w:rPr>
        <w:t>突发环境事件应急预案》的框架范围内制定，与</w:t>
      </w:r>
      <w:r>
        <w:rPr>
          <w:rFonts w:hint="default" w:ascii="Times New Roman" w:hAnsi="Times New Roman" w:cs="Times New Roman"/>
          <w:color w:val="auto"/>
          <w:sz w:val="24"/>
          <w:szCs w:val="24"/>
        </w:rPr>
        <w:t>生产安全事故应急预案</w:t>
      </w:r>
      <w:r>
        <w:rPr>
          <w:rFonts w:hint="eastAsia"/>
          <w:color w:val="auto"/>
          <w:sz w:val="24"/>
          <w:szCs w:val="24"/>
        </w:rPr>
        <w:t>相互</w:t>
      </w:r>
      <w:r>
        <w:rPr>
          <w:color w:val="auto"/>
          <w:sz w:val="24"/>
          <w:szCs w:val="24"/>
        </w:rPr>
        <w:t>协调、相互衔接</w:t>
      </w:r>
      <w:r>
        <w:rPr>
          <w:rFonts w:hint="eastAsia"/>
          <w:color w:val="auto"/>
          <w:sz w:val="24"/>
          <w:szCs w:val="24"/>
        </w:rPr>
        <w:t>。</w:t>
      </w:r>
    </w:p>
    <w:p>
      <w:pPr>
        <w:spacing w:line="480" w:lineRule="exact"/>
        <w:ind w:firstLine="480" w:firstLineChars="200"/>
        <w:contextualSpacing/>
        <w:jc w:val="left"/>
        <w:rPr>
          <w:rFonts w:hint="eastAsia"/>
          <w:color w:val="auto"/>
          <w:sz w:val="24"/>
          <w:szCs w:val="24"/>
        </w:rPr>
      </w:pPr>
      <w:r>
        <w:rPr>
          <w:color w:val="auto"/>
          <w:sz w:val="24"/>
          <w:szCs w:val="24"/>
        </w:rPr>
        <w:t>在发生突发环境事件</w:t>
      </w:r>
      <w:r>
        <w:rPr>
          <w:rFonts w:ascii="Times New Roman" w:hAnsi="Times New Roman" w:eastAsia="宋体" w:cs="Times New Roman"/>
          <w:color w:val="auto"/>
          <w:sz w:val="24"/>
          <w:szCs w:val="24"/>
        </w:rPr>
        <w:t>时，由</w:t>
      </w:r>
      <w:r>
        <w:rPr>
          <w:rFonts w:hint="eastAsia" w:cs="Times New Roman"/>
          <w:color w:val="auto"/>
          <w:sz w:val="24"/>
          <w:szCs w:val="24"/>
          <w:lang w:eastAsia="zh-CN"/>
        </w:rPr>
        <w:t>宜春宇泽新能源有限公司</w:t>
      </w:r>
      <w:r>
        <w:rPr>
          <w:rFonts w:ascii="Times New Roman" w:hAnsi="Times New Roman" w:eastAsia="宋体" w:cs="Times New Roman"/>
          <w:color w:val="auto"/>
          <w:sz w:val="24"/>
          <w:szCs w:val="24"/>
        </w:rPr>
        <w:t>应</w:t>
      </w:r>
      <w:r>
        <w:rPr>
          <w:color w:val="auto"/>
          <w:sz w:val="24"/>
          <w:szCs w:val="24"/>
        </w:rPr>
        <w:t>急指挥部启动《</w:t>
      </w:r>
      <w:r>
        <w:rPr>
          <w:rFonts w:hint="eastAsia"/>
          <w:color w:val="auto"/>
          <w:sz w:val="24"/>
          <w:szCs w:val="24"/>
          <w:lang w:eastAsia="zh-CN"/>
        </w:rPr>
        <w:t>宜春宇泽新能源有限公司</w:t>
      </w:r>
      <w:r>
        <w:rPr>
          <w:color w:val="auto"/>
          <w:sz w:val="24"/>
          <w:szCs w:val="24"/>
        </w:rPr>
        <w:t>突发环境事件应急预案》</w:t>
      </w:r>
      <w:r>
        <w:rPr>
          <w:rFonts w:hint="eastAsia"/>
          <w:color w:val="auto"/>
          <w:sz w:val="24"/>
          <w:szCs w:val="24"/>
        </w:rPr>
        <w:t>，进行突发环境事件的应急处置工作</w:t>
      </w:r>
      <w:r>
        <w:rPr>
          <w:color w:val="auto"/>
          <w:sz w:val="24"/>
          <w:szCs w:val="24"/>
        </w:rPr>
        <w:t>。</w:t>
      </w:r>
      <w:r>
        <w:rPr>
          <w:rFonts w:hint="eastAsia"/>
          <w:color w:val="auto"/>
          <w:sz w:val="24"/>
          <w:szCs w:val="24"/>
        </w:rPr>
        <w:t>当企业突发环境事件可能影响到外部时，应急指挥部总指挥或副总指挥在半小时内通知区生态环境主管部门和政府。当启动区突发环境事件应急预案或更高级别预案时，企业应急组织服从上级突发环境事件应急指挥部安排，根据上级指令参与突发环境事件应急处置工作。</w:t>
      </w:r>
    </w:p>
    <w:p>
      <w:r>
        <w:drawing>
          <wp:inline distT="0" distB="0" distL="114300" distR="114300">
            <wp:extent cx="5759450" cy="3127375"/>
            <wp:effectExtent l="0" t="0" r="12700" b="1587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7"/>
                    <a:stretch>
                      <a:fillRect/>
                    </a:stretch>
                  </pic:blipFill>
                  <pic:spPr>
                    <a:xfrm>
                      <a:off x="0" y="0"/>
                      <a:ext cx="5759450" cy="3127375"/>
                    </a:xfrm>
                    <a:prstGeom prst="rect">
                      <a:avLst/>
                    </a:prstGeom>
                    <a:noFill/>
                    <a:ln>
                      <a:noFill/>
                    </a:ln>
                  </pic:spPr>
                </pic:pic>
              </a:graphicData>
            </a:graphic>
          </wp:inline>
        </w:drawing>
      </w:r>
    </w:p>
    <w:p>
      <w:pPr>
        <w:pStyle w:val="2"/>
        <w:keepNext w:val="0"/>
        <w:keepLines w:val="0"/>
        <w:pageBreakBefore w:val="0"/>
        <w:widowControl w:val="0"/>
        <w:kinsoku/>
        <w:wordWrap/>
        <w:overflowPunct/>
        <w:topLinePunct w:val="0"/>
        <w:autoSpaceDE/>
        <w:autoSpaceDN/>
        <w:bidi w:val="0"/>
        <w:adjustRightInd/>
        <w:snapToGrid/>
        <w:spacing w:before="0" w:after="0" w:line="360" w:lineRule="auto"/>
        <w:ind w:left="0" w:leftChars="0" w:right="0" w:firstLine="476"/>
        <w:jc w:val="both"/>
        <w:textAlignment w:val="auto"/>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FF0000"/>
          <w:spacing w:val="-11"/>
          <w:sz w:val="24"/>
          <w:szCs w:val="24"/>
        </w:rPr>
        <w:t>根据《突发环境事件信息报告办法》</w:t>
      </w:r>
      <w:r>
        <w:rPr>
          <w:rFonts w:hint="eastAsia" w:asciiTheme="minorEastAsia" w:hAnsiTheme="minorEastAsia" w:eastAsiaTheme="minorEastAsia" w:cstheme="minorEastAsia"/>
          <w:color w:val="FF0000"/>
          <w:sz w:val="24"/>
          <w:szCs w:val="24"/>
        </w:rPr>
        <w:t>（</w:t>
      </w:r>
      <w:r>
        <w:rPr>
          <w:rFonts w:hint="eastAsia" w:asciiTheme="minorEastAsia" w:hAnsiTheme="minorEastAsia" w:eastAsiaTheme="minorEastAsia" w:cstheme="minorEastAsia"/>
          <w:color w:val="FF0000"/>
          <w:spacing w:val="-15"/>
          <w:sz w:val="24"/>
          <w:szCs w:val="24"/>
        </w:rPr>
        <w:t xml:space="preserve">部令第 </w:t>
      </w:r>
      <w:r>
        <w:rPr>
          <w:rFonts w:hint="eastAsia" w:asciiTheme="minorEastAsia" w:hAnsiTheme="minorEastAsia" w:eastAsiaTheme="minorEastAsia" w:cstheme="minorEastAsia"/>
          <w:color w:val="FF0000"/>
          <w:sz w:val="24"/>
          <w:szCs w:val="24"/>
        </w:rPr>
        <w:t>17</w:t>
      </w:r>
      <w:r>
        <w:rPr>
          <w:rFonts w:hint="eastAsia" w:asciiTheme="minorEastAsia" w:hAnsiTheme="minorEastAsia" w:eastAsiaTheme="minorEastAsia" w:cstheme="minorEastAsia"/>
          <w:color w:val="FF0000"/>
          <w:spacing w:val="-4"/>
          <w:sz w:val="24"/>
          <w:szCs w:val="24"/>
        </w:rPr>
        <w:t>号，</w:t>
      </w:r>
      <w:r>
        <w:rPr>
          <w:rFonts w:hint="eastAsia" w:asciiTheme="minorEastAsia" w:hAnsiTheme="minorEastAsia" w:eastAsiaTheme="minorEastAsia" w:cstheme="minorEastAsia"/>
          <w:color w:val="FF0000"/>
          <w:sz w:val="24"/>
          <w:szCs w:val="24"/>
        </w:rPr>
        <w:t>20</w:t>
      </w:r>
      <w:r>
        <w:rPr>
          <w:rFonts w:hint="eastAsia" w:asciiTheme="minorEastAsia" w:hAnsiTheme="minorEastAsia" w:eastAsiaTheme="minorEastAsia" w:cstheme="minorEastAsia"/>
          <w:color w:val="FF0000"/>
          <w:spacing w:val="-10"/>
          <w:sz w:val="24"/>
          <w:szCs w:val="24"/>
        </w:rPr>
        <w:t>1</w:t>
      </w:r>
      <w:r>
        <w:rPr>
          <w:rFonts w:hint="eastAsia" w:asciiTheme="minorEastAsia" w:hAnsiTheme="minorEastAsia" w:eastAsiaTheme="minorEastAsia" w:cstheme="minorEastAsia"/>
          <w:color w:val="FF0000"/>
          <w:sz w:val="24"/>
          <w:szCs w:val="24"/>
        </w:rPr>
        <w:t>1</w:t>
      </w:r>
      <w:r>
        <w:rPr>
          <w:rFonts w:hint="eastAsia" w:asciiTheme="minorEastAsia" w:hAnsiTheme="minorEastAsia" w:eastAsiaTheme="minorEastAsia" w:cstheme="minorEastAsia"/>
          <w:color w:val="FF0000"/>
          <w:spacing w:val="-30"/>
          <w:sz w:val="24"/>
          <w:szCs w:val="24"/>
        </w:rPr>
        <w:t xml:space="preserve">年 </w:t>
      </w:r>
      <w:r>
        <w:rPr>
          <w:rFonts w:hint="eastAsia" w:asciiTheme="minorEastAsia" w:hAnsiTheme="minorEastAsia" w:eastAsiaTheme="minorEastAsia" w:cstheme="minorEastAsia"/>
          <w:color w:val="FF0000"/>
          <w:sz w:val="24"/>
          <w:szCs w:val="24"/>
        </w:rPr>
        <w:t>5</w:t>
      </w:r>
      <w:r>
        <w:rPr>
          <w:rFonts w:hint="eastAsia" w:asciiTheme="minorEastAsia" w:hAnsiTheme="minorEastAsia" w:eastAsiaTheme="minorEastAsia" w:cstheme="minorEastAsia"/>
          <w:color w:val="FF0000"/>
          <w:spacing w:val="-30"/>
          <w:sz w:val="24"/>
          <w:szCs w:val="24"/>
        </w:rPr>
        <w:t xml:space="preserve">月 </w:t>
      </w:r>
      <w:r>
        <w:rPr>
          <w:rFonts w:hint="eastAsia" w:asciiTheme="minorEastAsia" w:hAnsiTheme="minorEastAsia" w:eastAsiaTheme="minorEastAsia" w:cstheme="minorEastAsia"/>
          <w:color w:val="FF0000"/>
          <w:sz w:val="24"/>
          <w:szCs w:val="24"/>
        </w:rPr>
        <w:t>1</w:t>
      </w:r>
      <w:r>
        <w:rPr>
          <w:rFonts w:hint="eastAsia" w:asciiTheme="minorEastAsia" w:hAnsiTheme="minorEastAsia" w:eastAsiaTheme="minorEastAsia" w:cstheme="minorEastAsia"/>
          <w:color w:val="FF0000"/>
          <w:spacing w:val="3"/>
          <w:sz w:val="24"/>
          <w:szCs w:val="24"/>
        </w:rPr>
        <w:t>日</w:t>
      </w:r>
      <w:r>
        <w:rPr>
          <w:rFonts w:hint="eastAsia" w:asciiTheme="minorEastAsia" w:hAnsiTheme="minorEastAsia" w:eastAsiaTheme="minorEastAsia" w:cstheme="minorEastAsia"/>
          <w:color w:val="FF0000"/>
          <w:spacing w:val="3"/>
          <w:sz w:val="24"/>
          <w:szCs w:val="24"/>
          <w:lang w:eastAsia="zh-CN"/>
        </w:rPr>
        <w:t>），</w:t>
      </w:r>
      <w:r>
        <w:rPr>
          <w:rFonts w:hint="eastAsia" w:asciiTheme="minorEastAsia" w:hAnsiTheme="minorEastAsia" w:eastAsiaTheme="minorEastAsia" w:cstheme="minorEastAsia"/>
          <w:color w:val="FF0000"/>
          <w:spacing w:val="-8"/>
          <w:sz w:val="24"/>
          <w:szCs w:val="24"/>
        </w:rPr>
        <w:t>当</w:t>
      </w:r>
      <w:r>
        <w:rPr>
          <w:rFonts w:hint="eastAsia" w:asciiTheme="minorEastAsia" w:hAnsiTheme="minorEastAsia" w:eastAsiaTheme="minorEastAsia" w:cstheme="minorEastAsia"/>
          <w:color w:val="FF0000"/>
          <w:spacing w:val="-4"/>
          <w:sz w:val="24"/>
          <w:szCs w:val="24"/>
        </w:rPr>
        <w:t>突发环境事故已经超过本公司的突发环境事件处置能力的应对工作时，</w:t>
      </w:r>
      <w:r>
        <w:rPr>
          <w:rFonts w:hint="eastAsia" w:asciiTheme="minorEastAsia" w:hAnsiTheme="minorEastAsia" w:eastAsiaTheme="minorEastAsia" w:cstheme="minorEastAsia"/>
          <w:color w:val="FF0000"/>
          <w:sz w:val="24"/>
          <w:szCs w:val="24"/>
        </w:rPr>
        <w:fldChar w:fldCharType="begin"/>
      </w:r>
      <w:r>
        <w:rPr>
          <w:rFonts w:hint="eastAsia" w:asciiTheme="minorEastAsia" w:hAnsiTheme="minorEastAsia" w:eastAsiaTheme="minorEastAsia" w:cstheme="minorEastAsia"/>
          <w:color w:val="FF0000"/>
          <w:sz w:val="24"/>
          <w:szCs w:val="24"/>
        </w:rPr>
        <w:instrText xml:space="preserve"> HYPERLINK \l "_bookmark7" </w:instrText>
      </w:r>
      <w:r>
        <w:rPr>
          <w:rFonts w:hint="eastAsia" w:asciiTheme="minorEastAsia" w:hAnsiTheme="minorEastAsia" w:eastAsiaTheme="minorEastAsia" w:cstheme="minorEastAsia"/>
          <w:color w:val="FF0000"/>
          <w:sz w:val="24"/>
          <w:szCs w:val="24"/>
        </w:rPr>
        <w:fldChar w:fldCharType="separate"/>
      </w:r>
      <w:r>
        <w:rPr>
          <w:rFonts w:hint="eastAsia" w:asciiTheme="minorEastAsia" w:hAnsiTheme="minorEastAsia" w:eastAsiaTheme="minorEastAsia" w:cstheme="minorEastAsia"/>
          <w:color w:val="FF0000"/>
          <w:spacing w:val="-4"/>
          <w:sz w:val="24"/>
          <w:szCs w:val="24"/>
        </w:rPr>
        <w:t>公司将按</w:t>
      </w:r>
      <w:r>
        <w:rPr>
          <w:rFonts w:hint="eastAsia" w:asciiTheme="minorEastAsia" w:hAnsiTheme="minorEastAsia" w:eastAsiaTheme="minorEastAsia" w:cstheme="minorEastAsia"/>
          <w:color w:val="FF0000"/>
          <w:spacing w:val="-1"/>
          <w:sz w:val="24"/>
          <w:szCs w:val="24"/>
        </w:rPr>
        <w:t xml:space="preserve">表 </w:t>
      </w:r>
      <w:r>
        <w:rPr>
          <w:rFonts w:hint="eastAsia" w:asciiTheme="minorEastAsia" w:hAnsiTheme="minorEastAsia" w:eastAsiaTheme="minorEastAsia" w:cstheme="minorEastAsia"/>
          <w:color w:val="FF0000"/>
          <w:sz w:val="24"/>
          <w:szCs w:val="24"/>
        </w:rPr>
        <w:t>1-1</w:t>
      </w:r>
      <w:r>
        <w:rPr>
          <w:rFonts w:hint="eastAsia" w:asciiTheme="minorEastAsia" w:hAnsiTheme="minorEastAsia" w:eastAsiaTheme="minorEastAsia" w:cstheme="minorEastAsia"/>
          <w:color w:val="FF0000"/>
          <w:sz w:val="24"/>
          <w:szCs w:val="24"/>
        </w:rPr>
        <w:fldChar w:fldCharType="end"/>
      </w:r>
      <w:r>
        <w:rPr>
          <w:rFonts w:hint="eastAsia" w:asciiTheme="minorEastAsia" w:hAnsiTheme="minorEastAsia" w:eastAsiaTheme="minorEastAsia" w:cstheme="minorEastAsia"/>
          <w:color w:val="FF0000"/>
          <w:spacing w:val="-6"/>
          <w:sz w:val="24"/>
          <w:szCs w:val="24"/>
        </w:rPr>
        <w:t>分级相应对照表直接向</w:t>
      </w:r>
      <w:r>
        <w:rPr>
          <w:rFonts w:hint="eastAsia" w:asciiTheme="minorEastAsia" w:hAnsiTheme="minorEastAsia" w:eastAsiaTheme="minorEastAsia" w:cstheme="minorEastAsia"/>
          <w:color w:val="FF0000"/>
          <w:sz w:val="24"/>
          <w:szCs w:val="24"/>
          <w:lang w:eastAsia="zh-CN"/>
        </w:rPr>
        <w:t>江西省宜春经济技术开发区管理委员会</w:t>
      </w:r>
      <w:r>
        <w:rPr>
          <w:rFonts w:hint="eastAsia" w:asciiTheme="minorEastAsia" w:hAnsiTheme="minorEastAsia" w:eastAsiaTheme="minorEastAsia" w:cstheme="minorEastAsia"/>
          <w:color w:val="FF0000"/>
          <w:spacing w:val="-8"/>
          <w:sz w:val="24"/>
          <w:szCs w:val="24"/>
        </w:rPr>
        <w:t>等上一级机构汇报。当上级预案启动后，本预案从属于上级预案，此时我司应在</w:t>
      </w:r>
      <w:r>
        <w:rPr>
          <w:rFonts w:hint="eastAsia" w:asciiTheme="minorEastAsia" w:hAnsiTheme="minorEastAsia" w:eastAsiaTheme="minorEastAsia" w:cstheme="minorEastAsia"/>
          <w:color w:val="FF0000"/>
          <w:sz w:val="24"/>
          <w:szCs w:val="24"/>
        </w:rPr>
        <w:t>上级预案应急指挥机构统一领导下，组织开展应急协调处置行动。</w:t>
      </w:r>
    </w:p>
    <w:p>
      <w:pPr>
        <w:pStyle w:val="2"/>
        <w:keepNext w:val="0"/>
        <w:keepLines w:val="0"/>
        <w:pageBreakBefore w:val="0"/>
        <w:widowControl w:val="0"/>
        <w:kinsoku/>
        <w:wordWrap/>
        <w:overflowPunct/>
        <w:topLinePunct w:val="0"/>
        <w:bidi w:val="0"/>
        <w:adjustRightInd/>
        <w:snapToGrid/>
        <w:spacing w:before="0" w:after="0" w:line="306" w:lineRule="exact"/>
        <w:ind w:left="0" w:leftChars="0" w:right="0"/>
        <w:jc w:val="center"/>
        <w:textAlignment w:val="auto"/>
        <w:rPr>
          <w:rFonts w:hint="default" w:ascii="Times New Roman" w:hAnsi="Times New Roman" w:cs="Times New Roman" w:eastAsiaTheme="minorEastAsia"/>
          <w:color w:val="FF0000"/>
        </w:rPr>
      </w:pPr>
      <w:bookmarkStart w:id="194" w:name="_bookmark7"/>
      <w:bookmarkEnd w:id="194"/>
      <w:r>
        <w:rPr>
          <w:rFonts w:hint="default" w:ascii="Times New Roman" w:hAnsi="Times New Roman" w:cs="Times New Roman" w:eastAsiaTheme="minorEastAsia"/>
          <w:color w:val="FF0000"/>
        </w:rPr>
        <w:t>表 1-1 分级响应机制对照表</w:t>
      </w:r>
    </w:p>
    <w:tbl>
      <w:tblPr>
        <w:tblStyle w:val="47"/>
        <w:tblW w:w="93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9"/>
        <w:gridCol w:w="1319"/>
        <w:gridCol w:w="1999"/>
        <w:gridCol w:w="3477"/>
        <w:gridCol w:w="20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jc w:val="center"/>
        </w:trPr>
        <w:tc>
          <w:tcPr>
            <w:tcW w:w="57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rPr>
              <w:t>级别</w:t>
            </w:r>
          </w:p>
        </w:tc>
        <w:tc>
          <w:tcPr>
            <w:tcW w:w="131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rPr>
              <w:t>级别确认部门</w:t>
            </w:r>
          </w:p>
        </w:tc>
        <w:tc>
          <w:tcPr>
            <w:tcW w:w="199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rPr>
              <w:t>启动应急预案级别</w:t>
            </w:r>
          </w:p>
        </w:tc>
        <w:tc>
          <w:tcPr>
            <w:tcW w:w="3477"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rPr>
              <w:t>应急报告最高级别</w:t>
            </w:r>
          </w:p>
        </w:tc>
        <w:tc>
          <w:tcPr>
            <w:tcW w:w="2006"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rPr>
              <w:t>发布预警公告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5" w:hRule="atLeast"/>
          <w:jc w:val="center"/>
        </w:trPr>
        <w:tc>
          <w:tcPr>
            <w:tcW w:w="57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lang w:val="en-US" w:eastAsia="zh-CN"/>
              </w:rPr>
              <w:t>一般突发环境事件（Ⅲ级）</w:t>
            </w:r>
          </w:p>
        </w:tc>
        <w:tc>
          <w:tcPr>
            <w:tcW w:w="131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rPr>
              <w:t>应</w:t>
            </w:r>
          </w:p>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default" w:ascii="Times New Roman" w:hAnsi="Times New Roman" w:cs="Times New Roman" w:eastAsiaTheme="minorEastAsia"/>
                <w:color w:val="FF0000"/>
                <w:spacing w:val="-3"/>
                <w:sz w:val="21"/>
                <w:szCs w:val="21"/>
              </w:rPr>
              <w:t>急救援指挥部</w:t>
            </w:r>
          </w:p>
        </w:tc>
        <w:tc>
          <w:tcPr>
            <w:tcW w:w="199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default" w:ascii="Times New Roman" w:hAnsi="Times New Roman" w:cs="Times New Roman" w:eastAsiaTheme="minorEastAsia"/>
                <w:color w:val="FF0000"/>
                <w:spacing w:val="-3"/>
                <w:sz w:val="21"/>
                <w:szCs w:val="21"/>
              </w:rPr>
              <w:t>公司突发环境事件应急预案车间级</w:t>
            </w:r>
          </w:p>
        </w:tc>
        <w:tc>
          <w:tcPr>
            <w:tcW w:w="3477"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rPr>
              <w:t>发现者立即上报应</w:t>
            </w:r>
          </w:p>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default" w:ascii="Times New Roman" w:hAnsi="Times New Roman" w:cs="Times New Roman" w:eastAsiaTheme="minorEastAsia"/>
                <w:color w:val="FF0000"/>
                <w:spacing w:val="-3"/>
                <w:sz w:val="21"/>
                <w:szCs w:val="21"/>
              </w:rPr>
              <w:t>急救援指挥部</w:t>
            </w:r>
          </w:p>
        </w:tc>
        <w:tc>
          <w:tcPr>
            <w:tcW w:w="2006"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eastAsia" w:ascii="Times New Roman" w:hAnsi="Times New Roman" w:cs="Times New Roman" w:eastAsiaTheme="minorEastAsia"/>
                <w:color w:val="FF0000"/>
                <w:spacing w:val="-3"/>
                <w:sz w:val="21"/>
                <w:szCs w:val="21"/>
                <w:lang w:val="en-US" w:eastAsia="zh-CN"/>
              </w:rPr>
              <w:t>蓝色</w:t>
            </w:r>
            <w:r>
              <w:rPr>
                <w:rFonts w:hint="default" w:ascii="Times New Roman" w:hAnsi="Times New Roman" w:cs="Times New Roman" w:eastAsiaTheme="minorEastAsia"/>
                <w:color w:val="FF0000"/>
                <w:spacing w:val="-3"/>
                <w:sz w:val="21"/>
                <w:szCs w:val="21"/>
              </w:rPr>
              <w:t>预警由应</w:t>
            </w:r>
          </w:p>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default" w:ascii="Times New Roman" w:hAnsi="Times New Roman" w:cs="Times New Roman" w:eastAsiaTheme="minorEastAsia"/>
                <w:color w:val="FF0000"/>
                <w:spacing w:val="-3"/>
                <w:sz w:val="21"/>
                <w:szCs w:val="21"/>
              </w:rPr>
              <w:t>急救援指挥部负责发布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8" w:hRule="atLeast"/>
          <w:jc w:val="center"/>
        </w:trPr>
        <w:tc>
          <w:tcPr>
            <w:tcW w:w="57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lang w:val="en-US" w:eastAsia="zh-CN"/>
              </w:rPr>
              <w:t>较大突发环境事件（Ⅱ级）</w:t>
            </w:r>
          </w:p>
        </w:tc>
        <w:tc>
          <w:tcPr>
            <w:tcW w:w="131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eastAsia" w:ascii="Times New Roman" w:hAnsi="Times New Roman" w:cs="Times New Roman" w:eastAsiaTheme="minorEastAsia"/>
                <w:color w:val="FF0000"/>
                <w:sz w:val="21"/>
                <w:szCs w:val="21"/>
                <w:lang w:eastAsia="zh-CN"/>
              </w:rPr>
              <w:t>江西省宜春经济技术开发区管理委员会</w:t>
            </w:r>
          </w:p>
        </w:tc>
        <w:tc>
          <w:tcPr>
            <w:tcW w:w="199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default" w:ascii="Times New Roman" w:hAnsi="Times New Roman" w:cs="Times New Roman" w:eastAsiaTheme="minorEastAsia"/>
                <w:color w:val="FF0000"/>
                <w:spacing w:val="-3"/>
                <w:sz w:val="21"/>
                <w:szCs w:val="21"/>
              </w:rPr>
              <w:t>公司突发环境事件应急预案</w:t>
            </w:r>
            <w:r>
              <w:rPr>
                <w:rFonts w:hint="eastAsia" w:ascii="Times New Roman" w:hAnsi="Times New Roman" w:cs="Times New Roman" w:eastAsiaTheme="minorEastAsia"/>
                <w:color w:val="FF0000"/>
                <w:spacing w:val="-3"/>
                <w:sz w:val="21"/>
                <w:szCs w:val="21"/>
                <w:lang w:eastAsia="zh-CN"/>
              </w:rPr>
              <w:t>较大</w:t>
            </w:r>
            <w:r>
              <w:rPr>
                <w:rFonts w:hint="default" w:ascii="Times New Roman" w:hAnsi="Times New Roman" w:cs="Times New Roman" w:eastAsiaTheme="minorEastAsia"/>
                <w:color w:val="FF0000"/>
                <w:spacing w:val="-3"/>
                <w:sz w:val="21"/>
                <w:szCs w:val="21"/>
              </w:rPr>
              <w:t>级</w:t>
            </w:r>
          </w:p>
        </w:tc>
        <w:tc>
          <w:tcPr>
            <w:tcW w:w="3477"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default" w:ascii="Times New Roman" w:hAnsi="Times New Roman" w:cs="Times New Roman" w:eastAsiaTheme="minorEastAsia"/>
                <w:color w:val="FF0000"/>
                <w:spacing w:val="-3"/>
                <w:sz w:val="21"/>
                <w:szCs w:val="21"/>
              </w:rPr>
              <w:t>在30分钟内向</w:t>
            </w:r>
            <w:r>
              <w:rPr>
                <w:rFonts w:hint="eastAsia" w:ascii="Times New Roman" w:hAnsi="Times New Roman" w:cs="Times New Roman" w:eastAsiaTheme="minorEastAsia"/>
                <w:color w:val="FF0000"/>
                <w:sz w:val="21"/>
                <w:szCs w:val="21"/>
                <w:lang w:eastAsia="zh-CN"/>
              </w:rPr>
              <w:t>江西省宜春经济技术开发区管理委员会</w:t>
            </w:r>
            <w:r>
              <w:rPr>
                <w:rFonts w:hint="eastAsia" w:ascii="Times New Roman" w:hAnsi="Times New Roman" w:cs="Times New Roman" w:eastAsiaTheme="minorEastAsia"/>
                <w:color w:val="FF0000"/>
                <w:spacing w:val="-3"/>
                <w:sz w:val="21"/>
                <w:szCs w:val="21"/>
                <w:lang w:eastAsia="zh-CN"/>
              </w:rPr>
              <w:t>报告</w:t>
            </w:r>
          </w:p>
        </w:tc>
        <w:tc>
          <w:tcPr>
            <w:tcW w:w="2006"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eastAsia" w:ascii="Times New Roman" w:hAnsi="Times New Roman" w:cs="Times New Roman" w:eastAsiaTheme="minorEastAsia"/>
                <w:color w:val="FF0000"/>
                <w:spacing w:val="-3"/>
                <w:sz w:val="21"/>
                <w:szCs w:val="21"/>
                <w:lang w:eastAsia="zh-CN"/>
              </w:rPr>
              <w:t>橙色预警由</w:t>
            </w:r>
            <w:r>
              <w:rPr>
                <w:rFonts w:hint="eastAsia" w:ascii="Times New Roman" w:hAnsi="Times New Roman" w:cs="Times New Roman" w:eastAsiaTheme="minorEastAsia"/>
                <w:color w:val="FF0000"/>
                <w:sz w:val="21"/>
                <w:szCs w:val="21"/>
                <w:lang w:eastAsia="zh-CN"/>
              </w:rPr>
              <w:t>江西省宜春经济技术开发区管理委员会</w:t>
            </w:r>
            <w:r>
              <w:rPr>
                <w:rFonts w:hint="default" w:ascii="Times New Roman" w:hAnsi="Times New Roman" w:cs="Times New Roman" w:eastAsiaTheme="minorEastAsia"/>
                <w:color w:val="FF0000"/>
                <w:spacing w:val="-3"/>
                <w:sz w:val="21"/>
                <w:szCs w:val="21"/>
              </w:rPr>
              <w:t>负责发布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jc w:val="center"/>
        </w:trPr>
        <w:tc>
          <w:tcPr>
            <w:tcW w:w="57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rPr>
            </w:pPr>
            <w:r>
              <w:rPr>
                <w:rFonts w:hint="default" w:ascii="Times New Roman" w:hAnsi="Times New Roman" w:cs="Times New Roman" w:eastAsiaTheme="minorEastAsia"/>
                <w:color w:val="FF0000"/>
                <w:spacing w:val="-3"/>
                <w:sz w:val="21"/>
                <w:szCs w:val="21"/>
                <w:lang w:val="en-US" w:eastAsia="zh-CN"/>
              </w:rPr>
              <w:t>重大突发环境事件（Ⅰ级）</w:t>
            </w:r>
          </w:p>
        </w:tc>
        <w:tc>
          <w:tcPr>
            <w:tcW w:w="131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eastAsia" w:ascii="Times New Roman" w:hAnsi="Times New Roman" w:cs="Times New Roman" w:eastAsiaTheme="minorEastAsia"/>
                <w:color w:val="FF0000"/>
                <w:sz w:val="21"/>
                <w:szCs w:val="21"/>
                <w:lang w:eastAsia="zh-CN"/>
              </w:rPr>
              <w:t>宜春市</w:t>
            </w:r>
            <w:r>
              <w:rPr>
                <w:rFonts w:hint="eastAsia" w:ascii="Times New Roman" w:hAnsi="Times New Roman" w:cs="Times New Roman" w:eastAsiaTheme="minorEastAsia"/>
                <w:color w:val="FF0000"/>
                <w:sz w:val="21"/>
                <w:szCs w:val="21"/>
                <w:lang w:val="en-US" w:eastAsia="zh-CN"/>
              </w:rPr>
              <w:t>人民政府</w:t>
            </w:r>
          </w:p>
        </w:tc>
        <w:tc>
          <w:tcPr>
            <w:tcW w:w="1999"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default" w:ascii="Times New Roman" w:hAnsi="Times New Roman" w:cs="Times New Roman" w:eastAsiaTheme="minorEastAsia"/>
                <w:color w:val="FF0000"/>
                <w:spacing w:val="-3"/>
                <w:sz w:val="21"/>
                <w:szCs w:val="21"/>
              </w:rPr>
              <w:t>公司突发环境事件应急预案</w:t>
            </w:r>
            <w:r>
              <w:rPr>
                <w:rFonts w:hint="eastAsia" w:ascii="Times New Roman" w:hAnsi="Times New Roman" w:cs="Times New Roman" w:eastAsiaTheme="minorEastAsia"/>
                <w:color w:val="FF0000"/>
                <w:spacing w:val="-3"/>
                <w:sz w:val="21"/>
                <w:szCs w:val="21"/>
                <w:lang w:eastAsia="zh-CN"/>
              </w:rPr>
              <w:t>重大</w:t>
            </w:r>
            <w:r>
              <w:rPr>
                <w:rFonts w:hint="default" w:ascii="Times New Roman" w:hAnsi="Times New Roman" w:cs="Times New Roman" w:eastAsiaTheme="minorEastAsia"/>
                <w:color w:val="FF0000"/>
                <w:spacing w:val="-3"/>
                <w:sz w:val="21"/>
                <w:szCs w:val="21"/>
              </w:rPr>
              <w:t>级</w:t>
            </w:r>
          </w:p>
        </w:tc>
        <w:tc>
          <w:tcPr>
            <w:tcW w:w="3477"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default" w:ascii="Times New Roman" w:hAnsi="Times New Roman" w:cs="Times New Roman" w:eastAsiaTheme="minorEastAsia"/>
                <w:color w:val="FF0000"/>
                <w:spacing w:val="-3"/>
                <w:sz w:val="21"/>
                <w:szCs w:val="21"/>
                <w:lang w:val="en-US" w:eastAsia="zh-CN"/>
              </w:rPr>
              <w:t>应急指挥部应在发现或得知突发环境事件后半小时内，向</w:t>
            </w:r>
            <w:r>
              <w:rPr>
                <w:rFonts w:hint="eastAsia" w:ascii="Times New Roman" w:hAnsi="Times New Roman" w:cs="Times New Roman" w:eastAsiaTheme="minorEastAsia"/>
                <w:color w:val="FF0000"/>
                <w:spacing w:val="-3"/>
                <w:sz w:val="21"/>
                <w:szCs w:val="21"/>
                <w:lang w:val="en-US" w:eastAsia="zh-CN"/>
              </w:rPr>
              <w:t>公司应急指挥部报告，由应急指挥部向</w:t>
            </w:r>
            <w:r>
              <w:rPr>
                <w:rFonts w:hint="eastAsia" w:ascii="Times New Roman" w:hAnsi="Times New Roman" w:cs="Times New Roman" w:eastAsiaTheme="minorEastAsia"/>
                <w:color w:val="FF0000"/>
                <w:sz w:val="21"/>
                <w:szCs w:val="21"/>
                <w:lang w:eastAsia="zh-CN"/>
              </w:rPr>
              <w:t>宜春市</w:t>
            </w:r>
            <w:r>
              <w:rPr>
                <w:rFonts w:hint="eastAsia" w:ascii="Times New Roman" w:hAnsi="Times New Roman" w:cs="Times New Roman" w:eastAsiaTheme="minorEastAsia"/>
                <w:color w:val="FF0000"/>
                <w:sz w:val="21"/>
                <w:szCs w:val="21"/>
                <w:lang w:val="en-US" w:eastAsia="zh-CN"/>
              </w:rPr>
              <w:t>人民政府</w:t>
            </w:r>
            <w:r>
              <w:rPr>
                <w:rFonts w:hint="default" w:ascii="Times New Roman" w:hAnsi="Times New Roman" w:cs="Times New Roman" w:eastAsiaTheme="minorEastAsia"/>
                <w:color w:val="FF0000"/>
                <w:spacing w:val="-3"/>
                <w:sz w:val="21"/>
                <w:szCs w:val="21"/>
                <w:lang w:val="en-US" w:eastAsia="zh-CN"/>
              </w:rPr>
              <w:t>报告</w:t>
            </w:r>
          </w:p>
        </w:tc>
        <w:tc>
          <w:tcPr>
            <w:tcW w:w="2006" w:type="dxa"/>
            <w:vAlign w:val="center"/>
          </w:tcPr>
          <w:p>
            <w:pPr>
              <w:pStyle w:val="2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eastAsiaTheme="minorEastAsia"/>
                <w:color w:val="FF0000"/>
                <w:spacing w:val="-3"/>
                <w:sz w:val="21"/>
                <w:szCs w:val="21"/>
                <w:lang w:val="zh-CN" w:eastAsia="zh-CN"/>
              </w:rPr>
            </w:pPr>
            <w:r>
              <w:rPr>
                <w:rFonts w:hint="eastAsia" w:ascii="Times New Roman" w:hAnsi="Times New Roman" w:cs="Times New Roman" w:eastAsiaTheme="minorEastAsia"/>
                <w:color w:val="FF0000"/>
                <w:spacing w:val="-3"/>
                <w:sz w:val="21"/>
                <w:szCs w:val="21"/>
                <w:lang w:eastAsia="zh-CN"/>
              </w:rPr>
              <w:t>红色</w:t>
            </w:r>
            <w:r>
              <w:rPr>
                <w:rFonts w:hint="default" w:ascii="Times New Roman" w:hAnsi="Times New Roman" w:cs="Times New Roman" w:eastAsiaTheme="minorEastAsia"/>
                <w:color w:val="FF0000"/>
                <w:spacing w:val="-3"/>
                <w:sz w:val="21"/>
                <w:szCs w:val="21"/>
              </w:rPr>
              <w:t>预警由</w:t>
            </w:r>
            <w:r>
              <w:rPr>
                <w:rFonts w:hint="eastAsia" w:ascii="Times New Roman" w:hAnsi="Times New Roman" w:cs="Times New Roman" w:eastAsiaTheme="minorEastAsia"/>
                <w:color w:val="FF0000"/>
                <w:sz w:val="21"/>
                <w:szCs w:val="21"/>
                <w:lang w:eastAsia="zh-CN"/>
              </w:rPr>
              <w:t>宜春市</w:t>
            </w:r>
            <w:r>
              <w:rPr>
                <w:rFonts w:hint="eastAsia" w:ascii="Times New Roman" w:hAnsi="Times New Roman" w:cs="Times New Roman" w:eastAsiaTheme="minorEastAsia"/>
                <w:color w:val="FF0000"/>
                <w:sz w:val="21"/>
                <w:szCs w:val="21"/>
                <w:lang w:val="en-US" w:eastAsia="zh-CN"/>
              </w:rPr>
              <w:t>人民政府</w:t>
            </w:r>
            <w:r>
              <w:rPr>
                <w:rFonts w:hint="default" w:ascii="Times New Roman" w:hAnsi="Times New Roman" w:cs="Times New Roman" w:eastAsiaTheme="minorEastAsia"/>
                <w:color w:val="FF0000"/>
                <w:sz w:val="21"/>
                <w:szCs w:val="21"/>
              </w:rPr>
              <w:t>发布</w:t>
            </w:r>
          </w:p>
        </w:tc>
      </w:tr>
    </w:tbl>
    <w:p>
      <w:pPr>
        <w:pStyle w:val="57"/>
      </w:pPr>
    </w:p>
    <w:bookmarkEnd w:id="184"/>
    <w:bookmarkEnd w:id="185"/>
    <w:bookmarkEnd w:id="186"/>
    <w:p>
      <w:pPr>
        <w:widowControl/>
        <w:jc w:val="left"/>
        <w:rPr>
          <w:b/>
          <w:bCs/>
          <w:kern w:val="44"/>
          <w:sz w:val="44"/>
          <w:szCs w:val="44"/>
        </w:rPr>
      </w:pPr>
      <w:bookmarkStart w:id="195" w:name="_Toc14645_WPSOffice_Level1"/>
      <w:bookmarkStart w:id="196" w:name="_Toc30264_WPSOffice_Level1"/>
      <w:bookmarkStart w:id="197" w:name="_Toc408503089"/>
      <w:bookmarkStart w:id="198" w:name="_Toc166424755"/>
      <w:bookmarkStart w:id="199" w:name="_Toc161808454"/>
      <w:r>
        <w:br w:type="page"/>
      </w:r>
    </w:p>
    <w:p>
      <w:pPr>
        <w:pStyle w:val="4"/>
        <w:bidi w:val="0"/>
        <w:jc w:val="center"/>
        <w:rPr>
          <w:rFonts w:hint="default"/>
          <w:lang w:val="en-US" w:eastAsia="zh-CN"/>
        </w:rPr>
      </w:pPr>
      <w:bookmarkStart w:id="200" w:name="_Toc23606"/>
      <w:bookmarkStart w:id="201" w:name="_Toc46857512"/>
      <w:bookmarkStart w:id="202" w:name="_Toc43202962"/>
      <w:r>
        <w:rPr>
          <w:rFonts w:hint="eastAsia"/>
          <w:lang w:val="en-US" w:eastAsia="zh-CN"/>
        </w:rPr>
        <w:t>第二章</w:t>
      </w:r>
      <w:r>
        <w:rPr>
          <w:rFonts w:hint="default"/>
          <w:lang w:val="en-US" w:eastAsia="zh-CN"/>
        </w:rPr>
        <w:t xml:space="preserve"> 公司的基本情况</w:t>
      </w:r>
      <w:bookmarkEnd w:id="200"/>
    </w:p>
    <w:p>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bookmarkStart w:id="203" w:name="_Toc15144"/>
      <w:r>
        <w:rPr>
          <w:rFonts w:hint="default"/>
          <w:lang w:val="en-US" w:eastAsia="zh-CN"/>
        </w:rPr>
        <w:t>2.1 企</w:t>
      </w:r>
      <w:r>
        <w:rPr>
          <w:rFonts w:hint="eastAsia"/>
          <w:lang w:val="en-US" w:eastAsia="zh-CN"/>
        </w:rPr>
        <w:t>业基本信息</w:t>
      </w:r>
      <w:bookmarkEnd w:id="203"/>
    </w:p>
    <w:p>
      <w:pPr>
        <w:adjustRightInd w:val="0"/>
        <w:spacing w:line="360" w:lineRule="auto"/>
        <w:ind w:left="51" w:firstLine="429" w:firstLineChars="178"/>
        <w:textAlignment w:val="baseline"/>
        <w:rPr>
          <w:rFonts w:hint="eastAsia"/>
          <w:b/>
          <w:kern w:val="0"/>
          <w:position w:val="6"/>
          <w:sz w:val="24"/>
          <w:szCs w:val="20"/>
          <w:lang w:val="en-US" w:eastAsia="zh-CN"/>
        </w:rPr>
      </w:pPr>
      <w:r>
        <w:rPr>
          <w:rFonts w:hint="eastAsia"/>
          <w:b/>
          <w:kern w:val="0"/>
          <w:position w:val="6"/>
          <w:sz w:val="24"/>
          <w:szCs w:val="20"/>
          <w:lang w:val="en-US" w:eastAsia="zh-CN"/>
        </w:rPr>
        <w:t>(1) 企业基本情况</w:t>
      </w:r>
    </w:p>
    <w:p>
      <w:pPr>
        <w:spacing w:line="360" w:lineRule="auto"/>
        <w:ind w:firstLine="480" w:firstLineChars="200"/>
        <w:rPr>
          <w:rFonts w:eastAsia="宋体"/>
          <w:sz w:val="24"/>
        </w:rPr>
      </w:pPr>
      <w:r>
        <w:rPr>
          <w:rFonts w:hAnsi="宋体" w:eastAsia="宋体"/>
          <w:sz w:val="24"/>
        </w:rPr>
        <w:t>宇泰（江西）新能源有限公司是一家以新概念高效晶硅</w:t>
      </w:r>
      <w:r>
        <w:rPr>
          <w:rFonts w:eastAsia="宋体"/>
          <w:sz w:val="24"/>
        </w:rPr>
        <w:t>PERC</w:t>
      </w:r>
      <w:r>
        <w:rPr>
          <w:rFonts w:hAnsi="宋体" w:eastAsia="宋体"/>
          <w:sz w:val="24"/>
        </w:rPr>
        <w:t>电池和氢燃料电池材料为主，集研发、生产、销售、服务于一体的中外合资技术创新型企业，</w:t>
      </w:r>
      <w:r>
        <w:rPr>
          <w:rFonts w:hint="eastAsia" w:hAnsi="宋体" w:eastAsia="宋体"/>
          <w:sz w:val="24"/>
        </w:rPr>
        <w:t>2018年1月公司更名为</w:t>
      </w:r>
      <w:r>
        <w:rPr>
          <w:rFonts w:hint="eastAsia" w:hAnsi="宋体"/>
          <w:sz w:val="24"/>
          <w:lang w:eastAsia="zh-CN"/>
        </w:rPr>
        <w:t>宜春宇泽新能源有限公司</w:t>
      </w:r>
      <w:r>
        <w:rPr>
          <w:rFonts w:hint="eastAsia" w:hAnsi="宋体" w:eastAsia="宋体"/>
          <w:sz w:val="24"/>
        </w:rPr>
        <w:t>，</w:t>
      </w:r>
      <w:r>
        <w:rPr>
          <w:rFonts w:hAnsi="宋体" w:eastAsia="宋体"/>
          <w:sz w:val="24"/>
        </w:rPr>
        <w:t>公司坐落于江西省宜春市国家级经济技术开发区</w:t>
      </w:r>
      <w:r>
        <w:rPr>
          <w:rFonts w:hint="eastAsia" w:hAnsi="宋体" w:eastAsia="宋体"/>
          <w:sz w:val="24"/>
        </w:rPr>
        <w:t>。</w:t>
      </w:r>
      <w:r>
        <w:rPr>
          <w:rFonts w:hAnsi="宋体" w:eastAsia="宋体"/>
          <w:sz w:val="24"/>
        </w:rPr>
        <w:t>为</w:t>
      </w:r>
      <w:r>
        <w:rPr>
          <w:rFonts w:hint="eastAsia" w:hAnsi="宋体" w:eastAsia="宋体"/>
          <w:sz w:val="24"/>
        </w:rPr>
        <w:t>扩大生产规模</w:t>
      </w:r>
      <w:r>
        <w:rPr>
          <w:rFonts w:hAnsi="宋体" w:eastAsia="宋体"/>
          <w:sz w:val="24"/>
        </w:rPr>
        <w:t>，</w:t>
      </w:r>
      <w:r>
        <w:rPr>
          <w:rFonts w:hint="eastAsia" w:hAnsi="宋体"/>
          <w:sz w:val="24"/>
          <w:lang w:eastAsia="zh-CN"/>
        </w:rPr>
        <w:t>宜春宇泽新能源有限公司</w:t>
      </w:r>
      <w:r>
        <w:rPr>
          <w:rFonts w:hAnsi="宋体" w:eastAsia="宋体"/>
          <w:sz w:val="24"/>
        </w:rPr>
        <w:t>拟投资</w:t>
      </w:r>
      <w:r>
        <w:rPr>
          <w:rFonts w:hint="eastAsia" w:eastAsia="宋体"/>
          <w:sz w:val="24"/>
        </w:rPr>
        <w:t>500000</w:t>
      </w:r>
      <w:r>
        <w:rPr>
          <w:rFonts w:hAnsi="宋体" w:eastAsia="宋体"/>
          <w:sz w:val="24"/>
        </w:rPr>
        <w:t>万元，新建</w:t>
      </w:r>
      <w:r>
        <w:rPr>
          <w:rFonts w:hint="eastAsia" w:eastAsia="宋体"/>
          <w:sz w:val="24"/>
        </w:rPr>
        <w:t>8</w:t>
      </w:r>
      <w:r>
        <w:rPr>
          <w:rFonts w:eastAsia="宋体"/>
          <w:sz w:val="24"/>
        </w:rPr>
        <w:t>GW</w:t>
      </w:r>
      <w:r>
        <w:rPr>
          <w:rFonts w:hAnsi="宋体" w:eastAsia="宋体"/>
          <w:sz w:val="24"/>
        </w:rPr>
        <w:t>单晶切片车间，</w:t>
      </w:r>
      <w:r>
        <w:rPr>
          <w:rFonts w:hint="eastAsia" w:hAnsi="宋体" w:eastAsia="宋体"/>
          <w:sz w:val="24"/>
        </w:rPr>
        <w:t>新建</w:t>
      </w:r>
      <w:r>
        <w:rPr>
          <w:rFonts w:hAnsi="宋体" w:eastAsia="宋体"/>
          <w:sz w:val="24"/>
        </w:rPr>
        <w:t>标准厂房、宿舍楼、办公楼、道路管路、绿化等。总占地面积</w:t>
      </w:r>
      <w:r>
        <w:rPr>
          <w:rFonts w:hint="eastAsia" w:eastAsia="宋体"/>
          <w:sz w:val="24"/>
        </w:rPr>
        <w:t>245</w:t>
      </w:r>
      <w:r>
        <w:rPr>
          <w:rFonts w:hAnsi="宋体" w:eastAsia="宋体"/>
          <w:sz w:val="24"/>
        </w:rPr>
        <w:t>亩，总建筑面积</w:t>
      </w:r>
      <w:r>
        <w:rPr>
          <w:rFonts w:hint="eastAsia" w:eastAsia="宋体"/>
          <w:sz w:val="24"/>
        </w:rPr>
        <w:t>78960.82</w:t>
      </w:r>
      <w:r>
        <w:rPr>
          <w:rFonts w:hAnsi="宋体" w:eastAsia="宋体"/>
          <w:sz w:val="24"/>
        </w:rPr>
        <w:t>平方米，新建年产硅片</w:t>
      </w:r>
      <w:r>
        <w:rPr>
          <w:rFonts w:hint="eastAsia" w:eastAsia="宋体"/>
          <w:sz w:val="24"/>
        </w:rPr>
        <w:t>8</w:t>
      </w:r>
      <w:r>
        <w:rPr>
          <w:rFonts w:eastAsia="宋体"/>
          <w:sz w:val="24"/>
        </w:rPr>
        <w:t>GW</w:t>
      </w:r>
      <w:r>
        <w:rPr>
          <w:rFonts w:hAnsi="宋体" w:eastAsia="宋体"/>
          <w:sz w:val="24"/>
        </w:rPr>
        <w:t>项目。</w:t>
      </w:r>
    </w:p>
    <w:p>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hAnsi="宋体"/>
          <w:sz w:val="24"/>
          <w:lang w:eastAsia="zh-CN"/>
        </w:rPr>
        <w:t>宜春宇泽新能源有限公司</w:t>
      </w:r>
      <w:r>
        <w:rPr>
          <w:rFonts w:hAnsi="宋体" w:eastAsia="宋体"/>
          <w:sz w:val="24"/>
        </w:rPr>
        <w:t>于</w:t>
      </w:r>
      <w:r>
        <w:rPr>
          <w:rFonts w:eastAsia="宋体"/>
          <w:sz w:val="24"/>
        </w:rPr>
        <w:t>2018</w:t>
      </w:r>
      <w:r>
        <w:rPr>
          <w:rFonts w:hAnsi="宋体" w:eastAsia="宋体"/>
          <w:sz w:val="24"/>
        </w:rPr>
        <w:t>年</w:t>
      </w:r>
      <w:r>
        <w:rPr>
          <w:rFonts w:eastAsia="宋体"/>
          <w:sz w:val="24"/>
        </w:rPr>
        <w:t>3</w:t>
      </w:r>
      <w:r>
        <w:rPr>
          <w:rFonts w:hAnsi="宋体" w:eastAsia="宋体"/>
          <w:sz w:val="24"/>
        </w:rPr>
        <w:t>月建设了</w:t>
      </w:r>
      <w:r>
        <w:rPr>
          <w:rFonts w:eastAsia="宋体"/>
          <w:sz w:val="24"/>
        </w:rPr>
        <w:t>“</w:t>
      </w:r>
      <w:r>
        <w:rPr>
          <w:rFonts w:hAnsi="宋体" w:eastAsia="宋体"/>
          <w:sz w:val="24"/>
        </w:rPr>
        <w:t>年产硅片</w:t>
      </w:r>
      <w:r>
        <w:rPr>
          <w:rFonts w:eastAsia="宋体"/>
          <w:sz w:val="24"/>
        </w:rPr>
        <w:t>2.8GW</w:t>
      </w:r>
      <w:r>
        <w:rPr>
          <w:rFonts w:hAnsi="宋体" w:eastAsia="宋体"/>
          <w:sz w:val="24"/>
        </w:rPr>
        <w:t>项目</w:t>
      </w:r>
      <w:r>
        <w:rPr>
          <w:rFonts w:eastAsia="宋体"/>
          <w:sz w:val="24"/>
        </w:rPr>
        <w:t>”</w:t>
      </w:r>
      <w:r>
        <w:rPr>
          <w:rFonts w:hAnsi="宋体" w:eastAsia="宋体"/>
          <w:sz w:val="24"/>
        </w:rPr>
        <w:t>；</w:t>
      </w:r>
      <w:r>
        <w:rPr>
          <w:rFonts w:eastAsia="宋体"/>
          <w:sz w:val="24"/>
        </w:rPr>
        <w:t>2018</w:t>
      </w:r>
      <w:r>
        <w:rPr>
          <w:rFonts w:hAnsi="宋体" w:eastAsia="宋体"/>
          <w:sz w:val="24"/>
        </w:rPr>
        <w:t>年</w:t>
      </w:r>
      <w:r>
        <w:rPr>
          <w:rFonts w:eastAsia="宋体"/>
          <w:sz w:val="24"/>
        </w:rPr>
        <w:t>4</w:t>
      </w:r>
      <w:r>
        <w:rPr>
          <w:rFonts w:hAnsi="宋体" w:eastAsia="宋体"/>
          <w:sz w:val="24"/>
        </w:rPr>
        <w:t>月，获得宜春市环境保护</w:t>
      </w:r>
      <w:r>
        <w:rPr>
          <w:rFonts w:hint="eastAsia" w:hAnsi="宋体" w:eastAsia="宋体"/>
          <w:sz w:val="24"/>
        </w:rPr>
        <w:t>局</w:t>
      </w:r>
      <w:r>
        <w:rPr>
          <w:rFonts w:hAnsi="宋体" w:eastAsia="宋体"/>
          <w:sz w:val="24"/>
        </w:rPr>
        <w:t>批复，批复号宜区环评字【</w:t>
      </w:r>
      <w:r>
        <w:rPr>
          <w:rFonts w:eastAsia="宋体"/>
          <w:sz w:val="24"/>
        </w:rPr>
        <w:t>2018</w:t>
      </w:r>
      <w:r>
        <w:rPr>
          <w:rFonts w:hAnsi="宋体" w:eastAsia="宋体"/>
          <w:sz w:val="24"/>
        </w:rPr>
        <w:t>】</w:t>
      </w:r>
      <w:r>
        <w:rPr>
          <w:rFonts w:eastAsia="宋体"/>
          <w:sz w:val="24"/>
        </w:rPr>
        <w:t>17</w:t>
      </w:r>
      <w:r>
        <w:rPr>
          <w:rFonts w:hAnsi="宋体" w:eastAsia="宋体"/>
          <w:sz w:val="24"/>
        </w:rPr>
        <w:t>号。</w:t>
      </w:r>
      <w:r>
        <w:rPr>
          <w:rFonts w:eastAsia="宋体"/>
          <w:sz w:val="24"/>
        </w:rPr>
        <w:t>2019</w:t>
      </w:r>
      <w:r>
        <w:rPr>
          <w:rFonts w:hAnsi="宋体" w:eastAsia="宋体"/>
          <w:sz w:val="24"/>
        </w:rPr>
        <w:t>年</w:t>
      </w:r>
      <w:r>
        <w:rPr>
          <w:rFonts w:eastAsia="宋体"/>
          <w:sz w:val="24"/>
        </w:rPr>
        <w:t>5</w:t>
      </w:r>
      <w:r>
        <w:rPr>
          <w:rFonts w:hAnsi="宋体" w:eastAsia="宋体"/>
          <w:sz w:val="24"/>
        </w:rPr>
        <w:t>月建设单位委托江西中环检测有限公司编制了该项目的竣工验收报告，并通过了竣工验收。</w:t>
      </w:r>
      <w:r>
        <w:rPr>
          <w:rFonts w:eastAsia="宋体"/>
          <w:sz w:val="24"/>
        </w:rPr>
        <w:t>2019</w:t>
      </w:r>
      <w:r>
        <w:rPr>
          <w:rFonts w:hAnsi="宋体" w:eastAsia="宋体"/>
          <w:sz w:val="24"/>
        </w:rPr>
        <w:t>年</w:t>
      </w:r>
      <w:r>
        <w:rPr>
          <w:rFonts w:eastAsia="宋体"/>
          <w:sz w:val="24"/>
        </w:rPr>
        <w:t>7</w:t>
      </w:r>
      <w:r>
        <w:rPr>
          <w:rFonts w:hAnsi="宋体" w:eastAsia="宋体"/>
          <w:sz w:val="24"/>
        </w:rPr>
        <w:t>月，</w:t>
      </w:r>
      <w:r>
        <w:rPr>
          <w:rFonts w:hint="eastAsia" w:hAnsi="宋体"/>
          <w:sz w:val="24"/>
          <w:lang w:eastAsia="zh-CN"/>
        </w:rPr>
        <w:t>宜春宇泽新能源有限公司</w:t>
      </w:r>
      <w:r>
        <w:rPr>
          <w:rFonts w:hAnsi="宋体" w:eastAsia="宋体"/>
          <w:sz w:val="24"/>
        </w:rPr>
        <w:t>建设了</w:t>
      </w:r>
      <w:r>
        <w:rPr>
          <w:rFonts w:eastAsia="宋体"/>
          <w:sz w:val="24"/>
        </w:rPr>
        <w:t>“</w:t>
      </w:r>
      <w:r>
        <w:rPr>
          <w:rFonts w:hAnsi="宋体" w:eastAsia="宋体"/>
          <w:kern w:val="0"/>
          <w:sz w:val="24"/>
          <w:lang w:bidi="ar"/>
        </w:rPr>
        <w:t>年产</w:t>
      </w:r>
      <w:r>
        <w:rPr>
          <w:rFonts w:eastAsia="宋体"/>
          <w:kern w:val="0"/>
          <w:sz w:val="24"/>
          <w:lang w:bidi="ar"/>
        </w:rPr>
        <w:t>100</w:t>
      </w:r>
      <w:r>
        <w:rPr>
          <w:rFonts w:hAnsi="宋体" w:eastAsia="宋体"/>
          <w:kern w:val="0"/>
          <w:sz w:val="24"/>
          <w:lang w:bidi="ar"/>
        </w:rPr>
        <w:t>万㎡导电基材扩建项目</w:t>
      </w:r>
      <w:r>
        <w:rPr>
          <w:rFonts w:eastAsia="宋体"/>
          <w:sz w:val="24"/>
        </w:rPr>
        <w:t>”</w:t>
      </w:r>
      <w:r>
        <w:rPr>
          <w:rFonts w:hAnsi="宋体" w:eastAsia="宋体"/>
          <w:sz w:val="24"/>
        </w:rPr>
        <w:t>；</w:t>
      </w:r>
      <w:r>
        <w:rPr>
          <w:rFonts w:eastAsia="宋体"/>
          <w:sz w:val="24"/>
        </w:rPr>
        <w:t>201</w:t>
      </w:r>
      <w:r>
        <w:rPr>
          <w:rFonts w:hint="eastAsia" w:eastAsia="宋体"/>
          <w:sz w:val="24"/>
        </w:rPr>
        <w:t>9</w:t>
      </w:r>
      <w:r>
        <w:rPr>
          <w:rFonts w:hAnsi="宋体" w:eastAsia="宋体"/>
          <w:sz w:val="24"/>
        </w:rPr>
        <w:t>年</w:t>
      </w:r>
      <w:r>
        <w:rPr>
          <w:rFonts w:hint="eastAsia" w:eastAsia="宋体"/>
          <w:sz w:val="24"/>
        </w:rPr>
        <w:t>9</w:t>
      </w:r>
      <w:r>
        <w:rPr>
          <w:rFonts w:hAnsi="宋体" w:eastAsia="宋体"/>
          <w:sz w:val="24"/>
        </w:rPr>
        <w:t>月，获得宜春市</w:t>
      </w:r>
      <w:r>
        <w:rPr>
          <w:rFonts w:hint="eastAsia" w:hAnsi="宋体" w:eastAsia="宋体"/>
          <w:sz w:val="24"/>
        </w:rPr>
        <w:t>生态环境局宜春经济技术开发区分局</w:t>
      </w:r>
      <w:r>
        <w:rPr>
          <w:rFonts w:hAnsi="宋体" w:eastAsia="宋体"/>
          <w:sz w:val="24"/>
        </w:rPr>
        <w:t>批复，批复号宜区环评字【</w:t>
      </w:r>
      <w:r>
        <w:rPr>
          <w:rFonts w:eastAsia="宋体"/>
          <w:sz w:val="24"/>
        </w:rPr>
        <w:t>201</w:t>
      </w:r>
      <w:r>
        <w:rPr>
          <w:rFonts w:hint="eastAsia" w:eastAsia="宋体"/>
          <w:sz w:val="24"/>
        </w:rPr>
        <w:t>9</w:t>
      </w:r>
      <w:r>
        <w:rPr>
          <w:rFonts w:hAnsi="宋体" w:eastAsia="宋体"/>
          <w:sz w:val="24"/>
        </w:rPr>
        <w:t>】</w:t>
      </w:r>
      <w:r>
        <w:rPr>
          <w:rFonts w:hint="eastAsia" w:eastAsia="宋体"/>
          <w:sz w:val="24"/>
        </w:rPr>
        <w:t>43</w:t>
      </w:r>
      <w:r>
        <w:rPr>
          <w:rFonts w:hAnsi="宋体" w:eastAsia="宋体"/>
          <w:sz w:val="24"/>
        </w:rPr>
        <w:t>号</w:t>
      </w:r>
      <w:r>
        <w:rPr>
          <w:rFonts w:hint="eastAsia" w:hAnsi="宋体" w:eastAsia="宋体"/>
          <w:sz w:val="24"/>
          <w:lang w:eastAsia="zh-CN"/>
        </w:rPr>
        <w:t>，</w:t>
      </w:r>
      <w:r>
        <w:rPr>
          <w:rFonts w:hint="eastAsia" w:hAnsi="宋体" w:eastAsia="宋体"/>
          <w:sz w:val="24"/>
        </w:rPr>
        <w:t>因市场原因该项目将关闭不再生产</w:t>
      </w:r>
      <w:r>
        <w:rPr>
          <w:rFonts w:hint="eastAsia" w:hAnsi="宋体" w:eastAsia="宋体"/>
          <w:sz w:val="24"/>
          <w:lang w:eastAsia="zh-CN"/>
        </w:rPr>
        <w:t>。</w:t>
      </w:r>
      <w:r>
        <w:rPr>
          <w:rFonts w:hint="eastAsia" w:hAnsi="宋体" w:eastAsia="宋体"/>
          <w:sz w:val="24"/>
          <w:lang w:val="en-US" w:eastAsia="zh-CN"/>
        </w:rPr>
        <w:t>后</w:t>
      </w:r>
      <w:r>
        <w:rPr>
          <w:rFonts w:hint="eastAsia" w:hAnsi="宋体" w:eastAsia="宋体"/>
          <w:sz w:val="24"/>
        </w:rPr>
        <w:t>因市场需求</w:t>
      </w:r>
      <w:r>
        <w:rPr>
          <w:rFonts w:hAnsi="宋体" w:eastAsia="宋体"/>
          <w:sz w:val="24"/>
        </w:rPr>
        <w:t>，</w:t>
      </w:r>
      <w:r>
        <w:rPr>
          <w:rFonts w:hint="eastAsia" w:hAnsi="宋体"/>
          <w:sz w:val="24"/>
          <w:lang w:eastAsia="zh-CN"/>
        </w:rPr>
        <w:t>宜春宇泽新能源有限公司</w:t>
      </w:r>
      <w:r>
        <w:rPr>
          <w:rFonts w:hAnsi="宋体" w:eastAsia="宋体"/>
          <w:sz w:val="24"/>
        </w:rPr>
        <w:t>拟投资</w:t>
      </w:r>
      <w:r>
        <w:rPr>
          <w:rFonts w:eastAsia="宋体"/>
          <w:sz w:val="24"/>
        </w:rPr>
        <w:t>500000万</w:t>
      </w:r>
      <w:r>
        <w:rPr>
          <w:rFonts w:hAnsi="宋体" w:eastAsia="宋体"/>
          <w:sz w:val="24"/>
        </w:rPr>
        <w:t>元，新建</w:t>
      </w:r>
      <w:r>
        <w:rPr>
          <w:rFonts w:hint="eastAsia" w:eastAsia="宋体"/>
          <w:sz w:val="24"/>
        </w:rPr>
        <w:t>8</w:t>
      </w:r>
      <w:r>
        <w:rPr>
          <w:rFonts w:eastAsia="宋体"/>
          <w:sz w:val="24"/>
        </w:rPr>
        <w:t>GW</w:t>
      </w:r>
      <w:r>
        <w:rPr>
          <w:rFonts w:hint="eastAsia" w:hAnsi="宋体" w:eastAsia="宋体"/>
          <w:sz w:val="24"/>
        </w:rPr>
        <w:t>太阳能硅片生产线</w:t>
      </w:r>
      <w:r>
        <w:rPr>
          <w:rFonts w:hint="eastAsia" w:hAnsi="宋体" w:eastAsia="宋体"/>
          <w:sz w:val="24"/>
          <w:lang w:eastAsia="zh-CN"/>
        </w:rPr>
        <w:t>，</w:t>
      </w:r>
      <w:r>
        <w:rPr>
          <w:rFonts w:eastAsia="宋体"/>
          <w:sz w:val="24"/>
        </w:rPr>
        <w:t>20</w:t>
      </w:r>
      <w:r>
        <w:rPr>
          <w:rFonts w:hint="eastAsia"/>
          <w:sz w:val="24"/>
          <w:lang w:val="en-US" w:eastAsia="zh-CN"/>
        </w:rPr>
        <w:t>21</w:t>
      </w:r>
      <w:r>
        <w:rPr>
          <w:rFonts w:hAnsi="宋体" w:eastAsia="宋体"/>
          <w:sz w:val="24"/>
        </w:rPr>
        <w:t>年</w:t>
      </w:r>
      <w:r>
        <w:rPr>
          <w:rFonts w:hint="eastAsia"/>
          <w:sz w:val="24"/>
          <w:lang w:val="en-US" w:eastAsia="zh-CN"/>
        </w:rPr>
        <w:t>3</w:t>
      </w:r>
      <w:r>
        <w:rPr>
          <w:rFonts w:hAnsi="宋体" w:eastAsia="宋体"/>
          <w:sz w:val="24"/>
        </w:rPr>
        <w:t>月，获得宜春市</w:t>
      </w:r>
      <w:r>
        <w:rPr>
          <w:rFonts w:hint="eastAsia" w:hAnsi="宋体" w:eastAsia="宋体"/>
          <w:sz w:val="24"/>
        </w:rPr>
        <w:t>生态环境局宜春经济技术开发区分局</w:t>
      </w:r>
      <w:r>
        <w:rPr>
          <w:rFonts w:hAnsi="宋体" w:eastAsia="宋体"/>
          <w:sz w:val="24"/>
        </w:rPr>
        <w:t>批复，批复号宜区环评字【</w:t>
      </w:r>
      <w:r>
        <w:rPr>
          <w:rFonts w:eastAsia="宋体"/>
          <w:sz w:val="24"/>
        </w:rPr>
        <w:t>20</w:t>
      </w:r>
      <w:r>
        <w:rPr>
          <w:rFonts w:hint="eastAsia"/>
          <w:sz w:val="24"/>
          <w:lang w:val="en-US" w:eastAsia="zh-CN"/>
        </w:rPr>
        <w:t>21</w:t>
      </w:r>
      <w:r>
        <w:rPr>
          <w:rFonts w:hAnsi="宋体" w:eastAsia="宋体"/>
          <w:sz w:val="24"/>
        </w:rPr>
        <w:t>】</w:t>
      </w:r>
      <w:r>
        <w:rPr>
          <w:rFonts w:hint="eastAsia"/>
          <w:sz w:val="24"/>
          <w:lang w:val="en-US" w:eastAsia="zh-CN"/>
        </w:rPr>
        <w:t>8</w:t>
      </w:r>
      <w:r>
        <w:rPr>
          <w:rFonts w:hAnsi="宋体" w:eastAsia="宋体"/>
          <w:sz w:val="24"/>
        </w:rPr>
        <w:t>号</w:t>
      </w:r>
      <w:r>
        <w:rPr>
          <w:rFonts w:hint="eastAsia" w:hAnsi="宋体"/>
          <w:sz w:val="24"/>
          <w:lang w:eastAsia="zh-CN"/>
        </w:rPr>
        <w:t>（</w:t>
      </w:r>
      <w:r>
        <w:rPr>
          <w:rFonts w:hint="eastAsia" w:hAnsi="宋体"/>
          <w:sz w:val="24"/>
          <w:lang w:val="en-US" w:eastAsia="zh-CN"/>
        </w:rPr>
        <w:t>附件5</w:t>
      </w:r>
      <w:r>
        <w:rPr>
          <w:rFonts w:hint="eastAsia" w:hAnsi="宋体"/>
          <w:sz w:val="24"/>
          <w:lang w:eastAsia="zh-CN"/>
        </w:rPr>
        <w:t>）</w:t>
      </w:r>
      <w:r>
        <w:rPr>
          <w:rFonts w:hint="eastAsia" w:hAnsi="宋体" w:eastAsia="宋体"/>
          <w:sz w:val="24"/>
        </w:rPr>
        <w:t>。</w:t>
      </w:r>
    </w:p>
    <w:p>
      <w:pPr>
        <w:adjustRightInd w:val="0"/>
        <w:spacing w:line="360" w:lineRule="auto"/>
        <w:ind w:firstLine="482" w:firstLineChars="200"/>
        <w:textAlignment w:val="baseline"/>
        <w:rPr>
          <w:b/>
          <w:kern w:val="0"/>
          <w:position w:val="6"/>
          <w:sz w:val="24"/>
          <w:szCs w:val="20"/>
        </w:rPr>
      </w:pPr>
      <w:r>
        <w:rPr>
          <w:b/>
          <w:kern w:val="0"/>
          <w:position w:val="6"/>
          <w:sz w:val="24"/>
          <w:szCs w:val="20"/>
        </w:rPr>
        <w:t>(</w:t>
      </w:r>
      <w:r>
        <w:rPr>
          <w:rFonts w:hint="eastAsia"/>
          <w:b/>
          <w:kern w:val="0"/>
          <w:position w:val="6"/>
          <w:sz w:val="24"/>
          <w:szCs w:val="20"/>
          <w:lang w:val="en-US" w:eastAsia="zh-CN"/>
        </w:rPr>
        <w:t>2</w:t>
      </w:r>
      <w:r>
        <w:rPr>
          <w:b/>
          <w:kern w:val="0"/>
          <w:position w:val="6"/>
          <w:sz w:val="24"/>
          <w:szCs w:val="20"/>
        </w:rPr>
        <w:t>) 项目建设内容</w:t>
      </w:r>
    </w:p>
    <w:p>
      <w:pPr>
        <w:pStyle w:val="323"/>
        <w:spacing w:line="360" w:lineRule="auto"/>
        <w:rPr>
          <w:rFonts w:eastAsia="宋体"/>
          <w:color w:val="000000"/>
          <w:sz w:val="24"/>
        </w:rPr>
      </w:pPr>
      <w:r>
        <w:rPr>
          <w:rFonts w:hAnsi="宋体" w:eastAsia="宋体"/>
          <w:sz w:val="24"/>
        </w:rPr>
        <w:t>项目选址于</w:t>
      </w:r>
      <w:r>
        <w:rPr>
          <w:rFonts w:hint="eastAsia" w:hAnsi="宋体" w:eastAsia="宋体"/>
          <w:sz w:val="24"/>
          <w:lang w:eastAsia="zh-CN"/>
        </w:rPr>
        <w:t>宜春经济技术开发区</w:t>
      </w:r>
      <w:r>
        <w:rPr>
          <w:rFonts w:hAnsi="宋体" w:eastAsia="宋体"/>
          <w:sz w:val="24"/>
        </w:rPr>
        <w:t>春风路</w:t>
      </w:r>
      <w:r>
        <w:rPr>
          <w:rFonts w:eastAsia="宋体"/>
          <w:sz w:val="24"/>
        </w:rPr>
        <w:t>7</w:t>
      </w:r>
      <w:r>
        <w:rPr>
          <w:rFonts w:hAnsi="宋体" w:eastAsia="宋体"/>
          <w:sz w:val="24"/>
        </w:rPr>
        <w:t>号，</w:t>
      </w:r>
      <w:r>
        <w:rPr>
          <w:rFonts w:hint="eastAsia" w:hAnsi="宋体" w:eastAsia="宋体"/>
          <w:color w:val="000000"/>
          <w:sz w:val="24"/>
        </w:rPr>
        <w:t>建设</w:t>
      </w:r>
      <w:r>
        <w:rPr>
          <w:rFonts w:eastAsia="宋体"/>
          <w:color w:val="000000"/>
          <w:sz w:val="24"/>
        </w:rPr>
        <w:t>8GW</w:t>
      </w:r>
      <w:r>
        <w:rPr>
          <w:rFonts w:hAnsi="宋体" w:eastAsia="宋体"/>
          <w:color w:val="000000"/>
          <w:sz w:val="24"/>
        </w:rPr>
        <w:t>单晶切片项目</w:t>
      </w:r>
      <w:r>
        <w:rPr>
          <w:rFonts w:hAnsi="宋体" w:eastAsia="宋体"/>
          <w:sz w:val="24"/>
        </w:rPr>
        <w:t>项目</w:t>
      </w:r>
      <w:r>
        <w:rPr>
          <w:rFonts w:hint="eastAsia" w:hAnsi="宋体" w:eastAsia="宋体"/>
          <w:sz w:val="24"/>
        </w:rPr>
        <w:t>，总</w:t>
      </w:r>
      <w:r>
        <w:rPr>
          <w:rFonts w:hAnsi="宋体" w:eastAsia="宋体"/>
          <w:sz w:val="24"/>
        </w:rPr>
        <w:t>建筑面积约</w:t>
      </w:r>
      <w:r>
        <w:rPr>
          <w:rFonts w:eastAsia="宋体"/>
          <w:sz w:val="24"/>
        </w:rPr>
        <w:t>78960.82m</w:t>
      </w:r>
      <w:r>
        <w:rPr>
          <w:rFonts w:eastAsia="宋体"/>
          <w:sz w:val="24"/>
          <w:vertAlign w:val="superscript"/>
        </w:rPr>
        <w:t>2</w:t>
      </w:r>
      <w:r>
        <w:rPr>
          <w:rFonts w:hAnsi="宋体" w:eastAsia="宋体"/>
          <w:sz w:val="24"/>
        </w:rPr>
        <w:t>。</w:t>
      </w:r>
      <w:r>
        <w:rPr>
          <w:rFonts w:hint="eastAsia" w:hAnsi="宋体" w:eastAsia="宋体"/>
          <w:sz w:val="24"/>
        </w:rPr>
        <w:t>项目分两期建设，</w:t>
      </w:r>
      <w:r>
        <w:rPr>
          <w:rFonts w:hAnsi="宋体" w:eastAsia="宋体"/>
          <w:color w:val="000000"/>
          <w:sz w:val="24"/>
        </w:rPr>
        <w:t>一期项目为：在厂区</w:t>
      </w:r>
      <w:r>
        <w:rPr>
          <w:rFonts w:hint="eastAsia" w:hAnsi="宋体" w:eastAsia="宋体"/>
          <w:color w:val="000000"/>
          <w:sz w:val="24"/>
        </w:rPr>
        <w:t>现有的成品仓库改造为</w:t>
      </w:r>
      <w:r>
        <w:rPr>
          <w:rFonts w:eastAsia="宋体"/>
          <w:color w:val="000000"/>
          <w:sz w:val="24"/>
        </w:rPr>
        <w:t xml:space="preserve">1GW </w:t>
      </w:r>
      <w:r>
        <w:rPr>
          <w:rFonts w:hAnsi="宋体" w:eastAsia="宋体"/>
          <w:color w:val="000000"/>
          <w:sz w:val="24"/>
        </w:rPr>
        <w:t>单晶切片，</w:t>
      </w:r>
      <w:r>
        <w:rPr>
          <w:rFonts w:hint="eastAsia" w:hAnsi="宋体" w:eastAsia="宋体"/>
          <w:color w:val="000000"/>
          <w:sz w:val="24"/>
        </w:rPr>
        <w:t>同时</w:t>
      </w:r>
      <w:r>
        <w:rPr>
          <w:rFonts w:hAnsi="宋体" w:eastAsia="宋体"/>
          <w:color w:val="000000"/>
          <w:sz w:val="24"/>
        </w:rPr>
        <w:t>新建</w:t>
      </w:r>
      <w:r>
        <w:rPr>
          <w:rFonts w:eastAsia="宋体"/>
          <w:color w:val="000000"/>
          <w:sz w:val="24"/>
        </w:rPr>
        <w:t>2GW</w:t>
      </w:r>
      <w:r>
        <w:rPr>
          <w:rFonts w:hAnsi="宋体" w:eastAsia="宋体"/>
          <w:color w:val="000000"/>
          <w:sz w:val="24"/>
        </w:rPr>
        <w:t>单晶切片车间</w:t>
      </w:r>
      <w:r>
        <w:rPr>
          <w:rFonts w:hint="eastAsia" w:hAnsi="宋体" w:eastAsia="宋体"/>
          <w:color w:val="000000"/>
          <w:sz w:val="24"/>
        </w:rPr>
        <w:t>及配套工程；</w:t>
      </w:r>
      <w:r>
        <w:rPr>
          <w:rFonts w:hAnsi="宋体" w:eastAsia="宋体"/>
          <w:color w:val="000000"/>
          <w:sz w:val="24"/>
        </w:rPr>
        <w:t>二期项目为</w:t>
      </w:r>
      <w:r>
        <w:rPr>
          <w:rFonts w:hint="eastAsia" w:hAnsi="宋体" w:eastAsia="宋体"/>
          <w:color w:val="000000"/>
          <w:sz w:val="24"/>
        </w:rPr>
        <w:t>新建</w:t>
      </w:r>
      <w:r>
        <w:rPr>
          <w:rFonts w:eastAsia="宋体"/>
          <w:color w:val="000000"/>
          <w:sz w:val="24"/>
        </w:rPr>
        <w:t>5GW</w:t>
      </w:r>
      <w:r>
        <w:rPr>
          <w:rFonts w:hAnsi="宋体" w:eastAsia="宋体"/>
          <w:color w:val="000000"/>
          <w:sz w:val="24"/>
        </w:rPr>
        <w:t>单晶切片以及标准厂房、宿舍路、办公楼等的建设。</w:t>
      </w:r>
      <w:r>
        <w:rPr>
          <w:rFonts w:eastAsia="宋体"/>
          <w:color w:val="000000"/>
          <w:sz w:val="24"/>
        </w:rPr>
        <w:t xml:space="preserve"> </w:t>
      </w:r>
    </w:p>
    <w:p>
      <w:pPr>
        <w:adjustRightInd w:val="0"/>
        <w:spacing w:line="360" w:lineRule="auto"/>
        <w:ind w:left="51" w:firstLine="427" w:firstLineChars="178"/>
        <w:textAlignment w:val="baseline"/>
        <w:rPr>
          <w:kern w:val="0"/>
          <w:position w:val="6"/>
          <w:sz w:val="24"/>
          <w:szCs w:val="20"/>
        </w:rPr>
      </w:pPr>
      <w:r>
        <w:rPr>
          <w:rFonts w:hint="eastAsia" w:ascii="Times New Roman" w:hAnsi="Times New Roman" w:eastAsia="宋体" w:cs="Times New Roman"/>
          <w:kern w:val="0"/>
          <w:position w:val="6"/>
          <w:sz w:val="24"/>
          <w:szCs w:val="20"/>
        </w:rPr>
        <w:t>建设项目组成见表</w:t>
      </w:r>
      <w:r>
        <w:rPr>
          <w:rFonts w:hint="eastAsia"/>
          <w:kern w:val="0"/>
          <w:position w:val="6"/>
          <w:sz w:val="24"/>
          <w:szCs w:val="20"/>
        </w:rPr>
        <w:t>1。</w:t>
      </w:r>
    </w:p>
    <w:p>
      <w:pPr>
        <w:jc w:val="center"/>
        <w:rPr>
          <w:b/>
          <w:kern w:val="24"/>
          <w:sz w:val="24"/>
        </w:rPr>
      </w:pPr>
      <w:r>
        <w:rPr>
          <w:color w:val="C00000"/>
          <w:kern w:val="21"/>
          <w:sz w:val="24"/>
        </w:rPr>
        <w:t xml:space="preserve"> </w:t>
      </w:r>
      <w:r>
        <w:rPr>
          <w:b/>
          <w:color w:val="auto"/>
          <w:kern w:val="21"/>
          <w:szCs w:val="21"/>
        </w:rPr>
        <w:t>表</w:t>
      </w:r>
      <w:r>
        <w:rPr>
          <w:rFonts w:hint="eastAsia"/>
          <w:b/>
          <w:color w:val="auto"/>
          <w:kern w:val="21"/>
          <w:szCs w:val="21"/>
        </w:rPr>
        <w:t>1</w:t>
      </w:r>
      <w:r>
        <w:rPr>
          <w:b/>
          <w:color w:val="auto"/>
          <w:kern w:val="21"/>
          <w:szCs w:val="21"/>
        </w:rPr>
        <w:t xml:space="preserve"> 建设项目组成表</w:t>
      </w:r>
    </w:p>
    <w:tbl>
      <w:tblPr>
        <w:tblStyle w:val="47"/>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87"/>
        <w:gridCol w:w="636"/>
        <w:gridCol w:w="1646"/>
        <w:gridCol w:w="2341"/>
        <w:gridCol w:w="1273"/>
        <w:gridCol w:w="148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687" w:type="dxa"/>
            <w:noWrap w:val="0"/>
            <w:vAlign w:val="center"/>
          </w:tcPr>
          <w:p>
            <w:pPr>
              <w:keepNext w:val="0"/>
              <w:keepLines w:val="0"/>
              <w:suppressLineNumbers w:val="0"/>
              <w:spacing w:before="0" w:beforeAutospacing="0" w:after="0" w:afterAutospacing="0"/>
              <w:ind w:left="0" w:right="0"/>
              <w:jc w:val="center"/>
              <w:rPr>
                <w:b/>
                <w:bCs/>
                <w:szCs w:val="21"/>
              </w:rPr>
            </w:pPr>
            <w:r>
              <w:rPr>
                <w:b/>
                <w:bCs/>
                <w:szCs w:val="21"/>
              </w:rPr>
              <w:t>工程类别</w:t>
            </w:r>
          </w:p>
        </w:tc>
        <w:tc>
          <w:tcPr>
            <w:tcW w:w="2282" w:type="dxa"/>
            <w:gridSpan w:val="2"/>
            <w:noWrap w:val="0"/>
            <w:vAlign w:val="center"/>
          </w:tcPr>
          <w:p>
            <w:pPr>
              <w:keepNext w:val="0"/>
              <w:keepLines w:val="0"/>
              <w:suppressLineNumbers w:val="0"/>
              <w:spacing w:before="0" w:beforeAutospacing="0" w:after="0" w:afterAutospacing="0"/>
              <w:ind w:left="0" w:right="0"/>
              <w:jc w:val="center"/>
              <w:rPr>
                <w:b/>
                <w:bCs/>
                <w:szCs w:val="21"/>
              </w:rPr>
            </w:pPr>
            <w:r>
              <w:rPr>
                <w:b/>
                <w:bCs/>
                <w:szCs w:val="21"/>
              </w:rPr>
              <w:t>建设名称</w:t>
            </w:r>
          </w:p>
        </w:tc>
        <w:tc>
          <w:tcPr>
            <w:tcW w:w="2341" w:type="dxa"/>
            <w:noWrap w:val="0"/>
            <w:vAlign w:val="center"/>
          </w:tcPr>
          <w:p>
            <w:pPr>
              <w:keepNext w:val="0"/>
              <w:keepLines w:val="0"/>
              <w:suppressLineNumbers w:val="0"/>
              <w:spacing w:before="0" w:beforeAutospacing="0" w:after="0" w:afterAutospacing="0"/>
              <w:ind w:left="0" w:right="0"/>
              <w:jc w:val="center"/>
              <w:rPr>
                <w:b/>
                <w:bCs/>
                <w:szCs w:val="21"/>
              </w:rPr>
            </w:pPr>
            <w:r>
              <w:rPr>
                <w:b/>
                <w:bCs/>
                <w:szCs w:val="21"/>
              </w:rPr>
              <w:t>建设内容与规模</w:t>
            </w:r>
          </w:p>
        </w:tc>
        <w:tc>
          <w:tcPr>
            <w:tcW w:w="1273" w:type="dxa"/>
            <w:noWrap w:val="0"/>
            <w:vAlign w:val="center"/>
          </w:tcPr>
          <w:p>
            <w:pPr>
              <w:keepNext w:val="0"/>
              <w:keepLines w:val="0"/>
              <w:suppressLineNumbers w:val="0"/>
              <w:spacing w:before="0" w:beforeAutospacing="0" w:after="0" w:afterAutospacing="0"/>
              <w:ind w:left="0" w:right="0"/>
              <w:jc w:val="center"/>
              <w:rPr>
                <w:b/>
                <w:bCs/>
                <w:szCs w:val="21"/>
              </w:rPr>
            </w:pPr>
            <w:r>
              <w:rPr>
                <w:b/>
                <w:bCs/>
                <w:szCs w:val="21"/>
              </w:rPr>
              <w:t>面积或数量</w:t>
            </w:r>
          </w:p>
        </w:tc>
        <w:tc>
          <w:tcPr>
            <w:tcW w:w="1487" w:type="dxa"/>
            <w:noWrap w:val="0"/>
            <w:vAlign w:val="center"/>
          </w:tcPr>
          <w:p>
            <w:pPr>
              <w:keepNext w:val="0"/>
              <w:keepLines w:val="0"/>
              <w:suppressLineNumbers w:val="0"/>
              <w:spacing w:before="0" w:beforeAutospacing="0" w:after="0" w:afterAutospacing="0"/>
              <w:ind w:left="0" w:right="0"/>
              <w:jc w:val="center"/>
              <w:rPr>
                <w:b/>
                <w:bCs/>
                <w:szCs w:val="21"/>
              </w:rPr>
            </w:pPr>
            <w:r>
              <w:rPr>
                <w:b/>
                <w:bCs/>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noWrap w:val="0"/>
            <w:vAlign w:val="center"/>
          </w:tcPr>
          <w:p>
            <w:pPr>
              <w:keepNext w:val="0"/>
              <w:keepLines w:val="0"/>
              <w:suppressLineNumbers w:val="0"/>
              <w:spacing w:before="0" w:beforeAutospacing="0" w:after="0" w:afterAutospacing="0"/>
              <w:ind w:left="0" w:right="0"/>
              <w:jc w:val="center"/>
              <w:rPr>
                <w:szCs w:val="21"/>
              </w:rPr>
            </w:pPr>
            <w:r>
              <w:rPr>
                <w:szCs w:val="21"/>
              </w:rPr>
              <w:t>主体工程</w:t>
            </w:r>
          </w:p>
        </w:tc>
        <w:tc>
          <w:tcPr>
            <w:tcW w:w="2282" w:type="dxa"/>
            <w:gridSpan w:val="2"/>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硅片生产标准厂房</w:t>
            </w:r>
          </w:p>
        </w:tc>
        <w:tc>
          <w:tcPr>
            <w:tcW w:w="2341"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Ansi="宋体" w:eastAsia="宋体"/>
                <w:bCs/>
                <w:szCs w:val="21"/>
              </w:rPr>
              <w:t>建设</w:t>
            </w:r>
            <w:r>
              <w:rPr>
                <w:rFonts w:hint="eastAsia" w:eastAsia="宋体"/>
                <w:bCs/>
                <w:szCs w:val="21"/>
              </w:rPr>
              <w:t>59161.81</w:t>
            </w:r>
            <w:r>
              <w:rPr>
                <w:szCs w:val="21"/>
              </w:rPr>
              <w:t xml:space="preserve"> m</w:t>
            </w:r>
            <w:r>
              <w:rPr>
                <w:szCs w:val="21"/>
                <w:vertAlign w:val="superscript"/>
              </w:rPr>
              <w:t>2</w:t>
            </w:r>
            <w:r>
              <w:rPr>
                <w:rFonts w:eastAsia="宋体"/>
                <w:szCs w:val="21"/>
              </w:rPr>
              <w:t>标准厂房</w:t>
            </w:r>
            <w:r>
              <w:rPr>
                <w:rFonts w:hAnsi="宋体" w:eastAsia="宋体"/>
                <w:bCs/>
                <w:szCs w:val="21"/>
              </w:rPr>
              <w:t>包括生产区、一般固废暂存区、纯水制备室、危险废物暂存区等</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59161.81</w:t>
            </w:r>
            <w:r>
              <w:rPr>
                <w:szCs w:val="21"/>
              </w:rPr>
              <w:t>m</w:t>
            </w:r>
            <w:r>
              <w:rPr>
                <w:szCs w:val="21"/>
                <w:vertAlign w:val="superscript"/>
              </w:rPr>
              <w:t>2</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其中6034m</w:t>
            </w:r>
            <w:r>
              <w:rPr>
                <w:rFonts w:hint="eastAsia" w:eastAsia="宋体"/>
                <w:szCs w:val="21"/>
                <w:vertAlign w:val="superscript"/>
              </w:rPr>
              <w:t>2</w:t>
            </w:r>
            <w:r>
              <w:rPr>
                <w:rFonts w:hint="eastAsia" w:eastAsia="宋体"/>
                <w:szCs w:val="21"/>
              </w:rPr>
              <w:t>的生产车间为改建，其余</w:t>
            </w: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restart"/>
            <w:noWrap w:val="0"/>
            <w:vAlign w:val="center"/>
          </w:tcPr>
          <w:p>
            <w:pPr>
              <w:keepNext w:val="0"/>
              <w:keepLines w:val="0"/>
              <w:suppressLineNumbers w:val="0"/>
              <w:spacing w:before="0" w:beforeAutospacing="0" w:after="0" w:afterAutospacing="0"/>
              <w:ind w:left="0" w:right="0"/>
              <w:jc w:val="center"/>
              <w:rPr>
                <w:szCs w:val="21"/>
              </w:rPr>
            </w:pPr>
            <w:r>
              <w:rPr>
                <w:szCs w:val="21"/>
              </w:rPr>
              <w:t>辅助及公用工程</w:t>
            </w:r>
          </w:p>
        </w:tc>
        <w:tc>
          <w:tcPr>
            <w:tcW w:w="2282" w:type="dxa"/>
            <w:gridSpan w:val="2"/>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仓库</w:t>
            </w:r>
          </w:p>
        </w:tc>
        <w:tc>
          <w:tcPr>
            <w:tcW w:w="2341" w:type="dxa"/>
            <w:noWrap w:val="0"/>
            <w:vAlign w:val="center"/>
          </w:tcPr>
          <w:p>
            <w:pPr>
              <w:keepNext w:val="0"/>
              <w:keepLines w:val="0"/>
              <w:suppressLineNumbers w:val="0"/>
              <w:spacing w:before="0" w:beforeAutospacing="0" w:after="0" w:afterAutospacing="0"/>
              <w:ind w:left="0" w:right="0"/>
              <w:jc w:val="center"/>
              <w:rPr>
                <w:szCs w:val="21"/>
              </w:rPr>
            </w:pPr>
            <w:r>
              <w:rPr>
                <w:rFonts w:hint="eastAsia" w:hAnsi="宋体" w:eastAsia="宋体"/>
                <w:bCs/>
                <w:szCs w:val="21"/>
              </w:rPr>
              <w:t>化学</w:t>
            </w:r>
            <w:r>
              <w:rPr>
                <w:rFonts w:hAnsi="宋体" w:eastAsia="宋体"/>
                <w:bCs/>
                <w:szCs w:val="21"/>
              </w:rPr>
              <w:t>品仓库</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2142.00</w:t>
            </w:r>
            <w:r>
              <w:rPr>
                <w:szCs w:val="21"/>
              </w:rPr>
              <w:t>m</w:t>
            </w:r>
            <w:r>
              <w:rPr>
                <w:szCs w:val="21"/>
                <w:vertAlign w:val="superscript"/>
              </w:rPr>
              <w:t>2</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2282" w:type="dxa"/>
            <w:gridSpan w:val="2"/>
            <w:noWrap w:val="0"/>
            <w:vAlign w:val="center"/>
          </w:tcPr>
          <w:p>
            <w:pPr>
              <w:keepNext w:val="0"/>
              <w:keepLines w:val="0"/>
              <w:suppressLineNumbers w:val="0"/>
              <w:spacing w:before="0" w:beforeAutospacing="0" w:after="0" w:afterAutospacing="0"/>
              <w:ind w:left="0" w:right="0"/>
              <w:jc w:val="center"/>
              <w:rPr>
                <w:rFonts w:hint="eastAsia" w:eastAsia="宋体"/>
                <w:szCs w:val="21"/>
              </w:rPr>
            </w:pPr>
            <w:r>
              <w:rPr>
                <w:rFonts w:hint="eastAsia" w:eastAsia="宋体"/>
                <w:szCs w:val="21"/>
              </w:rPr>
              <w:t>宿舍楼及办公室</w:t>
            </w:r>
          </w:p>
        </w:tc>
        <w:tc>
          <w:tcPr>
            <w:tcW w:w="2341" w:type="dxa"/>
            <w:noWrap w:val="0"/>
            <w:vAlign w:val="center"/>
          </w:tcPr>
          <w:p>
            <w:pPr>
              <w:keepNext w:val="0"/>
              <w:keepLines w:val="0"/>
              <w:suppressLineNumbers w:val="0"/>
              <w:spacing w:before="0" w:beforeAutospacing="0" w:after="0" w:afterAutospacing="0"/>
              <w:ind w:left="0" w:right="0"/>
              <w:jc w:val="center"/>
              <w:rPr>
                <w:rFonts w:hint="eastAsia" w:hAnsi="宋体"/>
                <w:bCs/>
                <w:szCs w:val="21"/>
              </w:rPr>
            </w:pPr>
            <w:r>
              <w:rPr>
                <w:rFonts w:hint="eastAsia" w:eastAsia="宋体"/>
                <w:szCs w:val="21"/>
              </w:rPr>
              <w:t>宿舍楼及办公室</w:t>
            </w:r>
          </w:p>
        </w:tc>
        <w:tc>
          <w:tcPr>
            <w:tcW w:w="1273" w:type="dxa"/>
            <w:noWrap w:val="0"/>
            <w:vAlign w:val="center"/>
          </w:tcPr>
          <w:p>
            <w:pPr>
              <w:keepNext w:val="0"/>
              <w:keepLines w:val="0"/>
              <w:suppressLineNumbers w:val="0"/>
              <w:spacing w:before="0" w:beforeAutospacing="0" w:after="0" w:afterAutospacing="0"/>
              <w:ind w:left="0" w:right="0"/>
              <w:jc w:val="center"/>
              <w:rPr>
                <w:rFonts w:hint="eastAsia" w:eastAsia="宋体"/>
                <w:szCs w:val="21"/>
              </w:rPr>
            </w:pPr>
            <w:r>
              <w:rPr>
                <w:rFonts w:hint="eastAsia" w:eastAsia="宋体"/>
                <w:szCs w:val="21"/>
              </w:rPr>
              <w:t>3000</w:t>
            </w:r>
            <w:r>
              <w:rPr>
                <w:szCs w:val="21"/>
              </w:rPr>
              <w:t xml:space="preserve"> m</w:t>
            </w:r>
            <w:r>
              <w:rPr>
                <w:szCs w:val="21"/>
                <w:vertAlign w:val="superscript"/>
              </w:rPr>
              <w:t>2</w:t>
            </w:r>
          </w:p>
        </w:tc>
        <w:tc>
          <w:tcPr>
            <w:tcW w:w="1487" w:type="dxa"/>
            <w:noWrap w:val="0"/>
            <w:vAlign w:val="center"/>
          </w:tcPr>
          <w:p>
            <w:pPr>
              <w:keepNext w:val="0"/>
              <w:keepLines w:val="0"/>
              <w:suppressLineNumbers w:val="0"/>
              <w:spacing w:before="0" w:beforeAutospacing="0" w:after="0" w:afterAutospacing="0"/>
              <w:ind w:left="0" w:right="0"/>
              <w:jc w:val="center"/>
              <w:rPr>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2282" w:type="dxa"/>
            <w:gridSpan w:val="2"/>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废水站</w:t>
            </w:r>
          </w:p>
        </w:tc>
        <w:tc>
          <w:tcPr>
            <w:tcW w:w="2341" w:type="dxa"/>
            <w:noWrap w:val="0"/>
            <w:vAlign w:val="center"/>
          </w:tcPr>
          <w:p>
            <w:pPr>
              <w:keepNext w:val="0"/>
              <w:keepLines w:val="0"/>
              <w:suppressLineNumbers w:val="0"/>
              <w:spacing w:before="0" w:beforeAutospacing="0" w:after="0" w:afterAutospacing="0"/>
              <w:ind w:left="0" w:right="0"/>
              <w:jc w:val="center"/>
              <w:rPr>
                <w:szCs w:val="21"/>
              </w:rPr>
            </w:pPr>
            <w:r>
              <w:rPr>
                <w:rFonts w:hint="eastAsia" w:hAnsi="宋体" w:eastAsia="宋体"/>
                <w:bCs/>
                <w:szCs w:val="21"/>
              </w:rPr>
              <w:t>废水站</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6376.62</w:t>
            </w:r>
            <w:r>
              <w:rPr>
                <w:szCs w:val="21"/>
              </w:rPr>
              <w:t>m</w:t>
            </w:r>
            <w:r>
              <w:rPr>
                <w:szCs w:val="21"/>
                <w:vertAlign w:val="superscript"/>
              </w:rPr>
              <w:t>2</w:t>
            </w:r>
          </w:p>
        </w:tc>
        <w:tc>
          <w:tcPr>
            <w:tcW w:w="1487" w:type="dxa"/>
            <w:noWrap w:val="0"/>
            <w:vAlign w:val="center"/>
          </w:tcPr>
          <w:p>
            <w:pPr>
              <w:keepNext w:val="0"/>
              <w:keepLines w:val="0"/>
              <w:suppressLineNumbers w:val="0"/>
              <w:spacing w:before="0" w:beforeAutospacing="0" w:after="0" w:afterAutospacing="0"/>
              <w:ind w:left="0" w:right="0"/>
              <w:jc w:val="center"/>
              <w:rPr>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2282" w:type="dxa"/>
            <w:gridSpan w:val="2"/>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固废库</w:t>
            </w:r>
          </w:p>
        </w:tc>
        <w:tc>
          <w:tcPr>
            <w:tcW w:w="2341"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固废库</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1019.77</w:t>
            </w:r>
            <w:r>
              <w:rPr>
                <w:szCs w:val="21"/>
              </w:rPr>
              <w:t xml:space="preserve"> m</w:t>
            </w:r>
            <w:r>
              <w:rPr>
                <w:szCs w:val="21"/>
                <w:vertAlign w:val="superscript"/>
              </w:rPr>
              <w:t>2</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2282" w:type="dxa"/>
            <w:gridSpan w:val="2"/>
            <w:noWrap w:val="0"/>
            <w:vAlign w:val="center"/>
          </w:tcPr>
          <w:p>
            <w:pPr>
              <w:keepNext w:val="0"/>
              <w:keepLines w:val="0"/>
              <w:suppressLineNumbers w:val="0"/>
              <w:spacing w:before="0" w:beforeAutospacing="0" w:after="0" w:afterAutospacing="0"/>
              <w:ind w:left="0" w:right="0"/>
              <w:jc w:val="center"/>
              <w:rPr>
                <w:szCs w:val="21"/>
              </w:rPr>
            </w:pPr>
            <w:r>
              <w:rPr>
                <w:szCs w:val="21"/>
              </w:rPr>
              <w:t>供水</w:t>
            </w:r>
          </w:p>
        </w:tc>
        <w:tc>
          <w:tcPr>
            <w:tcW w:w="2341"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园区供水</w:t>
            </w:r>
          </w:p>
        </w:tc>
        <w:tc>
          <w:tcPr>
            <w:tcW w:w="1273" w:type="dxa"/>
            <w:noWrap w:val="0"/>
            <w:vAlign w:val="center"/>
          </w:tcPr>
          <w:p>
            <w:pPr>
              <w:keepNext w:val="0"/>
              <w:keepLines w:val="0"/>
              <w:suppressLineNumbers w:val="0"/>
              <w:spacing w:before="0" w:beforeAutospacing="0" w:after="0" w:afterAutospacing="0"/>
              <w:ind w:left="0" w:right="0"/>
              <w:jc w:val="center"/>
              <w:rPr>
                <w:szCs w:val="21"/>
              </w:rPr>
            </w:pPr>
            <w:r>
              <w:rPr>
                <w:szCs w:val="21"/>
              </w:rPr>
              <w:t>一套</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2282" w:type="dxa"/>
            <w:gridSpan w:val="2"/>
            <w:noWrap w:val="0"/>
            <w:vAlign w:val="center"/>
          </w:tcPr>
          <w:p>
            <w:pPr>
              <w:keepNext w:val="0"/>
              <w:keepLines w:val="0"/>
              <w:suppressLineNumbers w:val="0"/>
              <w:spacing w:before="0" w:beforeAutospacing="0" w:after="0" w:afterAutospacing="0"/>
              <w:ind w:left="0" w:right="0"/>
              <w:jc w:val="center"/>
              <w:rPr>
                <w:szCs w:val="21"/>
              </w:rPr>
            </w:pPr>
            <w:r>
              <w:rPr>
                <w:szCs w:val="21"/>
              </w:rPr>
              <w:t>供电</w:t>
            </w:r>
          </w:p>
        </w:tc>
        <w:tc>
          <w:tcPr>
            <w:tcW w:w="2341"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园区供电</w:t>
            </w:r>
          </w:p>
        </w:tc>
        <w:tc>
          <w:tcPr>
            <w:tcW w:w="1273" w:type="dxa"/>
            <w:noWrap w:val="0"/>
            <w:vAlign w:val="center"/>
          </w:tcPr>
          <w:p>
            <w:pPr>
              <w:keepNext w:val="0"/>
              <w:keepLines w:val="0"/>
              <w:suppressLineNumbers w:val="0"/>
              <w:spacing w:before="0" w:beforeAutospacing="0" w:after="0" w:afterAutospacing="0"/>
              <w:ind w:left="0" w:right="0"/>
              <w:jc w:val="center"/>
              <w:rPr>
                <w:szCs w:val="21"/>
              </w:rPr>
            </w:pPr>
            <w:r>
              <w:rPr>
                <w:szCs w:val="21"/>
              </w:rPr>
              <w:t>一套</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restart"/>
            <w:noWrap w:val="0"/>
            <w:vAlign w:val="center"/>
          </w:tcPr>
          <w:p>
            <w:pPr>
              <w:keepNext w:val="0"/>
              <w:keepLines w:val="0"/>
              <w:suppressLineNumbers w:val="0"/>
              <w:spacing w:before="0" w:beforeAutospacing="0" w:after="0" w:afterAutospacing="0"/>
              <w:ind w:left="0" w:right="0"/>
              <w:jc w:val="center"/>
              <w:rPr>
                <w:szCs w:val="21"/>
              </w:rPr>
            </w:pPr>
            <w:r>
              <w:rPr>
                <w:szCs w:val="21"/>
              </w:rPr>
              <w:t>环保工程</w:t>
            </w:r>
          </w:p>
        </w:tc>
        <w:tc>
          <w:tcPr>
            <w:tcW w:w="636" w:type="dxa"/>
            <w:vMerge w:val="restart"/>
            <w:noWrap w:val="0"/>
            <w:vAlign w:val="center"/>
          </w:tcPr>
          <w:p>
            <w:pPr>
              <w:keepNext w:val="0"/>
              <w:keepLines w:val="0"/>
              <w:suppressLineNumbers w:val="0"/>
              <w:spacing w:before="0" w:beforeAutospacing="0" w:after="0" w:afterAutospacing="0"/>
              <w:ind w:left="0" w:right="0"/>
              <w:jc w:val="center"/>
              <w:rPr>
                <w:rFonts w:eastAsia="宋体"/>
                <w:szCs w:val="21"/>
              </w:rPr>
            </w:pPr>
            <w:r>
              <w:rPr>
                <w:szCs w:val="21"/>
              </w:rPr>
              <w:t>废气</w:t>
            </w:r>
          </w:p>
        </w:tc>
        <w:tc>
          <w:tcPr>
            <w:tcW w:w="1646"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厨房油烟</w:t>
            </w:r>
          </w:p>
        </w:tc>
        <w:tc>
          <w:tcPr>
            <w:tcW w:w="2341" w:type="dxa"/>
            <w:noWrap w:val="0"/>
            <w:vAlign w:val="center"/>
          </w:tcPr>
          <w:p>
            <w:pPr>
              <w:pStyle w:val="16"/>
              <w:keepNext w:val="0"/>
              <w:keepLines w:val="0"/>
              <w:suppressLineNumbers w:val="0"/>
              <w:tabs>
                <w:tab w:val="left" w:pos="1036"/>
              </w:tabs>
              <w:snapToGrid w:val="0"/>
              <w:spacing w:before="0" w:beforeAutospacing="0" w:after="0" w:afterAutospacing="0" w:line="240" w:lineRule="auto"/>
              <w:ind w:left="0" w:right="0" w:firstLine="0"/>
              <w:jc w:val="center"/>
              <w:rPr>
                <w:rFonts w:eastAsia="宋体"/>
                <w:sz w:val="21"/>
                <w:szCs w:val="21"/>
                <w:lang w:val="en-US" w:eastAsia="zh-CN"/>
              </w:rPr>
            </w:pPr>
            <w:r>
              <w:rPr>
                <w:rFonts w:eastAsia="宋体"/>
                <w:sz w:val="21"/>
                <w:szCs w:val="21"/>
                <w:lang w:eastAsia="zh-CN"/>
              </w:rPr>
              <w:t>油烟净化装置</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szCs w:val="21"/>
              </w:rPr>
              <w:t>一套</w:t>
            </w:r>
          </w:p>
        </w:tc>
        <w:tc>
          <w:tcPr>
            <w:tcW w:w="1487" w:type="dxa"/>
            <w:noWrap w:val="0"/>
            <w:vAlign w:val="center"/>
          </w:tcPr>
          <w:p>
            <w:pPr>
              <w:keepNext w:val="0"/>
              <w:keepLines w:val="0"/>
              <w:suppressLineNumbers w:val="0"/>
              <w:spacing w:before="0" w:beforeAutospacing="0" w:after="0" w:afterAutospacing="0"/>
              <w:ind w:left="0" w:right="0"/>
              <w:jc w:val="center"/>
              <w:rPr>
                <w:rFonts w:hint="eastAsia" w:eastAsia="宋体"/>
                <w:szCs w:val="21"/>
              </w:rPr>
            </w:pPr>
            <w:r>
              <w:rPr>
                <w:rFonts w:hint="eastAsia" w:eastAsia="宋体"/>
                <w:szCs w:val="21"/>
              </w:rPr>
              <w:t>依托现有的食堂油烟净化设备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636"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646" w:type="dxa"/>
            <w:noWrap w:val="0"/>
            <w:vAlign w:val="center"/>
          </w:tcPr>
          <w:p>
            <w:pPr>
              <w:keepNext w:val="0"/>
              <w:keepLines w:val="0"/>
              <w:suppressLineNumbers w:val="0"/>
              <w:spacing w:before="0" w:beforeAutospacing="0" w:after="0" w:afterAutospacing="0"/>
              <w:ind w:left="0" w:right="0"/>
              <w:jc w:val="center"/>
              <w:rPr>
                <w:rFonts w:hint="eastAsia" w:eastAsia="宋体"/>
                <w:szCs w:val="21"/>
              </w:rPr>
            </w:pPr>
            <w:r>
              <w:rPr>
                <w:rFonts w:hint="eastAsia" w:eastAsia="宋体"/>
                <w:szCs w:val="21"/>
              </w:rPr>
              <w:t>挥发性有机废气</w:t>
            </w:r>
          </w:p>
        </w:tc>
        <w:tc>
          <w:tcPr>
            <w:tcW w:w="2341" w:type="dxa"/>
            <w:noWrap w:val="0"/>
            <w:vAlign w:val="center"/>
          </w:tcPr>
          <w:p>
            <w:pPr>
              <w:pStyle w:val="16"/>
              <w:keepNext w:val="0"/>
              <w:keepLines w:val="0"/>
              <w:suppressLineNumbers w:val="0"/>
              <w:tabs>
                <w:tab w:val="left" w:pos="1036"/>
              </w:tabs>
              <w:snapToGrid w:val="0"/>
              <w:spacing w:before="0" w:beforeAutospacing="0" w:after="0" w:afterAutospacing="0" w:line="240" w:lineRule="auto"/>
              <w:ind w:left="0" w:right="0" w:firstLine="0"/>
              <w:jc w:val="center"/>
              <w:rPr>
                <w:rFonts w:eastAsia="宋体"/>
                <w:sz w:val="21"/>
                <w:szCs w:val="21"/>
                <w:lang w:eastAsia="zh-CN"/>
              </w:rPr>
            </w:pPr>
            <w:r>
              <w:rPr>
                <w:rFonts w:hint="eastAsia" w:eastAsia="宋体"/>
                <w:sz w:val="21"/>
                <w:szCs w:val="21"/>
                <w:lang w:eastAsia="zh-CN"/>
              </w:rPr>
              <w:t>集气罩+活性炭吸附+15m排气筒</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szCs w:val="21"/>
              </w:rPr>
              <w:t>一套</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636"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废水</w:t>
            </w:r>
          </w:p>
        </w:tc>
        <w:tc>
          <w:tcPr>
            <w:tcW w:w="1646"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生产废水</w:t>
            </w:r>
          </w:p>
        </w:tc>
        <w:tc>
          <w:tcPr>
            <w:tcW w:w="2341" w:type="dxa"/>
            <w:noWrap w:val="0"/>
            <w:vAlign w:val="center"/>
          </w:tcPr>
          <w:p>
            <w:pPr>
              <w:keepNext w:val="0"/>
              <w:keepLines w:val="0"/>
              <w:suppressLineNumbers w:val="0"/>
              <w:spacing w:before="0" w:beforeAutospacing="0" w:after="0" w:afterAutospacing="0" w:line="340" w:lineRule="exact"/>
              <w:ind w:left="0" w:right="0"/>
              <w:jc w:val="left"/>
              <w:rPr>
                <w:rFonts w:eastAsia="宋体"/>
                <w:szCs w:val="21"/>
              </w:rPr>
            </w:pPr>
            <w:r>
              <w:rPr>
                <w:rFonts w:hAnsi="宋体" w:eastAsia="宋体"/>
                <w:bCs/>
                <w:szCs w:val="21"/>
              </w:rPr>
              <w:t>生活污水经化粪池</w:t>
            </w:r>
            <w:r>
              <w:rPr>
                <w:bCs/>
                <w:szCs w:val="21"/>
              </w:rPr>
              <w:t>+</w:t>
            </w:r>
            <w:r>
              <w:rPr>
                <w:rFonts w:hAnsi="宋体" w:eastAsia="宋体"/>
                <w:bCs/>
                <w:szCs w:val="21"/>
              </w:rPr>
              <w:t>隔油池预处理；生产废水经自建</w:t>
            </w:r>
            <w:r>
              <w:rPr>
                <w:rFonts w:hint="eastAsia" w:hAnsi="宋体" w:eastAsia="宋体"/>
                <w:bCs/>
                <w:szCs w:val="21"/>
              </w:rPr>
              <w:t>污水处理站</w:t>
            </w:r>
            <w:r>
              <w:rPr>
                <w:rFonts w:hAnsi="宋体" w:eastAsia="宋体"/>
                <w:bCs/>
                <w:szCs w:val="21"/>
              </w:rPr>
              <w:t>处理</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szCs w:val="21"/>
              </w:rPr>
              <w:t>一套</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2282" w:type="dxa"/>
            <w:gridSpan w:val="2"/>
            <w:vMerge w:val="restart"/>
            <w:noWrap w:val="0"/>
            <w:vAlign w:val="center"/>
          </w:tcPr>
          <w:p>
            <w:pPr>
              <w:keepNext w:val="0"/>
              <w:keepLines w:val="0"/>
              <w:suppressLineNumbers w:val="0"/>
              <w:spacing w:before="0" w:beforeAutospacing="0" w:after="0" w:afterAutospacing="0"/>
              <w:ind w:left="0" w:right="0"/>
              <w:jc w:val="center"/>
              <w:rPr>
                <w:szCs w:val="21"/>
              </w:rPr>
            </w:pPr>
            <w:r>
              <w:rPr>
                <w:rFonts w:eastAsia="宋体"/>
                <w:szCs w:val="21"/>
              </w:rPr>
              <w:t>固废</w:t>
            </w:r>
          </w:p>
        </w:tc>
        <w:tc>
          <w:tcPr>
            <w:tcW w:w="2341" w:type="dxa"/>
            <w:noWrap w:val="0"/>
            <w:vAlign w:val="center"/>
          </w:tcPr>
          <w:p>
            <w:pPr>
              <w:pStyle w:val="323"/>
              <w:keepNext w:val="0"/>
              <w:keepLines w:val="0"/>
              <w:suppressLineNumbers w:val="0"/>
              <w:spacing w:before="0" w:beforeAutospacing="0" w:after="0" w:afterAutospacing="0"/>
              <w:ind w:left="0" w:right="0" w:firstLine="0"/>
              <w:rPr>
                <w:rFonts w:eastAsia="宋体"/>
                <w:szCs w:val="21"/>
              </w:rPr>
            </w:pPr>
            <w:r>
              <w:rPr>
                <w:rFonts w:hAnsi="宋体" w:eastAsia="宋体"/>
                <w:szCs w:val="21"/>
              </w:rPr>
              <w:t>一般固废暂存</w:t>
            </w:r>
            <w:r>
              <w:rPr>
                <w:rFonts w:eastAsia="宋体"/>
                <w:szCs w:val="21"/>
              </w:rPr>
              <w:t>间</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eastAsia="宋体"/>
                <w:szCs w:val="21"/>
              </w:rPr>
              <w:t>969.77</w:t>
            </w:r>
            <w:r>
              <w:rPr>
                <w:szCs w:val="21"/>
              </w:rPr>
              <w:t>m</w:t>
            </w:r>
            <w:r>
              <w:rPr>
                <w:szCs w:val="21"/>
                <w:vertAlign w:val="superscript"/>
              </w:rPr>
              <w:t>2</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2282" w:type="dxa"/>
            <w:gridSpan w:val="2"/>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2341" w:type="dxa"/>
            <w:noWrap w:val="0"/>
            <w:vAlign w:val="center"/>
          </w:tcPr>
          <w:p>
            <w:pPr>
              <w:pStyle w:val="323"/>
              <w:keepNext w:val="0"/>
              <w:keepLines w:val="0"/>
              <w:suppressLineNumbers w:val="0"/>
              <w:spacing w:before="0" w:beforeAutospacing="0" w:after="0" w:afterAutospacing="0"/>
              <w:ind w:left="0" w:right="0" w:firstLine="0"/>
              <w:rPr>
                <w:rFonts w:hAnsi="宋体"/>
                <w:szCs w:val="21"/>
              </w:rPr>
            </w:pPr>
            <w:r>
              <w:rPr>
                <w:rFonts w:hAnsi="宋体" w:eastAsia="宋体"/>
                <w:szCs w:val="21"/>
              </w:rPr>
              <w:t>危险废物暂存间</w:t>
            </w:r>
          </w:p>
        </w:tc>
        <w:tc>
          <w:tcPr>
            <w:tcW w:w="1273" w:type="dxa"/>
            <w:noWrap w:val="0"/>
            <w:vAlign w:val="center"/>
          </w:tcPr>
          <w:p>
            <w:pPr>
              <w:keepNext w:val="0"/>
              <w:keepLines w:val="0"/>
              <w:suppressLineNumbers w:val="0"/>
              <w:spacing w:before="0" w:beforeAutospacing="0" w:after="0" w:afterAutospacing="0"/>
              <w:ind w:left="0" w:right="0"/>
              <w:jc w:val="center"/>
              <w:rPr>
                <w:rFonts w:hint="eastAsia" w:eastAsia="宋体"/>
                <w:szCs w:val="21"/>
              </w:rPr>
            </w:pPr>
            <w:r>
              <w:rPr>
                <w:rFonts w:hint="eastAsia" w:eastAsia="宋体"/>
                <w:szCs w:val="21"/>
              </w:rPr>
              <w:t>50</w:t>
            </w:r>
            <w:r>
              <w:rPr>
                <w:szCs w:val="21"/>
              </w:rPr>
              <w:t>m</w:t>
            </w:r>
            <w:r>
              <w:rPr>
                <w:szCs w:val="21"/>
                <w:vertAlign w:val="superscript"/>
              </w:rPr>
              <w:t>2</w:t>
            </w:r>
          </w:p>
        </w:tc>
        <w:tc>
          <w:tcPr>
            <w:tcW w:w="1487" w:type="dxa"/>
            <w:noWrap w:val="0"/>
            <w:vAlign w:val="center"/>
          </w:tcPr>
          <w:p>
            <w:pPr>
              <w:keepNext w:val="0"/>
              <w:keepLines w:val="0"/>
              <w:suppressLineNumbers w:val="0"/>
              <w:spacing w:before="0" w:beforeAutospacing="0" w:after="0" w:afterAutospacing="0"/>
              <w:ind w:left="0" w:right="0"/>
              <w:jc w:val="center"/>
              <w:rPr>
                <w:szCs w:val="21"/>
              </w:rPr>
            </w:pPr>
            <w:r>
              <w:rPr>
                <w:rFonts w:eastAsia="宋体"/>
                <w:szCs w:val="21"/>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87"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636"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噪声</w:t>
            </w:r>
          </w:p>
        </w:tc>
        <w:tc>
          <w:tcPr>
            <w:tcW w:w="1646" w:type="dxa"/>
            <w:noWrap w:val="0"/>
            <w:vAlign w:val="center"/>
          </w:tcPr>
          <w:p>
            <w:pPr>
              <w:keepNext w:val="0"/>
              <w:keepLines w:val="0"/>
              <w:suppressLineNumbers w:val="0"/>
              <w:spacing w:before="0" w:beforeAutospacing="0" w:after="0" w:afterAutospacing="0"/>
              <w:ind w:left="0" w:right="0"/>
              <w:jc w:val="center"/>
              <w:rPr>
                <w:rFonts w:eastAsia="宋体"/>
                <w:szCs w:val="21"/>
              </w:rPr>
            </w:pPr>
            <w:r>
              <w:rPr>
                <w:szCs w:val="21"/>
              </w:rPr>
              <w:t>设备噪声</w:t>
            </w:r>
          </w:p>
        </w:tc>
        <w:tc>
          <w:tcPr>
            <w:tcW w:w="2341" w:type="dxa"/>
            <w:noWrap w:val="0"/>
            <w:vAlign w:val="center"/>
          </w:tcPr>
          <w:p>
            <w:pPr>
              <w:keepNext w:val="0"/>
              <w:keepLines w:val="0"/>
              <w:suppressLineNumbers w:val="0"/>
              <w:spacing w:before="0" w:beforeAutospacing="0" w:after="0" w:afterAutospacing="0"/>
              <w:ind w:left="0" w:right="0"/>
              <w:jc w:val="center"/>
              <w:rPr>
                <w:rFonts w:eastAsia="宋体"/>
                <w:szCs w:val="21"/>
              </w:rPr>
            </w:pPr>
            <w:r>
              <w:rPr>
                <w:szCs w:val="21"/>
              </w:rPr>
              <w:t>隔声减震设施</w:t>
            </w:r>
          </w:p>
        </w:tc>
        <w:tc>
          <w:tcPr>
            <w:tcW w:w="1273" w:type="dxa"/>
            <w:noWrap w:val="0"/>
            <w:vAlign w:val="center"/>
          </w:tcPr>
          <w:p>
            <w:pPr>
              <w:keepNext w:val="0"/>
              <w:keepLines w:val="0"/>
              <w:suppressLineNumbers w:val="0"/>
              <w:spacing w:before="0" w:beforeAutospacing="0" w:after="0" w:afterAutospacing="0"/>
              <w:ind w:left="0" w:right="0"/>
              <w:jc w:val="center"/>
              <w:rPr>
                <w:rFonts w:eastAsia="宋体"/>
                <w:szCs w:val="21"/>
              </w:rPr>
            </w:pPr>
            <w:r>
              <w:rPr>
                <w:szCs w:val="21"/>
              </w:rPr>
              <w:t>一套</w:t>
            </w:r>
          </w:p>
        </w:tc>
        <w:tc>
          <w:tcPr>
            <w:tcW w:w="1487"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新建</w:t>
            </w:r>
          </w:p>
        </w:tc>
      </w:tr>
    </w:tbl>
    <w:p>
      <w:pPr>
        <w:adjustRightInd w:val="0"/>
        <w:snapToGrid w:val="0"/>
        <w:spacing w:line="360" w:lineRule="auto"/>
        <w:rPr>
          <w:b/>
          <w:kern w:val="0"/>
          <w:position w:val="6"/>
          <w:sz w:val="24"/>
          <w:szCs w:val="20"/>
        </w:rPr>
      </w:pPr>
      <w:r>
        <w:rPr>
          <w:rFonts w:hint="eastAsia"/>
          <w:b/>
          <w:kern w:val="0"/>
          <w:position w:val="6"/>
          <w:sz w:val="24"/>
          <w:szCs w:val="20"/>
          <w:lang w:eastAsia="zh-CN"/>
        </w:rPr>
        <w:t>（</w:t>
      </w:r>
      <w:r>
        <w:rPr>
          <w:rFonts w:hint="eastAsia"/>
          <w:b/>
          <w:kern w:val="0"/>
          <w:position w:val="6"/>
          <w:sz w:val="24"/>
          <w:szCs w:val="20"/>
          <w:lang w:val="en-US" w:eastAsia="zh-CN"/>
        </w:rPr>
        <w:t>3</w:t>
      </w:r>
      <w:r>
        <w:rPr>
          <w:rFonts w:hint="eastAsia"/>
          <w:b/>
          <w:kern w:val="0"/>
          <w:position w:val="6"/>
          <w:sz w:val="24"/>
          <w:szCs w:val="20"/>
          <w:lang w:eastAsia="zh-CN"/>
        </w:rPr>
        <w:t>）</w:t>
      </w:r>
      <w:r>
        <w:rPr>
          <w:b/>
          <w:kern w:val="0"/>
          <w:position w:val="6"/>
          <w:sz w:val="24"/>
          <w:szCs w:val="20"/>
        </w:rPr>
        <w:t>主要原辅材料、产能及生产设备</w:t>
      </w:r>
    </w:p>
    <w:p>
      <w:pPr>
        <w:adjustRightInd w:val="0"/>
        <w:snapToGrid w:val="0"/>
        <w:spacing w:line="360" w:lineRule="auto"/>
        <w:ind w:firstLine="236" w:firstLineChars="98"/>
        <w:rPr>
          <w:b/>
          <w:kern w:val="0"/>
          <w:position w:val="6"/>
          <w:sz w:val="24"/>
          <w:szCs w:val="20"/>
        </w:rPr>
      </w:pPr>
      <w:r>
        <w:rPr>
          <w:rFonts w:hint="eastAsia"/>
          <w:b/>
          <w:kern w:val="0"/>
          <w:position w:val="6"/>
          <w:sz w:val="24"/>
          <w:szCs w:val="20"/>
          <w:lang w:val="en-US" w:eastAsia="zh-CN"/>
        </w:rPr>
        <w:t>（3.1）</w:t>
      </w:r>
      <w:r>
        <w:rPr>
          <w:b/>
          <w:kern w:val="0"/>
          <w:position w:val="6"/>
          <w:sz w:val="24"/>
          <w:szCs w:val="20"/>
        </w:rPr>
        <w:t>主要原辅材料</w:t>
      </w:r>
    </w:p>
    <w:p>
      <w:pPr>
        <w:adjustRightInd w:val="0"/>
        <w:spacing w:line="360" w:lineRule="auto"/>
        <w:ind w:left="51" w:firstLine="427" w:firstLineChars="178"/>
        <w:textAlignment w:val="baseline"/>
        <w:rPr>
          <w:b/>
          <w:kern w:val="21"/>
          <w:sz w:val="24"/>
        </w:rPr>
      </w:pPr>
      <w:r>
        <w:rPr>
          <w:kern w:val="0"/>
          <w:position w:val="6"/>
          <w:sz w:val="24"/>
          <w:szCs w:val="20"/>
        </w:rPr>
        <w:t>本项目生产需要的主要原辅材料用量情况见表</w:t>
      </w:r>
      <w:r>
        <w:rPr>
          <w:rFonts w:hint="eastAsia"/>
          <w:kern w:val="0"/>
          <w:position w:val="6"/>
          <w:sz w:val="24"/>
          <w:szCs w:val="20"/>
        </w:rPr>
        <w:t>2</w:t>
      </w:r>
      <w:r>
        <w:rPr>
          <w:kern w:val="0"/>
          <w:position w:val="6"/>
          <w:sz w:val="24"/>
          <w:szCs w:val="20"/>
        </w:rPr>
        <w:t>。</w:t>
      </w:r>
    </w:p>
    <w:p>
      <w:pPr>
        <w:snapToGrid w:val="0"/>
        <w:ind w:firstLine="422" w:firstLineChars="200"/>
        <w:jc w:val="center"/>
        <w:rPr>
          <w:rFonts w:hint="eastAsia" w:eastAsia="宋体"/>
          <w:b/>
          <w:bCs/>
          <w:sz w:val="24"/>
        </w:rPr>
      </w:pPr>
      <w:r>
        <w:rPr>
          <w:b/>
          <w:kern w:val="21"/>
          <w:sz w:val="21"/>
          <w:szCs w:val="21"/>
        </w:rPr>
        <w:t>表</w:t>
      </w:r>
      <w:r>
        <w:rPr>
          <w:rFonts w:hint="eastAsia"/>
          <w:b/>
          <w:kern w:val="21"/>
          <w:sz w:val="21"/>
          <w:szCs w:val="21"/>
        </w:rPr>
        <w:t>2</w:t>
      </w:r>
      <w:r>
        <w:rPr>
          <w:b/>
          <w:kern w:val="21"/>
          <w:sz w:val="21"/>
          <w:szCs w:val="21"/>
        </w:rPr>
        <w:t xml:space="preserve"> 项目原辅材料清单一览表</w:t>
      </w:r>
    </w:p>
    <w:tbl>
      <w:tblPr>
        <w:tblStyle w:val="47"/>
        <w:tblW w:w="850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701"/>
        <w:gridCol w:w="1843"/>
        <w:gridCol w:w="1141"/>
        <w:gridCol w:w="1269"/>
        <w:gridCol w:w="174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9" w:type="dxa"/>
            <w:noWrap w:val="0"/>
            <w:vAlign w:val="center"/>
          </w:tcPr>
          <w:p>
            <w:pPr>
              <w:keepNext w:val="0"/>
              <w:keepLines w:val="0"/>
              <w:suppressLineNumbers w:val="0"/>
              <w:spacing w:before="0" w:beforeAutospacing="0" w:after="0" w:afterAutospacing="0"/>
              <w:ind w:left="0" w:right="0"/>
              <w:jc w:val="center"/>
              <w:rPr>
                <w:rFonts w:hint="eastAsia"/>
                <w:szCs w:val="21"/>
              </w:rPr>
            </w:pPr>
            <w:r>
              <w:rPr>
                <w:szCs w:val="21"/>
              </w:rPr>
              <w:t>序号</w:t>
            </w:r>
          </w:p>
        </w:tc>
        <w:tc>
          <w:tcPr>
            <w:tcW w:w="1701" w:type="dxa"/>
            <w:noWrap w:val="0"/>
            <w:vAlign w:val="center"/>
          </w:tcPr>
          <w:p>
            <w:pPr>
              <w:keepNext w:val="0"/>
              <w:keepLines w:val="0"/>
              <w:suppressLineNumbers w:val="0"/>
              <w:spacing w:before="0" w:beforeAutospacing="0" w:after="0" w:afterAutospacing="0"/>
              <w:ind w:left="0" w:right="0"/>
              <w:jc w:val="center"/>
              <w:rPr>
                <w:rFonts w:hint="eastAsia"/>
                <w:szCs w:val="21"/>
              </w:rPr>
            </w:pPr>
            <w:r>
              <w:rPr>
                <w:szCs w:val="21"/>
              </w:rPr>
              <w:t>名称</w:t>
            </w:r>
          </w:p>
        </w:tc>
        <w:tc>
          <w:tcPr>
            <w:tcW w:w="1843"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规格</w:t>
            </w:r>
          </w:p>
        </w:tc>
        <w:tc>
          <w:tcPr>
            <w:tcW w:w="1141" w:type="dxa"/>
            <w:noWrap w:val="0"/>
            <w:vAlign w:val="center"/>
          </w:tcPr>
          <w:p>
            <w:pPr>
              <w:keepNext w:val="0"/>
              <w:keepLines w:val="0"/>
              <w:suppressLineNumbers w:val="0"/>
              <w:spacing w:before="0" w:beforeAutospacing="0" w:after="0" w:afterAutospacing="0"/>
              <w:ind w:left="0" w:right="0"/>
              <w:jc w:val="center"/>
              <w:rPr>
                <w:rFonts w:hint="eastAsia"/>
                <w:szCs w:val="21"/>
              </w:rPr>
            </w:pPr>
            <w:r>
              <w:rPr>
                <w:szCs w:val="21"/>
              </w:rPr>
              <w:t>年耗量</w:t>
            </w:r>
          </w:p>
        </w:tc>
        <w:tc>
          <w:tcPr>
            <w:tcW w:w="1269"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最大</w:t>
            </w:r>
            <w:r>
              <w:rPr>
                <w:szCs w:val="21"/>
              </w:rPr>
              <w:t>储存量</w:t>
            </w:r>
          </w:p>
        </w:tc>
        <w:tc>
          <w:tcPr>
            <w:tcW w:w="1742"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存放</w:t>
            </w:r>
            <w:r>
              <w:rPr>
                <w:szCs w:val="21"/>
              </w:rPr>
              <w:t>地点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9"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1</w:t>
            </w:r>
          </w:p>
        </w:tc>
        <w:tc>
          <w:tcPr>
            <w:tcW w:w="1701"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单晶硅棒</w:t>
            </w:r>
          </w:p>
        </w:tc>
        <w:tc>
          <w:tcPr>
            <w:tcW w:w="1843"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Si含量99.9999%</w:t>
            </w:r>
          </w:p>
        </w:tc>
        <w:tc>
          <w:tcPr>
            <w:tcW w:w="1141"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lang w:val="en-US" w:eastAsia="zh-CN"/>
              </w:rPr>
              <w:t>3</w:t>
            </w:r>
            <w:r>
              <w:rPr>
                <w:szCs w:val="21"/>
              </w:rPr>
              <w:t>00</w:t>
            </w:r>
            <w:r>
              <w:rPr>
                <w:rFonts w:hint="eastAsia"/>
                <w:szCs w:val="21"/>
              </w:rPr>
              <w:t>00</w:t>
            </w:r>
            <w:r>
              <w:rPr>
                <w:szCs w:val="21"/>
              </w:rPr>
              <w:t>t</w:t>
            </w:r>
          </w:p>
        </w:tc>
        <w:tc>
          <w:tcPr>
            <w:tcW w:w="1269" w:type="dxa"/>
            <w:noWrap w:val="0"/>
            <w:vAlign w:val="center"/>
          </w:tcPr>
          <w:p>
            <w:pPr>
              <w:keepNext w:val="0"/>
              <w:keepLines w:val="0"/>
              <w:suppressLineNumbers w:val="0"/>
              <w:spacing w:before="0" w:beforeAutospacing="0" w:after="0" w:afterAutospacing="0"/>
              <w:ind w:left="0" w:right="0"/>
              <w:jc w:val="center"/>
              <w:rPr>
                <w:rFonts w:hint="eastAsia"/>
                <w:szCs w:val="21"/>
              </w:rPr>
            </w:pPr>
            <w:r>
              <w:rPr>
                <w:szCs w:val="21"/>
              </w:rPr>
              <w:t>2</w:t>
            </w:r>
            <w:r>
              <w:rPr>
                <w:rFonts w:hint="eastAsia"/>
                <w:szCs w:val="21"/>
              </w:rPr>
              <w:t>5</w:t>
            </w:r>
            <w:r>
              <w:rPr>
                <w:szCs w:val="21"/>
              </w:rPr>
              <w:t>t</w:t>
            </w:r>
          </w:p>
        </w:tc>
        <w:tc>
          <w:tcPr>
            <w:tcW w:w="1742"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原料</w:t>
            </w:r>
            <w:r>
              <w:rPr>
                <w:szCs w:val="21"/>
              </w:rPr>
              <w:t>仓库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9"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2</w:t>
            </w:r>
          </w:p>
        </w:tc>
        <w:tc>
          <w:tcPr>
            <w:tcW w:w="1701"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金刚线</w:t>
            </w:r>
          </w:p>
        </w:tc>
        <w:tc>
          <w:tcPr>
            <w:tcW w:w="1843" w:type="dxa"/>
            <w:noWrap w:val="0"/>
            <w:vAlign w:val="center"/>
          </w:tcPr>
          <w:p>
            <w:pPr>
              <w:keepNext w:val="0"/>
              <w:keepLines w:val="0"/>
              <w:suppressLineNumbers w:val="0"/>
              <w:spacing w:before="0" w:beforeAutospacing="0" w:after="0" w:afterAutospacing="0"/>
              <w:ind w:left="0" w:right="0"/>
              <w:jc w:val="center"/>
              <w:rPr>
                <w:szCs w:val="21"/>
              </w:rPr>
            </w:pPr>
            <w:r>
              <w:rPr>
                <w:rFonts w:hint="eastAsia"/>
                <w:szCs w:val="21"/>
              </w:rPr>
              <w:t>--</w:t>
            </w:r>
          </w:p>
        </w:tc>
        <w:tc>
          <w:tcPr>
            <w:tcW w:w="1141" w:type="dxa"/>
            <w:noWrap w:val="0"/>
            <w:vAlign w:val="center"/>
          </w:tcPr>
          <w:p>
            <w:pPr>
              <w:keepNext w:val="0"/>
              <w:keepLines w:val="0"/>
              <w:suppressLineNumbers w:val="0"/>
              <w:spacing w:before="0" w:beforeAutospacing="0" w:after="0" w:afterAutospacing="0"/>
              <w:ind w:left="0" w:right="0"/>
              <w:jc w:val="center"/>
              <w:rPr>
                <w:rFonts w:hint="eastAsia" w:eastAsia="宋体"/>
                <w:szCs w:val="21"/>
              </w:rPr>
            </w:pPr>
            <w:r>
              <w:rPr>
                <w:rFonts w:hint="eastAsia" w:eastAsia="宋体"/>
                <w:szCs w:val="21"/>
              </w:rPr>
              <w:t>62.5</w:t>
            </w:r>
            <w:r>
              <w:rPr>
                <w:szCs w:val="21"/>
              </w:rPr>
              <w:t>t</w:t>
            </w:r>
            <w:r>
              <w:rPr>
                <w:rFonts w:hint="eastAsia" w:eastAsia="宋体"/>
                <w:szCs w:val="21"/>
              </w:rPr>
              <w:t>（约200万公里）</w:t>
            </w:r>
          </w:p>
        </w:tc>
        <w:tc>
          <w:tcPr>
            <w:tcW w:w="1269"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eastAsia="宋体"/>
                <w:szCs w:val="21"/>
              </w:rPr>
              <w:t>3</w:t>
            </w:r>
            <w:r>
              <w:rPr>
                <w:szCs w:val="21"/>
              </w:rPr>
              <w:t>t</w:t>
            </w:r>
          </w:p>
        </w:tc>
        <w:tc>
          <w:tcPr>
            <w:tcW w:w="1742" w:type="dxa"/>
            <w:noWrap w:val="0"/>
            <w:vAlign w:val="center"/>
          </w:tcPr>
          <w:p>
            <w:pPr>
              <w:keepNext w:val="0"/>
              <w:keepLines w:val="0"/>
              <w:suppressLineNumbers w:val="0"/>
              <w:spacing w:before="0" w:beforeAutospacing="0" w:after="0" w:afterAutospacing="0"/>
              <w:ind w:left="0" w:right="0"/>
              <w:jc w:val="center"/>
              <w:rPr>
                <w:szCs w:val="21"/>
              </w:rPr>
            </w:pPr>
            <w:r>
              <w:rPr>
                <w:rFonts w:hint="eastAsia"/>
                <w:szCs w:val="21"/>
              </w:rPr>
              <w:t>原料</w:t>
            </w:r>
            <w:r>
              <w:rPr>
                <w:szCs w:val="21"/>
              </w:rPr>
              <w:t>仓库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9"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3</w:t>
            </w:r>
          </w:p>
        </w:tc>
        <w:tc>
          <w:tcPr>
            <w:tcW w:w="1701"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冷却液</w:t>
            </w:r>
          </w:p>
        </w:tc>
        <w:tc>
          <w:tcPr>
            <w:tcW w:w="1843"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聚乙二醇</w:t>
            </w:r>
            <w:r>
              <w:rPr>
                <w:szCs w:val="21"/>
              </w:rPr>
              <w:t>≥98%</w:t>
            </w:r>
          </w:p>
        </w:tc>
        <w:tc>
          <w:tcPr>
            <w:tcW w:w="1141" w:type="dxa"/>
            <w:noWrap w:val="0"/>
            <w:vAlign w:val="center"/>
          </w:tcPr>
          <w:p>
            <w:pPr>
              <w:keepNext w:val="0"/>
              <w:keepLines w:val="0"/>
              <w:suppressLineNumbers w:val="0"/>
              <w:spacing w:before="0" w:beforeAutospacing="0" w:after="0" w:afterAutospacing="0"/>
              <w:ind w:left="0" w:right="0"/>
              <w:jc w:val="center"/>
              <w:rPr>
                <w:rFonts w:hint="eastAsia"/>
                <w:szCs w:val="21"/>
              </w:rPr>
            </w:pPr>
            <w:r>
              <w:rPr>
                <w:szCs w:val="21"/>
              </w:rPr>
              <w:t>2</w:t>
            </w:r>
            <w:r>
              <w:rPr>
                <w:rFonts w:hint="eastAsia" w:eastAsia="宋体"/>
                <w:szCs w:val="21"/>
              </w:rPr>
              <w:t>5</w:t>
            </w:r>
            <w:r>
              <w:rPr>
                <w:szCs w:val="21"/>
              </w:rPr>
              <w:t>0t</w:t>
            </w:r>
          </w:p>
        </w:tc>
        <w:tc>
          <w:tcPr>
            <w:tcW w:w="1269" w:type="dxa"/>
            <w:noWrap w:val="0"/>
            <w:vAlign w:val="center"/>
          </w:tcPr>
          <w:p>
            <w:pPr>
              <w:keepNext w:val="0"/>
              <w:keepLines w:val="0"/>
              <w:suppressLineNumbers w:val="0"/>
              <w:spacing w:before="0" w:beforeAutospacing="0" w:after="0" w:afterAutospacing="0"/>
              <w:ind w:left="0" w:right="0"/>
              <w:jc w:val="center"/>
              <w:rPr>
                <w:rFonts w:hint="eastAsia"/>
                <w:szCs w:val="21"/>
              </w:rPr>
            </w:pPr>
            <w:r>
              <w:rPr>
                <w:szCs w:val="21"/>
              </w:rPr>
              <w:t>10t</w:t>
            </w:r>
          </w:p>
        </w:tc>
        <w:tc>
          <w:tcPr>
            <w:tcW w:w="1742" w:type="dxa"/>
            <w:noWrap w:val="0"/>
            <w:vAlign w:val="center"/>
          </w:tcPr>
          <w:p>
            <w:pPr>
              <w:keepNext w:val="0"/>
              <w:keepLines w:val="0"/>
              <w:suppressLineNumbers w:val="0"/>
              <w:spacing w:before="0" w:beforeAutospacing="0" w:after="0" w:afterAutospacing="0"/>
              <w:ind w:left="0" w:right="0"/>
              <w:jc w:val="center"/>
              <w:rPr>
                <w:szCs w:val="21"/>
              </w:rPr>
            </w:pPr>
            <w:r>
              <w:rPr>
                <w:rFonts w:hint="eastAsia"/>
                <w:szCs w:val="21"/>
              </w:rPr>
              <w:t>原料</w:t>
            </w:r>
            <w:r>
              <w:rPr>
                <w:szCs w:val="21"/>
              </w:rPr>
              <w:t>仓库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9"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4</w:t>
            </w:r>
          </w:p>
        </w:tc>
        <w:tc>
          <w:tcPr>
            <w:tcW w:w="1701"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A</w:t>
            </w:r>
            <w:r>
              <w:rPr>
                <w:szCs w:val="21"/>
              </w:rPr>
              <w:t>B</w:t>
            </w:r>
            <w:r>
              <w:rPr>
                <w:rFonts w:hint="eastAsia"/>
                <w:szCs w:val="21"/>
              </w:rPr>
              <w:t>胶</w:t>
            </w:r>
          </w:p>
        </w:tc>
        <w:tc>
          <w:tcPr>
            <w:tcW w:w="1843" w:type="dxa"/>
            <w:noWrap w:val="0"/>
            <w:vAlign w:val="center"/>
          </w:tcPr>
          <w:p>
            <w:pPr>
              <w:keepNext w:val="0"/>
              <w:keepLines w:val="0"/>
              <w:suppressLineNumbers w:val="0"/>
              <w:spacing w:before="0" w:beforeAutospacing="0" w:after="0" w:afterAutospacing="0"/>
              <w:ind w:left="0" w:right="0"/>
              <w:jc w:val="center"/>
              <w:rPr>
                <w:szCs w:val="21"/>
              </w:rPr>
            </w:pPr>
            <w:r>
              <w:rPr>
                <w:rFonts w:hint="eastAsia"/>
                <w:szCs w:val="21"/>
              </w:rPr>
              <w:t>A胶环氧树脂，</w:t>
            </w:r>
          </w:p>
          <w:p>
            <w:pPr>
              <w:keepNext w:val="0"/>
              <w:keepLines w:val="0"/>
              <w:suppressLineNumbers w:val="0"/>
              <w:spacing w:before="0" w:beforeAutospacing="0" w:after="0" w:afterAutospacing="0"/>
              <w:ind w:left="0" w:right="0"/>
              <w:jc w:val="center"/>
              <w:rPr>
                <w:szCs w:val="21"/>
              </w:rPr>
            </w:pPr>
            <w:r>
              <w:rPr>
                <w:rFonts w:hint="eastAsia"/>
                <w:szCs w:val="21"/>
              </w:rPr>
              <w:t>B胶硬化剂</w:t>
            </w:r>
          </w:p>
        </w:tc>
        <w:tc>
          <w:tcPr>
            <w:tcW w:w="1141"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eastAsia="宋体"/>
                <w:szCs w:val="21"/>
              </w:rPr>
              <w:t>2</w:t>
            </w:r>
            <w:r>
              <w:rPr>
                <w:szCs w:val="21"/>
              </w:rPr>
              <w:t>5t</w:t>
            </w:r>
          </w:p>
        </w:tc>
        <w:tc>
          <w:tcPr>
            <w:tcW w:w="1269"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eastAsia="宋体"/>
                <w:szCs w:val="21"/>
              </w:rPr>
              <w:t>2</w:t>
            </w:r>
            <w:r>
              <w:rPr>
                <w:szCs w:val="21"/>
              </w:rPr>
              <w:t>.5</w:t>
            </w:r>
            <w:r>
              <w:rPr>
                <w:rFonts w:hint="eastAsia"/>
                <w:szCs w:val="21"/>
              </w:rPr>
              <w:t>t</w:t>
            </w:r>
          </w:p>
        </w:tc>
        <w:tc>
          <w:tcPr>
            <w:tcW w:w="1742" w:type="dxa"/>
            <w:noWrap w:val="0"/>
            <w:vAlign w:val="center"/>
          </w:tcPr>
          <w:p>
            <w:pPr>
              <w:keepNext w:val="0"/>
              <w:keepLines w:val="0"/>
              <w:suppressLineNumbers w:val="0"/>
              <w:spacing w:before="0" w:beforeAutospacing="0" w:after="0" w:afterAutospacing="0"/>
              <w:ind w:left="0" w:right="0"/>
              <w:jc w:val="center"/>
              <w:rPr>
                <w:szCs w:val="21"/>
              </w:rPr>
            </w:pPr>
            <w:r>
              <w:rPr>
                <w:rFonts w:hint="eastAsia"/>
                <w:szCs w:val="21"/>
              </w:rPr>
              <w:t>原料</w:t>
            </w:r>
            <w:r>
              <w:rPr>
                <w:szCs w:val="21"/>
              </w:rPr>
              <w:t>仓库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9"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5</w:t>
            </w:r>
          </w:p>
        </w:tc>
        <w:tc>
          <w:tcPr>
            <w:tcW w:w="1701"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氢氧化钠</w:t>
            </w:r>
          </w:p>
        </w:tc>
        <w:tc>
          <w:tcPr>
            <w:tcW w:w="1843"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固体粉末</w:t>
            </w:r>
          </w:p>
        </w:tc>
        <w:tc>
          <w:tcPr>
            <w:tcW w:w="1141"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60</w:t>
            </w:r>
            <w:r>
              <w:rPr>
                <w:szCs w:val="21"/>
              </w:rPr>
              <w:t>t</w:t>
            </w:r>
          </w:p>
        </w:tc>
        <w:tc>
          <w:tcPr>
            <w:tcW w:w="1269" w:type="dxa"/>
            <w:noWrap w:val="0"/>
            <w:vAlign w:val="center"/>
          </w:tcPr>
          <w:p>
            <w:pPr>
              <w:keepNext w:val="0"/>
              <w:keepLines w:val="0"/>
              <w:suppressLineNumbers w:val="0"/>
              <w:spacing w:before="0" w:beforeAutospacing="0" w:after="0" w:afterAutospacing="0"/>
              <w:ind w:left="0" w:right="0"/>
              <w:jc w:val="center"/>
              <w:rPr>
                <w:szCs w:val="21"/>
              </w:rPr>
            </w:pPr>
            <w:r>
              <w:rPr>
                <w:rFonts w:hint="eastAsia"/>
                <w:szCs w:val="21"/>
              </w:rPr>
              <w:t>10</w:t>
            </w:r>
            <w:r>
              <w:rPr>
                <w:szCs w:val="21"/>
              </w:rPr>
              <w:t>t</w:t>
            </w:r>
          </w:p>
        </w:tc>
        <w:tc>
          <w:tcPr>
            <w:tcW w:w="1742"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原料仓库</w:t>
            </w:r>
          </w:p>
        </w:tc>
      </w:tr>
    </w:tbl>
    <w:p>
      <w:pPr>
        <w:pStyle w:val="324"/>
        <w:rPr>
          <w:rFonts w:eastAsia="宋体"/>
        </w:rPr>
      </w:pPr>
      <w:r>
        <w:rPr>
          <w:rFonts w:hAnsi="宋体" w:eastAsia="宋体"/>
        </w:rPr>
        <w:t>主要化学品理化性质：</w:t>
      </w:r>
    </w:p>
    <w:p>
      <w:pPr>
        <w:pStyle w:val="324"/>
        <w:rPr>
          <w:rFonts w:eastAsia="宋体"/>
        </w:rPr>
      </w:pPr>
      <w:r>
        <w:rPr>
          <w:rFonts w:hAnsi="宋体" w:eastAsia="宋体"/>
        </w:rPr>
        <w:t>冷却液：为高效冷却液，主要成分为聚乙二醇，含有少量表面活性剂（硬脂酸）和分散剂（低分子蜡），乳白色或乳白微黄色液体，无明显刺激性气味，比重：</w:t>
      </w:r>
      <w:r>
        <w:rPr>
          <w:rFonts w:eastAsia="宋体"/>
        </w:rPr>
        <w:t>1.0-1.2</w:t>
      </w:r>
      <w:r>
        <w:rPr>
          <w:rFonts w:hAnsi="宋体" w:eastAsia="宋体"/>
        </w:rPr>
        <w:t>，粘度：</w:t>
      </w:r>
      <w:r>
        <w:rPr>
          <w:rFonts w:eastAsia="宋体"/>
        </w:rPr>
        <w:t>50-500mPa.s</w:t>
      </w:r>
      <w:r>
        <w:rPr>
          <w:rFonts w:hAnsi="宋体" w:eastAsia="宋体"/>
        </w:rPr>
        <w:t>，溶解性：溶于分散于水，无反应。聚乙二醇又称聚乙二醇醚，简称</w:t>
      </w:r>
      <w:r>
        <w:rPr>
          <w:rFonts w:eastAsia="宋体"/>
        </w:rPr>
        <w:t>PEG</w:t>
      </w:r>
      <w:r>
        <w:rPr>
          <w:rFonts w:hAnsi="宋体" w:eastAsia="宋体"/>
        </w:rPr>
        <w:t>，结构式为</w:t>
      </w:r>
      <w:r>
        <w:rPr>
          <w:rFonts w:eastAsia="宋体"/>
        </w:rPr>
        <w:t>HO(CH</w:t>
      </w:r>
      <w:r>
        <w:rPr>
          <w:rFonts w:eastAsia="宋体"/>
          <w:vertAlign w:val="subscript"/>
        </w:rPr>
        <w:t>2</w:t>
      </w:r>
      <w:r>
        <w:rPr>
          <w:rFonts w:eastAsia="宋体"/>
        </w:rPr>
        <w:t>CH</w:t>
      </w:r>
      <w:r>
        <w:rPr>
          <w:rFonts w:eastAsia="宋体"/>
          <w:vertAlign w:val="subscript"/>
        </w:rPr>
        <w:t>2</w:t>
      </w:r>
      <w:r>
        <w:rPr>
          <w:rFonts w:eastAsia="宋体"/>
        </w:rPr>
        <w:t>O)nH</w:t>
      </w:r>
      <w:r>
        <w:rPr>
          <w:rFonts w:hAnsi="宋体" w:eastAsia="宋体"/>
        </w:rPr>
        <w:t>，平均分子量</w:t>
      </w:r>
      <w:r>
        <w:rPr>
          <w:rFonts w:eastAsia="宋体"/>
        </w:rPr>
        <w:t>200-8000</w:t>
      </w:r>
      <w:r>
        <w:rPr>
          <w:rFonts w:hAnsi="宋体" w:eastAsia="宋体"/>
        </w:rPr>
        <w:t>的乙二醇高聚物。分子量的不同，从无色、无臭、黏稠液体至蜡状固体；无味。易溶于水，溶于甲醇、乙醇等。不溶于脂肪烃。对酚类溶解能力强，加热至</w:t>
      </w:r>
      <w:r>
        <w:rPr>
          <w:rFonts w:eastAsia="宋体"/>
        </w:rPr>
        <w:t>300 C</w:t>
      </w:r>
      <w:r>
        <w:rPr>
          <w:rFonts w:hAnsi="宋体" w:eastAsia="宋体"/>
        </w:rPr>
        <w:t>产生断裂或热裂解。不挥发。闪点高。聚乙二醇在正常条件下是很稳定的，但在</w:t>
      </w:r>
      <w:r>
        <w:rPr>
          <w:rFonts w:eastAsia="宋体"/>
        </w:rPr>
        <w:t xml:space="preserve">120 </w:t>
      </w:r>
      <w:r>
        <w:rPr>
          <w:rFonts w:hAnsi="宋体" w:eastAsia="宋体"/>
        </w:rPr>
        <w:t>℃或更高温度下能与空气中的氧发生氧化作用。加热至</w:t>
      </w:r>
      <w:r>
        <w:rPr>
          <w:rFonts w:eastAsia="宋体"/>
        </w:rPr>
        <w:t>300 C</w:t>
      </w:r>
      <w:r>
        <w:rPr>
          <w:rFonts w:hAnsi="宋体" w:eastAsia="宋体"/>
        </w:rPr>
        <w:t>产生断裂或热裂解。聚乙二醇对金属无腐蚀性。聚乙二醇几乎无毒，对眼睛和皮肤无明显刺激，</w:t>
      </w:r>
      <w:r>
        <w:rPr>
          <w:rFonts w:eastAsia="宋体"/>
        </w:rPr>
        <w:t>LD5033000</w:t>
      </w:r>
      <w:r>
        <w:rPr>
          <w:rFonts w:hAnsi="宋体" w:eastAsia="宋体"/>
        </w:rPr>
        <w:t>～</w:t>
      </w:r>
      <w:r>
        <w:rPr>
          <w:rFonts w:eastAsia="宋体"/>
        </w:rPr>
        <w:t>43000mg/kg</w:t>
      </w:r>
      <w:r>
        <w:rPr>
          <w:rFonts w:hAnsi="宋体" w:eastAsia="宋体"/>
        </w:rPr>
        <w:t>。</w:t>
      </w:r>
    </w:p>
    <w:p>
      <w:pPr>
        <w:pStyle w:val="324"/>
        <w:rPr>
          <w:rFonts w:eastAsia="宋体"/>
        </w:rPr>
      </w:pPr>
      <w:r>
        <w:rPr>
          <w:rFonts w:eastAsia="宋体"/>
        </w:rPr>
        <w:t>AB</w:t>
      </w:r>
      <w:r>
        <w:rPr>
          <w:rFonts w:hAnsi="宋体" w:eastAsia="宋体"/>
        </w:rPr>
        <w:t>胶：由环氧树脂为基的双组分耐高温胶粘剂，主要适用于耐高温金属、陶瓷等的胶接。其使用温度工作温度为</w:t>
      </w:r>
      <w:r>
        <w:rPr>
          <w:rFonts w:eastAsia="宋体"/>
        </w:rPr>
        <w:t>-50</w:t>
      </w:r>
      <w:r>
        <w:rPr>
          <w:rFonts w:hAnsi="宋体" w:eastAsia="宋体"/>
        </w:rPr>
        <w:t>～</w:t>
      </w:r>
      <w:r>
        <w:rPr>
          <w:rFonts w:eastAsia="宋体"/>
        </w:rPr>
        <w:t>+180</w:t>
      </w:r>
      <w:r>
        <w:rPr>
          <w:rFonts w:hAnsi="宋体" w:eastAsia="宋体"/>
        </w:rPr>
        <w:t>℃，短时可达</w:t>
      </w:r>
      <w:r>
        <w:rPr>
          <w:rFonts w:eastAsia="宋体"/>
        </w:rPr>
        <w:t>+250</w:t>
      </w:r>
      <w:r>
        <w:rPr>
          <w:rFonts w:hAnsi="宋体" w:eastAsia="宋体"/>
        </w:rPr>
        <w:t>℃。颜色：固化前：</w:t>
      </w:r>
      <w:r>
        <w:rPr>
          <w:rFonts w:eastAsia="宋体"/>
        </w:rPr>
        <w:t>A</w:t>
      </w:r>
      <w:r>
        <w:rPr>
          <w:rFonts w:hAnsi="宋体" w:eastAsia="宋体"/>
        </w:rPr>
        <w:t>为浅黄色透明粘稠膏状物；</w:t>
      </w:r>
      <w:r>
        <w:rPr>
          <w:rFonts w:eastAsia="宋体"/>
        </w:rPr>
        <w:t>B</w:t>
      </w:r>
      <w:r>
        <w:rPr>
          <w:rFonts w:hAnsi="宋体" w:eastAsia="宋体"/>
        </w:rPr>
        <w:t>为棕色或黑色粘稠液体或结晶物；固化后：棕色或黑色粘稠坚硬固体。</w:t>
      </w:r>
    </w:p>
    <w:p>
      <w:pPr>
        <w:pStyle w:val="324"/>
        <w:rPr>
          <w:rFonts w:hint="eastAsia"/>
          <w:b/>
          <w:kern w:val="0"/>
          <w:position w:val="6"/>
          <w:sz w:val="24"/>
          <w:szCs w:val="20"/>
          <w:lang w:eastAsia="zh-CN"/>
        </w:rPr>
      </w:pPr>
      <w:r>
        <w:rPr>
          <w:rFonts w:hAnsi="宋体" w:eastAsia="宋体"/>
        </w:rPr>
        <w:t>氢氧化钠：化学式为</w:t>
      </w:r>
      <w:r>
        <w:rPr>
          <w:rFonts w:eastAsia="宋体"/>
        </w:rPr>
        <w:t>NaOH</w:t>
      </w:r>
      <w:r>
        <w:rPr>
          <w:rFonts w:hAnsi="宋体" w:eastAsia="宋体"/>
        </w:rPr>
        <w:t>，分子量</w:t>
      </w:r>
      <w:r>
        <w:rPr>
          <w:rFonts w:eastAsia="宋体"/>
        </w:rPr>
        <w:t>40.01</w:t>
      </w:r>
      <w:r>
        <w:rPr>
          <w:rFonts w:hAnsi="宋体" w:eastAsia="宋体"/>
        </w:rPr>
        <w:t>，纯品是无色透明的晶体。密度</w:t>
      </w:r>
      <w:r>
        <w:rPr>
          <w:rFonts w:eastAsia="宋体"/>
        </w:rPr>
        <w:t>2.130g/cm³</w:t>
      </w:r>
      <w:r>
        <w:rPr>
          <w:rFonts w:hAnsi="宋体" w:eastAsia="宋体"/>
        </w:rPr>
        <w:t>。熔点</w:t>
      </w:r>
      <w:r>
        <w:rPr>
          <w:rFonts w:eastAsia="宋体"/>
        </w:rPr>
        <w:t>318.4</w:t>
      </w:r>
      <w:r>
        <w:rPr>
          <w:rFonts w:hAnsi="宋体" w:eastAsia="宋体"/>
        </w:rPr>
        <w:t>℃。沸点</w:t>
      </w:r>
      <w:r>
        <w:rPr>
          <w:rFonts w:eastAsia="宋体"/>
        </w:rPr>
        <w:t>1390</w:t>
      </w:r>
      <w:r>
        <w:rPr>
          <w:rFonts w:hAnsi="宋体" w:eastAsia="宋体"/>
        </w:rPr>
        <w:t>℃。工业品含有少量的氯化钠和碳酸钠，是白色不透明的晶体。有块状，片状，粒状和棒状等。遇水和水蒸气大量放热，形成腐蚀性溶液；与酸发生中和反应并放热；具有强腐蚀性。标准为车间空气中有害物质的最高容许浓度</w:t>
      </w:r>
      <w:r>
        <w:rPr>
          <w:rFonts w:eastAsia="宋体"/>
        </w:rPr>
        <w:t>2mg/m</w:t>
      </w:r>
      <w:r>
        <w:rPr>
          <w:rFonts w:eastAsia="宋体"/>
          <w:vertAlign w:val="superscript"/>
        </w:rPr>
        <w:t>3</w:t>
      </w:r>
      <w:r>
        <w:rPr>
          <w:rFonts w:hAnsi="宋体" w:eastAsia="宋体"/>
        </w:rPr>
        <w:t>。健康危害：该品有强烈刺激和腐蚀性。粉尘或烟雾会刺激眼和呼吸道，腐蚀鼻中隔，皮肤和眼与</w:t>
      </w:r>
      <w:r>
        <w:rPr>
          <w:rFonts w:eastAsia="宋体"/>
        </w:rPr>
        <w:t>NaOH</w:t>
      </w:r>
      <w:r>
        <w:rPr>
          <w:rFonts w:hAnsi="宋体" w:eastAsia="宋体"/>
        </w:rPr>
        <w:t>直接接触会引起灼伤，误服可造成消化道灼伤，粘膜糜烂、出血和休克。</w:t>
      </w:r>
    </w:p>
    <w:p>
      <w:pPr>
        <w:numPr>
          <w:ilvl w:val="0"/>
          <w:numId w:val="0"/>
        </w:numPr>
        <w:adjustRightInd w:val="0"/>
        <w:snapToGrid w:val="0"/>
        <w:spacing w:before="156" w:beforeLines="50" w:line="360" w:lineRule="auto"/>
        <w:rPr>
          <w:b/>
          <w:kern w:val="0"/>
          <w:position w:val="6"/>
          <w:sz w:val="24"/>
          <w:szCs w:val="20"/>
        </w:rPr>
      </w:pPr>
      <w:r>
        <w:rPr>
          <w:rFonts w:hint="eastAsia"/>
          <w:b/>
          <w:kern w:val="0"/>
          <w:position w:val="6"/>
          <w:sz w:val="24"/>
          <w:szCs w:val="20"/>
          <w:lang w:eastAsia="zh-CN"/>
        </w:rPr>
        <w:t>（</w:t>
      </w:r>
      <w:r>
        <w:rPr>
          <w:rFonts w:hint="eastAsia"/>
          <w:b/>
          <w:kern w:val="0"/>
          <w:position w:val="6"/>
          <w:sz w:val="24"/>
          <w:szCs w:val="20"/>
          <w:lang w:val="en-US" w:eastAsia="zh-CN"/>
        </w:rPr>
        <w:t>3.2</w:t>
      </w:r>
      <w:r>
        <w:rPr>
          <w:rFonts w:hint="eastAsia"/>
          <w:b/>
          <w:kern w:val="0"/>
          <w:position w:val="6"/>
          <w:sz w:val="24"/>
          <w:szCs w:val="20"/>
          <w:lang w:eastAsia="zh-CN"/>
        </w:rPr>
        <w:t>）</w:t>
      </w:r>
      <w:r>
        <w:rPr>
          <w:b/>
          <w:kern w:val="0"/>
          <w:position w:val="6"/>
          <w:sz w:val="24"/>
          <w:szCs w:val="20"/>
        </w:rPr>
        <w:t>项目产品方案</w:t>
      </w:r>
    </w:p>
    <w:p>
      <w:pPr>
        <w:pStyle w:val="62"/>
        <w:ind w:firstLine="480" w:firstLineChars="200"/>
      </w:pPr>
      <w:r>
        <w:rPr>
          <w:color w:val="auto"/>
        </w:rPr>
        <w:t xml:space="preserve"> 项目</w:t>
      </w:r>
      <w:r>
        <w:rPr>
          <w:rFonts w:hint="eastAsia"/>
          <w:color w:val="auto"/>
        </w:rPr>
        <w:t>产品情况见表</w:t>
      </w:r>
      <w:r>
        <w:rPr>
          <w:rFonts w:hint="eastAsia"/>
          <w:color w:val="auto"/>
          <w:lang w:val="en-US" w:eastAsia="zh-CN"/>
        </w:rPr>
        <w:t>3</w:t>
      </w:r>
      <w:r>
        <w:rPr>
          <w:rFonts w:hint="eastAsia"/>
          <w:color w:val="auto"/>
        </w:rPr>
        <w:t>。</w:t>
      </w:r>
    </w:p>
    <w:p>
      <w:pPr>
        <w:spacing w:before="120" w:beforeLines="50"/>
        <w:ind w:firstLine="422" w:firstLineChars="200"/>
        <w:jc w:val="center"/>
        <w:rPr>
          <w:rFonts w:eastAsia="宋体"/>
          <w:sz w:val="24"/>
        </w:rPr>
      </w:pPr>
      <w:r>
        <w:rPr>
          <w:b/>
          <w:kern w:val="21"/>
          <w:sz w:val="21"/>
          <w:szCs w:val="21"/>
        </w:rPr>
        <w:t>表</w:t>
      </w:r>
      <w:r>
        <w:rPr>
          <w:rFonts w:hint="eastAsia"/>
          <w:b/>
          <w:kern w:val="21"/>
          <w:sz w:val="21"/>
          <w:szCs w:val="21"/>
          <w:lang w:val="en-US" w:eastAsia="zh-CN"/>
        </w:rPr>
        <w:t>3</w:t>
      </w:r>
      <w:r>
        <w:rPr>
          <w:b/>
          <w:kern w:val="21"/>
          <w:sz w:val="21"/>
          <w:szCs w:val="21"/>
        </w:rPr>
        <w:t xml:space="preserve"> 项目产品方案</w:t>
      </w:r>
    </w:p>
    <w:tbl>
      <w:tblPr>
        <w:tblStyle w:val="47"/>
        <w:tblW w:w="850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2390"/>
        <w:gridCol w:w="2759"/>
        <w:gridCol w:w="249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5" w:type="dxa"/>
            <w:vMerge w:val="restart"/>
            <w:noWrap w:val="0"/>
            <w:vAlign w:val="center"/>
          </w:tcPr>
          <w:p>
            <w:pPr>
              <w:keepNext w:val="0"/>
              <w:keepLines w:val="0"/>
              <w:suppressLineNumbers w:val="0"/>
              <w:spacing w:before="0" w:beforeAutospacing="0" w:after="0" w:afterAutospacing="0"/>
              <w:ind w:left="0" w:right="0"/>
              <w:jc w:val="center"/>
              <w:rPr>
                <w:rFonts w:eastAsia="宋体"/>
                <w:szCs w:val="21"/>
              </w:rPr>
            </w:pPr>
            <w:r>
              <w:rPr>
                <w:rFonts w:hAnsi="宋体" w:eastAsia="宋体"/>
                <w:szCs w:val="21"/>
              </w:rPr>
              <w:t>序号</w:t>
            </w:r>
          </w:p>
        </w:tc>
        <w:tc>
          <w:tcPr>
            <w:tcW w:w="2390" w:type="dxa"/>
            <w:vMerge w:val="restart"/>
            <w:noWrap w:val="0"/>
            <w:vAlign w:val="center"/>
          </w:tcPr>
          <w:p>
            <w:pPr>
              <w:keepNext w:val="0"/>
              <w:keepLines w:val="0"/>
              <w:suppressLineNumbers w:val="0"/>
              <w:spacing w:before="0" w:beforeAutospacing="0" w:after="0" w:afterAutospacing="0"/>
              <w:ind w:left="0" w:right="0"/>
              <w:jc w:val="center"/>
              <w:rPr>
                <w:rFonts w:eastAsia="宋体"/>
                <w:szCs w:val="21"/>
              </w:rPr>
            </w:pPr>
            <w:r>
              <w:rPr>
                <w:rFonts w:hAnsi="宋体" w:eastAsia="宋体"/>
                <w:szCs w:val="21"/>
              </w:rPr>
              <w:t>产品类别</w:t>
            </w:r>
          </w:p>
        </w:tc>
        <w:tc>
          <w:tcPr>
            <w:tcW w:w="5250" w:type="dxa"/>
            <w:gridSpan w:val="2"/>
            <w:noWrap w:val="0"/>
            <w:vAlign w:val="center"/>
          </w:tcPr>
          <w:p>
            <w:pPr>
              <w:keepNext w:val="0"/>
              <w:keepLines w:val="0"/>
              <w:suppressLineNumbers w:val="0"/>
              <w:spacing w:before="0" w:beforeAutospacing="0" w:after="0" w:afterAutospacing="0"/>
              <w:ind w:left="0" w:right="0"/>
              <w:jc w:val="center"/>
              <w:rPr>
                <w:rFonts w:eastAsia="宋体"/>
                <w:szCs w:val="21"/>
              </w:rPr>
            </w:pPr>
            <w:r>
              <w:rPr>
                <w:rFonts w:hAnsi="宋体" w:eastAsia="宋体"/>
                <w:szCs w:val="21"/>
              </w:rPr>
              <w:t>产量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5" w:type="dxa"/>
            <w:vMerge w:val="continue"/>
            <w:noWrap w:val="0"/>
            <w:vAlign w:val="center"/>
          </w:tcPr>
          <w:p>
            <w:pPr>
              <w:keepNext w:val="0"/>
              <w:keepLines w:val="0"/>
              <w:suppressLineNumbers w:val="0"/>
              <w:spacing w:before="0" w:beforeAutospacing="0" w:after="0" w:afterAutospacing="0"/>
              <w:ind w:left="0" w:right="0"/>
              <w:jc w:val="center"/>
              <w:rPr>
                <w:rFonts w:eastAsia="宋体"/>
                <w:szCs w:val="21"/>
              </w:rPr>
            </w:pPr>
          </w:p>
        </w:tc>
        <w:tc>
          <w:tcPr>
            <w:tcW w:w="2390" w:type="dxa"/>
            <w:vMerge w:val="continue"/>
            <w:noWrap w:val="0"/>
            <w:vAlign w:val="center"/>
          </w:tcPr>
          <w:p>
            <w:pPr>
              <w:keepNext w:val="0"/>
              <w:keepLines w:val="0"/>
              <w:suppressLineNumbers w:val="0"/>
              <w:spacing w:before="0" w:beforeAutospacing="0" w:after="0" w:afterAutospacing="0"/>
              <w:ind w:left="0" w:right="0"/>
              <w:jc w:val="center"/>
              <w:rPr>
                <w:rFonts w:eastAsia="宋体"/>
                <w:szCs w:val="21"/>
              </w:rPr>
            </w:pPr>
          </w:p>
        </w:tc>
        <w:tc>
          <w:tcPr>
            <w:tcW w:w="2759"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GW/</w:t>
            </w:r>
            <w:r>
              <w:rPr>
                <w:rFonts w:hAnsi="宋体" w:eastAsia="宋体"/>
                <w:szCs w:val="21"/>
              </w:rPr>
              <w:t>年</w:t>
            </w:r>
          </w:p>
        </w:tc>
        <w:tc>
          <w:tcPr>
            <w:tcW w:w="2491"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Ansi="宋体" w:eastAsia="宋体"/>
                <w:szCs w:val="21"/>
              </w:rPr>
              <w:t>片</w:t>
            </w:r>
            <w:r>
              <w:rPr>
                <w:rFonts w:eastAsia="宋体"/>
                <w:szCs w:val="21"/>
              </w:rPr>
              <w:t>/</w:t>
            </w:r>
            <w:r>
              <w:rPr>
                <w:rFonts w:hAnsi="宋体" w:eastAsia="宋体"/>
                <w:szCs w:val="21"/>
              </w:rPr>
              <w:t>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5"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eastAsia="宋体"/>
                <w:szCs w:val="21"/>
              </w:rPr>
              <w:t>1</w:t>
            </w:r>
          </w:p>
        </w:tc>
        <w:tc>
          <w:tcPr>
            <w:tcW w:w="2390"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Ansi="宋体" w:eastAsia="宋体"/>
                <w:szCs w:val="21"/>
              </w:rPr>
              <w:t>单晶硅片</w:t>
            </w:r>
          </w:p>
        </w:tc>
        <w:tc>
          <w:tcPr>
            <w:tcW w:w="2759" w:type="dxa"/>
            <w:noWrap w:val="0"/>
            <w:vAlign w:val="center"/>
          </w:tcPr>
          <w:p>
            <w:pPr>
              <w:keepNext w:val="0"/>
              <w:keepLines w:val="0"/>
              <w:suppressLineNumbers w:val="0"/>
              <w:spacing w:before="0" w:beforeAutospacing="0" w:after="0" w:afterAutospacing="0"/>
              <w:ind w:left="0" w:right="0"/>
              <w:jc w:val="center"/>
              <w:rPr>
                <w:rFonts w:hint="default" w:eastAsia="宋体"/>
                <w:szCs w:val="21"/>
                <w:lang w:val="en-US" w:eastAsia="zh-CN"/>
              </w:rPr>
            </w:pPr>
            <w:r>
              <w:rPr>
                <w:rFonts w:hint="eastAsia"/>
                <w:szCs w:val="21"/>
                <w:lang w:val="en-US" w:eastAsia="zh-CN"/>
              </w:rPr>
              <w:t>10.4</w:t>
            </w:r>
          </w:p>
        </w:tc>
        <w:tc>
          <w:tcPr>
            <w:tcW w:w="2491" w:type="dxa"/>
            <w:noWrap w:val="0"/>
            <w:vAlign w:val="center"/>
          </w:tcPr>
          <w:p>
            <w:pPr>
              <w:keepNext w:val="0"/>
              <w:keepLines w:val="0"/>
              <w:suppressLineNumbers w:val="0"/>
              <w:spacing w:before="0" w:beforeAutospacing="0" w:after="0" w:afterAutospacing="0"/>
              <w:ind w:left="0" w:right="0"/>
              <w:jc w:val="center"/>
              <w:rPr>
                <w:rFonts w:eastAsia="宋体"/>
                <w:szCs w:val="21"/>
              </w:rPr>
            </w:pPr>
            <w:r>
              <w:rPr>
                <w:rFonts w:hint="eastAsia"/>
                <w:szCs w:val="21"/>
                <w:lang w:val="en-US" w:eastAsia="zh-CN"/>
              </w:rPr>
              <w:t>19.6</w:t>
            </w:r>
            <w:r>
              <w:rPr>
                <w:rFonts w:hAnsi="宋体" w:eastAsia="宋体"/>
                <w:szCs w:val="21"/>
              </w:rPr>
              <w:t>亿</w:t>
            </w:r>
          </w:p>
        </w:tc>
      </w:tr>
    </w:tbl>
    <w:p>
      <w:pPr>
        <w:adjustRightInd w:val="0"/>
        <w:snapToGrid w:val="0"/>
        <w:spacing w:before="156" w:beforeLines="50" w:line="360" w:lineRule="auto"/>
        <w:ind w:firstLine="482" w:firstLineChars="200"/>
        <w:rPr>
          <w:b/>
          <w:kern w:val="0"/>
          <w:position w:val="6"/>
          <w:sz w:val="24"/>
          <w:szCs w:val="20"/>
        </w:rPr>
      </w:pPr>
      <w:r>
        <w:rPr>
          <w:b/>
          <w:kern w:val="0"/>
          <w:position w:val="6"/>
          <w:sz w:val="24"/>
          <w:szCs w:val="20"/>
        </w:rPr>
        <w:t>（3</w:t>
      </w:r>
      <w:r>
        <w:rPr>
          <w:rFonts w:hint="eastAsia"/>
          <w:b/>
          <w:kern w:val="0"/>
          <w:position w:val="6"/>
          <w:sz w:val="24"/>
          <w:szCs w:val="20"/>
          <w:lang w:val="en-US" w:eastAsia="zh-CN"/>
        </w:rPr>
        <w:t>.3</w:t>
      </w:r>
      <w:r>
        <w:rPr>
          <w:b/>
          <w:kern w:val="0"/>
          <w:position w:val="6"/>
          <w:sz w:val="24"/>
          <w:szCs w:val="20"/>
        </w:rPr>
        <w:t>）项目生产设备配置</w:t>
      </w:r>
    </w:p>
    <w:p>
      <w:pPr>
        <w:adjustRightInd w:val="0"/>
        <w:spacing w:line="360" w:lineRule="auto"/>
        <w:ind w:firstLine="480" w:firstLineChars="200"/>
        <w:textAlignment w:val="baseline"/>
        <w:rPr>
          <w:b/>
          <w:kern w:val="21"/>
          <w:szCs w:val="21"/>
        </w:rPr>
      </w:pPr>
      <w:r>
        <w:rPr>
          <w:kern w:val="0"/>
          <w:position w:val="6"/>
          <w:sz w:val="24"/>
          <w:szCs w:val="20"/>
        </w:rPr>
        <w:t>本项目设备配置清单见表</w:t>
      </w:r>
      <w:r>
        <w:rPr>
          <w:rFonts w:hint="eastAsia"/>
          <w:kern w:val="0"/>
          <w:position w:val="6"/>
          <w:sz w:val="24"/>
          <w:szCs w:val="20"/>
          <w:lang w:val="en-US" w:eastAsia="zh-CN"/>
        </w:rPr>
        <w:t>4</w:t>
      </w:r>
      <w:r>
        <w:rPr>
          <w:kern w:val="0"/>
          <w:position w:val="6"/>
          <w:sz w:val="24"/>
          <w:szCs w:val="20"/>
        </w:rPr>
        <w:t>。</w:t>
      </w:r>
    </w:p>
    <w:p>
      <w:pPr>
        <w:pStyle w:val="40"/>
        <w:adjustRightInd w:val="0"/>
        <w:snapToGrid w:val="0"/>
        <w:spacing w:after="0" w:line="240" w:lineRule="auto"/>
        <w:jc w:val="center"/>
        <w:rPr>
          <w:rFonts w:hint="eastAsia" w:ascii="宋体" w:hAnsi="宋体" w:eastAsia="宋体" w:cs="宋体"/>
          <w:b/>
          <w:bCs/>
          <w:sz w:val="24"/>
          <w:lang w:eastAsia="zh-CN"/>
        </w:rPr>
      </w:pPr>
      <w:r>
        <w:rPr>
          <w:b/>
          <w:kern w:val="21"/>
          <w:sz w:val="21"/>
          <w:szCs w:val="21"/>
        </w:rPr>
        <w:t>表</w:t>
      </w:r>
      <w:r>
        <w:rPr>
          <w:rFonts w:hint="eastAsia"/>
          <w:b/>
          <w:kern w:val="21"/>
          <w:sz w:val="21"/>
          <w:szCs w:val="21"/>
          <w:lang w:val="en-US" w:eastAsia="zh-CN"/>
        </w:rPr>
        <w:t>4</w:t>
      </w:r>
      <w:r>
        <w:rPr>
          <w:rFonts w:hint="eastAsia"/>
          <w:b/>
          <w:kern w:val="21"/>
          <w:sz w:val="21"/>
          <w:szCs w:val="21"/>
        </w:rPr>
        <w:t xml:space="preserve"> </w:t>
      </w:r>
      <w:r>
        <w:rPr>
          <w:b/>
          <w:kern w:val="21"/>
          <w:sz w:val="21"/>
          <w:szCs w:val="21"/>
        </w:rPr>
        <w:t>项目生产设备清单一览表</w:t>
      </w:r>
    </w:p>
    <w:tbl>
      <w:tblPr>
        <w:tblStyle w:val="47"/>
        <w:tblW w:w="5000" w:type="pct"/>
        <w:tblInd w:w="0" w:type="dxa"/>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Layout w:type="autofit"/>
        <w:tblCellMar>
          <w:top w:w="0" w:type="dxa"/>
          <w:left w:w="0" w:type="dxa"/>
          <w:bottom w:w="0" w:type="dxa"/>
          <w:right w:w="0" w:type="dxa"/>
        </w:tblCellMar>
      </w:tblPr>
      <w:tblGrid>
        <w:gridCol w:w="1414"/>
        <w:gridCol w:w="2278"/>
        <w:gridCol w:w="1709"/>
        <w:gridCol w:w="1565"/>
        <w:gridCol w:w="2124"/>
      </w:tblGrid>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int="eastAsia" w:eastAsia="宋体"/>
                <w:szCs w:val="21"/>
              </w:rPr>
              <w:t>序号</w:t>
            </w:r>
          </w:p>
        </w:tc>
        <w:tc>
          <w:tcPr>
            <w:tcW w:w="1253"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设备名称</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int="eastAsia" w:hAnsi="宋体" w:eastAsia="宋体"/>
                <w:kern w:val="0"/>
                <w:szCs w:val="21"/>
                <w:lang w:bidi="ar"/>
              </w:rPr>
              <w:t>单位</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数量</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int="eastAsia" w:eastAsia="宋体"/>
                <w:szCs w:val="21"/>
              </w:rPr>
              <w:t>所属车间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w:t>
            </w:r>
          </w:p>
        </w:tc>
        <w:tc>
          <w:tcPr>
            <w:tcW w:w="1253"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金钢线切片机</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100</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2</w:t>
            </w:r>
          </w:p>
        </w:tc>
        <w:tc>
          <w:tcPr>
            <w:tcW w:w="1253"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全自动清洗机</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25</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3</w:t>
            </w:r>
          </w:p>
        </w:tc>
        <w:tc>
          <w:tcPr>
            <w:tcW w:w="1253"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脱胶机</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10</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4</w:t>
            </w:r>
          </w:p>
        </w:tc>
        <w:tc>
          <w:tcPr>
            <w:tcW w:w="1253"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分选机</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25</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5</w:t>
            </w:r>
          </w:p>
        </w:tc>
        <w:tc>
          <w:tcPr>
            <w:tcW w:w="1253"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单晶滚磨机</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35</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6</w:t>
            </w:r>
          </w:p>
        </w:tc>
        <w:tc>
          <w:tcPr>
            <w:tcW w:w="1253"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截断机</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4</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7</w:t>
            </w:r>
          </w:p>
        </w:tc>
        <w:tc>
          <w:tcPr>
            <w:tcW w:w="1253"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烘箱</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4</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8</w:t>
            </w:r>
          </w:p>
        </w:tc>
        <w:tc>
          <w:tcPr>
            <w:tcW w:w="1253"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全自动粘胶线</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9</w:t>
            </w:r>
          </w:p>
        </w:tc>
        <w:tc>
          <w:tcPr>
            <w:tcW w:w="1253"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包装机</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3</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切片车间</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10</w:t>
            </w:r>
          </w:p>
        </w:tc>
        <w:tc>
          <w:tcPr>
            <w:tcW w:w="1253"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纯水系统及设备</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动力系统</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7</w:t>
            </w:r>
          </w:p>
        </w:tc>
        <w:tc>
          <w:tcPr>
            <w:tcW w:w="1253"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滚膜液循环系统</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动力系统</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8</w:t>
            </w:r>
          </w:p>
        </w:tc>
        <w:tc>
          <w:tcPr>
            <w:tcW w:w="1253"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切割液大循环</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动力系统</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67"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9</w:t>
            </w:r>
          </w:p>
        </w:tc>
        <w:tc>
          <w:tcPr>
            <w:tcW w:w="1253"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工艺冷却水系统及设备</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动力系统</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325"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10</w:t>
            </w:r>
          </w:p>
        </w:tc>
        <w:tc>
          <w:tcPr>
            <w:tcW w:w="1253"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车间电力系统</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动力系统</w:t>
            </w:r>
          </w:p>
        </w:tc>
      </w:tr>
      <w:tr>
        <w:tblPrEx>
          <w:tblBorders>
            <w:top w:val="single" w:color="000000" w:sz="8" w:space="0"/>
            <w:left w:val="none" w:color="auto" w:sz="0" w:space="0"/>
            <w:bottom w:val="single" w:color="000000" w:sz="8" w:space="0"/>
            <w:right w:val="none" w:color="auto" w:sz="0" w:space="0"/>
            <w:insideH w:val="single" w:color="000000" w:sz="8" w:space="0"/>
            <w:insideV w:val="single" w:color="000000" w:sz="8" w:space="0"/>
          </w:tblBorders>
          <w:tblCellMar>
            <w:top w:w="0" w:type="dxa"/>
            <w:left w:w="0" w:type="dxa"/>
            <w:bottom w:w="0" w:type="dxa"/>
            <w:right w:w="0" w:type="dxa"/>
          </w:tblCellMar>
        </w:tblPrEx>
        <w:trPr>
          <w:trHeight w:val="477" w:hRule="atLeast"/>
        </w:trPr>
        <w:tc>
          <w:tcPr>
            <w:tcW w:w="778"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11</w:t>
            </w:r>
          </w:p>
        </w:tc>
        <w:tc>
          <w:tcPr>
            <w:tcW w:w="1253"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污水处理系统及设备</w:t>
            </w:r>
          </w:p>
        </w:tc>
        <w:tc>
          <w:tcPr>
            <w:tcW w:w="940" w:type="pct"/>
            <w:noWrap/>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台</w:t>
            </w:r>
            <w:r>
              <w:rPr>
                <w:rStyle w:val="325"/>
                <w:rFonts w:hint="default" w:ascii="Times New Roman" w:hAnsi="Times New Roman" w:cs="Times New Roman"/>
                <w:color w:val="auto"/>
                <w:sz w:val="21"/>
                <w:szCs w:val="21"/>
                <w:lang w:bidi="ar"/>
              </w:rPr>
              <w:t>/</w:t>
            </w:r>
            <w:r>
              <w:rPr>
                <w:rFonts w:hAnsi="宋体" w:eastAsia="宋体"/>
                <w:kern w:val="0"/>
                <w:szCs w:val="21"/>
                <w:lang w:bidi="ar"/>
              </w:rPr>
              <w:t>套</w:t>
            </w:r>
          </w:p>
        </w:tc>
        <w:tc>
          <w:tcPr>
            <w:tcW w:w="861"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eastAsia="宋体"/>
                <w:kern w:val="0"/>
                <w:szCs w:val="21"/>
                <w:lang w:bidi="ar"/>
              </w:rPr>
              <w:t>1</w:t>
            </w:r>
          </w:p>
        </w:tc>
        <w:tc>
          <w:tcPr>
            <w:tcW w:w="1168" w:type="pct"/>
            <w:noWrap w:val="0"/>
            <w:tcMar>
              <w:top w:w="10" w:type="dxa"/>
              <w:left w:w="10" w:type="dxa"/>
              <w:right w:w="10" w:type="dxa"/>
            </w:tcMar>
            <w:vAlign w:val="center"/>
          </w:tcPr>
          <w:p>
            <w:pPr>
              <w:keepNext w:val="0"/>
              <w:keepLines w:val="0"/>
              <w:widowControl/>
              <w:suppressLineNumbers w:val="0"/>
              <w:spacing w:before="0" w:beforeAutospacing="0" w:after="0" w:afterAutospacing="0"/>
              <w:ind w:left="0" w:right="0"/>
              <w:jc w:val="center"/>
              <w:textAlignment w:val="bottom"/>
              <w:rPr>
                <w:rFonts w:eastAsia="宋体"/>
                <w:szCs w:val="21"/>
              </w:rPr>
            </w:pPr>
            <w:r>
              <w:rPr>
                <w:rFonts w:hAnsi="宋体" w:eastAsia="宋体"/>
                <w:kern w:val="0"/>
                <w:szCs w:val="21"/>
                <w:lang w:bidi="ar"/>
              </w:rPr>
              <w:t>动力系统</w:t>
            </w:r>
          </w:p>
        </w:tc>
      </w:tr>
    </w:tbl>
    <w:p>
      <w:pPr>
        <w:pStyle w:val="297"/>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right="0" w:rightChars="0"/>
        <w:jc w:val="left"/>
        <w:textAlignment w:val="auto"/>
        <w:rPr>
          <w:rFonts w:hint="default" w:ascii="Times New Roman" w:hAnsi="Times New Roman" w:eastAsia="宋体" w:cs="Times New Roman"/>
          <w:b w:val="0"/>
          <w:bCs w:val="0"/>
          <w:sz w:val="24"/>
          <w:szCs w:val="22"/>
          <w:lang w:val="en-US" w:eastAsia="zh-CN" w:bidi="zh-CN"/>
        </w:rPr>
      </w:pPr>
    </w:p>
    <w:p>
      <w:pPr>
        <w:pStyle w:val="5"/>
        <w:bidi w:val="0"/>
        <w:rPr>
          <w:rFonts w:hint="default"/>
          <w:lang w:val="en-US" w:eastAsia="zh-CN"/>
        </w:rPr>
      </w:pPr>
      <w:bookmarkStart w:id="204" w:name="_Toc1637"/>
      <w:r>
        <w:rPr>
          <w:rFonts w:hint="default"/>
          <w:lang w:val="en-US" w:eastAsia="zh-CN"/>
        </w:rPr>
        <w:t>2.</w:t>
      </w:r>
      <w:r>
        <w:rPr>
          <w:rFonts w:hint="eastAsia"/>
          <w:lang w:val="en-US" w:eastAsia="zh-CN"/>
        </w:rPr>
        <w:t>2</w:t>
      </w:r>
      <w:r>
        <w:rPr>
          <w:rFonts w:hint="default"/>
          <w:lang w:val="en-US" w:eastAsia="zh-CN"/>
        </w:rPr>
        <w:t xml:space="preserve"> 环境功能区划</w:t>
      </w:r>
      <w:bookmarkEnd w:id="204"/>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kern w:val="2"/>
          <w:sz w:val="24"/>
          <w:szCs w:val="24"/>
          <w:highlight w:val="none"/>
          <w:lang w:val="en-US" w:eastAsia="zh-CN" w:bidi="ar-SA"/>
        </w:rPr>
      </w:pPr>
      <w:r>
        <w:rPr>
          <w:rFonts w:hint="default" w:ascii="Times New Roman" w:hAnsi="Times New Roman" w:eastAsia="宋体" w:cs="Times New Roman"/>
          <w:b w:val="0"/>
          <w:bCs w:val="0"/>
          <w:color w:val="000000"/>
          <w:kern w:val="2"/>
          <w:sz w:val="24"/>
          <w:szCs w:val="24"/>
          <w:highlight w:val="none"/>
          <w:lang w:val="en-US" w:eastAsia="zh-CN" w:bidi="ar-SA"/>
        </w:rPr>
        <w:t>根据项目所处区域环境功能规划，评价区内环保目标为：</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rFonts w:hint="default" w:ascii="Times New Roman" w:hAnsi="Times New Roman" w:eastAsia="宋体" w:cs="Times New Roman"/>
          <w:b w:val="0"/>
          <w:bCs w:val="0"/>
          <w:color w:val="000000"/>
          <w:kern w:val="2"/>
          <w:sz w:val="24"/>
          <w:szCs w:val="24"/>
          <w:highlight w:val="none"/>
          <w:lang w:val="en-US" w:eastAsia="zh-CN" w:bidi="ar-SA"/>
        </w:rPr>
      </w:pPr>
      <w:r>
        <w:rPr>
          <w:rFonts w:hint="default" w:ascii="Times New Roman" w:hAnsi="Times New Roman" w:eastAsia="宋体" w:cs="Times New Roman"/>
          <w:b w:val="0"/>
          <w:bCs w:val="0"/>
          <w:color w:val="000000"/>
          <w:kern w:val="2"/>
          <w:sz w:val="24"/>
          <w:szCs w:val="24"/>
          <w:highlight w:val="none"/>
          <w:lang w:val="en-US" w:eastAsia="zh-CN" w:bidi="ar-SA"/>
        </w:rPr>
        <w:t>①控制废气中污染物排放量，使工艺废气排放满足《大气污染物综合排放标准》</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default" w:ascii="Times New Roman" w:hAnsi="Times New Roman" w:eastAsia="宋体" w:cs="Times New Roman"/>
          <w:b w:val="0"/>
          <w:bCs w:val="0"/>
          <w:color w:val="000000"/>
          <w:kern w:val="2"/>
          <w:sz w:val="24"/>
          <w:szCs w:val="24"/>
          <w:highlight w:val="none"/>
          <w:lang w:val="en-US" w:eastAsia="zh-CN" w:bidi="ar-SA"/>
        </w:rPr>
      </w:pPr>
      <w:r>
        <w:rPr>
          <w:rFonts w:hint="default" w:ascii="Times New Roman" w:hAnsi="Times New Roman" w:eastAsia="宋体" w:cs="Times New Roman"/>
          <w:b w:val="0"/>
          <w:bCs w:val="0"/>
          <w:color w:val="000000"/>
          <w:kern w:val="2"/>
          <w:sz w:val="24"/>
          <w:szCs w:val="24"/>
          <w:highlight w:val="none"/>
          <w:lang w:val="en-US" w:eastAsia="zh-CN" w:bidi="ar-SA"/>
        </w:rPr>
        <w:t>（ GB16297-1996 ）二级标准，确保环境空气质量达到《环境空气质量标准》（GB3095-2012）二级标准；</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kern w:val="2"/>
          <w:sz w:val="24"/>
          <w:szCs w:val="24"/>
          <w:highlight w:val="none"/>
          <w:lang w:val="en-US" w:eastAsia="zh-CN" w:bidi="ar-SA"/>
        </w:rPr>
      </w:pPr>
      <w:r>
        <w:rPr>
          <w:rFonts w:hint="default" w:ascii="Times New Roman" w:hAnsi="Times New Roman" w:eastAsia="宋体" w:cs="Times New Roman"/>
          <w:b w:val="0"/>
          <w:bCs w:val="0"/>
          <w:color w:val="000000"/>
          <w:kern w:val="2"/>
          <w:sz w:val="24"/>
          <w:szCs w:val="24"/>
          <w:highlight w:val="none"/>
          <w:lang w:val="en-US" w:eastAsia="zh-CN" w:bidi="ar-SA"/>
        </w:rPr>
        <w:t xml:space="preserve">②对主要噪声源设备做好消声、减振、降噪设施，确保厂区外声环境质量达到《声环境质量标准》（GB3096—2008）中 </w:t>
      </w:r>
      <w:r>
        <w:rPr>
          <w:rFonts w:hint="eastAsia" w:ascii="Times New Roman" w:hAnsi="Times New Roman" w:cs="Times New Roman"/>
          <w:b w:val="0"/>
          <w:bCs w:val="0"/>
          <w:color w:val="000000"/>
          <w:kern w:val="2"/>
          <w:sz w:val="24"/>
          <w:szCs w:val="24"/>
          <w:highlight w:val="none"/>
          <w:lang w:val="en-US" w:eastAsia="zh-CN" w:bidi="ar-SA"/>
        </w:rPr>
        <w:t>2</w:t>
      </w:r>
      <w:r>
        <w:rPr>
          <w:rFonts w:hint="default" w:ascii="Times New Roman" w:hAnsi="Times New Roman" w:eastAsia="宋体" w:cs="Times New Roman"/>
          <w:b w:val="0"/>
          <w:bCs w:val="0"/>
          <w:color w:val="000000"/>
          <w:kern w:val="2"/>
          <w:sz w:val="24"/>
          <w:szCs w:val="24"/>
          <w:highlight w:val="none"/>
          <w:lang w:val="en-US" w:eastAsia="zh-CN" w:bidi="ar-SA"/>
        </w:rPr>
        <w:t xml:space="preserve"> 类标准；</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kern w:val="2"/>
          <w:sz w:val="24"/>
          <w:szCs w:val="24"/>
          <w:highlight w:val="none"/>
          <w:lang w:val="en-US" w:eastAsia="zh-CN" w:bidi="ar-SA"/>
        </w:rPr>
      </w:pPr>
      <w:r>
        <w:rPr>
          <w:rFonts w:hint="default" w:ascii="Times New Roman" w:hAnsi="Times New Roman" w:eastAsia="宋体" w:cs="Times New Roman"/>
          <w:b w:val="0"/>
          <w:bCs w:val="0"/>
          <w:color w:val="000000"/>
          <w:kern w:val="2"/>
          <w:sz w:val="24"/>
          <w:szCs w:val="24"/>
          <w:highlight w:val="none"/>
          <w:lang w:val="en-US" w:eastAsia="zh-CN" w:bidi="ar-SA"/>
        </w:rPr>
        <w:t>③使地表水水质满足《地表水环境质量标准》（GB3838-2002）中Ⅲ类标准；</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kern w:val="2"/>
          <w:sz w:val="24"/>
          <w:szCs w:val="24"/>
          <w:highlight w:val="none"/>
          <w:lang w:val="en-US" w:eastAsia="zh-CN" w:bidi="ar-SA"/>
        </w:rPr>
      </w:pPr>
      <w:r>
        <w:rPr>
          <w:rFonts w:hint="default" w:ascii="Times New Roman" w:hAnsi="Times New Roman" w:eastAsia="宋体" w:cs="Times New Roman"/>
          <w:b w:val="0"/>
          <w:bCs w:val="0"/>
          <w:color w:val="000000"/>
          <w:kern w:val="2"/>
          <w:sz w:val="24"/>
          <w:szCs w:val="24"/>
          <w:highlight w:val="none"/>
          <w:lang w:val="en-US" w:eastAsia="zh-CN" w:bidi="ar-SA"/>
        </w:rPr>
        <w:t>④固体废物进行妥善处理与处置（其中危险废物交由有资质单位处理），使其对周围环境不产生不利影响。</w:t>
      </w:r>
    </w:p>
    <w:p>
      <w:pPr>
        <w:pStyle w:val="5"/>
        <w:bidi w:val="0"/>
        <w:rPr>
          <w:rFonts w:hint="default"/>
          <w:color w:val="FF0000"/>
          <w:lang w:val="en-US" w:eastAsia="zh-CN"/>
        </w:rPr>
      </w:pPr>
      <w:bookmarkStart w:id="205" w:name="_Toc30180"/>
      <w:r>
        <w:rPr>
          <w:rFonts w:hint="default"/>
          <w:color w:val="FF0000"/>
          <w:lang w:val="en-US" w:eastAsia="zh-CN"/>
        </w:rPr>
        <w:t>2.</w:t>
      </w:r>
      <w:r>
        <w:rPr>
          <w:rFonts w:hint="eastAsia"/>
          <w:color w:val="FF0000"/>
          <w:lang w:val="en-US" w:eastAsia="zh-CN"/>
        </w:rPr>
        <w:t>3</w:t>
      </w:r>
      <w:r>
        <w:rPr>
          <w:rFonts w:hint="default"/>
          <w:color w:val="FF0000"/>
          <w:lang w:val="en-US" w:eastAsia="zh-CN"/>
        </w:rPr>
        <w:t xml:space="preserve"> </w:t>
      </w:r>
      <w:r>
        <w:rPr>
          <w:rFonts w:hint="eastAsia"/>
          <w:color w:val="FF0000"/>
          <w:lang w:val="en-US" w:eastAsia="zh-CN"/>
        </w:rPr>
        <w:t>自然环境概况</w:t>
      </w:r>
      <w:bookmarkEnd w:id="205"/>
    </w:p>
    <w:p>
      <w:pPr>
        <w:pStyle w:val="315"/>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FF0000"/>
          <w:kern w:val="0"/>
          <w:sz w:val="24"/>
          <w:szCs w:val="24"/>
          <w:lang w:val="zh-CN" w:eastAsia="zh-CN" w:bidi="zh-CN"/>
        </w:rPr>
      </w:pPr>
      <w:r>
        <w:rPr>
          <w:rFonts w:hint="eastAsia" w:eastAsia="宋体"/>
          <w:b/>
          <w:bCs/>
          <w:color w:val="FF0000"/>
          <w:sz w:val="24"/>
          <w:szCs w:val="24"/>
          <w:lang w:val="en-US" w:eastAsia="zh-CN"/>
        </w:rPr>
        <w:t>2.3.1</w:t>
      </w:r>
      <w:r>
        <w:rPr>
          <w:rFonts w:hint="eastAsia"/>
          <w:b/>
          <w:bCs/>
          <w:color w:val="FF0000"/>
          <w:sz w:val="24"/>
          <w:szCs w:val="24"/>
          <w:lang w:val="en-US" w:eastAsia="zh-CN"/>
        </w:rPr>
        <w:t xml:space="preserve"> </w:t>
      </w:r>
      <w:bookmarkStart w:id="206" w:name="_Toc6033"/>
      <w:r>
        <w:rPr>
          <w:rFonts w:hint="default" w:ascii="宋体" w:hAnsi="宋体" w:eastAsia="宋体" w:cs="宋体"/>
          <w:b/>
          <w:bCs/>
          <w:color w:val="FF0000"/>
          <w:kern w:val="0"/>
          <w:sz w:val="24"/>
          <w:szCs w:val="24"/>
          <w:lang w:val="zh-CN" w:eastAsia="zh-CN" w:bidi="zh-CN"/>
        </w:rPr>
        <w:t>1</w:t>
      </w:r>
      <w:r>
        <w:rPr>
          <w:rFonts w:hint="eastAsia" w:ascii="宋体" w:hAnsi="宋体" w:cs="宋体"/>
          <w:b/>
          <w:bCs/>
          <w:color w:val="FF0000"/>
          <w:kern w:val="0"/>
          <w:sz w:val="24"/>
          <w:szCs w:val="24"/>
          <w:lang w:val="zh-CN" w:eastAsia="zh-CN" w:bidi="zh-CN"/>
        </w:rPr>
        <w:t>.</w:t>
      </w:r>
      <w:r>
        <w:rPr>
          <w:rFonts w:hint="default" w:ascii="宋体" w:hAnsi="宋体" w:eastAsia="宋体" w:cs="宋体"/>
          <w:b/>
          <w:bCs/>
          <w:color w:val="FF0000"/>
          <w:kern w:val="0"/>
          <w:sz w:val="24"/>
          <w:szCs w:val="24"/>
          <w:lang w:val="zh-CN" w:eastAsia="zh-CN" w:bidi="zh-CN"/>
        </w:rPr>
        <w:t>地理位置</w:t>
      </w:r>
      <w:bookmarkEnd w:id="206"/>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FF0000"/>
          <w:sz w:val="24"/>
          <w:szCs w:val="24"/>
          <w:lang w:val="zh-CN" w:eastAsia="zh-CN"/>
        </w:rPr>
      </w:pPr>
      <w:r>
        <w:rPr>
          <w:rFonts w:hint="default" w:ascii="Times New Roman" w:hAnsi="Times New Roman" w:eastAsia="宋体" w:cs="Times New Roman"/>
          <w:color w:val="FF0000"/>
          <w:sz w:val="24"/>
          <w:szCs w:val="24"/>
          <w:lang w:val="zh-CN" w:eastAsia="zh-CN"/>
        </w:rPr>
        <w:t>宜春市位于江西省西北部，界于东经113°54′～116°27′和北纬27°33′～29°06′ 之间。北毗九江市，东接南昌、抚州市，南连新余、吉安市，西邻萍乡市和湖南省。全市东西长约222.75km，南北宽约174km，总面积18669km</w:t>
      </w:r>
      <w:r>
        <w:rPr>
          <w:rFonts w:hint="default" w:ascii="Times New Roman" w:hAnsi="Times New Roman" w:eastAsia="宋体" w:cs="Times New Roman"/>
          <w:color w:val="FF0000"/>
          <w:sz w:val="24"/>
          <w:szCs w:val="24"/>
          <w:vertAlign w:val="superscript"/>
          <w:lang w:val="zh-CN" w:eastAsia="zh-CN"/>
        </w:rPr>
        <w:t>2</w:t>
      </w:r>
      <w:r>
        <w:rPr>
          <w:rFonts w:hint="default" w:ascii="Times New Roman" w:hAnsi="Times New Roman" w:eastAsia="宋体" w:cs="Times New Roman"/>
          <w:color w:val="FF0000"/>
          <w:sz w:val="24"/>
          <w:szCs w:val="24"/>
          <w:lang w:val="zh-CN" w:eastAsia="zh-CN"/>
        </w:rPr>
        <w:t>。工业园交通便捷，320国道穿园而过，区位优势明显。运输条件良好，地理位置优越，水电等市政配套设施齐全。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FF0000"/>
          <w:sz w:val="24"/>
          <w:szCs w:val="24"/>
        </w:rPr>
      </w:pPr>
      <w:r>
        <w:rPr>
          <w:rFonts w:hint="default" w:ascii="Times New Roman" w:hAnsi="Times New Roman" w:eastAsia="宋体" w:cs="Times New Roman"/>
          <w:color w:val="FF0000"/>
          <w:sz w:val="24"/>
          <w:szCs w:val="24"/>
          <w:lang w:val="zh-CN" w:eastAsia="zh-CN"/>
        </w:rPr>
        <w:t>本项目位于</w:t>
      </w:r>
      <w:r>
        <w:rPr>
          <w:rFonts w:hint="eastAsia" w:cs="Times New Roman"/>
          <w:color w:val="FF0000"/>
          <w:sz w:val="24"/>
          <w:szCs w:val="24"/>
          <w:lang w:val="zh-CN" w:eastAsia="zh-CN"/>
        </w:rPr>
        <w:t>宜春经济技术开发区</w:t>
      </w:r>
      <w:r>
        <w:rPr>
          <w:rFonts w:hint="default" w:ascii="Times New Roman" w:hAnsi="Times New Roman" w:eastAsia="宋体" w:cs="Times New Roman"/>
          <w:color w:val="FF0000"/>
          <w:sz w:val="24"/>
          <w:szCs w:val="24"/>
          <w:lang w:val="zh-CN" w:eastAsia="zh-CN"/>
        </w:rPr>
        <w:t>，地处宜春市北面，紧临中心城区，处在320国道与沪昆高速公路交汇处，地理坐标为东经114.424893016° ，北纬 27.911289691°。</w:t>
      </w:r>
      <w:r>
        <w:rPr>
          <w:rFonts w:hint="eastAsia" w:cs="Times New Roman"/>
          <w:color w:val="FF0000"/>
          <w:sz w:val="24"/>
          <w:szCs w:val="24"/>
          <w:lang w:val="zh-CN" w:eastAsia="zh-CN"/>
        </w:rPr>
        <w:t>宜春经济技术开发区</w:t>
      </w:r>
      <w:r>
        <w:rPr>
          <w:rFonts w:hint="default" w:ascii="Times New Roman" w:hAnsi="Times New Roman" w:eastAsia="宋体" w:cs="Times New Roman"/>
          <w:color w:val="FF0000"/>
          <w:sz w:val="24"/>
          <w:szCs w:val="24"/>
          <w:lang w:val="zh-CN" w:eastAsia="zh-CN"/>
        </w:rPr>
        <w:t>于2001年7月在城南动工建设（时名宜春市科技工业园），2003年4月转移到城北建设，同年9月动工，2006年5月被批准为省级开发区，并将袁州医药工业园划归开发区统一管理。</w:t>
      </w:r>
      <w:r>
        <w:rPr>
          <w:rFonts w:hint="eastAsia" w:cs="Times New Roman"/>
          <w:color w:val="FF0000"/>
          <w:sz w:val="24"/>
          <w:szCs w:val="24"/>
          <w:lang w:val="zh-CN" w:eastAsia="zh-CN"/>
        </w:rPr>
        <w:t>宜春经济技术开发区</w:t>
      </w:r>
      <w:r>
        <w:rPr>
          <w:rFonts w:hint="default" w:ascii="Times New Roman" w:hAnsi="Times New Roman" w:eastAsia="宋体" w:cs="Times New Roman"/>
          <w:color w:val="FF0000"/>
          <w:sz w:val="24"/>
          <w:szCs w:val="24"/>
          <w:lang w:val="zh-CN" w:eastAsia="zh-CN"/>
        </w:rPr>
        <w:t>为</w:t>
      </w:r>
      <w:r>
        <w:rPr>
          <w:rFonts w:hint="eastAsia" w:ascii="Times New Roman" w:hAnsi="Times New Roman" w:cs="Times New Roman"/>
          <w:color w:val="FF0000"/>
          <w:sz w:val="24"/>
          <w:szCs w:val="24"/>
          <w:lang w:val="en-US" w:eastAsia="zh-CN"/>
        </w:rPr>
        <w:t>国家</w:t>
      </w:r>
      <w:r>
        <w:rPr>
          <w:rFonts w:hint="default" w:ascii="Times New Roman" w:hAnsi="Times New Roman" w:eastAsia="宋体" w:cs="Times New Roman"/>
          <w:color w:val="FF0000"/>
          <w:sz w:val="24"/>
          <w:szCs w:val="24"/>
          <w:lang w:val="zh-CN" w:eastAsia="zh-CN"/>
        </w:rPr>
        <w:t>级工业园区，位于宜春市袁州区中东部，沪昆高速从南侧横穿，东至上海，西至昆明，320国道纵贯开发区，南接中心城区，北至万载县，交通便利。</w:t>
      </w:r>
    </w:p>
    <w:p>
      <w:pPr>
        <w:pStyle w:val="315"/>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FF0000"/>
          <w:kern w:val="0"/>
          <w:sz w:val="24"/>
          <w:szCs w:val="24"/>
          <w:lang w:val="zh-CN" w:eastAsia="zh-CN" w:bidi="zh-CN"/>
        </w:rPr>
      </w:pPr>
      <w:bookmarkStart w:id="207" w:name="_Toc13089"/>
      <w:r>
        <w:rPr>
          <w:rFonts w:hint="default" w:ascii="宋体" w:hAnsi="宋体" w:eastAsia="宋体" w:cs="宋体"/>
          <w:b/>
          <w:bCs/>
          <w:color w:val="FF0000"/>
          <w:kern w:val="0"/>
          <w:sz w:val="24"/>
          <w:szCs w:val="24"/>
          <w:lang w:val="en-US" w:eastAsia="zh-CN" w:bidi="zh-CN"/>
        </w:rPr>
        <w:t>2</w:t>
      </w:r>
      <w:r>
        <w:rPr>
          <w:rFonts w:hint="eastAsia" w:ascii="宋体" w:hAnsi="宋体" w:cs="宋体"/>
          <w:b/>
          <w:bCs/>
          <w:color w:val="FF0000"/>
          <w:kern w:val="0"/>
          <w:sz w:val="24"/>
          <w:szCs w:val="24"/>
          <w:lang w:val="en-US" w:eastAsia="zh-CN" w:bidi="zh-CN"/>
        </w:rPr>
        <w:t>.</w:t>
      </w:r>
      <w:r>
        <w:rPr>
          <w:rFonts w:hint="default" w:ascii="宋体" w:hAnsi="宋体" w:eastAsia="宋体" w:cs="宋体"/>
          <w:b/>
          <w:bCs/>
          <w:color w:val="FF0000"/>
          <w:kern w:val="0"/>
          <w:sz w:val="24"/>
          <w:szCs w:val="24"/>
          <w:lang w:val="zh-CN" w:eastAsia="zh-CN" w:bidi="zh-CN"/>
        </w:rPr>
        <w:t>地形、地貌及地质</w:t>
      </w:r>
      <w:bookmarkEnd w:id="207"/>
    </w:p>
    <w:p>
      <w:pPr>
        <w:pStyle w:val="31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eastAsia="宋体" w:cs="Times New Roman"/>
          <w:b w:val="0"/>
          <w:bCs w:val="0"/>
          <w:color w:val="FF0000"/>
          <w:sz w:val="24"/>
          <w:szCs w:val="24"/>
          <w:lang w:val="zh-CN"/>
        </w:rPr>
      </w:pPr>
      <w:bookmarkStart w:id="208" w:name="_Toc19209"/>
      <w:r>
        <w:rPr>
          <w:rFonts w:hint="default" w:ascii="Times New Roman" w:hAnsi="Times New Roman" w:eastAsia="宋体" w:cs="Times New Roman"/>
          <w:b w:val="0"/>
          <w:bCs w:val="0"/>
          <w:color w:val="FF0000"/>
          <w:sz w:val="24"/>
          <w:szCs w:val="24"/>
          <w:lang w:val="zh-CN"/>
        </w:rPr>
        <w:t>宜春市区地形北高南低，并西向东倾斜，从南向北贯穿排列着三条山脉，地势奇峻，山坡陡峭。在山脉之间分布有丘陵山岗，河谷盆地。区域内山地占面积的31.4％，低丘岗地占51.9％，平原为2.1％，水域面积为0.4％，有一二级支流16条流经全区。</w:t>
      </w:r>
      <w:bookmarkEnd w:id="208"/>
    </w:p>
    <w:p>
      <w:pPr>
        <w:pStyle w:val="31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eastAsia="宋体" w:cs="Times New Roman"/>
          <w:b w:val="0"/>
          <w:bCs w:val="0"/>
          <w:color w:val="FF0000"/>
          <w:sz w:val="24"/>
          <w:szCs w:val="24"/>
          <w:lang w:val="zh-CN"/>
        </w:rPr>
      </w:pPr>
      <w:bookmarkStart w:id="209" w:name="_Toc25146"/>
      <w:r>
        <w:rPr>
          <w:rFonts w:hint="default" w:ascii="Times New Roman" w:hAnsi="Times New Roman" w:eastAsia="宋体" w:cs="Times New Roman"/>
          <w:b w:val="0"/>
          <w:bCs w:val="0"/>
          <w:color w:val="FF0000"/>
          <w:sz w:val="24"/>
          <w:szCs w:val="24"/>
          <w:lang w:val="zh-CN"/>
        </w:rPr>
        <w:t>地形为低岗丘地，地势由北向南，由西向东倾斜，地形最高标高152.14m，最低标高81.76m。冲沟发育，地形起伏大，开发区内有三条小溪，在中部汇聚后由东南方向经渥江汇入袁河。沿小溪两侧土地大部分为水稻田及农民宅基地。山上树木植被较密，大多为松、杉等树木。</w:t>
      </w:r>
      <w:bookmarkEnd w:id="209"/>
    </w:p>
    <w:p>
      <w:pPr>
        <w:pStyle w:val="31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eastAsia="宋体" w:cs="Times New Roman"/>
          <w:b w:val="0"/>
          <w:bCs w:val="0"/>
          <w:color w:val="FF0000"/>
          <w:sz w:val="24"/>
          <w:szCs w:val="24"/>
          <w:lang w:val="zh-CN"/>
        </w:rPr>
      </w:pPr>
      <w:bookmarkStart w:id="210" w:name="_Toc25566"/>
      <w:r>
        <w:rPr>
          <w:rFonts w:hint="eastAsia" w:cs="Times New Roman"/>
          <w:b w:val="0"/>
          <w:bCs w:val="0"/>
          <w:color w:val="FF0000"/>
          <w:sz w:val="24"/>
          <w:szCs w:val="24"/>
          <w:lang w:val="zh-CN"/>
        </w:rPr>
        <w:t>宜春经济技术开发区</w:t>
      </w:r>
      <w:r>
        <w:rPr>
          <w:rFonts w:hint="default" w:ascii="Times New Roman" w:hAnsi="Times New Roman" w:eastAsia="宋体" w:cs="Times New Roman"/>
          <w:b w:val="0"/>
          <w:bCs w:val="0"/>
          <w:color w:val="FF0000"/>
          <w:sz w:val="24"/>
          <w:szCs w:val="24"/>
          <w:lang w:val="zh-CN"/>
        </w:rPr>
        <w:t>地形为丘陵地带，海拔多在70～180米之间，地形最高标高230.6米，最低标高81.76米，冲沟发育，地形起伏较大，区内分布有三条主溪沟，由东北、西北、西南穿越场地，在中部汇聚后向东南方向汇入袁河，沿沟溪两侧土地大部分为水稻田及农民宅基地，山丘植被茂密，大多为松、杉等树木。</w:t>
      </w:r>
      <w:bookmarkEnd w:id="210"/>
    </w:p>
    <w:p>
      <w:pPr>
        <w:pStyle w:val="315"/>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eastAsia="宋体" w:cs="Times New Roman"/>
          <w:b w:val="0"/>
          <w:bCs w:val="0"/>
          <w:color w:val="FF0000"/>
          <w:sz w:val="24"/>
          <w:szCs w:val="24"/>
          <w:lang w:val="zh-CN"/>
        </w:rPr>
      </w:pPr>
      <w:bookmarkStart w:id="211" w:name="_Toc7547"/>
      <w:r>
        <w:rPr>
          <w:rFonts w:hint="default" w:ascii="Times New Roman" w:hAnsi="Times New Roman" w:eastAsia="宋体" w:cs="Times New Roman"/>
          <w:b w:val="0"/>
          <w:bCs w:val="0"/>
          <w:color w:val="FF0000"/>
          <w:sz w:val="24"/>
          <w:szCs w:val="24"/>
          <w:lang w:val="zh-CN"/>
        </w:rPr>
        <w:t>境内所在地区基层以灰白、深灰白的白云质、硅质灰岩为主，属于中等风化硬质岩石，地基承载力设计值为4.8Mpa。基岩以上覆盖物主要是第四纪更新统残坡积红色粘土，平均厚度12.94m，中压缩性土，承载力标准值270Kpa，局部下层有棕褐色粘土，平均厚度1.34m，均匀密度1.34m，均匀密度的可塑状粘土，承载力标准值131Kpa。依据《中国地震烈度区划图1990年（江西部分）》属小于Ⅵ地震烈度区，一般建、构筑物可不考虑设防。</w:t>
      </w:r>
      <w:bookmarkEnd w:id="211"/>
    </w:p>
    <w:p>
      <w:pPr>
        <w:pStyle w:val="315"/>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FF0000"/>
          <w:kern w:val="0"/>
          <w:sz w:val="24"/>
          <w:szCs w:val="24"/>
          <w:lang w:val="en-US" w:eastAsia="zh-CN" w:bidi="zh-CN"/>
        </w:rPr>
      </w:pPr>
      <w:bookmarkStart w:id="212" w:name="_Toc14455"/>
      <w:r>
        <w:rPr>
          <w:rFonts w:hint="default" w:ascii="宋体" w:hAnsi="宋体" w:eastAsia="宋体" w:cs="宋体"/>
          <w:b/>
          <w:bCs/>
          <w:color w:val="FF0000"/>
          <w:kern w:val="0"/>
          <w:sz w:val="24"/>
          <w:szCs w:val="24"/>
          <w:lang w:val="en-US" w:eastAsia="zh-CN" w:bidi="zh-CN"/>
        </w:rPr>
        <w:t>3</w:t>
      </w:r>
      <w:r>
        <w:rPr>
          <w:rFonts w:hint="eastAsia" w:ascii="宋体" w:hAnsi="宋体" w:cs="宋体"/>
          <w:b/>
          <w:bCs/>
          <w:color w:val="FF0000"/>
          <w:kern w:val="0"/>
          <w:sz w:val="24"/>
          <w:szCs w:val="24"/>
          <w:lang w:val="en-US" w:eastAsia="zh-CN" w:bidi="zh-CN"/>
        </w:rPr>
        <w:t>.</w:t>
      </w:r>
      <w:r>
        <w:rPr>
          <w:rFonts w:hint="default" w:ascii="宋体" w:hAnsi="宋体" w:eastAsia="宋体" w:cs="宋体"/>
          <w:b/>
          <w:bCs/>
          <w:color w:val="FF0000"/>
          <w:kern w:val="0"/>
          <w:sz w:val="24"/>
          <w:szCs w:val="24"/>
          <w:lang w:val="en-US" w:eastAsia="zh-CN" w:bidi="zh-CN"/>
        </w:rPr>
        <w:t>气候气象</w:t>
      </w:r>
      <w:bookmarkEnd w:id="212"/>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FF0000"/>
          <w:sz w:val="24"/>
          <w:szCs w:val="24"/>
          <w:lang w:eastAsia="zh-CN"/>
        </w:rPr>
      </w:pPr>
      <w:r>
        <w:rPr>
          <w:rFonts w:hint="default" w:ascii="Times New Roman" w:hAnsi="Times New Roman" w:eastAsia="宋体" w:cs="Times New Roman"/>
          <w:color w:val="FF0000"/>
          <w:sz w:val="24"/>
          <w:szCs w:val="24"/>
          <w:lang w:eastAsia="zh-CN"/>
        </w:rPr>
        <w:t>宜春市属中亚热带季风气候区，四季分明，春秋季短而夏冬季长，冬季冷而夏季热，春季湿而秋季干，热量丰富，降水充沛，日照充足，霜期短，气候资源丰富。但由于季风进退迟早和强弱程度不同、地形起伏、垂直高度相差悬殊、气候因子时空分布不均等，使气候呈多样性，天气变化大，并导致旱涝、酷暑、低温、风雹等气象灾害时有发生。全市年平均气温16.2℃∽17.7℃，东南部较高，西北部较低；冬季最冷月1月平均气温4.6℃-5.3℃,南部高于北部；夏季最热月7月平均气温27.3℃-29.6℃，东部高于西部；春秋季各县（市、区）气温差异较夏季小，比冬季大；无霜期256天-281天，高安最长，万载最短；日平均气温稳定通过0℃的活动积温5926℃-6478℃，高安最多，铜鼓最少；≥10℃积温为5050℃-5644℃，丰城最多，铜鼓最少。极端最高气温41.6℃，1953年8月16日出现在袁州区；极端最低气温－15.8℃，1991年12月29日出现在奉新县。</w:t>
      </w:r>
    </w:p>
    <w:p>
      <w:pPr>
        <w:pStyle w:val="315"/>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FF0000"/>
          <w:kern w:val="0"/>
          <w:sz w:val="24"/>
          <w:szCs w:val="24"/>
          <w:lang w:val="en-US" w:eastAsia="zh-CN" w:bidi="zh-CN"/>
        </w:rPr>
      </w:pPr>
      <w:bookmarkStart w:id="213" w:name="_Toc17854"/>
      <w:r>
        <w:rPr>
          <w:rFonts w:hint="default" w:ascii="宋体" w:hAnsi="宋体" w:eastAsia="宋体" w:cs="宋体"/>
          <w:b/>
          <w:bCs/>
          <w:color w:val="FF0000"/>
          <w:kern w:val="0"/>
          <w:sz w:val="24"/>
          <w:szCs w:val="24"/>
          <w:lang w:val="en-US" w:eastAsia="zh-CN" w:bidi="zh-CN"/>
        </w:rPr>
        <w:t>4</w:t>
      </w:r>
      <w:r>
        <w:rPr>
          <w:rFonts w:hint="eastAsia" w:ascii="宋体" w:hAnsi="宋体" w:cs="宋体"/>
          <w:b/>
          <w:bCs/>
          <w:color w:val="FF0000"/>
          <w:kern w:val="0"/>
          <w:sz w:val="24"/>
          <w:szCs w:val="24"/>
          <w:lang w:val="en-US" w:eastAsia="zh-CN" w:bidi="zh-CN"/>
        </w:rPr>
        <w:t>.</w:t>
      </w:r>
      <w:r>
        <w:rPr>
          <w:rFonts w:hint="default" w:ascii="宋体" w:hAnsi="宋体" w:eastAsia="宋体" w:cs="宋体"/>
          <w:b/>
          <w:bCs/>
          <w:color w:val="FF0000"/>
          <w:kern w:val="0"/>
          <w:sz w:val="24"/>
          <w:szCs w:val="24"/>
          <w:lang w:val="en-US" w:eastAsia="zh-CN" w:bidi="zh-CN"/>
        </w:rPr>
        <w:t>水文</w:t>
      </w:r>
      <w:bookmarkEnd w:id="213"/>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FF0000"/>
          <w:sz w:val="24"/>
          <w:szCs w:val="24"/>
          <w:lang w:eastAsia="zh-CN"/>
        </w:rPr>
      </w:pPr>
      <w:r>
        <w:rPr>
          <w:rFonts w:hint="default" w:ascii="Times New Roman" w:hAnsi="Times New Roman" w:eastAsia="宋体" w:cs="Times New Roman"/>
          <w:color w:val="FF0000"/>
          <w:sz w:val="24"/>
          <w:szCs w:val="24"/>
          <w:lang w:eastAsia="zh-CN"/>
        </w:rPr>
        <w:t>宜春市有一二级支流16条流经全区，主要水体为袁河、锦河、潦河、肖江。</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FF0000"/>
          <w:sz w:val="24"/>
          <w:szCs w:val="24"/>
          <w:lang w:eastAsia="zh-CN"/>
        </w:rPr>
      </w:pPr>
      <w:r>
        <w:rPr>
          <w:rFonts w:hint="eastAsia" w:cs="Times New Roman"/>
          <w:color w:val="FF0000"/>
          <w:sz w:val="24"/>
          <w:szCs w:val="24"/>
          <w:lang w:val="en-US" w:eastAsia="zh-CN"/>
        </w:rPr>
        <w:t>宜春经济技术开发区</w:t>
      </w:r>
      <w:r>
        <w:rPr>
          <w:rFonts w:hint="default" w:ascii="Times New Roman" w:hAnsi="Times New Roman" w:eastAsia="宋体" w:cs="Times New Roman"/>
          <w:color w:val="FF0000"/>
          <w:sz w:val="24"/>
          <w:szCs w:val="24"/>
          <w:lang w:eastAsia="zh-CN"/>
        </w:rPr>
        <w:t>有三条无名小溪穿越，排水由依地势排入渥江，最终进入袁河，袁河是宜春市最大的地表水体，流经西村、湖田、春台、下浦、渥江和彬江等六个乡镇，全长52千米，河宽50～250米，河深0.8～5米，河床堆积卵石及砂砾为主，年平均流量58.2m3/s，年平均流速0.20m/s。</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FF0000"/>
          <w:sz w:val="24"/>
          <w:szCs w:val="24"/>
          <w:lang w:eastAsia="zh-CN"/>
        </w:rPr>
      </w:pPr>
      <w:r>
        <w:rPr>
          <w:rFonts w:hint="default" w:ascii="Times New Roman" w:hAnsi="Times New Roman" w:eastAsia="宋体" w:cs="Times New Roman"/>
          <w:color w:val="FF0000"/>
          <w:sz w:val="24"/>
          <w:szCs w:val="24"/>
          <w:lang w:eastAsia="zh-CN"/>
        </w:rPr>
        <w:t>宜春市平均年降水量为1624.9mm，各县（市、区）年降水量1545.6mm-1736.3mm，铜鼓最多，丰城最少；4-6月降水量全市平均为754.2mm，占年总量的46.4%；由于季风影响，上半年各月降水量呈逐月增加，下半年各月降水量呈递减趋势；全市各地每季降水量占年总量的百分比分别是，第一季度21%，第二季度46%，第三季度22%，第四季度11%；5-6月降水最多，全市平均月降水量为273.9mm,12月降水最少，全市平均降水量为52.8mm。年最大降水量为2848.5mm，1998年出现在铜鼓县；年最小降水量1025.5mm，1978年出现在高安市。市内水资源十分丰富，多年平均水资源总量达1821.51亿立方米。</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FF0000"/>
          <w:sz w:val="24"/>
          <w:szCs w:val="24"/>
          <w:lang w:eastAsia="zh-CN"/>
        </w:rPr>
      </w:pPr>
      <w:r>
        <w:rPr>
          <w:rFonts w:hint="default" w:ascii="Times New Roman" w:hAnsi="Times New Roman" w:eastAsia="宋体" w:cs="Times New Roman"/>
          <w:color w:val="FF0000"/>
          <w:sz w:val="24"/>
          <w:szCs w:val="24"/>
          <w:lang w:eastAsia="zh-CN"/>
        </w:rPr>
        <w:t>地表水资源地表水资源来自降水，全市多年平均降水总量311.87亿立方米，平均降水量在1624.9毫米左右，平均地表水资源为179.24亿立方米，年人均占有水量3402亿立方米。地下水资源市地下水源丰富，全市多年平均地下水（浅层）资源量为49.60亿立方米，平均地下水基流模数为26.57万立方米/年平方公里。市内地下水包括平原、山丘等类型。古之“宜春”就有因县侧有泉“莹媚如春，饮之宜人”而得名。宜春又是江西省地下热水及矿水分布较密地区之一。比较著名的有：袁州区温汤温泉，水温达62℃，流量为10升/秒，闻名遐迩。铜鼓县温塘温泉属镭水温泉，可作医疗矿水。</w:t>
      </w:r>
    </w:p>
    <w:p>
      <w:pPr>
        <w:pStyle w:val="315"/>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FF0000"/>
          <w:kern w:val="0"/>
          <w:sz w:val="24"/>
          <w:szCs w:val="24"/>
          <w:lang w:val="en-US" w:eastAsia="zh-CN" w:bidi="zh-CN"/>
        </w:rPr>
      </w:pPr>
      <w:bookmarkStart w:id="214" w:name="_Toc8744"/>
      <w:r>
        <w:rPr>
          <w:rFonts w:hint="default" w:ascii="宋体" w:hAnsi="宋体" w:eastAsia="宋体" w:cs="宋体"/>
          <w:b/>
          <w:bCs/>
          <w:color w:val="FF0000"/>
          <w:kern w:val="0"/>
          <w:sz w:val="24"/>
          <w:szCs w:val="24"/>
          <w:lang w:val="en-US" w:eastAsia="zh-CN" w:bidi="zh-CN"/>
        </w:rPr>
        <w:t>5</w:t>
      </w:r>
      <w:r>
        <w:rPr>
          <w:rFonts w:hint="eastAsia" w:ascii="宋体" w:hAnsi="宋体" w:cs="宋体"/>
          <w:b/>
          <w:bCs/>
          <w:color w:val="FF0000"/>
          <w:kern w:val="0"/>
          <w:sz w:val="24"/>
          <w:szCs w:val="24"/>
          <w:lang w:val="en-US" w:eastAsia="zh-CN" w:bidi="zh-CN"/>
        </w:rPr>
        <w:t>.</w:t>
      </w:r>
      <w:r>
        <w:rPr>
          <w:rFonts w:hint="default" w:ascii="宋体" w:hAnsi="宋体" w:eastAsia="宋体" w:cs="宋体"/>
          <w:b/>
          <w:bCs/>
          <w:color w:val="FF0000"/>
          <w:kern w:val="0"/>
          <w:sz w:val="24"/>
          <w:szCs w:val="24"/>
          <w:lang w:val="en-US" w:eastAsia="zh-CN" w:bidi="zh-CN"/>
        </w:rPr>
        <w:t>自然资源</w:t>
      </w:r>
      <w:bookmarkEnd w:id="214"/>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color w:val="FF0000"/>
        </w:rPr>
      </w:pPr>
      <w:r>
        <w:rPr>
          <w:rFonts w:hint="default" w:ascii="Times New Roman" w:hAnsi="Times New Roman" w:eastAsia="宋体" w:cs="Times New Roman"/>
          <w:color w:val="FF0000"/>
          <w:sz w:val="24"/>
          <w:szCs w:val="24"/>
          <w:lang w:eastAsia="zh-CN"/>
        </w:rPr>
        <w:t>宜春土地、动植物、水资源、能源、矿产等自然资源相当丰富。全市森林覆盖率为53.8%，是江西重点林区和全国重点毛竹产区。已探明水力资源60万千瓦，占全省水能理论蕴藏量的10.4%。已探明储量的矿产56种，其中钽铌被誉为江西“五朵金花”之一，宜春钽铌矿是我国最大钽铌锂原料生产基地；锂矿可开采量占全国89.3%，硅灰石储量约占全国1/4，原煤、岩盐、石灰石等储量列江西第一。宜春是苎麻的故乡，同时也是江西野生猕猴桃的主要产区，奉新猕猴桃产量居全省之冠。</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2.3.2 </w:t>
      </w:r>
      <w:r>
        <w:rPr>
          <w:rFonts w:hint="default"/>
          <w:b/>
          <w:bCs/>
          <w:color w:val="FF0000"/>
          <w:sz w:val="24"/>
          <w:szCs w:val="24"/>
        </w:rPr>
        <w:t>周边环境状况及环境保护目标情况</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环境敏感点分布情况</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eastAsia="宋体"/>
          <w:sz w:val="24"/>
          <w:highlight w:val="cyan"/>
        </w:rPr>
      </w:pPr>
      <w:r>
        <w:rPr>
          <w:rFonts w:ascii="宋体" w:hAnsi="宋体" w:eastAsia="宋体"/>
          <w:sz w:val="24"/>
        </w:rPr>
        <w:t>项目位于宜春经济技术开发区，根据现场踏勘，在评价范围内无名胜古迹、重要公共设施，也无特殊保护区，环境保护目标为一般环境保护区域，具体分布情况见下表。</w:t>
      </w:r>
    </w:p>
    <w:p>
      <w:pPr>
        <w:snapToGrid w:val="0"/>
        <w:ind w:firstLine="422" w:firstLineChars="200"/>
        <w:jc w:val="center"/>
        <w:rPr>
          <w:rFonts w:eastAsia="宋体"/>
          <w:b/>
          <w:bCs/>
          <w:szCs w:val="21"/>
        </w:rPr>
      </w:pPr>
      <w:r>
        <w:rPr>
          <w:rFonts w:hAnsi="宋体" w:eastAsia="宋体"/>
          <w:b/>
          <w:bCs/>
          <w:szCs w:val="21"/>
        </w:rPr>
        <w:t>表</w:t>
      </w:r>
      <w:r>
        <w:rPr>
          <w:rFonts w:hint="eastAsia" w:eastAsia="宋体"/>
          <w:b/>
          <w:bCs/>
          <w:szCs w:val="21"/>
          <w:lang w:val="en-US" w:eastAsia="zh-CN"/>
        </w:rPr>
        <w:t>2.3-1</w:t>
      </w:r>
      <w:r>
        <w:rPr>
          <w:rFonts w:eastAsia="宋体"/>
          <w:b/>
          <w:bCs/>
          <w:szCs w:val="21"/>
        </w:rPr>
        <w:t xml:space="preserve"> </w:t>
      </w:r>
      <w:r>
        <w:rPr>
          <w:rFonts w:hAnsi="宋体" w:eastAsia="宋体"/>
          <w:b/>
          <w:bCs/>
          <w:szCs w:val="21"/>
        </w:rPr>
        <w:t>环境保护目标一览表</w:t>
      </w:r>
    </w:p>
    <w:tbl>
      <w:tblPr>
        <w:tblStyle w:val="47"/>
        <w:tblW w:w="0" w:type="auto"/>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67"/>
        <w:gridCol w:w="1176"/>
        <w:gridCol w:w="803"/>
        <w:gridCol w:w="758"/>
        <w:gridCol w:w="848"/>
        <w:gridCol w:w="1278"/>
        <w:gridCol w:w="850"/>
        <w:gridCol w:w="709"/>
        <w:gridCol w:w="709"/>
        <w:gridCol w:w="89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460" w:hRule="atLeast"/>
          <w:jc w:val="center"/>
        </w:trPr>
        <w:tc>
          <w:tcPr>
            <w:tcW w:w="767" w:type="dxa"/>
            <w:vMerge w:val="restart"/>
            <w:tcBorders>
              <w:top w:val="single" w:color="auto" w:sz="12" w:space="0"/>
            </w:tcBorders>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b/>
                <w:szCs w:val="21"/>
              </w:rPr>
            </w:pPr>
            <w:r>
              <w:rPr>
                <w:b/>
                <w:szCs w:val="21"/>
              </w:rPr>
              <w:t>环境要素</w:t>
            </w:r>
          </w:p>
        </w:tc>
        <w:tc>
          <w:tcPr>
            <w:tcW w:w="1176" w:type="dxa"/>
            <w:vMerge w:val="restart"/>
            <w:tcBorders>
              <w:top w:val="single" w:color="auto" w:sz="12" w:space="0"/>
            </w:tcBorders>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b/>
                <w:szCs w:val="21"/>
              </w:rPr>
            </w:pPr>
            <w:r>
              <w:rPr>
                <w:b/>
                <w:szCs w:val="21"/>
              </w:rPr>
              <w:t>环境敏感点</w:t>
            </w:r>
          </w:p>
        </w:tc>
        <w:tc>
          <w:tcPr>
            <w:tcW w:w="1561" w:type="dxa"/>
            <w:gridSpan w:val="2"/>
            <w:tcBorders>
              <w:top w:val="single" w:color="auto" w:sz="12" w:space="0"/>
              <w:bottom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b/>
                <w:szCs w:val="21"/>
              </w:rPr>
            </w:pPr>
            <w:r>
              <w:rPr>
                <w:rFonts w:hint="eastAsia"/>
                <w:b/>
                <w:szCs w:val="21"/>
              </w:rPr>
              <w:t>坐标/m</w:t>
            </w:r>
          </w:p>
        </w:tc>
        <w:tc>
          <w:tcPr>
            <w:tcW w:w="848" w:type="dxa"/>
            <w:vMerge w:val="restart"/>
            <w:tcBorders>
              <w:top w:val="single" w:color="auto" w:sz="12" w:space="0"/>
            </w:tcBorders>
            <w:noWrap w:val="0"/>
            <w:vAlign w:val="center"/>
          </w:tcPr>
          <w:p>
            <w:pPr>
              <w:keepNext w:val="0"/>
              <w:keepLines w:val="0"/>
              <w:suppressLineNumbers w:val="0"/>
              <w:adjustRightInd w:val="0"/>
              <w:snapToGrid w:val="0"/>
              <w:spacing w:before="0" w:beforeAutospacing="0" w:after="0" w:afterAutospacing="0"/>
              <w:ind w:left="0" w:right="0"/>
              <w:jc w:val="center"/>
              <w:rPr>
                <w:b/>
                <w:szCs w:val="21"/>
              </w:rPr>
            </w:pPr>
            <w:r>
              <w:rPr>
                <w:rFonts w:hint="eastAsia"/>
                <w:b/>
                <w:szCs w:val="21"/>
              </w:rPr>
              <w:t>保护对象</w:t>
            </w:r>
          </w:p>
        </w:tc>
        <w:tc>
          <w:tcPr>
            <w:tcW w:w="1278" w:type="dxa"/>
            <w:vMerge w:val="restart"/>
            <w:tcBorders>
              <w:top w:val="single" w:color="auto" w:sz="12"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b/>
                <w:szCs w:val="21"/>
              </w:rPr>
            </w:pPr>
            <w:r>
              <w:rPr>
                <w:rFonts w:hint="eastAsia"/>
                <w:b/>
                <w:szCs w:val="21"/>
              </w:rPr>
              <w:t>保护</w:t>
            </w:r>
          </w:p>
          <w:p>
            <w:pPr>
              <w:keepNext w:val="0"/>
              <w:keepLines w:val="0"/>
              <w:suppressLineNumbers w:val="0"/>
              <w:adjustRightInd w:val="0"/>
              <w:snapToGrid w:val="0"/>
              <w:spacing w:before="0" w:beforeAutospacing="0" w:after="0" w:afterAutospacing="0"/>
              <w:ind w:left="0" w:right="0"/>
              <w:jc w:val="center"/>
              <w:rPr>
                <w:b/>
                <w:szCs w:val="21"/>
              </w:rPr>
            </w:pPr>
            <w:r>
              <w:rPr>
                <w:rFonts w:hint="eastAsia"/>
                <w:b/>
                <w:szCs w:val="21"/>
              </w:rPr>
              <w:t>内容</w:t>
            </w:r>
          </w:p>
        </w:tc>
        <w:tc>
          <w:tcPr>
            <w:tcW w:w="850" w:type="dxa"/>
            <w:vMerge w:val="restart"/>
            <w:tcBorders>
              <w:top w:val="single" w:color="auto" w:sz="12" w:space="0"/>
            </w:tcBorders>
            <w:noWrap w:val="0"/>
            <w:vAlign w:val="center"/>
          </w:tcPr>
          <w:p>
            <w:pPr>
              <w:keepNext w:val="0"/>
              <w:keepLines w:val="0"/>
              <w:suppressLineNumbers w:val="0"/>
              <w:adjustRightInd w:val="0"/>
              <w:snapToGrid w:val="0"/>
              <w:spacing w:before="0" w:beforeAutospacing="0" w:after="0" w:afterAutospacing="0"/>
              <w:ind w:left="0" w:right="0"/>
              <w:jc w:val="center"/>
              <w:rPr>
                <w:b/>
                <w:szCs w:val="21"/>
              </w:rPr>
            </w:pPr>
            <w:r>
              <w:rPr>
                <w:rFonts w:hint="eastAsia"/>
                <w:b/>
                <w:szCs w:val="21"/>
              </w:rPr>
              <w:t>环境功能区</w:t>
            </w:r>
          </w:p>
        </w:tc>
        <w:tc>
          <w:tcPr>
            <w:tcW w:w="709" w:type="dxa"/>
            <w:vMerge w:val="restart"/>
            <w:tcBorders>
              <w:top w:val="single" w:color="auto" w:sz="12"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b/>
                <w:szCs w:val="21"/>
              </w:rPr>
            </w:pPr>
            <w:r>
              <w:rPr>
                <w:rFonts w:hint="eastAsia"/>
                <w:b/>
                <w:szCs w:val="21"/>
              </w:rPr>
              <w:t>相对</w:t>
            </w:r>
            <w:r>
              <w:rPr>
                <w:b/>
                <w:szCs w:val="21"/>
              </w:rPr>
              <w:t>厂界</w:t>
            </w:r>
            <w:r>
              <w:rPr>
                <w:rFonts w:hint="eastAsia"/>
                <w:b/>
                <w:szCs w:val="21"/>
              </w:rPr>
              <w:t>方位</w:t>
            </w:r>
          </w:p>
        </w:tc>
        <w:tc>
          <w:tcPr>
            <w:tcW w:w="709" w:type="dxa"/>
            <w:vMerge w:val="restart"/>
            <w:tcBorders>
              <w:top w:val="single" w:color="auto" w:sz="12"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b/>
                <w:szCs w:val="21"/>
              </w:rPr>
            </w:pPr>
            <w:r>
              <w:rPr>
                <w:rFonts w:hint="eastAsia"/>
                <w:b/>
                <w:szCs w:val="21"/>
              </w:rPr>
              <w:t>相对</w:t>
            </w:r>
            <w:r>
              <w:rPr>
                <w:b/>
                <w:szCs w:val="21"/>
              </w:rPr>
              <w:t>厂界距离（m）</w:t>
            </w:r>
          </w:p>
        </w:tc>
        <w:tc>
          <w:tcPr>
            <w:tcW w:w="893" w:type="dxa"/>
            <w:vMerge w:val="restart"/>
            <w:tcBorders>
              <w:top w:val="single" w:color="auto" w:sz="12" w:space="0"/>
              <w:left w:val="single" w:color="auto" w:sz="4"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b/>
                <w:szCs w:val="21"/>
              </w:rPr>
            </w:pPr>
            <w:r>
              <w:rPr>
                <w:rFonts w:hint="eastAsia"/>
                <w:b/>
                <w:szCs w:val="21"/>
              </w:rPr>
              <w:t>相对</w:t>
            </w:r>
            <w:r>
              <w:rPr>
                <w:b/>
                <w:szCs w:val="21"/>
              </w:rPr>
              <w:t>1#生产车间距离（m）</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616" w:hRule="atLeast"/>
          <w:jc w:val="center"/>
        </w:trPr>
        <w:tc>
          <w:tcPr>
            <w:tcW w:w="767" w:type="dxa"/>
            <w:vMerge w:val="continue"/>
            <w:tcBorders>
              <w:bottom w:val="single" w:color="auto" w:sz="6" w:space="0"/>
            </w:tcBorders>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b/>
                <w:szCs w:val="21"/>
              </w:rPr>
            </w:pPr>
          </w:p>
        </w:tc>
        <w:tc>
          <w:tcPr>
            <w:tcW w:w="1176" w:type="dxa"/>
            <w:vMerge w:val="continue"/>
            <w:tcBorders>
              <w:bottom w:val="single" w:color="auto" w:sz="6" w:space="0"/>
            </w:tcBorders>
            <w:noWrap w:val="0"/>
            <w:vAlign w:val="center"/>
          </w:tcPr>
          <w:p>
            <w:pPr>
              <w:keepNext w:val="0"/>
              <w:keepLines w:val="0"/>
              <w:suppressLineNumbers w:val="0"/>
              <w:autoSpaceDE w:val="0"/>
              <w:autoSpaceDN w:val="0"/>
              <w:adjustRightInd w:val="0"/>
              <w:snapToGrid w:val="0"/>
              <w:spacing w:before="0" w:beforeAutospacing="0" w:after="0" w:afterAutospacing="0"/>
              <w:ind w:left="0" w:right="0"/>
              <w:jc w:val="center"/>
              <w:rPr>
                <w:b/>
                <w:szCs w:val="21"/>
              </w:rPr>
            </w:pPr>
          </w:p>
        </w:tc>
        <w:tc>
          <w:tcPr>
            <w:tcW w:w="803" w:type="dxa"/>
            <w:tcBorders>
              <w:top w:val="single" w:color="auto" w:sz="4"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b/>
                <w:szCs w:val="21"/>
              </w:rPr>
            </w:pPr>
            <w:r>
              <w:rPr>
                <w:rFonts w:hint="eastAsia"/>
                <w:b/>
                <w:szCs w:val="21"/>
              </w:rPr>
              <w:t>X</w:t>
            </w:r>
          </w:p>
        </w:tc>
        <w:tc>
          <w:tcPr>
            <w:tcW w:w="758" w:type="dxa"/>
            <w:tcBorders>
              <w:top w:val="single" w:color="auto" w:sz="4"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b/>
                <w:szCs w:val="21"/>
              </w:rPr>
            </w:pPr>
            <w:r>
              <w:rPr>
                <w:rFonts w:hint="eastAsia"/>
                <w:b/>
                <w:szCs w:val="21"/>
              </w:rPr>
              <w:t>Y</w:t>
            </w:r>
          </w:p>
        </w:tc>
        <w:tc>
          <w:tcPr>
            <w:tcW w:w="848" w:type="dxa"/>
            <w:vMerge w:val="continue"/>
            <w:tcBorders>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b/>
                <w:szCs w:val="21"/>
              </w:rPr>
            </w:pPr>
          </w:p>
        </w:tc>
        <w:tc>
          <w:tcPr>
            <w:tcW w:w="1278" w:type="dxa"/>
            <w:vMerge w:val="continue"/>
            <w:tcBorders>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b/>
                <w:szCs w:val="21"/>
              </w:rPr>
            </w:pPr>
          </w:p>
        </w:tc>
        <w:tc>
          <w:tcPr>
            <w:tcW w:w="850" w:type="dxa"/>
            <w:vMerge w:val="continue"/>
            <w:tcBorders>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b/>
                <w:szCs w:val="21"/>
              </w:rPr>
            </w:pPr>
          </w:p>
        </w:tc>
        <w:tc>
          <w:tcPr>
            <w:tcW w:w="709" w:type="dxa"/>
            <w:vMerge w:val="continue"/>
            <w:tcBorders>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b/>
                <w:szCs w:val="21"/>
              </w:rPr>
            </w:pPr>
          </w:p>
        </w:tc>
        <w:tc>
          <w:tcPr>
            <w:tcW w:w="709" w:type="dxa"/>
            <w:vMerge w:val="continue"/>
            <w:tcBorders>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b/>
                <w:szCs w:val="21"/>
              </w:rPr>
            </w:pPr>
          </w:p>
        </w:tc>
        <w:tc>
          <w:tcPr>
            <w:tcW w:w="893" w:type="dxa"/>
            <w:vMerge w:val="continue"/>
            <w:tcBorders>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b/>
                <w:szCs w:val="21"/>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restart"/>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环境空气</w:t>
            </w: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创维云尚国际</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461</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100</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居住区</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人群/1200人</w:t>
            </w:r>
          </w:p>
        </w:tc>
        <w:tc>
          <w:tcPr>
            <w:tcW w:w="850" w:type="dxa"/>
            <w:vMerge w:val="restart"/>
            <w:tcBorders>
              <w:top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二类区</w:t>
            </w: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东南</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szCs w:val="21"/>
              </w:rPr>
            </w:pPr>
            <w:r>
              <w:rPr>
                <w:rFonts w:hint="eastAsia" w:eastAsia="宋体"/>
                <w:szCs w:val="21"/>
              </w:rPr>
              <w:t>506</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szCs w:val="21"/>
              </w:rPr>
            </w:pPr>
            <w:r>
              <w:rPr>
                <w:rFonts w:hint="eastAsia" w:eastAsia="宋体"/>
                <w:szCs w:val="21"/>
              </w:rPr>
              <w:t>506</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continue"/>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新世界凯旋城</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866</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0</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居住区</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人群/1000人</w:t>
            </w:r>
          </w:p>
        </w:tc>
        <w:tc>
          <w:tcPr>
            <w:tcW w:w="850"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东</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szCs w:val="21"/>
              </w:rPr>
            </w:pPr>
            <w:r>
              <w:rPr>
                <w:rFonts w:hint="eastAsia" w:eastAsia="宋体"/>
                <w:szCs w:val="21"/>
              </w:rPr>
              <w:t>866</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szCs w:val="21"/>
              </w:rPr>
            </w:pPr>
            <w:r>
              <w:rPr>
                <w:rFonts w:hint="eastAsia" w:eastAsia="宋体"/>
                <w:szCs w:val="21"/>
              </w:rPr>
              <w:t>866</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continue"/>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香槟国际</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630</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szCs w:val="21"/>
              </w:rPr>
              <w:t>-</w:t>
            </w:r>
            <w:r>
              <w:rPr>
                <w:rFonts w:hint="eastAsia" w:eastAsia="宋体"/>
                <w:szCs w:val="21"/>
              </w:rPr>
              <w:t>300</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居住区</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人群/450人</w:t>
            </w:r>
          </w:p>
        </w:tc>
        <w:tc>
          <w:tcPr>
            <w:tcW w:w="850"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东南</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szCs w:val="21"/>
              </w:rPr>
            </w:pPr>
            <w:r>
              <w:rPr>
                <w:rFonts w:hint="eastAsia" w:eastAsia="宋体"/>
                <w:szCs w:val="21"/>
              </w:rPr>
              <w:t>757</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szCs w:val="21"/>
              </w:rPr>
            </w:pPr>
            <w:r>
              <w:rPr>
                <w:rFonts w:hint="eastAsia" w:eastAsia="宋体"/>
                <w:szCs w:val="21"/>
              </w:rPr>
              <w:t>757</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continue"/>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小区1（8#安置房）</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0</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614</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居住区</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人群/25人</w:t>
            </w:r>
          </w:p>
        </w:tc>
        <w:tc>
          <w:tcPr>
            <w:tcW w:w="850"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北</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614</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614</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continue"/>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宜春市经都学校</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1014</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0</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学校</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人群/2000人</w:t>
            </w:r>
          </w:p>
        </w:tc>
        <w:tc>
          <w:tcPr>
            <w:tcW w:w="850"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东</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1014</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1014</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continue"/>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金园街道上雷桥新村（2#安置房）</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szCs w:val="21"/>
              </w:rPr>
              <w:t>-</w:t>
            </w:r>
            <w:r>
              <w:rPr>
                <w:rFonts w:hint="eastAsia" w:eastAsia="宋体"/>
                <w:szCs w:val="21"/>
              </w:rPr>
              <w:t>210</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0</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居住区</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人群/86人</w:t>
            </w:r>
          </w:p>
        </w:tc>
        <w:tc>
          <w:tcPr>
            <w:tcW w:w="850"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西</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210</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210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restart"/>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声环境</w:t>
            </w: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厂界四周1m</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850" w:type="dxa"/>
            <w:tcBorders>
              <w:top w:val="single" w:color="auto" w:sz="6" w:space="0"/>
              <w:bottom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3类区</w:t>
            </w: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continue"/>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金园街道上雷桥新村（2#安置房）</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szCs w:val="21"/>
              </w:rPr>
              <w:t>-</w:t>
            </w:r>
            <w:r>
              <w:rPr>
                <w:rFonts w:hint="eastAsia" w:eastAsia="宋体"/>
                <w:szCs w:val="21"/>
              </w:rPr>
              <w:t>210</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0</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居住区</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人群/86人</w:t>
            </w:r>
          </w:p>
        </w:tc>
        <w:tc>
          <w:tcPr>
            <w:tcW w:w="850" w:type="dxa"/>
            <w:tcBorders>
              <w:top w:val="single" w:color="auto" w:sz="4"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2类区</w:t>
            </w: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西</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210</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rFonts w:eastAsia="宋体"/>
                <w:szCs w:val="21"/>
              </w:rPr>
            </w:pPr>
            <w:r>
              <w:rPr>
                <w:rFonts w:hint="eastAsia" w:eastAsia="宋体"/>
                <w:szCs w:val="21"/>
              </w:rPr>
              <w:t>210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restart"/>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eastAsia="宋体"/>
                <w:szCs w:val="21"/>
              </w:rPr>
              <w:t>地表</w:t>
            </w:r>
            <w:r>
              <w:rPr>
                <w:szCs w:val="21"/>
              </w:rPr>
              <w:t>水环境</w:t>
            </w:r>
          </w:p>
        </w:tc>
        <w:tc>
          <w:tcPr>
            <w:tcW w:w="1176"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袁河</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850" w:type="dxa"/>
            <w:vMerge w:val="restart"/>
            <w:tcBorders>
              <w:top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ascii="宋体" w:hAnsi="宋体"/>
                <w:szCs w:val="21"/>
              </w:rPr>
              <w:t>Ⅲ</w:t>
            </w:r>
            <w:r>
              <w:rPr>
                <w:rFonts w:hint="eastAsia"/>
                <w:szCs w:val="21"/>
              </w:rPr>
              <w:t>类</w:t>
            </w: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SE</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6725</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cantSplit/>
          <w:trHeight w:val="340" w:hRule="atLeast"/>
          <w:jc w:val="center"/>
        </w:trPr>
        <w:tc>
          <w:tcPr>
            <w:tcW w:w="767" w:type="dxa"/>
            <w:vMerge w:val="continue"/>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1176" w:type="dxa"/>
            <w:tcBorders>
              <w:top w:val="single" w:color="auto" w:sz="6" w:space="0"/>
              <w:bottom w:val="single" w:color="auto" w:sz="6" w:space="0"/>
            </w:tcBorders>
            <w:noWrap w:val="0"/>
            <w:vAlign w:val="center"/>
          </w:tcPr>
          <w:p>
            <w:pPr>
              <w:pStyle w:val="327"/>
              <w:keepNext w:val="0"/>
              <w:keepLines w:val="0"/>
              <w:widowControl/>
              <w:suppressLineNumbers w:val="0"/>
              <w:spacing w:before="0" w:beforeAutospacing="0" w:after="0" w:afterAutospacing="0"/>
              <w:ind w:left="0" w:right="0"/>
              <w:rPr>
                <w:kern w:val="2"/>
                <w:szCs w:val="21"/>
              </w:rPr>
            </w:pPr>
            <w:r>
              <w:rPr>
                <w:kern w:val="2"/>
                <w:szCs w:val="21"/>
              </w:rPr>
              <w:t>渥江</w:t>
            </w:r>
          </w:p>
        </w:tc>
        <w:tc>
          <w:tcPr>
            <w:tcW w:w="803"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75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84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1278"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w:t>
            </w:r>
          </w:p>
        </w:tc>
        <w:tc>
          <w:tcPr>
            <w:tcW w:w="850"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szCs w:val="21"/>
              </w:rPr>
            </w:pPr>
          </w:p>
        </w:tc>
        <w:tc>
          <w:tcPr>
            <w:tcW w:w="709" w:type="dxa"/>
            <w:tcBorders>
              <w:top w:val="single" w:color="auto" w:sz="6" w:space="0"/>
              <w:bottom w:val="single" w:color="auto" w:sz="6"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rFonts w:hint="eastAsia"/>
                <w:szCs w:val="21"/>
              </w:rPr>
              <w:t>NE</w:t>
            </w:r>
          </w:p>
        </w:tc>
        <w:tc>
          <w:tcPr>
            <w:tcW w:w="709" w:type="dxa"/>
            <w:tcBorders>
              <w:top w:val="single" w:color="auto" w:sz="6" w:space="0"/>
              <w:bottom w:val="single" w:color="auto" w:sz="6" w:space="0"/>
              <w:right w:val="single" w:color="auto" w:sz="4" w:space="0"/>
            </w:tcBorders>
            <w:noWrap w:val="0"/>
            <w:vAlign w:val="center"/>
          </w:tcPr>
          <w:p>
            <w:pPr>
              <w:keepNext w:val="0"/>
              <w:keepLines w:val="0"/>
              <w:suppressLineNumbers w:val="0"/>
              <w:adjustRightInd w:val="0"/>
              <w:snapToGrid w:val="0"/>
              <w:spacing w:before="0" w:beforeAutospacing="0" w:after="0" w:afterAutospacing="0"/>
              <w:ind w:left="0" w:right="0"/>
              <w:jc w:val="center"/>
              <w:rPr>
                <w:szCs w:val="21"/>
              </w:rPr>
            </w:pPr>
            <w:r>
              <w:rPr>
                <w:szCs w:val="21"/>
              </w:rPr>
              <w:t>2500</w:t>
            </w:r>
          </w:p>
        </w:tc>
        <w:tc>
          <w:tcPr>
            <w:tcW w:w="893" w:type="dxa"/>
            <w:tcBorders>
              <w:top w:val="single" w:color="auto" w:sz="6" w:space="0"/>
              <w:left w:val="single" w:color="auto" w:sz="4" w:space="0"/>
              <w:bottom w:val="single" w:color="auto" w:sz="6" w:space="0"/>
              <w:right w:val="nil"/>
            </w:tcBorders>
            <w:noWrap w:val="0"/>
            <w:vAlign w:val="center"/>
          </w:tcPr>
          <w:p>
            <w:pPr>
              <w:keepNext w:val="0"/>
              <w:keepLines w:val="0"/>
              <w:suppressLineNumbers w:val="0"/>
              <w:snapToGrid w:val="0"/>
              <w:spacing w:before="0" w:beforeAutospacing="0" w:after="0" w:afterAutospacing="0"/>
              <w:ind w:left="0" w:right="0"/>
              <w:jc w:val="center"/>
              <w:rPr>
                <w:szCs w:val="21"/>
              </w:rPr>
            </w:pPr>
            <w:r>
              <w:rPr>
                <w:w w:val="80"/>
                <w:kern w:val="21"/>
                <w:szCs w:val="21"/>
              </w:rPr>
              <w:t>/</w:t>
            </w:r>
          </w:p>
        </w:tc>
      </w:tr>
    </w:tbl>
    <w:p>
      <w:pPr>
        <w:bidi w:val="0"/>
        <w:rPr>
          <w:rFonts w:hint="default" w:ascii="Times New Roman" w:hAnsi="Times New Roman" w:cs="Times New Roman"/>
          <w:lang w:val="en-US" w:eastAsia="zh-CN"/>
        </w:rPr>
      </w:pPr>
    </w:p>
    <w:p>
      <w:pPr>
        <w:pStyle w:val="5"/>
        <w:bidi w:val="0"/>
        <w:rPr>
          <w:rFonts w:hint="default"/>
          <w:lang w:val="en-US" w:eastAsia="zh-CN"/>
        </w:rPr>
      </w:pPr>
      <w:bookmarkStart w:id="215" w:name="_Toc22390"/>
      <w:r>
        <w:rPr>
          <w:rFonts w:hint="default"/>
          <w:lang w:val="en-US" w:eastAsia="zh-CN"/>
        </w:rPr>
        <w:t>2.</w:t>
      </w:r>
      <w:r>
        <w:rPr>
          <w:rFonts w:hint="eastAsia"/>
          <w:lang w:val="en-US" w:eastAsia="zh-CN"/>
        </w:rPr>
        <w:t>4</w:t>
      </w:r>
      <w:r>
        <w:rPr>
          <w:rFonts w:hint="default"/>
          <w:lang w:val="en-US" w:eastAsia="zh-CN"/>
        </w:rPr>
        <w:t xml:space="preserve"> 生产工艺</w:t>
      </w:r>
      <w:bookmarkEnd w:id="215"/>
    </w:p>
    <w:p>
      <w:pPr>
        <w:bidi w:val="0"/>
        <w:jc w:val="center"/>
        <w:rPr>
          <w:rFonts w:hint="default" w:ascii="Times New Roman" w:hAnsi="Times New Roman" w:cs="Times New Roman"/>
          <w:color w:val="auto"/>
          <w:sz w:val="24"/>
          <w:szCs w:val="24"/>
          <w:lang w:val="en-US" w:eastAsia="zh-CN"/>
        </w:rPr>
      </w:pPr>
      <w:r>
        <w:rPr>
          <w:lang w:val="en-US" w:eastAsia="zh-CN"/>
        </w:rPr>
        <w:object>
          <v:shape id="_x0000_i1025" o:spt="75" type="#_x0000_t75" style="height:112.35pt;width:419.1pt;" o:ole="t" filled="f" o:preferrelative="t" stroked="f" coordsize="21600,21600">
            <v:path/>
            <v:fill on="f" alignshape="1" focussize="0,0"/>
            <v:stroke on="f"/>
            <v:imagedata r:id="rId19" grayscale="f" bilevel="f" o:title=""/>
            <o:lock v:ext="edit" aspectratio="t"/>
            <w10:wrap type="none"/>
            <w10:anchorlock/>
          </v:shape>
          <o:OLEObject Type="Embed" ProgID="Visio.Drawing.11" ShapeID="_x0000_i1025" DrawAspect="Content" ObjectID="_1468075725" r:id="rId18">
            <o:LockedField>false</o:LockedField>
          </o:OLEObject>
        </w:object>
      </w:r>
    </w:p>
    <w:p>
      <w:pPr>
        <w:keepNext w:val="0"/>
        <w:keepLines w:val="0"/>
        <w:widowControl/>
        <w:suppressLineNumbers w:val="0"/>
        <w:jc w:val="center"/>
        <w:rPr>
          <w:rFonts w:hint="eastAsia" w:ascii="Times New Roman" w:hAnsi="Times New Roman" w:eastAsia="宋体" w:cs="Times New Roman"/>
          <w:b/>
          <w:sz w:val="24"/>
          <w:lang w:eastAsia="zh-CN"/>
        </w:rPr>
      </w:pPr>
      <w:r>
        <w:rPr>
          <w:rFonts w:hint="default" w:ascii="Times New Roman" w:hAnsi="Times New Roman" w:eastAsia="宋体" w:cs="Times New Roman"/>
          <w:b/>
          <w:sz w:val="24"/>
        </w:rPr>
        <w:t>图 2.</w:t>
      </w:r>
      <w:r>
        <w:rPr>
          <w:rFonts w:hint="eastAsia" w:ascii="Times New Roman" w:hAnsi="Times New Roman" w:cs="Times New Roman"/>
          <w:b/>
          <w:sz w:val="24"/>
          <w:lang w:val="en-US" w:eastAsia="zh-CN"/>
        </w:rPr>
        <w:t>4</w:t>
      </w:r>
      <w:r>
        <w:rPr>
          <w:rFonts w:hint="default" w:ascii="Times New Roman" w:hAnsi="Times New Roman" w:eastAsia="宋体" w:cs="Times New Roman"/>
          <w:b/>
          <w:sz w:val="24"/>
        </w:rPr>
        <w:t>-</w:t>
      </w:r>
      <w:r>
        <w:rPr>
          <w:rFonts w:hint="eastAsia" w:ascii="Times New Roman" w:hAnsi="Times New Roman" w:cs="Times New Roman"/>
          <w:b/>
          <w:sz w:val="24"/>
          <w:lang w:val="en-US" w:eastAsia="zh-CN"/>
        </w:rPr>
        <w:t xml:space="preserve">1 </w:t>
      </w:r>
      <w:r>
        <w:rPr>
          <w:rFonts w:hint="eastAsia" w:ascii="Times New Roman" w:hAnsi="Times New Roman" w:cs="Times New Roman"/>
          <w:b/>
          <w:sz w:val="24"/>
          <w:lang w:eastAsia="zh-CN"/>
        </w:rPr>
        <w:t>工艺流程及产污环节图</w:t>
      </w:r>
    </w:p>
    <w:p>
      <w:pPr>
        <w:pStyle w:val="2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afterAutospacing="0"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工艺说明如下：</w:t>
      </w:r>
    </w:p>
    <w:p>
      <w:pPr>
        <w:adjustRightInd w:val="0"/>
        <w:snapToGrid w:val="0"/>
        <w:spacing w:line="360" w:lineRule="auto"/>
        <w:ind w:firstLine="480" w:firstLineChars="200"/>
        <w:rPr>
          <w:rFonts w:hint="eastAsia" w:hAnsi="宋体"/>
          <w:sz w:val="24"/>
        </w:rPr>
      </w:pPr>
      <w:r>
        <w:rPr>
          <w:rFonts w:hint="eastAsia" w:hAnsi="宋体"/>
          <w:sz w:val="24"/>
        </w:rPr>
        <w:t>（1）检测</w:t>
      </w:r>
      <w:r>
        <w:rPr>
          <w:rFonts w:hAnsi="宋体"/>
          <w:sz w:val="24"/>
        </w:rPr>
        <w:t>：</w:t>
      </w:r>
      <w:r>
        <w:rPr>
          <w:rFonts w:hint="eastAsia" w:hAnsi="宋体"/>
          <w:sz w:val="24"/>
        </w:rPr>
        <w:t>采用寿命仪、万用表、氧硅仪等测试设备检测外购硅</w:t>
      </w:r>
      <w:r>
        <w:rPr>
          <w:rFonts w:hAnsi="宋体"/>
          <w:sz w:val="24"/>
        </w:rPr>
        <w:t>件</w:t>
      </w:r>
      <w:r>
        <w:rPr>
          <w:rFonts w:hint="eastAsia" w:hAnsi="宋体"/>
          <w:sz w:val="24"/>
        </w:rPr>
        <w:t>规定是否合格，其中寿命仪、万用表、氧硅仪分别检测电频率、电阻率和氧硅含量。</w:t>
      </w:r>
    </w:p>
    <w:p>
      <w:pPr>
        <w:adjustRightInd w:val="0"/>
        <w:snapToGrid w:val="0"/>
        <w:spacing w:line="360" w:lineRule="auto"/>
        <w:ind w:firstLine="480" w:firstLineChars="200"/>
        <w:rPr>
          <w:rFonts w:hAnsi="宋体"/>
          <w:sz w:val="24"/>
        </w:rPr>
      </w:pPr>
      <w:r>
        <w:rPr>
          <w:rFonts w:hint="eastAsia" w:hAnsi="宋体"/>
          <w:sz w:val="24"/>
        </w:rPr>
        <w:t>检测工序主要产生不合格废料（S</w:t>
      </w:r>
      <w:r>
        <w:rPr>
          <w:rFonts w:hAnsi="宋体"/>
          <w:sz w:val="24"/>
        </w:rPr>
        <w:t>1</w:t>
      </w:r>
      <w:r>
        <w:rPr>
          <w:rFonts w:hint="eastAsia" w:hAnsi="宋体"/>
          <w:sz w:val="24"/>
        </w:rPr>
        <w:t>）。</w:t>
      </w:r>
    </w:p>
    <w:p>
      <w:pPr>
        <w:adjustRightInd w:val="0"/>
        <w:snapToGrid w:val="0"/>
        <w:spacing w:line="360" w:lineRule="auto"/>
        <w:ind w:firstLine="480" w:firstLineChars="200"/>
        <w:rPr>
          <w:rFonts w:hAnsi="宋体"/>
          <w:sz w:val="24"/>
        </w:rPr>
      </w:pPr>
      <w:r>
        <w:rPr>
          <w:rFonts w:hint="eastAsia" w:hAnsi="宋体"/>
          <w:sz w:val="24"/>
        </w:rPr>
        <w:t>（2）粘棒：为切片的前道工序，在原料表面涂上黏合剂，粘到玻璃板上，组成一个“模板”，以便于下到切片工序。黏合剂采用环氧酯A胶+B胶，使用前将两种胶水按1:1混合配置，AB胶系无溶剂型胶黏剂，A胶为环氧树脂胶，B胶为硬化剂，使用过程无需加热，粘棒过</w:t>
      </w:r>
      <w:r>
        <w:rPr>
          <w:rFonts w:hint="eastAsia" w:ascii="宋体" w:hAnsi="宋体" w:eastAsia="宋体"/>
          <w:sz w:val="24"/>
        </w:rPr>
        <w:t>程中产生少量</w:t>
      </w:r>
      <w:r>
        <w:rPr>
          <w:rFonts w:hint="eastAsia" w:ascii="宋体" w:hAnsi="宋体" w:eastAsia="宋体"/>
          <w:kern w:val="18"/>
          <w:sz w:val="24"/>
        </w:rPr>
        <w:t>非甲烷总烃</w:t>
      </w:r>
      <w:r>
        <w:rPr>
          <w:rFonts w:hint="eastAsia" w:ascii="宋体" w:hAnsi="宋体" w:eastAsia="宋体"/>
          <w:sz w:val="24"/>
        </w:rPr>
        <w:t>废</w:t>
      </w:r>
      <w:r>
        <w:rPr>
          <w:rFonts w:hint="eastAsia" w:hAnsi="宋体"/>
          <w:sz w:val="24"/>
        </w:rPr>
        <w:t>气。</w:t>
      </w:r>
    </w:p>
    <w:p>
      <w:pPr>
        <w:adjustRightInd w:val="0"/>
        <w:snapToGrid w:val="0"/>
        <w:spacing w:line="360" w:lineRule="auto"/>
        <w:ind w:firstLine="480" w:firstLineChars="200"/>
        <w:rPr>
          <w:rFonts w:hint="eastAsia" w:hAnsi="宋体"/>
          <w:sz w:val="24"/>
        </w:rPr>
      </w:pPr>
      <w:r>
        <w:rPr>
          <w:rFonts w:hint="eastAsia" w:hAnsi="宋体"/>
          <w:sz w:val="24"/>
        </w:rPr>
        <w:t>（3）切片</w:t>
      </w:r>
      <w:r>
        <w:rPr>
          <w:rFonts w:hAnsi="宋体"/>
          <w:sz w:val="24"/>
        </w:rPr>
        <w:t>：</w:t>
      </w:r>
      <w:r>
        <w:rPr>
          <w:rFonts w:hint="eastAsia" w:hAnsi="宋体"/>
          <w:sz w:val="24"/>
        </w:rPr>
        <w:t>在全自动电脑控制金刚线切片机上将的硅棒和硅锭切割成规格为156mm×156mm×0.2mm的硅片。切片过程中需用稀释后的冷却液起润滑和冷却作用。切割液经过滤装置去除大颗粒后通过循环泵循环回用，每隔8小时更换一次。切片后需在清洗槽内进行清洗，去除表面粘附的切割液。</w:t>
      </w:r>
    </w:p>
    <w:p>
      <w:pPr>
        <w:adjustRightInd w:val="0"/>
        <w:snapToGrid w:val="0"/>
        <w:spacing w:line="360" w:lineRule="auto"/>
        <w:ind w:firstLine="480" w:firstLineChars="200"/>
        <w:rPr>
          <w:rFonts w:hint="eastAsia" w:hAnsi="宋体"/>
          <w:sz w:val="24"/>
        </w:rPr>
      </w:pPr>
      <w:r>
        <w:rPr>
          <w:rFonts w:hint="eastAsia" w:hAnsi="宋体"/>
          <w:sz w:val="24"/>
        </w:rPr>
        <w:t>切片工序产生切割废水（</w:t>
      </w:r>
      <w:r>
        <w:rPr>
          <w:rFonts w:hAnsi="宋体"/>
          <w:sz w:val="24"/>
        </w:rPr>
        <w:t>W1</w:t>
      </w:r>
      <w:r>
        <w:rPr>
          <w:rFonts w:hint="eastAsia" w:hAnsi="宋体"/>
          <w:sz w:val="24"/>
        </w:rPr>
        <w:t>），废硅屑（S</w:t>
      </w:r>
      <w:r>
        <w:rPr>
          <w:rFonts w:hAnsi="宋体"/>
          <w:sz w:val="24"/>
        </w:rPr>
        <w:t>2</w:t>
      </w:r>
      <w:r>
        <w:rPr>
          <w:rFonts w:hint="eastAsia" w:hAnsi="宋体"/>
          <w:sz w:val="24"/>
        </w:rPr>
        <w:t>），废</w:t>
      </w:r>
      <w:r>
        <w:rPr>
          <w:rFonts w:hAnsi="宋体"/>
          <w:sz w:val="24"/>
        </w:rPr>
        <w:t>金刚线（</w:t>
      </w:r>
      <w:r>
        <w:rPr>
          <w:rFonts w:hint="eastAsia" w:hAnsi="宋体"/>
          <w:sz w:val="24"/>
        </w:rPr>
        <w:t>S</w:t>
      </w:r>
      <w:r>
        <w:rPr>
          <w:rFonts w:hAnsi="宋体"/>
          <w:sz w:val="24"/>
        </w:rPr>
        <w:t>3）</w:t>
      </w:r>
      <w:r>
        <w:rPr>
          <w:rFonts w:hint="eastAsia" w:hAnsi="宋体"/>
          <w:sz w:val="24"/>
        </w:rPr>
        <w:t>。</w:t>
      </w:r>
    </w:p>
    <w:p>
      <w:pPr>
        <w:adjustRightInd w:val="0"/>
        <w:snapToGrid w:val="0"/>
        <w:spacing w:line="360" w:lineRule="auto"/>
        <w:ind w:firstLine="480" w:firstLineChars="200"/>
        <w:rPr>
          <w:rFonts w:hAnsi="宋体"/>
          <w:sz w:val="24"/>
        </w:rPr>
      </w:pPr>
      <w:r>
        <w:rPr>
          <w:rFonts w:hint="eastAsia" w:hAnsi="宋体"/>
          <w:sz w:val="24"/>
        </w:rPr>
        <w:t>（4）在脱胶前先冲洗硅片产生冲洗废水（W</w:t>
      </w:r>
      <w:r>
        <w:rPr>
          <w:rFonts w:hAnsi="宋体"/>
          <w:sz w:val="24"/>
        </w:rPr>
        <w:t>2</w:t>
      </w:r>
      <w:r>
        <w:rPr>
          <w:rFonts w:hint="eastAsia" w:hAnsi="宋体"/>
          <w:sz w:val="24"/>
        </w:rPr>
        <w:t>）。</w:t>
      </w:r>
    </w:p>
    <w:p>
      <w:pPr>
        <w:adjustRightInd w:val="0"/>
        <w:snapToGrid w:val="0"/>
        <w:spacing w:line="360" w:lineRule="auto"/>
        <w:ind w:firstLine="480" w:firstLineChars="200"/>
        <w:rPr>
          <w:rFonts w:hint="eastAsia" w:hAnsi="宋体"/>
          <w:sz w:val="24"/>
        </w:rPr>
      </w:pPr>
      <w:r>
        <w:rPr>
          <w:rFonts w:hint="eastAsia" w:hAnsi="宋体"/>
          <w:sz w:val="24"/>
        </w:rPr>
        <w:t>（</w:t>
      </w:r>
      <w:r>
        <w:rPr>
          <w:rFonts w:hAnsi="宋体"/>
          <w:sz w:val="24"/>
        </w:rPr>
        <w:t>5</w:t>
      </w:r>
      <w:r>
        <w:rPr>
          <w:rFonts w:hint="eastAsia" w:hAnsi="宋体"/>
          <w:sz w:val="24"/>
        </w:rPr>
        <w:t>）脱胶：切片后的硅片由于黏合剂作用仍粘在模板上，需要用热水进行脱胶，具体操作为将“模板”整个浸入温度80-90℃左右的水煮机约10分钟，AB胶会热熔分离。于是，可将硅片剥离玻璃板，脱胶后玻璃板作废。</w:t>
      </w:r>
    </w:p>
    <w:p>
      <w:pPr>
        <w:adjustRightInd w:val="0"/>
        <w:snapToGrid w:val="0"/>
        <w:spacing w:line="360" w:lineRule="auto"/>
        <w:ind w:firstLine="480" w:firstLineChars="200"/>
        <w:rPr>
          <w:rFonts w:hAnsi="宋体"/>
          <w:sz w:val="24"/>
        </w:rPr>
      </w:pPr>
      <w:r>
        <w:rPr>
          <w:rFonts w:hint="eastAsia" w:hAnsi="宋体"/>
          <w:sz w:val="24"/>
        </w:rPr>
        <w:t>脱胶工序在全自动脱胶机上进行，热水采用电加热，脱胶过程产生废玻璃板（S</w:t>
      </w:r>
      <w:r>
        <w:rPr>
          <w:rFonts w:hAnsi="宋体"/>
          <w:sz w:val="24"/>
        </w:rPr>
        <w:t>4</w:t>
      </w:r>
      <w:r>
        <w:rPr>
          <w:rFonts w:hint="eastAsia" w:hAnsi="宋体"/>
          <w:sz w:val="24"/>
        </w:rPr>
        <w:t>），脱胶废水（W</w:t>
      </w:r>
      <w:r>
        <w:rPr>
          <w:rFonts w:hAnsi="宋体"/>
          <w:sz w:val="24"/>
        </w:rPr>
        <w:t>3</w:t>
      </w:r>
      <w:r>
        <w:rPr>
          <w:rFonts w:hint="eastAsia" w:hAnsi="宋体"/>
          <w:sz w:val="24"/>
        </w:rPr>
        <w:t>）。</w:t>
      </w:r>
    </w:p>
    <w:p>
      <w:pPr>
        <w:adjustRightInd w:val="0"/>
        <w:snapToGrid w:val="0"/>
        <w:spacing w:line="360" w:lineRule="auto"/>
        <w:ind w:firstLine="480" w:firstLineChars="200"/>
        <w:rPr>
          <w:rFonts w:hint="eastAsia" w:hAnsi="宋体"/>
          <w:sz w:val="24"/>
        </w:rPr>
      </w:pPr>
      <w:r>
        <w:rPr>
          <w:rFonts w:hint="eastAsia" w:hAnsi="宋体"/>
          <w:sz w:val="24"/>
        </w:rPr>
        <w:t>（</w:t>
      </w:r>
      <w:r>
        <w:rPr>
          <w:rFonts w:hAnsi="宋体"/>
          <w:sz w:val="24"/>
        </w:rPr>
        <w:t>6</w:t>
      </w:r>
      <w:r>
        <w:rPr>
          <w:rFonts w:hint="eastAsia" w:hAnsi="宋体"/>
          <w:sz w:val="24"/>
        </w:rPr>
        <w:t>）清洗、脱水：利用全自动清洗机对硅片进行多级逆流清洗，添加清洗剂氢氧化钠去除粘附在硅片表面的杂质和粘结剂，通过离心机高速旋转，去除硅片表面残留水分。</w:t>
      </w:r>
    </w:p>
    <w:p>
      <w:pPr>
        <w:adjustRightInd w:val="0"/>
        <w:snapToGrid w:val="0"/>
        <w:spacing w:line="360" w:lineRule="auto"/>
        <w:ind w:firstLine="480" w:firstLineChars="200"/>
        <w:rPr>
          <w:rFonts w:hAnsi="宋体"/>
          <w:sz w:val="24"/>
        </w:rPr>
      </w:pPr>
      <w:r>
        <w:rPr>
          <w:rFonts w:hint="eastAsia" w:hAnsi="宋体"/>
          <w:sz w:val="24"/>
        </w:rPr>
        <w:t>清洗、脱水过程产生清洗废水（W</w:t>
      </w:r>
      <w:r>
        <w:rPr>
          <w:rFonts w:hAnsi="宋体"/>
          <w:sz w:val="24"/>
        </w:rPr>
        <w:t>4</w:t>
      </w:r>
      <w:r>
        <w:rPr>
          <w:rFonts w:hint="eastAsia" w:hAnsi="宋体"/>
          <w:sz w:val="24"/>
        </w:rPr>
        <w:t>）和设备运行噪声。</w:t>
      </w:r>
    </w:p>
    <w:p>
      <w:pPr>
        <w:pStyle w:val="5"/>
        <w:numPr>
          <w:ilvl w:val="0"/>
          <w:numId w:val="2"/>
        </w:numPr>
        <w:bidi w:val="0"/>
        <w:rPr>
          <w:rFonts w:hint="eastAsia" w:ascii="Times New Roman" w:hAnsi="宋体" w:eastAsia="宋体" w:cs="Times New Roman"/>
          <w:b w:val="0"/>
          <w:bCs w:val="0"/>
          <w:kern w:val="2"/>
          <w:sz w:val="24"/>
          <w:szCs w:val="24"/>
          <w:lang w:val="en-US" w:eastAsia="zh-CN" w:bidi="ar-SA"/>
        </w:rPr>
      </w:pPr>
      <w:bookmarkStart w:id="216" w:name="_Toc30590"/>
      <w:r>
        <w:rPr>
          <w:rFonts w:hint="eastAsia" w:ascii="Times New Roman" w:hAnsi="宋体" w:eastAsia="宋体" w:cs="Times New Roman"/>
          <w:b w:val="0"/>
          <w:bCs w:val="0"/>
          <w:kern w:val="2"/>
          <w:sz w:val="24"/>
          <w:szCs w:val="24"/>
          <w:lang w:val="en-US" w:eastAsia="zh-CN" w:bidi="ar-SA"/>
        </w:rPr>
        <w:t>分选：按硅片尺寸、厚度、表面质量等指标分选硅片，合格品即包装入库。</w:t>
      </w:r>
      <w:bookmarkEnd w:id="216"/>
    </w:p>
    <w:p>
      <w:pPr>
        <w:pStyle w:val="5"/>
        <w:numPr>
          <w:ilvl w:val="0"/>
          <w:numId w:val="0"/>
        </w:numPr>
        <w:bidi w:val="0"/>
        <w:rPr>
          <w:rFonts w:hint="default"/>
          <w:lang w:val="en-US" w:eastAsia="zh-CN"/>
        </w:rPr>
      </w:pPr>
      <w:bookmarkStart w:id="217" w:name="_Toc2650"/>
      <w:r>
        <w:rPr>
          <w:rFonts w:hint="default"/>
          <w:lang w:val="en-US" w:eastAsia="zh-CN"/>
        </w:rPr>
        <w:t>2.</w:t>
      </w:r>
      <w:r>
        <w:rPr>
          <w:rFonts w:hint="eastAsia"/>
          <w:lang w:val="en-US" w:eastAsia="zh-CN"/>
        </w:rPr>
        <w:t>5</w:t>
      </w:r>
      <w:r>
        <w:rPr>
          <w:rFonts w:hint="default"/>
          <w:lang w:val="en-US" w:eastAsia="zh-CN"/>
        </w:rPr>
        <w:t xml:space="preserve"> 污染源分析</w:t>
      </w:r>
      <w:bookmarkEnd w:id="217"/>
    </w:p>
    <w:p>
      <w:pPr>
        <w:pStyle w:val="2"/>
        <w:keepNext w:val="0"/>
        <w:keepLines w:val="0"/>
        <w:pageBreakBefore w:val="0"/>
        <w:kinsoku/>
        <w:wordWrap/>
        <w:overflowPunct/>
        <w:topLinePunct w:val="0"/>
        <w:bidi w:val="0"/>
        <w:spacing w:before="0" w:beforeAutospacing="0" w:after="0" w:afterAutospacing="0" w:line="360" w:lineRule="auto"/>
        <w:ind w:left="0" w:leftChars="0" w:right="0" w:firstLine="420" w:firstLineChars="200"/>
        <w:rPr>
          <w:rFonts w:hint="default" w:ascii="Times New Roman" w:hAnsi="Times New Roman" w:eastAsia="宋体" w:cs="Times New Roman"/>
        </w:rPr>
      </w:pPr>
      <w:r>
        <w:rPr>
          <w:rFonts w:hint="default" w:ascii="Times New Roman" w:hAnsi="Times New Roman" w:eastAsia="宋体" w:cs="Times New Roman"/>
        </w:rPr>
        <w:t>本项目营运期的主要污染物</w:t>
      </w:r>
      <w:r>
        <w:rPr>
          <w:rFonts w:hint="default" w:ascii="Times New Roman" w:hAnsi="Times New Roman" w:cs="Times New Roman"/>
          <w:lang w:eastAsia="zh-CN"/>
        </w:rPr>
        <w:t>如下</w:t>
      </w:r>
      <w:r>
        <w:rPr>
          <w:rFonts w:hint="default" w:ascii="Times New Roman" w:hAnsi="Times New Roman" w:eastAsia="宋体" w:cs="Times New Roman"/>
        </w:rPr>
        <w:t>：</w:t>
      </w:r>
    </w:p>
    <w:p>
      <w:pPr>
        <w:spacing w:before="120" w:beforeLines="50"/>
        <w:jc w:val="center"/>
        <w:rPr>
          <w:rFonts w:hint="eastAsia" w:hAnsi="宋体"/>
          <w:b/>
          <w:sz w:val="24"/>
        </w:rPr>
      </w:pPr>
      <w:r>
        <w:rPr>
          <w:rFonts w:hint="eastAsia"/>
          <w:b/>
          <w:bCs/>
        </w:rPr>
        <w:t>表</w:t>
      </w:r>
      <w:r>
        <w:rPr>
          <w:rFonts w:hint="eastAsia"/>
          <w:b/>
          <w:bCs/>
          <w:lang w:val="en-US" w:eastAsia="zh-CN"/>
        </w:rPr>
        <w:t xml:space="preserve">2.5-1 </w:t>
      </w:r>
      <w:r>
        <w:rPr>
          <w:rFonts w:hint="eastAsia"/>
          <w:b/>
          <w:bCs/>
        </w:rPr>
        <w:t>主要污染工序一览表</w:t>
      </w:r>
    </w:p>
    <w:tbl>
      <w:tblPr>
        <w:tblStyle w:val="47"/>
        <w:tblW w:w="850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977"/>
        <w:gridCol w:w="55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noWrap w:val="0"/>
            <w:vAlign w:val="center"/>
          </w:tcPr>
          <w:p>
            <w:pPr>
              <w:keepNext w:val="0"/>
              <w:keepLines w:val="0"/>
              <w:suppressLineNumbers w:val="0"/>
              <w:spacing w:before="0" w:beforeAutospacing="0" w:after="0" w:afterAutospacing="0"/>
              <w:ind w:left="0" w:right="0"/>
              <w:jc w:val="center"/>
              <w:rPr>
                <w:b/>
                <w:bCs/>
                <w:kern w:val="18"/>
                <w:szCs w:val="21"/>
              </w:rPr>
            </w:pPr>
            <w:r>
              <w:rPr>
                <w:b/>
                <w:bCs/>
                <w:kern w:val="18"/>
                <w:szCs w:val="21"/>
              </w:rPr>
              <w:t>时段</w:t>
            </w:r>
          </w:p>
        </w:tc>
        <w:tc>
          <w:tcPr>
            <w:tcW w:w="1977" w:type="dxa"/>
            <w:noWrap w:val="0"/>
            <w:vAlign w:val="center"/>
          </w:tcPr>
          <w:p>
            <w:pPr>
              <w:keepNext w:val="0"/>
              <w:keepLines w:val="0"/>
              <w:suppressLineNumbers w:val="0"/>
              <w:spacing w:before="0" w:beforeAutospacing="0" w:after="0" w:afterAutospacing="0"/>
              <w:ind w:left="0" w:right="0"/>
              <w:jc w:val="center"/>
              <w:rPr>
                <w:b/>
                <w:bCs/>
                <w:kern w:val="18"/>
                <w:szCs w:val="21"/>
              </w:rPr>
            </w:pPr>
            <w:r>
              <w:rPr>
                <w:b/>
                <w:bCs/>
                <w:kern w:val="18"/>
                <w:szCs w:val="21"/>
              </w:rPr>
              <w:t>来  源</w:t>
            </w:r>
          </w:p>
        </w:tc>
        <w:tc>
          <w:tcPr>
            <w:tcW w:w="5570" w:type="dxa"/>
            <w:noWrap w:val="0"/>
            <w:vAlign w:val="center"/>
          </w:tcPr>
          <w:p>
            <w:pPr>
              <w:keepNext w:val="0"/>
              <w:keepLines w:val="0"/>
              <w:suppressLineNumbers w:val="0"/>
              <w:spacing w:before="0" w:beforeAutospacing="0" w:after="0" w:afterAutospacing="0"/>
              <w:ind w:left="0" w:right="0"/>
              <w:jc w:val="center"/>
              <w:rPr>
                <w:b/>
                <w:bCs/>
                <w:kern w:val="18"/>
                <w:szCs w:val="21"/>
              </w:rPr>
            </w:pPr>
            <w:r>
              <w:rPr>
                <w:b/>
                <w:bCs/>
                <w:kern w:val="18"/>
                <w:szCs w:val="21"/>
              </w:rPr>
              <w:t>污染物种类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restart"/>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营</w:t>
            </w:r>
          </w:p>
          <w:p>
            <w:pPr>
              <w:keepNext w:val="0"/>
              <w:keepLines w:val="0"/>
              <w:suppressLineNumbers w:val="0"/>
              <w:spacing w:before="0" w:beforeAutospacing="0" w:after="0" w:afterAutospacing="0"/>
              <w:ind w:left="0" w:right="0"/>
              <w:jc w:val="center"/>
              <w:rPr>
                <w:kern w:val="18"/>
                <w:szCs w:val="21"/>
              </w:rPr>
            </w:pPr>
            <w:r>
              <w:rPr>
                <w:kern w:val="18"/>
                <w:szCs w:val="21"/>
              </w:rPr>
              <w:t>运</w:t>
            </w:r>
          </w:p>
          <w:p>
            <w:pPr>
              <w:keepNext w:val="0"/>
              <w:keepLines w:val="0"/>
              <w:suppressLineNumbers w:val="0"/>
              <w:spacing w:before="0" w:beforeAutospacing="0" w:after="0" w:afterAutospacing="0"/>
              <w:ind w:left="0" w:right="0"/>
              <w:jc w:val="center"/>
              <w:rPr>
                <w:kern w:val="18"/>
                <w:szCs w:val="21"/>
              </w:rPr>
            </w:pPr>
            <w:r>
              <w:rPr>
                <w:kern w:val="18"/>
                <w:szCs w:val="21"/>
              </w:rPr>
              <w:t>期</w:t>
            </w: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检验</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不合格废料（S1）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粘棒</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rFonts w:hint="eastAsia" w:eastAsia="宋体"/>
                <w:kern w:val="18"/>
                <w:szCs w:val="21"/>
              </w:rPr>
              <w:t>非甲烷总烃</w:t>
            </w:r>
            <w:r>
              <w:rPr>
                <w:rFonts w:hint="eastAsia" w:ascii="宋体" w:hAnsi="宋体" w:eastAsia="宋体" w:cs="宋体"/>
                <w:kern w:val="18"/>
                <w:szCs w:val="21"/>
              </w:rPr>
              <w:t>（</w:t>
            </w:r>
            <w:r>
              <w:rPr>
                <w:kern w:val="18"/>
                <w:szCs w:val="21"/>
              </w:rPr>
              <w:t>G1</w:t>
            </w:r>
            <w:r>
              <w:rPr>
                <w:rFonts w:hint="eastAsia" w:ascii="宋体" w:hAnsi="宋体" w:eastAsia="宋体" w:cs="宋体"/>
                <w:kern w:val="18"/>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切片</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切割废水（W1），废硅屑（S2），废金刚线（S3）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冲洗</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冲洗废水（W2）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脱胶</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废玻璃板（S4），脱胶废水（W3）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清洗</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脱胶后清洗废水（W4）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纯水制备</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废树脂</w:t>
            </w:r>
            <w:r>
              <w:rPr>
                <w:rFonts w:hint="eastAsia" w:eastAsia="宋体"/>
                <w:kern w:val="18"/>
                <w:szCs w:val="21"/>
              </w:rPr>
              <w:t>板</w:t>
            </w:r>
            <w:r>
              <w:rPr>
                <w:kern w:val="18"/>
                <w:szCs w:val="21"/>
              </w:rPr>
              <w:t>（S5）、制纯水废水（W5）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材料使用</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废包装桶（冷却液、胶水等）（S6）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设备维护</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设备清洗废水（W6）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废水处理</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压滤饼（S7）、污泥（S8）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958" w:type="dxa"/>
            <w:vMerge w:val="continue"/>
            <w:noWrap w:val="0"/>
            <w:vAlign w:val="center"/>
          </w:tcPr>
          <w:p>
            <w:pPr>
              <w:keepNext w:val="0"/>
              <w:keepLines w:val="0"/>
              <w:suppressLineNumbers w:val="0"/>
              <w:spacing w:before="0" w:beforeAutospacing="0" w:after="0" w:afterAutospacing="0"/>
              <w:ind w:left="0" w:right="0"/>
              <w:jc w:val="center"/>
              <w:rPr>
                <w:kern w:val="18"/>
                <w:szCs w:val="21"/>
              </w:rPr>
            </w:pPr>
          </w:p>
        </w:tc>
        <w:tc>
          <w:tcPr>
            <w:tcW w:w="1977"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职工生活</w:t>
            </w:r>
          </w:p>
        </w:tc>
        <w:tc>
          <w:tcPr>
            <w:tcW w:w="5570" w:type="dxa"/>
            <w:noWrap w:val="0"/>
            <w:vAlign w:val="center"/>
          </w:tcPr>
          <w:p>
            <w:pPr>
              <w:keepNext w:val="0"/>
              <w:keepLines w:val="0"/>
              <w:suppressLineNumbers w:val="0"/>
              <w:spacing w:before="0" w:beforeAutospacing="0" w:after="0" w:afterAutospacing="0"/>
              <w:ind w:left="0" w:right="0"/>
              <w:jc w:val="center"/>
              <w:rPr>
                <w:kern w:val="18"/>
                <w:szCs w:val="21"/>
              </w:rPr>
            </w:pPr>
            <w:r>
              <w:rPr>
                <w:kern w:val="18"/>
                <w:szCs w:val="21"/>
              </w:rPr>
              <w:t>生活污水（W7）、生活垃圾（S9）</w:t>
            </w:r>
          </w:p>
        </w:tc>
      </w:tr>
    </w:tbl>
    <w:p>
      <w:pPr>
        <w:pStyle w:val="42"/>
        <w:keepNext w:val="0"/>
        <w:keepLines w:val="0"/>
        <w:widowControl/>
        <w:suppressLineNumbers w:val="0"/>
        <w:spacing w:before="0" w:beforeAutospacing="0" w:after="0" w:afterAutospacing="0"/>
        <w:ind w:left="0" w:right="0" w:firstLine="0" w:firstLineChars="0"/>
        <w:jc w:val="center"/>
        <w:rPr>
          <w:rFonts w:hint="eastAsia" w:ascii="Calibri" w:hAnsi="Calibri" w:eastAsia="宋体" w:cs="宋体"/>
          <w:b/>
          <w:kern w:val="2"/>
          <w:sz w:val="24"/>
          <w:szCs w:val="24"/>
          <w:lang w:val="en-US" w:eastAsia="zh-CN" w:bidi="ar"/>
        </w:rPr>
      </w:pPr>
    </w:p>
    <w:p>
      <w:pPr>
        <w:pStyle w:val="5"/>
        <w:bidi w:val="0"/>
        <w:rPr>
          <w:rFonts w:hint="eastAsia"/>
          <w:lang w:val="en-US" w:eastAsia="zh-CN"/>
        </w:rPr>
      </w:pPr>
      <w:bookmarkStart w:id="218" w:name="_Toc30041"/>
      <w:r>
        <w:rPr>
          <w:rFonts w:hint="eastAsia"/>
          <w:lang w:val="en-US" w:eastAsia="zh-CN"/>
        </w:rPr>
        <w:t>2.6 主要环境影响和保护措施</w:t>
      </w:r>
      <w:bookmarkEnd w:id="218"/>
    </w:p>
    <w:p>
      <w:pPr>
        <w:pStyle w:val="313"/>
        <w:widowControl/>
        <w:ind w:left="0" w:firstLine="422"/>
        <w:rPr>
          <w:rFonts w:hint="default" w:ascii="Times New Roman" w:hAnsi="Times New Roman" w:cs="Times New Roman"/>
          <w:b/>
          <w:bCs w:val="0"/>
          <w:sz w:val="21"/>
          <w:szCs w:val="21"/>
          <w:lang w:val="en-US"/>
        </w:rPr>
      </w:pPr>
      <w:r>
        <w:rPr>
          <w:rFonts w:hint="default" w:ascii="Times New Roman" w:hAnsi="Times New Roman" w:cs="Times New Roman"/>
          <w:b/>
          <w:bCs w:val="0"/>
          <w:sz w:val="21"/>
          <w:szCs w:val="21"/>
          <w:lang w:val="en-US"/>
        </w:rPr>
        <w:t>1</w:t>
      </w:r>
      <w:r>
        <w:rPr>
          <w:rFonts w:hint="eastAsia" w:ascii="Times New Roman" w:hAnsi="Times New Roman" w:eastAsia="宋体" w:cs="宋体"/>
          <w:b/>
          <w:bCs w:val="0"/>
          <w:sz w:val="21"/>
          <w:szCs w:val="21"/>
          <w:lang w:eastAsia="zh-CN"/>
        </w:rPr>
        <w:t>、废气</w:t>
      </w:r>
    </w:p>
    <w:p>
      <w:pPr>
        <w:autoSpaceDE w:val="0"/>
        <w:autoSpaceDN w:val="0"/>
        <w:adjustRightInd w:val="0"/>
        <w:spacing w:line="360" w:lineRule="auto"/>
        <w:ind w:firstLine="480" w:firstLineChars="200"/>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本项目生产过程中会产生非甲烷总烃，经集气罩+活性炭吸附+15m排气筒排放，非甲烷总烃排放速率和排放浓度均能满足《大气综合排放标准》（GB16297-1996）</w:t>
      </w:r>
      <w:r>
        <w:rPr>
          <w:rFonts w:hAnsi="宋体" w:eastAsia="宋体"/>
          <w:kern w:val="0"/>
          <w:sz w:val="24"/>
        </w:rPr>
        <w:t>表</w:t>
      </w:r>
      <w:r>
        <w:rPr>
          <w:rFonts w:eastAsia="宋体"/>
          <w:kern w:val="0"/>
          <w:sz w:val="24"/>
        </w:rPr>
        <w:t xml:space="preserve">2 </w:t>
      </w:r>
      <w:r>
        <w:rPr>
          <w:rFonts w:hAnsi="宋体" w:eastAsia="宋体"/>
          <w:kern w:val="0"/>
          <w:sz w:val="24"/>
        </w:rPr>
        <w:t>中</w:t>
      </w:r>
      <w:r>
        <w:rPr>
          <w:rFonts w:eastAsia="宋体"/>
          <w:kern w:val="0"/>
          <w:sz w:val="24"/>
        </w:rPr>
        <w:t xml:space="preserve">15m </w:t>
      </w:r>
      <w:r>
        <w:rPr>
          <w:rFonts w:hAnsi="宋体" w:eastAsia="宋体"/>
          <w:kern w:val="0"/>
          <w:sz w:val="24"/>
        </w:rPr>
        <w:t>高排气筒的二级标准值。</w:t>
      </w:r>
      <w:r>
        <w:rPr>
          <w:rFonts w:hint="eastAsia" w:ascii="Times New Roman" w:hAnsi="Times New Roman" w:eastAsia="宋体" w:cs="Times New Roman"/>
          <w:color w:val="auto"/>
          <w:sz w:val="24"/>
          <w:szCs w:val="24"/>
          <w:highlight w:val="none"/>
          <w:lang w:val="en-US" w:eastAsia="zh-CN"/>
        </w:rPr>
        <w:t>根据大气环境防护距离及卫生防护距离的计算结果，最终确定本项目的防护距离为生产车间边界外50m的区域。项目周边50m范围内无敏感点，满足防护距离要求。车间安装防爆排风扇，加强通风，本项目废气对周围环境影响较小。</w:t>
      </w:r>
    </w:p>
    <w:p>
      <w:pPr>
        <w:keepNext w:val="0"/>
        <w:keepLines w:val="0"/>
        <w:widowControl w:val="0"/>
        <w:suppressLineNumbers w:val="0"/>
        <w:spacing w:before="0" w:beforeAutospacing="0" w:after="0" w:afterAutospacing="0" w:line="360" w:lineRule="auto"/>
        <w:ind w:left="0" w:right="0" w:firstLine="482" w:firstLineChars="200"/>
        <w:jc w:val="both"/>
        <w:rPr>
          <w:b/>
          <w:bCs w:val="0"/>
          <w:sz w:val="24"/>
          <w:szCs w:val="24"/>
          <w:lang w:val="en-US"/>
        </w:rPr>
      </w:pPr>
      <w:r>
        <w:rPr>
          <w:rFonts w:hint="default" w:ascii="Times New Roman" w:hAnsi="Times New Roman" w:eastAsia="宋体" w:cs="Times New Roman"/>
          <w:b/>
          <w:bCs w:val="0"/>
          <w:kern w:val="2"/>
          <w:sz w:val="24"/>
          <w:szCs w:val="24"/>
          <w:lang w:val="en-US" w:eastAsia="zh-CN" w:bidi="ar"/>
        </w:rPr>
        <w:t>2</w:t>
      </w:r>
      <w:r>
        <w:rPr>
          <w:rFonts w:hint="eastAsia" w:ascii="Times New Roman" w:hAnsi="Times New Roman" w:eastAsia="宋体" w:cs="宋体"/>
          <w:b/>
          <w:bCs w:val="0"/>
          <w:kern w:val="2"/>
          <w:sz w:val="24"/>
          <w:szCs w:val="24"/>
          <w:lang w:val="en-US" w:eastAsia="zh-CN" w:bidi="ar"/>
        </w:rPr>
        <w:t>、噪声</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本工程噪声</w:t>
      </w:r>
      <w:r>
        <w:rPr>
          <w:rFonts w:hint="eastAsia" w:ascii="Times New Roman" w:hAnsi="Times New Roman" w:eastAsia="宋体" w:cs="Times New Roman"/>
          <w:color w:val="auto"/>
          <w:sz w:val="24"/>
          <w:szCs w:val="24"/>
          <w:highlight w:val="none"/>
          <w:lang w:val="en-US" w:eastAsia="zh-CN"/>
        </w:rPr>
        <w:t>主要为生产设备运行过程中产生的噪声。针对降低噪声，企业采取了选用低噪声设备，合理平面布置，并采用消声减振措施，经厂房、围墙隔音及距离衰减措施降噪。</w:t>
      </w:r>
    </w:p>
    <w:p>
      <w:pPr>
        <w:keepNext w:val="0"/>
        <w:keepLines w:val="0"/>
        <w:widowControl w:val="0"/>
        <w:suppressLineNumbers w:val="0"/>
        <w:spacing w:before="0" w:beforeAutospacing="0" w:after="0" w:afterAutospacing="0" w:line="360" w:lineRule="auto"/>
        <w:ind w:left="0" w:right="0" w:firstLine="482" w:firstLineChars="200"/>
        <w:jc w:val="both"/>
        <w:rPr>
          <w:b/>
          <w:bCs w:val="0"/>
          <w:sz w:val="24"/>
          <w:szCs w:val="24"/>
          <w:lang w:val="en-US"/>
        </w:rPr>
      </w:pPr>
      <w:r>
        <w:rPr>
          <w:rFonts w:hint="default" w:ascii="Times New Roman" w:hAnsi="Times New Roman" w:eastAsia="宋体" w:cs="Times New Roman"/>
          <w:b/>
          <w:bCs w:val="0"/>
          <w:kern w:val="2"/>
          <w:sz w:val="24"/>
          <w:szCs w:val="24"/>
          <w:lang w:val="en-US" w:eastAsia="zh-CN" w:bidi="ar"/>
        </w:rPr>
        <w:t>3</w:t>
      </w:r>
      <w:r>
        <w:rPr>
          <w:rFonts w:hint="eastAsia" w:ascii="Times New Roman" w:hAnsi="Times New Roman" w:eastAsia="宋体" w:cs="宋体"/>
          <w:b/>
          <w:bCs w:val="0"/>
          <w:kern w:val="2"/>
          <w:sz w:val="24"/>
          <w:szCs w:val="24"/>
          <w:lang w:val="en-US" w:eastAsia="zh-CN" w:bidi="ar"/>
        </w:rPr>
        <w:t>废水</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主要为生活污水和生产废水，经本公司污水处理设施处理后排入园区污水处理厂，接管浓度满足宜春经济技术开发区污水处理厂接管标准，正常情况下不会影响污水处理厂处理效果，污水处理厂尾水达标排入渥江，对水环境影响较小。</w:t>
      </w:r>
    </w:p>
    <w:p>
      <w:pPr>
        <w:pStyle w:val="58"/>
        <w:jc w:val="center"/>
        <w:rPr>
          <w:lang w:val="en-US" w:eastAsia="zh-CN"/>
        </w:rPr>
      </w:pPr>
      <w:r>
        <w:rPr>
          <w:lang w:val="en-US" w:eastAsia="zh-CN"/>
        </w:rPr>
        <w:object>
          <v:shape id="_x0000_i1026" o:spt="75" type="#_x0000_t75" style="height:97.5pt;width:406.3pt;" o:ole="t" filled="f" o:preferrelative="t" stroked="f" coordsize="21600,21600">
            <v:path/>
            <v:fill on="f" alignshape="1" focussize="0,0"/>
            <v:stroke on="f"/>
            <v:imagedata r:id="rId21" grayscale="f" bilevel="f" o:title=""/>
            <o:lock v:ext="edit" aspectratio="t"/>
            <w10:wrap type="none"/>
            <w10:anchorlock/>
          </v:shape>
          <o:OLEObject Type="Embed" ProgID="Visio.Drawing.11" ShapeID="_x0000_i1026" DrawAspect="Content" ObjectID="_1468075726" r:id="rId20">
            <o:LockedField>false</o:LockedField>
          </o:OLEObject>
        </w:object>
      </w:r>
    </w:p>
    <w:p>
      <w:pPr>
        <w:pStyle w:val="330"/>
        <w:snapToGrid w:val="0"/>
        <w:ind w:firstLine="482"/>
        <w:jc w:val="center"/>
      </w:pPr>
      <w:r>
        <w:rPr>
          <w:rFonts w:hAnsi="Times New Roman"/>
          <w:b/>
          <w:lang w:val="en-US" w:eastAsia="zh-CN"/>
        </w:rPr>
        <w:t>图</w:t>
      </w:r>
      <w:r>
        <w:rPr>
          <w:rFonts w:hint="eastAsia" w:hAnsi="Times New Roman"/>
          <w:b/>
          <w:lang w:val="en-US" w:eastAsia="zh-CN"/>
        </w:rPr>
        <w:t>2.6生产</w:t>
      </w:r>
      <w:r>
        <w:rPr>
          <w:rFonts w:hAnsi="Times New Roman"/>
          <w:b/>
          <w:lang w:val="en-US" w:eastAsia="zh-CN"/>
        </w:rPr>
        <w:t>废水处理设施工艺流程图</w:t>
      </w:r>
    </w:p>
    <w:p>
      <w:pPr>
        <w:keepNext w:val="0"/>
        <w:keepLines w:val="0"/>
        <w:widowControl w:val="0"/>
        <w:suppressLineNumbers w:val="0"/>
        <w:spacing w:before="0" w:beforeAutospacing="0" w:after="0" w:afterAutospacing="0" w:line="360" w:lineRule="auto"/>
        <w:ind w:left="0" w:right="0" w:firstLine="482" w:firstLineChars="200"/>
        <w:jc w:val="both"/>
        <w:rPr>
          <w:b/>
          <w:bCs w:val="0"/>
          <w:sz w:val="24"/>
          <w:szCs w:val="24"/>
          <w:lang w:val="en-US"/>
        </w:rPr>
      </w:pPr>
      <w:r>
        <w:rPr>
          <w:rFonts w:hint="default" w:ascii="Times New Roman" w:hAnsi="Times New Roman" w:eastAsia="宋体" w:cs="Times New Roman"/>
          <w:b/>
          <w:bCs w:val="0"/>
          <w:kern w:val="2"/>
          <w:sz w:val="24"/>
          <w:szCs w:val="24"/>
          <w:lang w:val="en-US" w:eastAsia="zh-CN" w:bidi="ar"/>
        </w:rPr>
        <w:t>4</w:t>
      </w:r>
      <w:r>
        <w:rPr>
          <w:rFonts w:hint="eastAsia" w:ascii="Times New Roman" w:hAnsi="Times New Roman" w:eastAsia="宋体" w:cs="宋体"/>
          <w:b/>
          <w:bCs w:val="0"/>
          <w:kern w:val="2"/>
          <w:sz w:val="24"/>
          <w:szCs w:val="24"/>
          <w:lang w:val="en-US" w:eastAsia="zh-CN" w:bidi="ar"/>
        </w:rPr>
        <w:t>、固体废物</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生活垃圾由园区市政环卫部门统一处理。生产固废均妥善处置。</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因此项目运营期产生的固体废物对周边环境影响较小。</w:t>
      </w:r>
    </w:p>
    <w:p>
      <w:pPr>
        <w:spacing w:before="120" w:beforeLines="50"/>
        <w:jc w:val="center"/>
        <w:rPr>
          <w:rFonts w:hint="eastAsia" w:ascii="Times New Roman" w:hAnsi="Times New Roman" w:eastAsia="宋体" w:cs="Times New Roman"/>
          <w:b/>
          <w:bCs/>
        </w:rPr>
      </w:pPr>
      <w:r>
        <w:rPr>
          <w:rFonts w:hint="eastAsia" w:ascii="Times New Roman" w:hAnsi="Times New Roman" w:eastAsia="宋体" w:cs="Times New Roman"/>
          <w:b/>
          <w:bCs/>
        </w:rPr>
        <w:t>表</w:t>
      </w:r>
      <w:r>
        <w:rPr>
          <w:rFonts w:hint="eastAsia" w:ascii="Times New Roman" w:hAnsi="Times New Roman" w:eastAsia="宋体" w:cs="Times New Roman"/>
          <w:b/>
          <w:bCs/>
          <w:lang w:val="en-US" w:eastAsia="zh-CN"/>
        </w:rPr>
        <w:t>2.6-1</w:t>
      </w:r>
      <w:r>
        <w:rPr>
          <w:rFonts w:hint="eastAsia" w:ascii="Times New Roman" w:hAnsi="Times New Roman" w:eastAsia="宋体" w:cs="Times New Roman"/>
          <w:b/>
          <w:bCs/>
        </w:rPr>
        <w:t>项目主要污染物产生及预计排放情况</w:t>
      </w:r>
    </w:p>
    <w:tbl>
      <w:tblPr>
        <w:tblStyle w:val="47"/>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7"/>
        <w:gridCol w:w="389"/>
        <w:gridCol w:w="23"/>
        <w:gridCol w:w="1832"/>
        <w:gridCol w:w="1830"/>
        <w:gridCol w:w="2115"/>
        <w:gridCol w:w="2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027" w:type="dxa"/>
            <w:tcBorders>
              <w:top w:val="single" w:color="auto" w:sz="12" w:space="0"/>
              <w:left w:val="single" w:color="auto" w:sz="12" w:space="0"/>
              <w:bottom w:val="single" w:color="auto" w:sz="4" w:space="0"/>
              <w:tl2br w:val="single" w:color="auto" w:sz="4" w:space="0"/>
            </w:tcBorders>
            <w:noWrap w:val="0"/>
            <w:vAlign w:val="top"/>
          </w:tcPr>
          <w:p>
            <w:pPr>
              <w:keepNext w:val="0"/>
              <w:keepLines w:val="0"/>
              <w:suppressLineNumbers w:val="0"/>
              <w:spacing w:before="0" w:beforeAutospacing="0" w:after="0" w:afterAutospacing="0" w:line="500" w:lineRule="exact"/>
              <w:ind w:left="0" w:right="0"/>
              <w:jc w:val="right"/>
              <w:rPr>
                <w:b/>
                <w:bCs/>
                <w:sz w:val="24"/>
              </w:rPr>
            </w:pPr>
            <w:r>
              <w:rPr>
                <w:b/>
                <w:bCs/>
                <w:sz w:val="24"/>
              </w:rPr>
              <w:t>内容</w:t>
            </w:r>
          </w:p>
          <w:p>
            <w:pPr>
              <w:keepNext w:val="0"/>
              <w:keepLines w:val="0"/>
              <w:suppressLineNumbers w:val="0"/>
              <w:spacing w:before="0" w:beforeAutospacing="0" w:after="0" w:afterAutospacing="0" w:line="500" w:lineRule="exact"/>
              <w:ind w:left="0" w:right="0"/>
              <w:rPr>
                <w:b/>
                <w:bCs/>
                <w:sz w:val="24"/>
              </w:rPr>
            </w:pPr>
            <w:r>
              <w:rPr>
                <w:rFonts w:hint="eastAsia" w:ascii="宋体" w:hAnsi="宋体" w:eastAsia="宋体" w:cs="宋体"/>
                <w:b/>
                <w:bCs/>
                <w:sz w:val="24"/>
              </w:rPr>
              <w:t>类型</w:t>
            </w:r>
          </w:p>
        </w:tc>
        <w:tc>
          <w:tcPr>
            <w:tcW w:w="2244" w:type="dxa"/>
            <w:gridSpan w:val="3"/>
            <w:tcBorders>
              <w:top w:val="single" w:color="auto" w:sz="12" w:space="0"/>
              <w:bottom w:val="single" w:color="auto" w:sz="4" w:space="0"/>
            </w:tcBorders>
            <w:noWrap w:val="0"/>
            <w:vAlign w:val="center"/>
          </w:tcPr>
          <w:p>
            <w:pPr>
              <w:keepNext w:val="0"/>
              <w:keepLines w:val="0"/>
              <w:suppressLineNumbers w:val="0"/>
              <w:spacing w:before="0" w:beforeAutospacing="0" w:after="0" w:afterAutospacing="0" w:line="380" w:lineRule="exact"/>
              <w:ind w:left="0" w:right="0"/>
              <w:jc w:val="center"/>
              <w:rPr>
                <w:b/>
                <w:bCs/>
                <w:sz w:val="24"/>
              </w:rPr>
            </w:pPr>
            <w:r>
              <w:rPr>
                <w:rFonts w:hint="eastAsia" w:ascii="宋体" w:hAnsi="宋体" w:eastAsia="宋体" w:cs="宋体"/>
                <w:b/>
                <w:bCs/>
                <w:sz w:val="24"/>
              </w:rPr>
              <w:t>排放源</w:t>
            </w:r>
            <w:r>
              <w:rPr>
                <w:rFonts w:hint="eastAsia"/>
                <w:b/>
                <w:bCs/>
                <w:sz w:val="24"/>
              </w:rPr>
              <w:t>(</w:t>
            </w:r>
            <w:r>
              <w:rPr>
                <w:rFonts w:hint="eastAsia" w:ascii="宋体" w:hAnsi="宋体" w:eastAsia="宋体" w:cs="宋体"/>
                <w:b/>
                <w:bCs/>
                <w:sz w:val="24"/>
              </w:rPr>
              <w:t>编号</w:t>
            </w:r>
            <w:r>
              <w:rPr>
                <w:rFonts w:hint="eastAsia"/>
                <w:b/>
                <w:bCs/>
                <w:sz w:val="24"/>
              </w:rPr>
              <w:t>)</w:t>
            </w:r>
          </w:p>
        </w:tc>
        <w:tc>
          <w:tcPr>
            <w:tcW w:w="1830" w:type="dxa"/>
            <w:tcBorders>
              <w:top w:val="single" w:color="auto" w:sz="12" w:space="0"/>
              <w:bottom w:val="single" w:color="auto" w:sz="4" w:space="0"/>
            </w:tcBorders>
            <w:noWrap w:val="0"/>
            <w:vAlign w:val="center"/>
          </w:tcPr>
          <w:p>
            <w:pPr>
              <w:keepNext w:val="0"/>
              <w:keepLines w:val="0"/>
              <w:suppressLineNumbers w:val="0"/>
              <w:spacing w:before="0" w:beforeAutospacing="0" w:after="0" w:afterAutospacing="0" w:line="380" w:lineRule="exact"/>
              <w:ind w:left="0" w:right="0"/>
              <w:jc w:val="center"/>
              <w:rPr>
                <w:b/>
                <w:bCs/>
                <w:sz w:val="24"/>
              </w:rPr>
            </w:pPr>
            <w:r>
              <w:rPr>
                <w:rFonts w:hint="eastAsia" w:ascii="宋体" w:hAnsi="宋体" w:eastAsia="宋体" w:cs="宋体"/>
                <w:b/>
                <w:bCs/>
                <w:sz w:val="24"/>
              </w:rPr>
              <w:t>污染物名称</w:t>
            </w:r>
          </w:p>
        </w:tc>
        <w:tc>
          <w:tcPr>
            <w:tcW w:w="2115" w:type="dxa"/>
            <w:tcBorders>
              <w:top w:val="single" w:color="auto" w:sz="12" w:space="0"/>
              <w:bottom w:val="single" w:color="auto" w:sz="4" w:space="0"/>
            </w:tcBorders>
            <w:noWrap w:val="0"/>
            <w:tcMar>
              <w:left w:w="0" w:type="dxa"/>
              <w:right w:w="0" w:type="dxa"/>
            </w:tcMar>
            <w:vAlign w:val="center"/>
          </w:tcPr>
          <w:p>
            <w:pPr>
              <w:keepNext w:val="0"/>
              <w:keepLines w:val="0"/>
              <w:suppressLineNumbers w:val="0"/>
              <w:spacing w:before="0" w:beforeAutospacing="0" w:after="0" w:afterAutospacing="0" w:line="380" w:lineRule="exact"/>
              <w:ind w:left="0" w:right="0"/>
              <w:jc w:val="center"/>
              <w:rPr>
                <w:b/>
                <w:bCs/>
                <w:sz w:val="24"/>
              </w:rPr>
            </w:pPr>
            <w:r>
              <w:rPr>
                <w:rFonts w:hint="eastAsia" w:ascii="宋体" w:hAnsi="宋体" w:eastAsia="宋体" w:cs="宋体"/>
                <w:b/>
                <w:bCs/>
                <w:sz w:val="24"/>
              </w:rPr>
              <w:t>产生浓度及产生量</w:t>
            </w:r>
            <w:r>
              <w:rPr>
                <w:rFonts w:hint="eastAsia"/>
                <w:b/>
                <w:bCs/>
                <w:sz w:val="24"/>
              </w:rPr>
              <w:t>(</w:t>
            </w:r>
            <w:r>
              <w:rPr>
                <w:rFonts w:hint="eastAsia" w:ascii="宋体" w:hAnsi="宋体" w:eastAsia="宋体" w:cs="宋体"/>
                <w:b/>
                <w:bCs/>
                <w:sz w:val="24"/>
              </w:rPr>
              <w:t>单位</w:t>
            </w:r>
            <w:r>
              <w:rPr>
                <w:rFonts w:hint="eastAsia"/>
                <w:b/>
                <w:bCs/>
                <w:sz w:val="24"/>
              </w:rPr>
              <w:t>)</w:t>
            </w:r>
          </w:p>
        </w:tc>
        <w:tc>
          <w:tcPr>
            <w:tcW w:w="2140" w:type="dxa"/>
            <w:tcBorders>
              <w:top w:val="single" w:color="auto" w:sz="12" w:space="0"/>
              <w:bottom w:val="single" w:color="auto" w:sz="4" w:space="0"/>
              <w:right w:val="single" w:color="auto" w:sz="12" w:space="0"/>
            </w:tcBorders>
            <w:noWrap w:val="0"/>
            <w:tcMar>
              <w:left w:w="0" w:type="dxa"/>
              <w:right w:w="0" w:type="dxa"/>
            </w:tcMar>
            <w:vAlign w:val="center"/>
          </w:tcPr>
          <w:p>
            <w:pPr>
              <w:keepNext w:val="0"/>
              <w:keepLines w:val="0"/>
              <w:suppressLineNumbers w:val="0"/>
              <w:spacing w:before="0" w:beforeAutospacing="0" w:after="0" w:afterAutospacing="0" w:line="380" w:lineRule="exact"/>
              <w:ind w:left="0" w:right="0"/>
              <w:jc w:val="center"/>
              <w:rPr>
                <w:b/>
                <w:bCs/>
                <w:sz w:val="24"/>
              </w:rPr>
            </w:pPr>
            <w:r>
              <w:rPr>
                <w:rFonts w:hint="eastAsia" w:ascii="宋体" w:hAnsi="宋体" w:eastAsia="宋体" w:cs="宋体"/>
                <w:b/>
                <w:bCs/>
                <w:sz w:val="24"/>
              </w:rPr>
              <w:t>排放浓度及排放量</w:t>
            </w:r>
            <w:r>
              <w:rPr>
                <w:rFonts w:hint="eastAsia"/>
                <w:b/>
                <w:bCs/>
                <w:sz w:val="24"/>
              </w:rPr>
              <w:t>(</w:t>
            </w:r>
            <w:r>
              <w:rPr>
                <w:rFonts w:hint="eastAsia" w:ascii="宋体" w:hAnsi="宋体" w:eastAsia="宋体" w:cs="宋体"/>
                <w:b/>
                <w:bCs/>
                <w:sz w:val="24"/>
              </w:rPr>
              <w:t>单位</w:t>
            </w:r>
            <w:r>
              <w:rPr>
                <w:rFonts w:hint="eastAsia"/>
                <w:b/>
                <w:bCs/>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restart"/>
            <w:tcBorders>
              <w:top w:val="single" w:color="auto" w:sz="4" w:space="0"/>
              <w:left w:val="single" w:color="auto" w:sz="12"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rFonts w:hint="eastAsia"/>
                <w:b/>
                <w:sz w:val="24"/>
                <w:szCs w:val="24"/>
              </w:rPr>
            </w:pPr>
            <w:r>
              <w:rPr>
                <w:rFonts w:hint="eastAsia" w:ascii="宋体" w:hAnsi="宋体" w:eastAsia="宋体" w:cs="宋体"/>
                <w:b/>
                <w:sz w:val="24"/>
                <w:szCs w:val="24"/>
              </w:rPr>
              <w:t>大气污染物</w:t>
            </w:r>
          </w:p>
        </w:tc>
        <w:tc>
          <w:tcPr>
            <w:tcW w:w="412" w:type="dxa"/>
            <w:gridSpan w:val="2"/>
            <w:vMerge w:val="restart"/>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施工期</w:t>
            </w:r>
          </w:p>
        </w:tc>
        <w:tc>
          <w:tcPr>
            <w:tcW w:w="1832"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扬尘</w:t>
            </w:r>
          </w:p>
        </w:tc>
        <w:tc>
          <w:tcPr>
            <w:tcW w:w="1830"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扬尘</w:t>
            </w:r>
          </w:p>
        </w:tc>
        <w:tc>
          <w:tcPr>
            <w:tcW w:w="4255" w:type="dxa"/>
            <w:gridSpan w:val="2"/>
            <w:vMerge w:val="restart"/>
            <w:tcBorders>
              <w:top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rFonts w:hint="eastAsia"/>
                <w:bCs/>
                <w:szCs w:val="21"/>
              </w:rPr>
            </w:pPr>
            <w:r>
              <w:rPr>
                <w:rFonts w:hint="eastAsia" w:ascii="宋体" w:hAnsi="宋体" w:eastAsia="宋体" w:cs="宋体"/>
                <w:kern w:val="21"/>
                <w:szCs w:val="21"/>
              </w:rPr>
              <w:t>采取洒水降尘措施</w:t>
            </w:r>
            <w:r>
              <w:rPr>
                <w:kern w:val="21"/>
                <w:szCs w:val="21"/>
              </w:rPr>
              <w:t>,</w:t>
            </w:r>
            <w:r>
              <w:rPr>
                <w:rFonts w:hint="eastAsia" w:ascii="宋体" w:hAnsi="宋体" w:eastAsia="宋体" w:cs="宋体"/>
                <w:kern w:val="21"/>
                <w:szCs w:val="21"/>
              </w:rPr>
              <w:t>少量无组织排放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rFonts w:hint="eastAsia"/>
                <w:b/>
                <w:sz w:val="24"/>
                <w:szCs w:val="24"/>
              </w:rPr>
            </w:pPr>
          </w:p>
        </w:tc>
        <w:tc>
          <w:tcPr>
            <w:tcW w:w="412" w:type="dxa"/>
            <w:gridSpan w:val="2"/>
            <w:vMerge w:val="continue"/>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p>
        </w:tc>
        <w:tc>
          <w:tcPr>
            <w:tcW w:w="1832"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施工机械</w:t>
            </w:r>
          </w:p>
        </w:tc>
        <w:tc>
          <w:tcPr>
            <w:tcW w:w="1830"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施工机械废气</w:t>
            </w:r>
          </w:p>
        </w:tc>
        <w:tc>
          <w:tcPr>
            <w:tcW w:w="4255" w:type="dxa"/>
            <w:gridSpan w:val="2"/>
            <w:vMerge w:val="continue"/>
            <w:tcBorders>
              <w:top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rFonts w:hint="eastAsia"/>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b/>
                <w:sz w:val="24"/>
                <w:szCs w:val="24"/>
              </w:rPr>
            </w:pPr>
          </w:p>
        </w:tc>
        <w:tc>
          <w:tcPr>
            <w:tcW w:w="412" w:type="dxa"/>
            <w:gridSpan w:val="2"/>
            <w:vMerge w:val="continue"/>
            <w:noWrap w:val="0"/>
            <w:vAlign w:val="center"/>
          </w:tcPr>
          <w:p>
            <w:pPr>
              <w:keepNext w:val="0"/>
              <w:keepLines w:val="0"/>
              <w:suppressLineNumbers w:val="0"/>
              <w:spacing w:before="0" w:beforeAutospacing="0" w:after="0" w:afterAutospacing="0"/>
              <w:ind w:left="0" w:right="0"/>
              <w:jc w:val="center"/>
              <w:rPr>
                <w:rFonts w:hint="eastAsia"/>
                <w:szCs w:val="21"/>
              </w:rPr>
            </w:pPr>
          </w:p>
        </w:tc>
        <w:tc>
          <w:tcPr>
            <w:tcW w:w="1832" w:type="dxa"/>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装修期间</w:t>
            </w:r>
          </w:p>
        </w:tc>
        <w:tc>
          <w:tcPr>
            <w:tcW w:w="1830" w:type="dxa"/>
            <w:noWrap w:val="0"/>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有机废气</w:t>
            </w:r>
          </w:p>
        </w:tc>
        <w:tc>
          <w:tcPr>
            <w:tcW w:w="4255" w:type="dxa"/>
            <w:gridSpan w:val="2"/>
            <w:vMerge w:val="continue"/>
            <w:tcBorders>
              <w:right w:val="single" w:color="auto" w:sz="12" w:space="0"/>
            </w:tcBorders>
            <w:noWrap w:val="0"/>
            <w:vAlign w:val="center"/>
          </w:tcPr>
          <w:p>
            <w:pPr>
              <w:keepNext w:val="0"/>
              <w:keepLines w:val="0"/>
              <w:suppressLineNumbers w:val="0"/>
              <w:spacing w:before="0" w:beforeAutospacing="0" w:after="0" w:afterAutospacing="0"/>
              <w:ind w:left="0" w:right="0"/>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b/>
                <w:sz w:val="24"/>
                <w:szCs w:val="24"/>
              </w:rPr>
            </w:pPr>
          </w:p>
        </w:tc>
        <w:tc>
          <w:tcPr>
            <w:tcW w:w="412" w:type="dxa"/>
            <w:gridSpan w:val="2"/>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营运期</w:t>
            </w:r>
          </w:p>
        </w:tc>
        <w:tc>
          <w:tcPr>
            <w:tcW w:w="1832" w:type="dxa"/>
            <w:tcBorders>
              <w:right w:val="single" w:color="auto" w:sz="4" w:space="0"/>
            </w:tcBorders>
            <w:noWrap w:val="0"/>
            <w:vAlign w:val="center"/>
          </w:tcPr>
          <w:p>
            <w:pPr>
              <w:pStyle w:val="329"/>
              <w:keepNext w:val="0"/>
              <w:keepLines w:val="0"/>
              <w:suppressLineNumbers w:val="0"/>
              <w:spacing w:before="0" w:beforeAutospacing="0" w:after="0" w:afterAutospacing="0" w:line="240" w:lineRule="auto"/>
              <w:ind w:left="0" w:right="0" w:firstLine="0" w:firstLineChars="0"/>
              <w:jc w:val="center"/>
              <w:rPr>
                <w:rFonts w:hint="eastAsia"/>
                <w:color w:val="auto"/>
                <w:sz w:val="21"/>
                <w:szCs w:val="21"/>
              </w:rPr>
            </w:pPr>
            <w:r>
              <w:rPr>
                <w:rFonts w:hint="eastAsia" w:ascii="宋体" w:hAnsi="宋体" w:eastAsia="宋体" w:cs="宋体"/>
                <w:color w:val="auto"/>
                <w:sz w:val="21"/>
                <w:szCs w:val="21"/>
              </w:rPr>
              <w:t>点胶</w:t>
            </w:r>
          </w:p>
        </w:tc>
        <w:tc>
          <w:tcPr>
            <w:tcW w:w="1830" w:type="dxa"/>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eastAsia="宋体"/>
                <w:szCs w:val="21"/>
              </w:rPr>
            </w:pPr>
            <w:r>
              <w:rPr>
                <w:rFonts w:hint="eastAsia" w:eastAsia="宋体"/>
                <w:szCs w:val="21"/>
              </w:rPr>
              <w:t>非甲烷总烃</w:t>
            </w:r>
          </w:p>
        </w:tc>
        <w:tc>
          <w:tcPr>
            <w:tcW w:w="2115" w:type="dxa"/>
            <w:tcBorders>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rPr>
              <w:t>0.</w:t>
            </w:r>
            <w:r>
              <w:rPr>
                <w:rFonts w:hint="eastAsia" w:eastAsia="宋体"/>
              </w:rPr>
              <w:t>2</w:t>
            </w:r>
            <w:r>
              <w:rPr>
                <w:rFonts w:hint="eastAsia"/>
              </w:rPr>
              <w:t>5</w:t>
            </w:r>
            <w:r>
              <w:t>t/a</w:t>
            </w:r>
            <w:r>
              <w:rPr>
                <w:rFonts w:hint="eastAsia" w:ascii="宋体" w:hAnsi="宋体" w:eastAsia="宋体" w:cs="宋体"/>
              </w:rPr>
              <w:t>，</w:t>
            </w:r>
            <w:r>
              <w:rPr>
                <w:rFonts w:hint="eastAsia"/>
              </w:rPr>
              <w:t>0.</w:t>
            </w:r>
            <w:r>
              <w:rPr>
                <w:rFonts w:hint="eastAsia" w:eastAsia="宋体"/>
              </w:rPr>
              <w:t>104</w:t>
            </w:r>
            <w:r>
              <w:t>kg/h</w:t>
            </w:r>
          </w:p>
        </w:tc>
        <w:tc>
          <w:tcPr>
            <w:tcW w:w="2140" w:type="dxa"/>
            <w:tcBorders>
              <w:left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rFonts w:hint="eastAsia" w:eastAsia="宋体"/>
                <w:szCs w:val="21"/>
              </w:rPr>
            </w:pPr>
            <w:r>
              <w:rPr>
                <w:rFonts w:hint="eastAsia" w:eastAsia="宋体"/>
              </w:rPr>
              <w:t>有组织：</w:t>
            </w:r>
            <w:r>
              <w:rPr>
                <w:rFonts w:hint="eastAsia"/>
              </w:rPr>
              <w:t>0.</w:t>
            </w:r>
            <w:r>
              <w:rPr>
                <w:rFonts w:hint="eastAsia" w:eastAsia="宋体"/>
              </w:rPr>
              <w:t>09</w:t>
            </w:r>
            <w:r>
              <w:t>t/a</w:t>
            </w:r>
            <w:r>
              <w:rPr>
                <w:rFonts w:hint="eastAsia" w:ascii="宋体" w:hAnsi="宋体" w:eastAsia="宋体" w:cs="宋体"/>
              </w:rPr>
              <w:t>，</w:t>
            </w:r>
            <w:r>
              <w:rPr>
                <w:rFonts w:hint="eastAsia"/>
              </w:rPr>
              <w:t>0.0</w:t>
            </w:r>
            <w:r>
              <w:rPr>
                <w:rFonts w:hint="eastAsia" w:eastAsia="宋体"/>
              </w:rPr>
              <w:t>375</w:t>
            </w:r>
            <w:r>
              <w:t>kg/h</w:t>
            </w:r>
            <w:r>
              <w:rPr>
                <w:rFonts w:hint="eastAsia" w:eastAsia="宋体"/>
              </w:rPr>
              <w:t>；无组织：</w:t>
            </w:r>
            <w:r>
              <w:rPr>
                <w:rFonts w:hint="eastAsia"/>
              </w:rPr>
              <w:t>0.</w:t>
            </w:r>
            <w:r>
              <w:rPr>
                <w:rFonts w:hint="eastAsia" w:eastAsia="宋体"/>
              </w:rPr>
              <w:t>025</w:t>
            </w:r>
            <w:r>
              <w:t>t/a</w:t>
            </w:r>
            <w:r>
              <w:rPr>
                <w:rFonts w:hint="eastAsia" w:ascii="宋体" w:hAnsi="宋体" w:eastAsia="宋体" w:cs="宋体"/>
              </w:rPr>
              <w:t>，</w:t>
            </w:r>
            <w:r>
              <w:rPr>
                <w:rFonts w:hint="eastAsia"/>
              </w:rPr>
              <w:t>0.01</w:t>
            </w:r>
            <w: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restart"/>
            <w:tcBorders>
              <w:top w:val="single" w:color="auto" w:sz="4" w:space="0"/>
              <w:left w:val="single" w:color="auto" w:sz="12" w:space="0"/>
              <w:bottom w:val="single" w:color="auto" w:sz="4"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b/>
                <w:sz w:val="24"/>
                <w:szCs w:val="24"/>
              </w:rPr>
            </w:pPr>
            <w:r>
              <w:rPr>
                <w:rFonts w:hint="eastAsia" w:ascii="宋体" w:hAnsi="宋体" w:eastAsia="宋体" w:cs="宋体"/>
                <w:b/>
                <w:sz w:val="24"/>
                <w:szCs w:val="24"/>
              </w:rPr>
              <w:t>水污</w:t>
            </w:r>
          </w:p>
          <w:p>
            <w:pPr>
              <w:pStyle w:val="328"/>
              <w:keepNext w:val="0"/>
              <w:keepLines w:val="0"/>
              <w:suppressLineNumbers w:val="0"/>
              <w:adjustRightInd/>
              <w:spacing w:beforeAutospacing="0" w:afterAutospacing="0" w:line="240" w:lineRule="auto"/>
              <w:ind w:left="0" w:right="0"/>
              <w:textAlignment w:val="auto"/>
              <w:rPr>
                <w:sz w:val="24"/>
                <w:szCs w:val="24"/>
              </w:rPr>
            </w:pPr>
            <w:r>
              <w:rPr>
                <w:rFonts w:hint="eastAsia" w:ascii="宋体" w:hAnsi="宋体" w:eastAsia="宋体" w:cs="宋体"/>
                <w:b/>
                <w:sz w:val="24"/>
                <w:szCs w:val="24"/>
              </w:rPr>
              <w:t>染物</w:t>
            </w:r>
          </w:p>
        </w:tc>
        <w:tc>
          <w:tcPr>
            <w:tcW w:w="412" w:type="dxa"/>
            <w:gridSpan w:val="2"/>
            <w:vMerge w:val="restart"/>
            <w:tcBorders>
              <w:top w:val="single" w:color="auto" w:sz="4" w:space="0"/>
              <w:bottom w:val="single" w:color="auto" w:sz="4" w:space="0"/>
            </w:tcBorders>
            <w:noWrap w:val="0"/>
            <w:tcMar>
              <w:left w:w="0" w:type="dxa"/>
              <w:right w:w="0" w:type="dxa"/>
            </w:tcMar>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施工</w:t>
            </w:r>
          </w:p>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期</w:t>
            </w:r>
          </w:p>
        </w:tc>
        <w:tc>
          <w:tcPr>
            <w:tcW w:w="1832" w:type="dxa"/>
            <w:tcBorders>
              <w:top w:val="single" w:color="auto" w:sz="4" w:space="0"/>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施工人员</w:t>
            </w:r>
          </w:p>
        </w:tc>
        <w:tc>
          <w:tcPr>
            <w:tcW w:w="1830" w:type="dxa"/>
            <w:tcBorders>
              <w:top w:val="single" w:color="auto" w:sz="4" w:space="0"/>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生活污水</w:t>
            </w:r>
          </w:p>
        </w:tc>
        <w:tc>
          <w:tcPr>
            <w:tcW w:w="2115" w:type="dxa"/>
            <w:tcBorders>
              <w:top w:val="single" w:color="auto" w:sz="4" w:space="0"/>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szCs w:val="21"/>
              </w:rPr>
              <w:t>10.4m</w:t>
            </w:r>
            <w:r>
              <w:rPr>
                <w:szCs w:val="21"/>
                <w:vertAlign w:val="superscript"/>
              </w:rPr>
              <w:t>3</w:t>
            </w:r>
            <w:r>
              <w:rPr>
                <w:szCs w:val="21"/>
              </w:rPr>
              <w:t>/d</w:t>
            </w:r>
          </w:p>
        </w:tc>
        <w:tc>
          <w:tcPr>
            <w:tcW w:w="2140" w:type="dxa"/>
            <w:tcBorders>
              <w:top w:val="single" w:color="auto" w:sz="4" w:space="0"/>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szCs w:val="21"/>
              </w:rPr>
            </w:pPr>
            <w:r>
              <w:rPr>
                <w:szCs w:val="21"/>
              </w:rPr>
              <w:t>10.4m</w:t>
            </w:r>
            <w:r>
              <w:rPr>
                <w:szCs w:val="21"/>
                <w:vertAlign w:val="superscript"/>
              </w:rPr>
              <w:t>3</w:t>
            </w:r>
            <w:r>
              <w:rPr>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top w:val="single" w:color="auto" w:sz="4" w:space="0"/>
              <w:left w:val="single" w:color="auto" w:sz="12" w:space="0"/>
              <w:bottom w:val="single" w:color="auto" w:sz="4"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b/>
                <w:sz w:val="24"/>
                <w:szCs w:val="24"/>
              </w:rPr>
            </w:pPr>
          </w:p>
        </w:tc>
        <w:tc>
          <w:tcPr>
            <w:tcW w:w="412" w:type="dxa"/>
            <w:gridSpan w:val="2"/>
            <w:vMerge w:val="continue"/>
            <w:tcBorders>
              <w:top w:val="single" w:color="auto" w:sz="4" w:space="0"/>
              <w:bottom w:val="single" w:color="auto" w:sz="4" w:space="0"/>
            </w:tcBorders>
            <w:noWrap w:val="0"/>
            <w:tcMar>
              <w:left w:w="0" w:type="dxa"/>
              <w:right w:w="0" w:type="dxa"/>
            </w:tcMar>
            <w:vAlign w:val="center"/>
          </w:tcPr>
          <w:p>
            <w:pPr>
              <w:keepNext w:val="0"/>
              <w:keepLines w:val="0"/>
              <w:suppressLineNumbers w:val="0"/>
              <w:spacing w:before="0" w:beforeAutospacing="0" w:after="0" w:afterAutospacing="0"/>
              <w:ind w:left="0" w:right="0"/>
              <w:jc w:val="center"/>
              <w:rPr>
                <w:rFonts w:hint="eastAsia"/>
                <w:szCs w:val="21"/>
              </w:rPr>
            </w:pPr>
          </w:p>
        </w:tc>
        <w:tc>
          <w:tcPr>
            <w:tcW w:w="1832" w:type="dxa"/>
            <w:tcBorders>
              <w:top w:val="single" w:color="auto" w:sz="4" w:space="0"/>
              <w:bottom w:val="single" w:color="auto" w:sz="4" w:space="0"/>
            </w:tcBorders>
            <w:noWrap w:val="0"/>
            <w:vAlign w:val="center"/>
          </w:tcPr>
          <w:p>
            <w:pPr>
              <w:pStyle w:val="329"/>
              <w:keepNext w:val="0"/>
              <w:keepLines w:val="0"/>
              <w:suppressLineNumbers w:val="0"/>
              <w:spacing w:before="0" w:beforeAutospacing="0" w:after="0" w:afterAutospacing="0" w:line="240" w:lineRule="auto"/>
              <w:ind w:left="0" w:right="0" w:firstLine="0" w:firstLineChars="0"/>
              <w:jc w:val="center"/>
              <w:rPr>
                <w:rFonts w:hint="eastAsia"/>
                <w:color w:val="auto"/>
                <w:sz w:val="21"/>
                <w:szCs w:val="21"/>
              </w:rPr>
            </w:pPr>
            <w:r>
              <w:rPr>
                <w:rFonts w:hint="eastAsia" w:ascii="宋体" w:hAnsi="宋体" w:eastAsia="宋体" w:cs="宋体"/>
                <w:color w:val="auto"/>
                <w:sz w:val="21"/>
                <w:szCs w:val="21"/>
              </w:rPr>
              <w:t>施工区</w:t>
            </w:r>
          </w:p>
        </w:tc>
        <w:tc>
          <w:tcPr>
            <w:tcW w:w="1830" w:type="dxa"/>
            <w:tcBorders>
              <w:top w:val="single" w:color="auto" w:sz="4" w:space="0"/>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施工废水</w:t>
            </w:r>
          </w:p>
        </w:tc>
        <w:tc>
          <w:tcPr>
            <w:tcW w:w="4255" w:type="dxa"/>
            <w:gridSpan w:val="2"/>
            <w:tcBorders>
              <w:top w:val="single" w:color="auto" w:sz="4" w:space="0"/>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废水量约为</w:t>
            </w:r>
            <w:r>
              <w:rPr>
                <w:szCs w:val="21"/>
              </w:rPr>
              <w:t>1663544</w:t>
            </w:r>
            <w:r>
              <w:rPr>
                <w:rFonts w:hint="eastAsia"/>
                <w:szCs w:val="21"/>
              </w:rPr>
              <w:t>t</w:t>
            </w:r>
            <w:r>
              <w:rPr>
                <w:rFonts w:hint="eastAsia" w:ascii="宋体" w:hAnsi="宋体" w:eastAsia="宋体" w:cs="宋体"/>
                <w:szCs w:val="21"/>
              </w:rPr>
              <w:t>，沉淀回用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top w:val="single" w:color="auto" w:sz="4" w:space="0"/>
              <w:left w:val="single" w:color="auto" w:sz="12" w:space="0"/>
              <w:bottom w:val="single" w:color="auto" w:sz="4"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b/>
                <w:sz w:val="24"/>
                <w:szCs w:val="24"/>
              </w:rPr>
            </w:pPr>
          </w:p>
        </w:tc>
        <w:tc>
          <w:tcPr>
            <w:tcW w:w="412" w:type="dxa"/>
            <w:gridSpan w:val="2"/>
            <w:vMerge w:val="restart"/>
            <w:noWrap w:val="0"/>
            <w:tcMar>
              <w:left w:w="0" w:type="dxa"/>
              <w:right w:w="0" w:type="dxa"/>
            </w:tcMar>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营运期</w:t>
            </w:r>
          </w:p>
        </w:tc>
        <w:tc>
          <w:tcPr>
            <w:tcW w:w="1832" w:type="dxa"/>
            <w:vMerge w:val="restart"/>
            <w:tcBorders>
              <w:top w:val="single" w:color="auto" w:sz="4" w:space="0"/>
              <w:bottom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eastAsia="宋体"/>
                <w:kern w:val="0"/>
                <w:sz w:val="22"/>
                <w:szCs w:val="22"/>
              </w:rPr>
            </w:pPr>
            <w:r>
              <w:rPr>
                <w:rFonts w:hint="eastAsia" w:ascii="宋体" w:hAnsi="宋体" w:eastAsia="宋体" w:cs="宋体"/>
                <w:szCs w:val="21"/>
              </w:rPr>
              <w:t>综合污水</w:t>
            </w:r>
            <w:r>
              <w:rPr>
                <w:rFonts w:hint="eastAsia" w:eastAsia="宋体"/>
                <w:sz w:val="22"/>
                <w:szCs w:val="22"/>
              </w:rPr>
              <w:t>533190</w:t>
            </w:r>
          </w:p>
          <w:p>
            <w:pPr>
              <w:pStyle w:val="327"/>
              <w:keepNext w:val="0"/>
              <w:keepLines w:val="0"/>
              <w:widowControl/>
              <w:suppressLineNumbers w:val="0"/>
              <w:spacing w:before="0" w:beforeAutospacing="0" w:after="0" w:afterAutospacing="0"/>
              <w:ind w:left="0" w:right="0"/>
              <w:rPr>
                <w:kern w:val="2"/>
                <w:szCs w:val="21"/>
              </w:rPr>
            </w:pPr>
            <w:r>
              <w:rPr>
                <w:kern w:val="2"/>
                <w:szCs w:val="21"/>
              </w:rPr>
              <w:t>t/a</w:t>
            </w:r>
          </w:p>
        </w:tc>
        <w:tc>
          <w:tcPr>
            <w:tcW w:w="1830" w:type="dxa"/>
            <w:tcBorders>
              <w:top w:val="single" w:color="auto" w:sz="4" w:space="0"/>
              <w:bottom w:val="single" w:color="auto" w:sz="4" w:space="0"/>
            </w:tcBorders>
            <w:noWrap w:val="0"/>
            <w:vAlign w:val="center"/>
          </w:tcPr>
          <w:p>
            <w:pPr>
              <w:pStyle w:val="327"/>
              <w:keepNext w:val="0"/>
              <w:keepLines w:val="0"/>
              <w:widowControl/>
              <w:suppressLineNumbers w:val="0"/>
              <w:spacing w:before="0" w:beforeAutospacing="0" w:after="0" w:afterAutospacing="0"/>
              <w:ind w:left="0" w:right="0"/>
              <w:rPr>
                <w:kern w:val="2"/>
                <w:szCs w:val="21"/>
              </w:rPr>
            </w:pPr>
            <w:r>
              <w:rPr>
                <w:kern w:val="2"/>
                <w:szCs w:val="21"/>
              </w:rPr>
              <w:t>COD</w:t>
            </w:r>
          </w:p>
        </w:tc>
        <w:tc>
          <w:tcPr>
            <w:tcW w:w="2115" w:type="dxa"/>
            <w:tcBorders>
              <w:top w:val="single" w:color="auto" w:sz="4" w:space="0"/>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szCs w:val="21"/>
              </w:rPr>
              <w:t>25</w:t>
            </w:r>
            <w:r>
              <w:rPr>
                <w:rFonts w:hint="eastAsia"/>
                <w:szCs w:val="21"/>
              </w:rPr>
              <w:t>0</w:t>
            </w:r>
            <w:r>
              <w:rPr>
                <w:szCs w:val="21"/>
              </w:rPr>
              <w:t>mg/L</w:t>
            </w:r>
            <w:r>
              <w:rPr>
                <w:rFonts w:hint="eastAsia" w:ascii="宋体" w:hAnsi="宋体" w:eastAsia="宋体" w:cs="宋体"/>
                <w:szCs w:val="21"/>
              </w:rPr>
              <w:t>，</w:t>
            </w:r>
            <w:r>
              <w:rPr>
                <w:rFonts w:hint="eastAsia" w:eastAsia="宋体"/>
                <w:szCs w:val="21"/>
              </w:rPr>
              <w:t>133.3</w:t>
            </w:r>
            <w:r>
              <w:rPr>
                <w:szCs w:val="21"/>
              </w:rPr>
              <w:t>t/a</w:t>
            </w:r>
          </w:p>
        </w:tc>
        <w:tc>
          <w:tcPr>
            <w:tcW w:w="2140" w:type="dxa"/>
            <w:tcBorders>
              <w:top w:val="single" w:color="auto" w:sz="4" w:space="0"/>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szCs w:val="21"/>
              </w:rPr>
            </w:pPr>
            <w:r>
              <w:rPr>
                <w:szCs w:val="21"/>
              </w:rPr>
              <w:t>50mg/L</w:t>
            </w:r>
            <w:r>
              <w:rPr>
                <w:rFonts w:hint="eastAsia" w:ascii="宋体" w:hAnsi="宋体" w:eastAsia="宋体" w:cs="宋体"/>
                <w:szCs w:val="21"/>
              </w:rPr>
              <w:t>，</w:t>
            </w:r>
            <w:r>
              <w:rPr>
                <w:rFonts w:hint="eastAsia" w:eastAsia="宋体"/>
                <w:szCs w:val="21"/>
              </w:rPr>
              <w:t>26.66</w:t>
            </w:r>
            <w:r>
              <w:rPr>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keepNext w:val="0"/>
              <w:keepLines w:val="0"/>
              <w:suppressLineNumbers w:val="0"/>
              <w:spacing w:before="0" w:beforeAutospacing="0" w:after="0" w:afterAutospacing="0" w:line="300" w:lineRule="exact"/>
              <w:ind w:left="0" w:right="0"/>
              <w:jc w:val="center"/>
              <w:rPr>
                <w:sz w:val="24"/>
              </w:rPr>
            </w:pPr>
          </w:p>
        </w:tc>
        <w:tc>
          <w:tcPr>
            <w:tcW w:w="412" w:type="dxa"/>
            <w:gridSpan w:val="2"/>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832"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830" w:type="dxa"/>
            <w:tcBorders>
              <w:bottom w:val="single" w:color="auto" w:sz="4" w:space="0"/>
            </w:tcBorders>
            <w:noWrap w:val="0"/>
            <w:vAlign w:val="center"/>
          </w:tcPr>
          <w:p>
            <w:pPr>
              <w:pStyle w:val="327"/>
              <w:keepNext w:val="0"/>
              <w:keepLines w:val="0"/>
              <w:widowControl/>
              <w:suppressLineNumbers w:val="0"/>
              <w:spacing w:before="0" w:beforeAutospacing="0" w:after="0" w:afterAutospacing="0"/>
              <w:ind w:left="0" w:right="0"/>
              <w:rPr>
                <w:kern w:val="2"/>
                <w:szCs w:val="21"/>
              </w:rPr>
            </w:pPr>
            <w:r>
              <w:rPr>
                <w:kern w:val="2"/>
                <w:szCs w:val="21"/>
              </w:rPr>
              <w:t>BOD</w:t>
            </w:r>
            <w:r>
              <w:rPr>
                <w:kern w:val="2"/>
                <w:szCs w:val="21"/>
                <w:vertAlign w:val="subscript"/>
              </w:rPr>
              <w:t>5</w:t>
            </w:r>
          </w:p>
        </w:tc>
        <w:tc>
          <w:tcPr>
            <w:tcW w:w="2115"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eastAsia="宋体"/>
                <w:szCs w:val="21"/>
              </w:rPr>
              <w:t>4.05</w:t>
            </w:r>
            <w:r>
              <w:rPr>
                <w:szCs w:val="21"/>
              </w:rPr>
              <w:t>mg/L</w:t>
            </w:r>
            <w:r>
              <w:rPr>
                <w:rFonts w:hint="eastAsia" w:ascii="宋体" w:hAnsi="宋体" w:eastAsia="宋体" w:cs="宋体"/>
                <w:szCs w:val="21"/>
              </w:rPr>
              <w:t>，</w:t>
            </w:r>
            <w:r>
              <w:rPr>
                <w:rFonts w:hint="eastAsia" w:eastAsia="宋体"/>
                <w:szCs w:val="21"/>
              </w:rPr>
              <w:t>2.16</w:t>
            </w:r>
            <w:r>
              <w:rPr>
                <w:szCs w:val="21"/>
              </w:rPr>
              <w:t>t/a</w:t>
            </w:r>
          </w:p>
        </w:tc>
        <w:tc>
          <w:tcPr>
            <w:tcW w:w="2140" w:type="dxa"/>
            <w:tcBorders>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eastAsia="宋体"/>
                <w:szCs w:val="21"/>
              </w:rPr>
              <w:t>10</w:t>
            </w:r>
            <w:r>
              <w:rPr>
                <w:szCs w:val="21"/>
              </w:rPr>
              <w:t>mg/L</w:t>
            </w:r>
            <w:r>
              <w:rPr>
                <w:rFonts w:hint="eastAsia" w:ascii="宋体" w:hAnsi="宋体" w:eastAsia="宋体" w:cs="宋体"/>
                <w:szCs w:val="21"/>
              </w:rPr>
              <w:t>，</w:t>
            </w:r>
            <w:r>
              <w:rPr>
                <w:rFonts w:hint="eastAsia" w:eastAsia="宋体"/>
                <w:szCs w:val="21"/>
              </w:rPr>
              <w:t>5.33</w:t>
            </w:r>
            <w:r>
              <w:rPr>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keepNext w:val="0"/>
              <w:keepLines w:val="0"/>
              <w:suppressLineNumbers w:val="0"/>
              <w:spacing w:before="0" w:beforeAutospacing="0" w:after="0" w:afterAutospacing="0" w:line="300" w:lineRule="exact"/>
              <w:ind w:left="0" w:right="0"/>
              <w:jc w:val="center"/>
              <w:rPr>
                <w:sz w:val="24"/>
              </w:rPr>
            </w:pPr>
          </w:p>
        </w:tc>
        <w:tc>
          <w:tcPr>
            <w:tcW w:w="412" w:type="dxa"/>
            <w:gridSpan w:val="2"/>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832"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830" w:type="dxa"/>
            <w:noWrap w:val="0"/>
            <w:vAlign w:val="center"/>
          </w:tcPr>
          <w:p>
            <w:pPr>
              <w:pStyle w:val="327"/>
              <w:keepNext w:val="0"/>
              <w:keepLines w:val="0"/>
              <w:widowControl/>
              <w:suppressLineNumbers w:val="0"/>
              <w:spacing w:before="0" w:beforeAutospacing="0" w:after="0" w:afterAutospacing="0"/>
              <w:ind w:left="0" w:right="0"/>
              <w:rPr>
                <w:kern w:val="2"/>
                <w:szCs w:val="21"/>
              </w:rPr>
            </w:pPr>
            <w:r>
              <w:rPr>
                <w:kern w:val="2"/>
                <w:szCs w:val="21"/>
              </w:rPr>
              <w:t>NH</w:t>
            </w:r>
            <w:r>
              <w:rPr>
                <w:kern w:val="2"/>
                <w:szCs w:val="21"/>
                <w:vertAlign w:val="subscript"/>
              </w:rPr>
              <w:t>3</w:t>
            </w:r>
            <w:r>
              <w:rPr>
                <w:kern w:val="2"/>
                <w:szCs w:val="21"/>
              </w:rPr>
              <w:t>-N</w:t>
            </w:r>
          </w:p>
        </w:tc>
        <w:tc>
          <w:tcPr>
            <w:tcW w:w="2115"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eastAsia="宋体"/>
                <w:kern w:val="0"/>
                <w:szCs w:val="21"/>
              </w:rPr>
              <w:t>1.01</w:t>
            </w:r>
            <w:r>
              <w:rPr>
                <w:szCs w:val="21"/>
              </w:rPr>
              <w:t>mg/L</w:t>
            </w:r>
            <w:r>
              <w:rPr>
                <w:rFonts w:hint="eastAsia" w:ascii="宋体" w:hAnsi="宋体" w:eastAsia="宋体" w:cs="宋体"/>
                <w:szCs w:val="21"/>
              </w:rPr>
              <w:t>，</w:t>
            </w:r>
            <w:r>
              <w:rPr>
                <w:kern w:val="0"/>
                <w:szCs w:val="21"/>
              </w:rPr>
              <w:t>0.</w:t>
            </w:r>
            <w:r>
              <w:rPr>
                <w:rFonts w:hint="eastAsia" w:eastAsia="宋体"/>
                <w:kern w:val="0"/>
                <w:szCs w:val="21"/>
              </w:rPr>
              <w:t>54</w:t>
            </w:r>
            <w:r>
              <w:rPr>
                <w:szCs w:val="21"/>
              </w:rPr>
              <w:t>t/a</w:t>
            </w:r>
          </w:p>
        </w:tc>
        <w:tc>
          <w:tcPr>
            <w:tcW w:w="2140" w:type="dxa"/>
            <w:tcBorders>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eastAsia="宋体"/>
                <w:kern w:val="0"/>
                <w:szCs w:val="21"/>
              </w:rPr>
              <w:t>5</w:t>
            </w:r>
            <w:r>
              <w:rPr>
                <w:szCs w:val="21"/>
              </w:rPr>
              <w:t>mg/L</w:t>
            </w:r>
            <w:r>
              <w:rPr>
                <w:rFonts w:hint="eastAsia" w:ascii="宋体" w:hAnsi="宋体" w:eastAsia="宋体" w:cs="宋体"/>
                <w:szCs w:val="21"/>
              </w:rPr>
              <w:t>，</w:t>
            </w:r>
            <w:r>
              <w:rPr>
                <w:rFonts w:hint="eastAsia" w:eastAsia="宋体"/>
                <w:kern w:val="0"/>
                <w:szCs w:val="21"/>
              </w:rPr>
              <w:t>2.67</w:t>
            </w:r>
            <w:r>
              <w:rPr>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keepNext w:val="0"/>
              <w:keepLines w:val="0"/>
              <w:suppressLineNumbers w:val="0"/>
              <w:spacing w:before="0" w:beforeAutospacing="0" w:after="0" w:afterAutospacing="0" w:line="300" w:lineRule="exact"/>
              <w:ind w:left="0" w:right="0"/>
              <w:jc w:val="center"/>
              <w:rPr>
                <w:sz w:val="24"/>
              </w:rPr>
            </w:pPr>
          </w:p>
        </w:tc>
        <w:tc>
          <w:tcPr>
            <w:tcW w:w="412" w:type="dxa"/>
            <w:gridSpan w:val="2"/>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832"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830" w:type="dxa"/>
            <w:noWrap w:val="0"/>
            <w:vAlign w:val="center"/>
          </w:tcPr>
          <w:p>
            <w:pPr>
              <w:pStyle w:val="327"/>
              <w:keepNext w:val="0"/>
              <w:keepLines w:val="0"/>
              <w:widowControl/>
              <w:suppressLineNumbers w:val="0"/>
              <w:spacing w:before="0" w:beforeAutospacing="0" w:after="0" w:afterAutospacing="0"/>
              <w:ind w:left="0" w:right="0"/>
              <w:rPr>
                <w:kern w:val="2"/>
                <w:szCs w:val="21"/>
              </w:rPr>
            </w:pPr>
            <w:r>
              <w:rPr>
                <w:kern w:val="2"/>
                <w:szCs w:val="21"/>
              </w:rPr>
              <w:t>SS</w:t>
            </w:r>
          </w:p>
        </w:tc>
        <w:tc>
          <w:tcPr>
            <w:tcW w:w="2115"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szCs w:val="21"/>
              </w:rPr>
              <w:t>200</w:t>
            </w:r>
            <w:r>
              <w:rPr>
                <w:szCs w:val="21"/>
              </w:rPr>
              <w:t>mg/L</w:t>
            </w:r>
            <w:r>
              <w:rPr>
                <w:rFonts w:hAnsi="宋体" w:eastAsia="宋体"/>
                <w:szCs w:val="21"/>
              </w:rPr>
              <w:t>，</w:t>
            </w:r>
            <w:r>
              <w:rPr>
                <w:rFonts w:eastAsia="宋体"/>
                <w:szCs w:val="21"/>
              </w:rPr>
              <w:t>106.64</w:t>
            </w:r>
            <w:r>
              <w:rPr>
                <w:szCs w:val="21"/>
              </w:rPr>
              <w:t>t/a</w:t>
            </w:r>
          </w:p>
        </w:tc>
        <w:tc>
          <w:tcPr>
            <w:tcW w:w="2140" w:type="dxa"/>
            <w:tcBorders>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szCs w:val="21"/>
              </w:rPr>
            </w:pPr>
            <w:r>
              <w:rPr>
                <w:szCs w:val="21"/>
              </w:rPr>
              <w:t>10mg/L</w:t>
            </w:r>
            <w:r>
              <w:rPr>
                <w:rFonts w:hint="eastAsia" w:ascii="宋体" w:hAnsi="宋体" w:eastAsia="宋体" w:cs="宋体"/>
                <w:szCs w:val="21"/>
              </w:rPr>
              <w:t>，</w:t>
            </w:r>
            <w:r>
              <w:rPr>
                <w:rFonts w:hint="eastAsia" w:eastAsia="宋体"/>
                <w:szCs w:val="21"/>
              </w:rPr>
              <w:t>5.33</w:t>
            </w:r>
            <w:r>
              <w:rPr>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keepNext w:val="0"/>
              <w:keepLines w:val="0"/>
              <w:suppressLineNumbers w:val="0"/>
              <w:spacing w:before="0" w:beforeAutospacing="0" w:after="0" w:afterAutospacing="0" w:line="300" w:lineRule="exact"/>
              <w:ind w:left="0" w:right="0"/>
              <w:jc w:val="center"/>
              <w:rPr>
                <w:sz w:val="24"/>
              </w:rPr>
            </w:pPr>
          </w:p>
        </w:tc>
        <w:tc>
          <w:tcPr>
            <w:tcW w:w="412" w:type="dxa"/>
            <w:gridSpan w:val="2"/>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832" w:type="dxa"/>
            <w:vMerge w:val="continue"/>
            <w:noWrap w:val="0"/>
            <w:vAlign w:val="center"/>
          </w:tcPr>
          <w:p>
            <w:pPr>
              <w:keepNext w:val="0"/>
              <w:keepLines w:val="0"/>
              <w:suppressLineNumbers w:val="0"/>
              <w:spacing w:before="0" w:beforeAutospacing="0" w:after="0" w:afterAutospacing="0"/>
              <w:ind w:left="0" w:right="0"/>
              <w:jc w:val="center"/>
              <w:rPr>
                <w:szCs w:val="21"/>
              </w:rPr>
            </w:pPr>
          </w:p>
        </w:tc>
        <w:tc>
          <w:tcPr>
            <w:tcW w:w="1830" w:type="dxa"/>
            <w:noWrap w:val="0"/>
            <w:vAlign w:val="center"/>
          </w:tcPr>
          <w:p>
            <w:pPr>
              <w:pStyle w:val="327"/>
              <w:keepNext w:val="0"/>
              <w:keepLines w:val="0"/>
              <w:widowControl/>
              <w:suppressLineNumbers w:val="0"/>
              <w:spacing w:before="0" w:beforeAutospacing="0" w:after="0" w:afterAutospacing="0"/>
              <w:ind w:left="0" w:right="0"/>
              <w:rPr>
                <w:rFonts w:hint="eastAsia"/>
                <w:kern w:val="2"/>
                <w:szCs w:val="21"/>
              </w:rPr>
            </w:pPr>
            <w:r>
              <w:rPr>
                <w:rFonts w:hint="eastAsia" w:ascii="宋体" w:hAnsi="宋体" w:eastAsia="宋体" w:cs="宋体"/>
                <w:kern w:val="2"/>
                <w:szCs w:val="21"/>
              </w:rPr>
              <w:t>动植物油</w:t>
            </w:r>
          </w:p>
        </w:tc>
        <w:tc>
          <w:tcPr>
            <w:tcW w:w="2115"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szCs w:val="21"/>
              </w:rPr>
              <w:t>0.</w:t>
            </w:r>
            <w:r>
              <w:rPr>
                <w:rFonts w:hint="eastAsia" w:eastAsia="宋体"/>
                <w:szCs w:val="21"/>
              </w:rPr>
              <w:t>32</w:t>
            </w:r>
            <w:r>
              <w:rPr>
                <w:szCs w:val="21"/>
              </w:rPr>
              <w:t>mg/L</w:t>
            </w:r>
            <w:r>
              <w:rPr>
                <w:rFonts w:hint="eastAsia" w:ascii="宋体" w:hAnsi="宋体" w:eastAsia="宋体" w:cs="宋体"/>
                <w:szCs w:val="21"/>
              </w:rPr>
              <w:t>，</w:t>
            </w:r>
            <w:r>
              <w:rPr>
                <w:szCs w:val="21"/>
              </w:rPr>
              <w:t>0.1</w:t>
            </w:r>
            <w:r>
              <w:rPr>
                <w:rFonts w:hint="eastAsia" w:eastAsia="宋体"/>
                <w:szCs w:val="21"/>
              </w:rPr>
              <w:t>7</w:t>
            </w:r>
            <w:r>
              <w:rPr>
                <w:szCs w:val="21"/>
              </w:rPr>
              <w:t>t/a</w:t>
            </w:r>
          </w:p>
        </w:tc>
        <w:tc>
          <w:tcPr>
            <w:tcW w:w="2140" w:type="dxa"/>
            <w:tcBorders>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eastAsia="宋体"/>
                <w:szCs w:val="21"/>
              </w:rPr>
              <w:t>1</w:t>
            </w:r>
            <w:r>
              <w:rPr>
                <w:szCs w:val="21"/>
              </w:rPr>
              <w:t>mg/L</w:t>
            </w:r>
            <w:r>
              <w:rPr>
                <w:rFonts w:hint="eastAsia" w:ascii="宋体" w:hAnsi="宋体" w:eastAsia="宋体" w:cs="宋体"/>
                <w:szCs w:val="21"/>
              </w:rPr>
              <w:t>，</w:t>
            </w:r>
            <w:r>
              <w:rPr>
                <w:rFonts w:hint="eastAsia" w:eastAsia="宋体"/>
                <w:szCs w:val="21"/>
              </w:rPr>
              <w:t>0.53</w:t>
            </w:r>
            <w:r>
              <w:rPr>
                <w:szCs w:val="21"/>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restart"/>
            <w:tcBorders>
              <w:top w:val="single" w:color="auto" w:sz="4" w:space="0"/>
              <w:left w:val="single" w:color="auto" w:sz="12"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b/>
                <w:sz w:val="24"/>
                <w:szCs w:val="24"/>
              </w:rPr>
            </w:pPr>
            <w:r>
              <w:rPr>
                <w:rFonts w:hint="eastAsia" w:ascii="宋体" w:hAnsi="宋体" w:eastAsia="宋体" w:cs="宋体"/>
                <w:b/>
                <w:sz w:val="24"/>
                <w:szCs w:val="24"/>
              </w:rPr>
              <w:t>固体</w:t>
            </w:r>
          </w:p>
          <w:p>
            <w:pPr>
              <w:keepNext w:val="0"/>
              <w:keepLines w:val="0"/>
              <w:suppressLineNumbers w:val="0"/>
              <w:spacing w:before="0" w:beforeAutospacing="0" w:after="0" w:afterAutospacing="0"/>
              <w:ind w:left="0" w:right="0"/>
              <w:jc w:val="center"/>
              <w:rPr>
                <w:sz w:val="24"/>
              </w:rPr>
            </w:pPr>
            <w:r>
              <w:rPr>
                <w:rFonts w:hint="eastAsia" w:ascii="宋体" w:hAnsi="宋体" w:eastAsia="宋体" w:cs="宋体"/>
                <w:b/>
                <w:sz w:val="24"/>
              </w:rPr>
              <w:t>废物</w:t>
            </w:r>
          </w:p>
        </w:tc>
        <w:tc>
          <w:tcPr>
            <w:tcW w:w="389" w:type="dxa"/>
            <w:vMerge w:val="restart"/>
            <w:tcBorders>
              <w:top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施工</w:t>
            </w:r>
          </w:p>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期</w:t>
            </w:r>
          </w:p>
        </w:tc>
        <w:tc>
          <w:tcPr>
            <w:tcW w:w="1855" w:type="dxa"/>
            <w:gridSpan w:val="2"/>
            <w:tcBorders>
              <w:top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施工区</w:t>
            </w:r>
          </w:p>
        </w:tc>
        <w:tc>
          <w:tcPr>
            <w:tcW w:w="1830" w:type="dxa"/>
            <w:tcBorders>
              <w:top w:val="single" w:color="auto" w:sz="4" w:space="0"/>
              <w:bottom w:val="single" w:color="auto" w:sz="4" w:space="0"/>
            </w:tcBorders>
            <w:noWrap w:val="0"/>
            <w:tcMar>
              <w:left w:w="0" w:type="dxa"/>
              <w:right w:w="0" w:type="dxa"/>
            </w:tcMar>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建筑垃圾</w:t>
            </w:r>
          </w:p>
        </w:tc>
        <w:tc>
          <w:tcPr>
            <w:tcW w:w="2115" w:type="dxa"/>
            <w:tcBorders>
              <w:top w:val="single" w:color="auto" w:sz="4" w:space="0"/>
              <w:bottom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szCs w:val="21"/>
              </w:rPr>
              <w:t>6931t/a</w:t>
            </w:r>
          </w:p>
        </w:tc>
        <w:tc>
          <w:tcPr>
            <w:tcW w:w="2140" w:type="dxa"/>
            <w:tcBorders>
              <w:top w:val="single" w:color="auto" w:sz="4" w:space="0"/>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pStyle w:val="328"/>
              <w:keepNext w:val="0"/>
              <w:keepLines w:val="0"/>
              <w:suppressLineNumbers w:val="0"/>
              <w:adjustRightInd/>
              <w:spacing w:beforeAutospacing="0" w:afterAutospacing="0" w:line="240" w:lineRule="auto"/>
              <w:ind w:left="0" w:right="0"/>
              <w:textAlignment w:val="auto"/>
              <w:rPr>
                <w:b/>
                <w:sz w:val="24"/>
                <w:szCs w:val="24"/>
              </w:rPr>
            </w:pPr>
          </w:p>
        </w:tc>
        <w:tc>
          <w:tcPr>
            <w:tcW w:w="389" w:type="dxa"/>
            <w:vMerge w:val="continue"/>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p>
        </w:tc>
        <w:tc>
          <w:tcPr>
            <w:tcW w:w="1855" w:type="dxa"/>
            <w:gridSpan w:val="2"/>
            <w:tcBorders>
              <w:top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施工人员</w:t>
            </w:r>
          </w:p>
        </w:tc>
        <w:tc>
          <w:tcPr>
            <w:tcW w:w="1830" w:type="dxa"/>
            <w:tcBorders>
              <w:top w:val="single" w:color="auto" w:sz="4" w:space="0"/>
              <w:bottom w:val="single" w:color="auto" w:sz="4" w:space="0"/>
            </w:tcBorders>
            <w:noWrap w:val="0"/>
            <w:tcMar>
              <w:left w:w="0" w:type="dxa"/>
              <w:right w:w="0" w:type="dxa"/>
            </w:tcMar>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生活垃圾</w:t>
            </w:r>
          </w:p>
        </w:tc>
        <w:tc>
          <w:tcPr>
            <w:tcW w:w="2115" w:type="dxa"/>
            <w:tcBorders>
              <w:top w:val="single" w:color="auto" w:sz="4" w:space="0"/>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49.5t/a</w:t>
            </w:r>
          </w:p>
        </w:tc>
        <w:tc>
          <w:tcPr>
            <w:tcW w:w="2140" w:type="dxa"/>
            <w:tcBorders>
              <w:top w:val="single" w:color="auto" w:sz="4" w:space="0"/>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keepNext w:val="0"/>
              <w:keepLines w:val="0"/>
              <w:suppressLineNumbers w:val="0"/>
              <w:spacing w:before="0" w:beforeAutospacing="0" w:after="0" w:afterAutospacing="0" w:line="300" w:lineRule="exact"/>
              <w:ind w:left="0" w:right="0"/>
              <w:jc w:val="center"/>
              <w:rPr>
                <w:sz w:val="24"/>
              </w:rPr>
            </w:pPr>
          </w:p>
        </w:tc>
        <w:tc>
          <w:tcPr>
            <w:tcW w:w="389" w:type="dxa"/>
            <w:vMerge w:val="restart"/>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营运期</w:t>
            </w:r>
          </w:p>
        </w:tc>
        <w:tc>
          <w:tcPr>
            <w:tcW w:w="1855" w:type="dxa"/>
            <w:gridSpan w:val="2"/>
            <w:tcBorders>
              <w:top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办公人员</w:t>
            </w:r>
          </w:p>
        </w:tc>
        <w:tc>
          <w:tcPr>
            <w:tcW w:w="1830" w:type="dxa"/>
            <w:tcBorders>
              <w:top w:val="single" w:color="auto" w:sz="4" w:space="0"/>
              <w:bottom w:val="single" w:color="auto" w:sz="4" w:space="0"/>
            </w:tcBorders>
            <w:noWrap w:val="0"/>
            <w:tcMar>
              <w:left w:w="0" w:type="dxa"/>
              <w:right w:w="0" w:type="dxa"/>
            </w:tcMar>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生活垃圾</w:t>
            </w:r>
          </w:p>
        </w:tc>
        <w:tc>
          <w:tcPr>
            <w:tcW w:w="2115" w:type="dxa"/>
            <w:tcBorders>
              <w:top w:val="single" w:color="auto" w:sz="4" w:space="0"/>
              <w:bottom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sz w:val="21"/>
                <w:szCs w:val="21"/>
              </w:rPr>
              <w:t>1</w:t>
            </w:r>
            <w:r>
              <w:rPr>
                <w:rFonts w:hint="eastAsia" w:eastAsia="宋体"/>
                <w:sz w:val="21"/>
                <w:szCs w:val="21"/>
              </w:rPr>
              <w:t>80</w:t>
            </w:r>
            <w:r>
              <w:rPr>
                <w:rFonts w:hint="eastAsia"/>
                <w:sz w:val="21"/>
                <w:szCs w:val="21"/>
              </w:rPr>
              <w:t>t</w:t>
            </w:r>
            <w:r>
              <w:rPr>
                <w:sz w:val="21"/>
                <w:szCs w:val="21"/>
              </w:rPr>
              <w:t>/a</w:t>
            </w:r>
          </w:p>
        </w:tc>
        <w:tc>
          <w:tcPr>
            <w:tcW w:w="2140" w:type="dxa"/>
            <w:tcBorders>
              <w:top w:val="single" w:color="auto" w:sz="4" w:space="0"/>
              <w:bottom w:val="single" w:color="auto" w:sz="4" w:space="0"/>
              <w:right w:val="single" w:color="auto" w:sz="12"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tcBorders>
            <w:noWrap w:val="0"/>
            <w:vAlign w:val="center"/>
          </w:tcPr>
          <w:p>
            <w:pPr>
              <w:keepNext w:val="0"/>
              <w:keepLines w:val="0"/>
              <w:suppressLineNumbers w:val="0"/>
              <w:spacing w:before="0" w:beforeAutospacing="0" w:after="0" w:afterAutospacing="0" w:line="300" w:lineRule="exact"/>
              <w:ind w:left="0" w:right="0"/>
              <w:jc w:val="center"/>
              <w:rPr>
                <w:sz w:val="24"/>
              </w:rPr>
            </w:pPr>
          </w:p>
        </w:tc>
        <w:tc>
          <w:tcPr>
            <w:tcW w:w="389" w:type="dxa"/>
            <w:vMerge w:val="continue"/>
            <w:noWrap w:val="0"/>
            <w:vAlign w:val="center"/>
          </w:tcPr>
          <w:p>
            <w:pPr>
              <w:keepNext w:val="0"/>
              <w:keepLines w:val="0"/>
              <w:suppressLineNumbers w:val="0"/>
              <w:spacing w:before="0" w:beforeAutospacing="0" w:after="0" w:afterAutospacing="0"/>
              <w:ind w:left="0" w:right="0"/>
              <w:jc w:val="center"/>
              <w:rPr>
                <w:rFonts w:hint="eastAsia"/>
                <w:szCs w:val="21"/>
              </w:rPr>
            </w:pPr>
          </w:p>
        </w:tc>
        <w:tc>
          <w:tcPr>
            <w:tcW w:w="1855" w:type="dxa"/>
            <w:gridSpan w:val="2"/>
            <w:tcBorders>
              <w:top w:val="single" w:color="auto" w:sz="4" w:space="0"/>
              <w:bottom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一般固废</w:t>
            </w:r>
          </w:p>
        </w:tc>
        <w:tc>
          <w:tcPr>
            <w:tcW w:w="1830" w:type="dxa"/>
            <w:tcBorders>
              <w:top w:val="single" w:color="auto" w:sz="4" w:space="0"/>
              <w:bottom w:val="single" w:color="auto" w:sz="4" w:space="0"/>
            </w:tcBorders>
            <w:noWrap w:val="0"/>
            <w:tcMar>
              <w:left w:w="0" w:type="dxa"/>
              <w:right w:w="0" w:type="dxa"/>
            </w:tcMar>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不合格品、废硅屑、废金刚线、废玻璃板、压滤饼、污泥等</w:t>
            </w:r>
          </w:p>
        </w:tc>
        <w:tc>
          <w:tcPr>
            <w:tcW w:w="2115" w:type="dxa"/>
            <w:tcBorders>
              <w:top w:val="single" w:color="auto" w:sz="4" w:space="0"/>
              <w:bottom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eastAsia="宋体"/>
                <w:sz w:val="21"/>
                <w:szCs w:val="21"/>
              </w:rPr>
              <w:t>16575</w:t>
            </w:r>
            <w:r>
              <w:rPr>
                <w:sz w:val="21"/>
                <w:szCs w:val="21"/>
              </w:rPr>
              <w:t>t/a</w:t>
            </w:r>
          </w:p>
        </w:tc>
        <w:tc>
          <w:tcPr>
            <w:tcW w:w="2140" w:type="dxa"/>
            <w:tcBorders>
              <w:top w:val="single" w:color="auto" w:sz="4" w:space="0"/>
              <w:bottom w:val="single" w:color="auto" w:sz="4" w:space="0"/>
              <w:right w:val="single" w:color="auto" w:sz="12"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left w:val="single" w:color="auto" w:sz="12" w:space="0"/>
              <w:bottom w:val="single" w:color="auto" w:sz="4" w:space="0"/>
            </w:tcBorders>
            <w:noWrap w:val="0"/>
            <w:vAlign w:val="center"/>
          </w:tcPr>
          <w:p>
            <w:pPr>
              <w:keepNext w:val="0"/>
              <w:keepLines w:val="0"/>
              <w:suppressLineNumbers w:val="0"/>
              <w:spacing w:before="0" w:beforeAutospacing="0" w:after="0" w:afterAutospacing="0" w:line="300" w:lineRule="exact"/>
              <w:ind w:left="0" w:right="0"/>
              <w:jc w:val="center"/>
              <w:rPr>
                <w:sz w:val="24"/>
              </w:rPr>
            </w:pPr>
          </w:p>
        </w:tc>
        <w:tc>
          <w:tcPr>
            <w:tcW w:w="389" w:type="dxa"/>
            <w:vMerge w:val="continue"/>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p>
        </w:tc>
        <w:tc>
          <w:tcPr>
            <w:tcW w:w="1855" w:type="dxa"/>
            <w:gridSpan w:val="2"/>
            <w:tcBorders>
              <w:top w:val="single" w:color="auto" w:sz="4" w:space="0"/>
              <w:bottom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危险废物</w:t>
            </w:r>
          </w:p>
        </w:tc>
        <w:tc>
          <w:tcPr>
            <w:tcW w:w="1830" w:type="dxa"/>
            <w:tcBorders>
              <w:top w:val="single" w:color="auto" w:sz="4" w:space="0"/>
              <w:bottom w:val="single" w:color="auto" w:sz="4" w:space="0"/>
            </w:tcBorders>
            <w:noWrap w:val="0"/>
            <w:tcMar>
              <w:left w:w="0" w:type="dxa"/>
              <w:right w:w="0" w:type="dxa"/>
            </w:tcMar>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ascii="宋体" w:hAnsi="宋体" w:eastAsia="宋体" w:cs="宋体"/>
                <w:sz w:val="21"/>
                <w:szCs w:val="21"/>
              </w:rPr>
              <w:t>废活性炭</w:t>
            </w:r>
          </w:p>
        </w:tc>
        <w:tc>
          <w:tcPr>
            <w:tcW w:w="2115" w:type="dxa"/>
            <w:tcBorders>
              <w:top w:val="single" w:color="auto" w:sz="4" w:space="0"/>
              <w:bottom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eastAsia="宋体"/>
                <w:sz w:val="21"/>
                <w:szCs w:val="21"/>
              </w:rPr>
              <w:t>0.42</w:t>
            </w:r>
            <w:r>
              <w:rPr>
                <w:sz w:val="21"/>
                <w:szCs w:val="21"/>
              </w:rPr>
              <w:t>t/a</w:t>
            </w:r>
          </w:p>
        </w:tc>
        <w:tc>
          <w:tcPr>
            <w:tcW w:w="2140" w:type="dxa"/>
            <w:tcBorders>
              <w:top w:val="single" w:color="auto" w:sz="4" w:space="0"/>
              <w:bottom w:val="single" w:color="auto" w:sz="4" w:space="0"/>
              <w:right w:val="single" w:color="auto" w:sz="12"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sz w:val="21"/>
                <w:szCs w:val="21"/>
              </w:rPr>
            </w:pPr>
            <w:r>
              <w:rPr>
                <w:rFonts w:hint="eastAsia"/>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restart"/>
            <w:tcBorders>
              <w:top w:val="single" w:color="auto" w:sz="4" w:space="0"/>
              <w:left w:val="single" w:color="auto" w:sz="12" w:space="0"/>
            </w:tcBorders>
            <w:noWrap w:val="0"/>
            <w:vAlign w:val="center"/>
          </w:tcPr>
          <w:p>
            <w:pPr>
              <w:keepNext w:val="0"/>
              <w:keepLines w:val="0"/>
              <w:suppressLineNumbers w:val="0"/>
              <w:spacing w:before="0" w:beforeAutospacing="0" w:after="0" w:afterAutospacing="0" w:line="360" w:lineRule="exact"/>
              <w:ind w:left="0" w:right="0"/>
              <w:jc w:val="center"/>
              <w:rPr>
                <w:rFonts w:hint="eastAsia"/>
                <w:sz w:val="24"/>
              </w:rPr>
            </w:pPr>
            <w:r>
              <w:rPr>
                <w:rFonts w:hint="eastAsia" w:ascii="宋体" w:hAnsi="宋体" w:eastAsia="宋体" w:cs="宋体"/>
                <w:b/>
                <w:bCs/>
                <w:sz w:val="24"/>
              </w:rPr>
              <w:t>噪声</w:t>
            </w:r>
          </w:p>
        </w:tc>
        <w:tc>
          <w:tcPr>
            <w:tcW w:w="389"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施工</w:t>
            </w:r>
          </w:p>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期</w:t>
            </w:r>
          </w:p>
        </w:tc>
        <w:tc>
          <w:tcPr>
            <w:tcW w:w="1855" w:type="dxa"/>
            <w:gridSpan w:val="2"/>
            <w:tcBorders>
              <w:top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kern w:val="21"/>
                <w:sz w:val="21"/>
                <w:szCs w:val="21"/>
              </w:rPr>
            </w:pPr>
            <w:r>
              <w:rPr>
                <w:rFonts w:hint="eastAsia" w:ascii="宋体" w:hAnsi="宋体" w:eastAsia="宋体" w:cs="宋体"/>
                <w:kern w:val="21"/>
                <w:sz w:val="21"/>
                <w:szCs w:val="21"/>
              </w:rPr>
              <w:t>施工噪声</w:t>
            </w:r>
          </w:p>
        </w:tc>
        <w:tc>
          <w:tcPr>
            <w:tcW w:w="1830" w:type="dxa"/>
            <w:tcBorders>
              <w:top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kern w:val="21"/>
                <w:sz w:val="21"/>
                <w:szCs w:val="21"/>
              </w:rPr>
            </w:pPr>
            <w:r>
              <w:rPr>
                <w:rFonts w:hint="eastAsia" w:ascii="宋体" w:hAnsi="宋体" w:eastAsia="宋体" w:cs="宋体"/>
                <w:kern w:val="21"/>
                <w:sz w:val="21"/>
                <w:szCs w:val="21"/>
              </w:rPr>
              <w:t>机械施工噪声</w:t>
            </w:r>
          </w:p>
        </w:tc>
        <w:tc>
          <w:tcPr>
            <w:tcW w:w="2115" w:type="dxa"/>
            <w:tcBorders>
              <w:top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rFonts w:hint="eastAsia"/>
                <w:kern w:val="21"/>
                <w:sz w:val="21"/>
                <w:szCs w:val="21"/>
              </w:rPr>
            </w:pPr>
            <w:r>
              <w:rPr>
                <w:rFonts w:hint="eastAsia"/>
                <w:kern w:val="21"/>
                <w:sz w:val="21"/>
                <w:szCs w:val="21"/>
              </w:rPr>
              <w:t>75</w:t>
            </w:r>
            <w:r>
              <w:rPr>
                <w:rFonts w:hint="eastAsia" w:ascii="宋体" w:hAnsi="宋体" w:eastAsia="宋体" w:cs="宋体"/>
                <w:kern w:val="21"/>
                <w:sz w:val="21"/>
                <w:szCs w:val="21"/>
              </w:rPr>
              <w:t>～</w:t>
            </w:r>
            <w:r>
              <w:rPr>
                <w:kern w:val="21"/>
                <w:sz w:val="21"/>
                <w:szCs w:val="21"/>
              </w:rPr>
              <w:t>110dB</w:t>
            </w:r>
            <w:r>
              <w:rPr>
                <w:rFonts w:hint="eastAsia" w:ascii="宋体" w:hAnsi="宋体" w:eastAsia="宋体" w:cs="宋体"/>
                <w:kern w:val="21"/>
                <w:sz w:val="21"/>
                <w:szCs w:val="21"/>
              </w:rPr>
              <w:t>（</w:t>
            </w:r>
            <w:r>
              <w:rPr>
                <w:kern w:val="21"/>
                <w:sz w:val="21"/>
                <w:szCs w:val="21"/>
              </w:rPr>
              <w:t>A</w:t>
            </w:r>
            <w:r>
              <w:rPr>
                <w:rFonts w:hint="eastAsia" w:ascii="宋体" w:hAnsi="宋体" w:eastAsia="宋体" w:cs="宋体"/>
                <w:kern w:val="21"/>
                <w:sz w:val="21"/>
                <w:szCs w:val="21"/>
              </w:rPr>
              <w:t>）</w:t>
            </w:r>
          </w:p>
        </w:tc>
        <w:tc>
          <w:tcPr>
            <w:tcW w:w="2140" w:type="dxa"/>
            <w:tcBorders>
              <w:top w:val="single" w:color="auto" w:sz="4" w:space="0"/>
              <w:right w:val="single" w:color="auto" w:sz="12" w:space="0"/>
            </w:tcBorders>
            <w:noWrap w:val="0"/>
            <w:vAlign w:val="center"/>
          </w:tcPr>
          <w:p>
            <w:pPr>
              <w:pStyle w:val="31"/>
              <w:keepNext w:val="0"/>
              <w:keepLines w:val="0"/>
              <w:suppressLineNumbers w:val="0"/>
              <w:snapToGrid/>
              <w:spacing w:before="0" w:beforeAutospacing="0" w:after="0" w:afterAutospacing="0"/>
              <w:ind w:left="0" w:right="0"/>
              <w:jc w:val="center"/>
              <w:rPr>
                <w:kern w:val="21"/>
                <w:sz w:val="21"/>
                <w:szCs w:val="21"/>
              </w:rPr>
            </w:pPr>
            <w:r>
              <w:rPr>
                <w:kern w:val="21"/>
                <w:sz w:val="21"/>
                <w:szCs w:val="21"/>
              </w:rPr>
              <w:t>≤70dB(A)(</w:t>
            </w:r>
            <w:r>
              <w:rPr>
                <w:rFonts w:hint="eastAsia" w:ascii="宋体" w:hAnsi="宋体" w:eastAsia="宋体" w:cs="宋体"/>
                <w:kern w:val="21"/>
                <w:sz w:val="21"/>
                <w:szCs w:val="21"/>
              </w:rPr>
              <w:t>昼间</w:t>
            </w:r>
            <w:r>
              <w:rPr>
                <w:kern w:val="21"/>
                <w:sz w:val="21"/>
                <w:szCs w:val="21"/>
              </w:rPr>
              <w:t>)</w:t>
            </w:r>
          </w:p>
          <w:p>
            <w:pPr>
              <w:pStyle w:val="31"/>
              <w:keepNext w:val="0"/>
              <w:keepLines w:val="0"/>
              <w:suppressLineNumbers w:val="0"/>
              <w:snapToGrid/>
              <w:spacing w:before="0" w:beforeAutospacing="0" w:after="0" w:afterAutospacing="0"/>
              <w:ind w:left="0" w:right="0"/>
              <w:jc w:val="center"/>
              <w:rPr>
                <w:rFonts w:hint="eastAsia"/>
                <w:kern w:val="21"/>
                <w:sz w:val="21"/>
                <w:szCs w:val="21"/>
              </w:rPr>
            </w:pPr>
            <w:r>
              <w:rPr>
                <w:kern w:val="21"/>
                <w:sz w:val="21"/>
                <w:szCs w:val="21"/>
              </w:rPr>
              <w:t>≤55dB(A)(</w:t>
            </w:r>
            <w:r>
              <w:rPr>
                <w:rFonts w:hint="eastAsia" w:ascii="宋体" w:hAnsi="宋体" w:eastAsia="宋体" w:cs="宋体"/>
                <w:kern w:val="21"/>
                <w:sz w:val="21"/>
                <w:szCs w:val="21"/>
              </w:rPr>
              <w:t>夜间</w:t>
            </w:r>
            <w:r>
              <w:rPr>
                <w:kern w:val="21"/>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vMerge w:val="continue"/>
            <w:tcBorders>
              <w:top w:val="single" w:color="auto" w:sz="4" w:space="0"/>
              <w:left w:val="single" w:color="auto" w:sz="12" w:space="0"/>
            </w:tcBorders>
            <w:noWrap w:val="0"/>
            <w:vAlign w:val="center"/>
          </w:tcPr>
          <w:p>
            <w:pPr>
              <w:keepNext w:val="0"/>
              <w:keepLines w:val="0"/>
              <w:suppressLineNumbers w:val="0"/>
              <w:spacing w:before="0" w:beforeAutospacing="0" w:after="0" w:afterAutospacing="0" w:line="360" w:lineRule="exact"/>
              <w:ind w:left="0" w:right="0"/>
              <w:jc w:val="center"/>
              <w:rPr>
                <w:rFonts w:hint="eastAsia"/>
                <w:b/>
                <w:bCs/>
                <w:sz w:val="24"/>
              </w:rPr>
            </w:pPr>
          </w:p>
        </w:tc>
        <w:tc>
          <w:tcPr>
            <w:tcW w:w="389"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营运期</w:t>
            </w:r>
          </w:p>
        </w:tc>
        <w:tc>
          <w:tcPr>
            <w:tcW w:w="1855" w:type="dxa"/>
            <w:gridSpan w:val="2"/>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szCs w:val="21"/>
              </w:rPr>
            </w:pPr>
            <w:r>
              <w:rPr>
                <w:rFonts w:hint="eastAsia" w:ascii="宋体" w:hAnsi="宋体" w:eastAsia="宋体" w:cs="宋体"/>
                <w:szCs w:val="21"/>
              </w:rPr>
              <w:t>生产设备</w:t>
            </w:r>
          </w:p>
        </w:tc>
        <w:tc>
          <w:tcPr>
            <w:tcW w:w="1830" w:type="dxa"/>
            <w:tcBorders>
              <w:top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kern w:val="21"/>
                <w:sz w:val="21"/>
                <w:szCs w:val="21"/>
              </w:rPr>
            </w:pPr>
            <w:r>
              <w:rPr>
                <w:rFonts w:hint="eastAsia" w:ascii="宋体" w:hAnsi="宋体" w:eastAsia="宋体" w:cs="宋体"/>
                <w:kern w:val="21"/>
                <w:sz w:val="21"/>
                <w:szCs w:val="21"/>
              </w:rPr>
              <w:t>机械噪声</w:t>
            </w:r>
          </w:p>
        </w:tc>
        <w:tc>
          <w:tcPr>
            <w:tcW w:w="2115" w:type="dxa"/>
            <w:tcBorders>
              <w:top w:val="single" w:color="auto" w:sz="4" w:space="0"/>
            </w:tcBorders>
            <w:noWrap w:val="0"/>
            <w:vAlign w:val="center"/>
          </w:tcPr>
          <w:p>
            <w:pPr>
              <w:pStyle w:val="31"/>
              <w:keepNext w:val="0"/>
              <w:keepLines w:val="0"/>
              <w:suppressLineNumbers w:val="0"/>
              <w:snapToGrid/>
              <w:spacing w:before="0" w:beforeAutospacing="0" w:after="0" w:afterAutospacing="0"/>
              <w:ind w:left="0" w:right="0"/>
              <w:jc w:val="center"/>
              <w:rPr>
                <w:kern w:val="21"/>
                <w:sz w:val="21"/>
                <w:szCs w:val="21"/>
              </w:rPr>
            </w:pPr>
            <w:r>
              <w:rPr>
                <w:kern w:val="21"/>
                <w:sz w:val="21"/>
                <w:szCs w:val="21"/>
              </w:rPr>
              <w:t>75</w:t>
            </w:r>
            <w:r>
              <w:rPr>
                <w:rFonts w:hint="eastAsia" w:ascii="宋体" w:hAnsi="宋体" w:eastAsia="宋体" w:cs="宋体"/>
                <w:kern w:val="21"/>
                <w:sz w:val="21"/>
                <w:szCs w:val="21"/>
              </w:rPr>
              <w:t>～</w:t>
            </w:r>
            <w:r>
              <w:rPr>
                <w:kern w:val="21"/>
                <w:sz w:val="21"/>
                <w:szCs w:val="21"/>
              </w:rPr>
              <w:t>90dB</w:t>
            </w:r>
            <w:r>
              <w:rPr>
                <w:rFonts w:hint="eastAsia" w:ascii="宋体" w:hAnsi="宋体" w:eastAsia="宋体" w:cs="宋体"/>
                <w:kern w:val="21"/>
                <w:sz w:val="21"/>
                <w:szCs w:val="21"/>
              </w:rPr>
              <w:t>（</w:t>
            </w:r>
            <w:r>
              <w:rPr>
                <w:kern w:val="21"/>
                <w:sz w:val="21"/>
                <w:szCs w:val="21"/>
              </w:rPr>
              <w:t>A</w:t>
            </w:r>
            <w:r>
              <w:rPr>
                <w:rFonts w:hint="eastAsia" w:ascii="宋体" w:hAnsi="宋体" w:eastAsia="宋体" w:cs="宋体"/>
                <w:kern w:val="21"/>
                <w:sz w:val="21"/>
                <w:szCs w:val="21"/>
              </w:rPr>
              <w:t>）</w:t>
            </w:r>
          </w:p>
        </w:tc>
        <w:tc>
          <w:tcPr>
            <w:tcW w:w="2140" w:type="dxa"/>
            <w:tcBorders>
              <w:top w:val="single" w:color="auto" w:sz="4" w:space="0"/>
              <w:right w:val="single" w:color="auto" w:sz="12" w:space="0"/>
            </w:tcBorders>
            <w:noWrap w:val="0"/>
            <w:vAlign w:val="center"/>
          </w:tcPr>
          <w:p>
            <w:pPr>
              <w:pStyle w:val="31"/>
              <w:keepNext w:val="0"/>
              <w:keepLines w:val="0"/>
              <w:suppressLineNumbers w:val="0"/>
              <w:snapToGrid/>
              <w:spacing w:before="0" w:beforeAutospacing="0" w:after="0" w:afterAutospacing="0"/>
              <w:ind w:left="0" w:right="0"/>
              <w:jc w:val="center"/>
              <w:rPr>
                <w:kern w:val="21"/>
                <w:sz w:val="21"/>
                <w:szCs w:val="21"/>
              </w:rPr>
            </w:pPr>
            <w:r>
              <w:rPr>
                <w:kern w:val="21"/>
                <w:sz w:val="21"/>
                <w:szCs w:val="21"/>
              </w:rPr>
              <w:t>≤65dB(A)(</w:t>
            </w:r>
            <w:r>
              <w:rPr>
                <w:rFonts w:hint="eastAsia" w:ascii="宋体" w:hAnsi="宋体" w:eastAsia="宋体" w:cs="宋体"/>
                <w:kern w:val="21"/>
                <w:sz w:val="21"/>
                <w:szCs w:val="21"/>
              </w:rPr>
              <w:t>昼间</w:t>
            </w:r>
            <w:r>
              <w:rPr>
                <w:kern w:val="21"/>
                <w:sz w:val="21"/>
                <w:szCs w:val="21"/>
              </w:rPr>
              <w:t>)</w:t>
            </w:r>
          </w:p>
          <w:p>
            <w:pPr>
              <w:pStyle w:val="31"/>
              <w:keepNext w:val="0"/>
              <w:keepLines w:val="0"/>
              <w:suppressLineNumbers w:val="0"/>
              <w:snapToGrid/>
              <w:spacing w:before="0" w:beforeAutospacing="0" w:after="0" w:afterAutospacing="0"/>
              <w:ind w:left="0" w:right="0"/>
              <w:jc w:val="center"/>
              <w:rPr>
                <w:kern w:val="21"/>
                <w:sz w:val="21"/>
                <w:szCs w:val="21"/>
              </w:rPr>
            </w:pPr>
            <w:r>
              <w:rPr>
                <w:kern w:val="21"/>
                <w:sz w:val="21"/>
                <w:szCs w:val="21"/>
              </w:rPr>
              <w:t>≤55dB(A)(</w:t>
            </w:r>
            <w:r>
              <w:rPr>
                <w:rFonts w:hint="eastAsia" w:ascii="宋体" w:hAnsi="宋体" w:eastAsia="宋体" w:cs="宋体"/>
                <w:kern w:val="21"/>
                <w:sz w:val="21"/>
                <w:szCs w:val="21"/>
              </w:rPr>
              <w:t>夜间</w:t>
            </w:r>
            <w:r>
              <w:rPr>
                <w:kern w:val="21"/>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7" w:type="dxa"/>
            <w:tcBorders>
              <w:left w:val="single" w:color="auto" w:sz="12" w:space="0"/>
              <w:bottom w:val="single" w:color="auto" w:sz="4" w:space="0"/>
            </w:tcBorders>
            <w:noWrap w:val="0"/>
            <w:vAlign w:val="center"/>
          </w:tcPr>
          <w:p>
            <w:pPr>
              <w:keepNext w:val="0"/>
              <w:keepLines w:val="0"/>
              <w:suppressLineNumbers w:val="0"/>
              <w:spacing w:before="0" w:beforeAutospacing="0" w:after="0" w:afterAutospacing="0"/>
              <w:ind w:left="0" w:right="0"/>
              <w:jc w:val="center"/>
              <w:rPr>
                <w:sz w:val="24"/>
              </w:rPr>
            </w:pPr>
            <w:r>
              <w:rPr>
                <w:rFonts w:hint="eastAsia" w:ascii="宋体" w:hAnsi="宋体" w:eastAsia="宋体" w:cs="宋体"/>
                <w:b/>
                <w:bCs/>
                <w:sz w:val="24"/>
              </w:rPr>
              <w:t>其他</w:t>
            </w:r>
          </w:p>
        </w:tc>
        <w:tc>
          <w:tcPr>
            <w:tcW w:w="8329" w:type="dxa"/>
            <w:gridSpan w:val="6"/>
            <w:tcBorders>
              <w:bottom w:val="single" w:color="auto" w:sz="4" w:space="0"/>
              <w:right w:val="single" w:color="auto" w:sz="12" w:space="0"/>
            </w:tcBorders>
            <w:noWrap w:val="0"/>
            <w:vAlign w:val="center"/>
          </w:tcPr>
          <w:p>
            <w:pPr>
              <w:keepNext w:val="0"/>
              <w:keepLines w:val="0"/>
              <w:suppressLineNumbers w:val="0"/>
              <w:spacing w:before="0" w:beforeAutospacing="0" w:after="0" w:afterAutospacing="0"/>
              <w:ind w:left="0" w:right="0"/>
              <w:jc w:val="center"/>
              <w:rPr>
                <w:szCs w:val="21"/>
              </w:rPr>
            </w:pPr>
            <w:r>
              <w:rPr>
                <w:rFonts w:hint="eastAsia" w:ascii="宋体" w:hAnsi="宋体" w:eastAsia="宋体" w:cs="宋体"/>
                <w:szCs w:val="21"/>
              </w:rPr>
              <w:t>无</w:t>
            </w:r>
          </w:p>
        </w:tc>
      </w:tr>
    </w:tbl>
    <w:p>
      <w:pPr>
        <w:pStyle w:val="46"/>
        <w:rPr>
          <w:rFonts w:hint="eastAsia"/>
          <w:lang w:val="en-US" w:eastAsia="zh-CN"/>
        </w:rPr>
      </w:pPr>
    </w:p>
    <w:p>
      <w:pPr>
        <w:pStyle w:val="5"/>
        <w:bidi w:val="0"/>
        <w:rPr>
          <w:rFonts w:hint="default"/>
          <w:lang w:val="en-US" w:eastAsia="zh-CN"/>
        </w:rPr>
      </w:pPr>
      <w:bookmarkStart w:id="219" w:name="_Toc5204"/>
      <w:r>
        <w:rPr>
          <w:rFonts w:hint="eastAsia"/>
          <w:lang w:val="en-US" w:eastAsia="zh-CN"/>
        </w:rPr>
        <w:t>2.7</w:t>
      </w:r>
      <w:r>
        <w:rPr>
          <w:rFonts w:hint="default"/>
          <w:lang w:val="en-US" w:eastAsia="zh-CN"/>
        </w:rPr>
        <w:t>环境风险识别</w:t>
      </w:r>
      <w:bookmarkEnd w:id="219"/>
    </w:p>
    <w:p>
      <w:pPr>
        <w:pStyle w:val="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0"/>
        <w:jc w:val="both"/>
        <w:textAlignment w:val="auto"/>
        <w:rPr>
          <w:rFonts w:hint="default" w:ascii="Times New Roman" w:hAnsi="Times New Roman" w:eastAsia="宋体" w:cs="Times New Roman"/>
          <w:b/>
          <w:bCs/>
          <w:sz w:val="24"/>
          <w:szCs w:val="24"/>
        </w:rPr>
      </w:pPr>
      <w:r>
        <w:rPr>
          <w:rFonts w:hint="eastAsia" w:cs="Times New Roman"/>
          <w:b/>
          <w:bCs/>
          <w:sz w:val="24"/>
          <w:szCs w:val="24"/>
          <w:lang w:val="en-US" w:eastAsia="zh-CN"/>
        </w:rPr>
        <w:t>2.7</w:t>
      </w:r>
      <w:r>
        <w:rPr>
          <w:rFonts w:hint="default" w:ascii="Times New Roman" w:hAnsi="Times New Roman" w:eastAsia="宋体" w:cs="Times New Roman"/>
          <w:b/>
          <w:bCs/>
          <w:sz w:val="24"/>
          <w:szCs w:val="24"/>
        </w:rPr>
        <w:t>. 1.重大危险源辨识</w:t>
      </w:r>
    </w:p>
    <w:p>
      <w:pPr>
        <w:pStyle w:val="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firstLine="480" w:firstLineChars="200"/>
        <w:jc w:val="center"/>
        <w:textAlignment w:val="auto"/>
        <w:rPr>
          <w:rFonts w:hint="default" w:ascii="Times New Roman" w:hAnsi="Times New Roman" w:eastAsia="宋体" w:cs="Times New Roman"/>
          <w:b w:val="0"/>
          <w:bCs w:val="0"/>
          <w:color w:val="000000"/>
          <w:kern w:val="2"/>
          <w:sz w:val="24"/>
          <w:szCs w:val="24"/>
          <w:lang w:val="en-US" w:eastAsia="zh-CN" w:bidi="ar-SA"/>
        </w:rPr>
      </w:pPr>
    </w:p>
    <w:p>
      <w:pPr>
        <w:pStyle w:val="2"/>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0"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kern w:val="2"/>
          <w:sz w:val="24"/>
          <w:szCs w:val="24"/>
          <w:lang w:val="en-US" w:eastAsia="zh-CN" w:bidi="ar-SA"/>
        </w:rPr>
        <w:t>《建设项目环境风险评价技术导则》（HJ/T169-2004)中附录A.1中关于物质危险性标准见表</w:t>
      </w:r>
      <w:r>
        <w:rPr>
          <w:rFonts w:hint="eastAsia" w:cs="Times New Roman"/>
          <w:b w:val="0"/>
          <w:bCs w:val="0"/>
          <w:color w:val="000000"/>
          <w:kern w:val="2"/>
          <w:sz w:val="24"/>
          <w:szCs w:val="24"/>
          <w:lang w:val="en-US" w:eastAsia="zh-CN" w:bidi="ar-SA"/>
        </w:rPr>
        <w:t>2.7</w:t>
      </w:r>
      <w:r>
        <w:rPr>
          <w:rFonts w:hint="default" w:ascii="Times New Roman" w:hAnsi="Times New Roman" w:eastAsia="宋体" w:cs="Times New Roman"/>
          <w:b w:val="0"/>
          <w:bCs w:val="0"/>
          <w:color w:val="000000"/>
          <w:kern w:val="2"/>
          <w:sz w:val="24"/>
          <w:szCs w:val="24"/>
          <w:lang w:val="en-US" w:eastAsia="zh-CN" w:bidi="ar-SA"/>
        </w:rPr>
        <w:t>-1.</w:t>
      </w:r>
    </w:p>
    <w:p>
      <w:pPr>
        <w:pStyle w:val="2"/>
        <w:keepNext w:val="0"/>
        <w:keepLines w:val="0"/>
        <w:pageBreakBefore w:val="0"/>
        <w:kinsoku/>
        <w:wordWrap/>
        <w:overflowPunct/>
        <w:topLinePunct w:val="0"/>
        <w:bidi w:val="0"/>
        <w:spacing w:before="0" w:beforeAutospacing="0" w:after="0" w:afterAutospacing="0" w:line="360" w:lineRule="auto"/>
        <w:ind w:left="0" w:leftChars="0" w:right="0" w:firstLine="240" w:firstLineChars="200"/>
        <w:rPr>
          <w:rFonts w:hint="default" w:ascii="Times New Roman" w:hAnsi="Times New Roman" w:eastAsia="宋体" w:cs="Times New Roman"/>
          <w:sz w:val="12"/>
        </w:rPr>
      </w:pPr>
    </w:p>
    <w:p>
      <w:pPr>
        <w:pStyle w:val="2"/>
        <w:keepNext w:val="0"/>
        <w:keepLines w:val="0"/>
        <w:pageBreakBefore w:val="0"/>
        <w:kinsoku/>
        <w:wordWrap/>
        <w:overflowPunct/>
        <w:topLinePunct w:val="0"/>
        <w:bidi w:val="0"/>
        <w:spacing w:before="0" w:beforeAutospacing="0" w:after="0" w:afterAutospacing="0" w:line="360" w:lineRule="auto"/>
        <w:ind w:left="0" w:leftChars="0" w:right="0" w:firstLine="422" w:firstLineChars="200"/>
        <w:jc w:val="center"/>
        <w:rPr>
          <w:rFonts w:hint="default" w:ascii="Times New Roman" w:hAnsi="Times New Roman" w:eastAsia="宋体" w:cs="Times New Roman"/>
          <w:b/>
          <w:bCs/>
        </w:rPr>
      </w:pPr>
      <w:r>
        <w:rPr>
          <w:rFonts w:hint="default" w:ascii="Times New Roman" w:hAnsi="Times New Roman" w:eastAsia="宋体" w:cs="Times New Roman"/>
          <w:b/>
          <w:bCs/>
        </w:rPr>
        <w:t xml:space="preserve">表 </w:t>
      </w:r>
      <w:r>
        <w:rPr>
          <w:rFonts w:hint="eastAsia" w:cs="Times New Roman"/>
          <w:b/>
          <w:bCs/>
          <w:lang w:val="en-US" w:eastAsia="zh-CN"/>
        </w:rPr>
        <w:t>2.7</w:t>
      </w:r>
      <w:r>
        <w:rPr>
          <w:rFonts w:hint="default" w:ascii="Times New Roman" w:hAnsi="Times New Roman" w:eastAsia="宋体" w:cs="Times New Roman"/>
          <w:b/>
          <w:bCs/>
        </w:rPr>
        <w:t>-</w:t>
      </w:r>
      <w:r>
        <w:rPr>
          <w:rFonts w:hint="eastAsia" w:ascii="Times New Roman" w:hAnsi="Times New Roman" w:cs="Times New Roman"/>
          <w:b/>
          <w:bCs/>
          <w:lang w:val="en-US" w:eastAsia="zh-CN"/>
        </w:rPr>
        <w:t>1</w:t>
      </w:r>
      <w:r>
        <w:rPr>
          <w:rFonts w:hint="default" w:ascii="Times New Roman" w:hAnsi="Times New Roman" w:eastAsia="宋体" w:cs="Times New Roman"/>
          <w:b/>
          <w:bCs/>
        </w:rPr>
        <w:t xml:space="preserve">  物质危险性标准</w:t>
      </w:r>
    </w:p>
    <w:tbl>
      <w:tblPr>
        <w:tblStyle w:val="47"/>
        <w:tblW w:w="0" w:type="auto"/>
        <w:tblInd w:w="28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74"/>
        <w:gridCol w:w="864"/>
        <w:gridCol w:w="2326"/>
        <w:gridCol w:w="2208"/>
        <w:gridCol w:w="2527"/>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3" w:hRule="atLeast"/>
        </w:trPr>
        <w:tc>
          <w:tcPr>
            <w:tcW w:w="674" w:type="dxa"/>
            <w:tcBorders>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物质</w:t>
            </w: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类别</w:t>
            </w:r>
          </w:p>
        </w:tc>
        <w:tc>
          <w:tcPr>
            <w:tcW w:w="864" w:type="dxa"/>
            <w:tcBorders>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等级</w:t>
            </w:r>
          </w:p>
        </w:tc>
        <w:tc>
          <w:tcPr>
            <w:tcW w:w="2326" w:type="dxa"/>
            <w:tcBorders>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LD50 (大鼠经口)</w:t>
            </w: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（mg/kg）</w:t>
            </w:r>
          </w:p>
        </w:tc>
        <w:tc>
          <w:tcPr>
            <w:tcW w:w="2208" w:type="dxa"/>
            <w:tcBorders>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LD50 (大鼠经皮)</w:t>
            </w: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（mg/kg）</w:t>
            </w:r>
          </w:p>
        </w:tc>
        <w:tc>
          <w:tcPr>
            <w:tcW w:w="2527" w:type="dxa"/>
            <w:tcBorders>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LC50（小鼠吸入，4 小时）</w:t>
            </w: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（mg/L）</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1" w:hRule="atLeast"/>
        </w:trPr>
        <w:tc>
          <w:tcPr>
            <w:tcW w:w="674" w:type="dxa"/>
            <w:vMerge w:val="restart"/>
            <w:tcBorders>
              <w:top w:val="single" w:color="000000" w:sz="6" w:space="0"/>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有毒物质</w:t>
            </w: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1</w:t>
            </w:r>
          </w:p>
        </w:tc>
        <w:tc>
          <w:tcPr>
            <w:tcW w:w="2326"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&lt;5</w:t>
            </w:r>
          </w:p>
        </w:tc>
        <w:tc>
          <w:tcPr>
            <w:tcW w:w="2208"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&lt;10</w:t>
            </w:r>
          </w:p>
        </w:tc>
        <w:tc>
          <w:tcPr>
            <w:tcW w:w="2527" w:type="dxa"/>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&lt;0.1</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3" w:hRule="atLeast"/>
        </w:trPr>
        <w:tc>
          <w:tcPr>
            <w:tcW w:w="674" w:type="dxa"/>
            <w:vMerge w:val="continue"/>
            <w:tcBorders>
              <w:top w:val="nil"/>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2</w:t>
            </w:r>
          </w:p>
        </w:tc>
        <w:tc>
          <w:tcPr>
            <w:tcW w:w="2326"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5&lt;LD50&lt;25</w:t>
            </w:r>
          </w:p>
        </w:tc>
        <w:tc>
          <w:tcPr>
            <w:tcW w:w="2208"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10&lt;LD50&lt;50</w:t>
            </w:r>
          </w:p>
        </w:tc>
        <w:tc>
          <w:tcPr>
            <w:tcW w:w="2527" w:type="dxa"/>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0.1&lt;LC50&lt;0.5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9" w:hRule="atLeast"/>
        </w:trPr>
        <w:tc>
          <w:tcPr>
            <w:tcW w:w="674" w:type="dxa"/>
            <w:vMerge w:val="continue"/>
            <w:tcBorders>
              <w:top w:val="nil"/>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3</w:t>
            </w:r>
          </w:p>
        </w:tc>
        <w:tc>
          <w:tcPr>
            <w:tcW w:w="2326"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25&lt;LD50&lt;200</w:t>
            </w:r>
          </w:p>
        </w:tc>
        <w:tc>
          <w:tcPr>
            <w:tcW w:w="2208"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50&lt;LD50&lt;400</w:t>
            </w:r>
          </w:p>
        </w:tc>
        <w:tc>
          <w:tcPr>
            <w:tcW w:w="2527" w:type="dxa"/>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0.5&lt;LC50&lt;2</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4" w:hRule="atLeast"/>
        </w:trPr>
        <w:tc>
          <w:tcPr>
            <w:tcW w:w="674" w:type="dxa"/>
            <w:vMerge w:val="restart"/>
            <w:tcBorders>
              <w:top w:val="single" w:color="000000" w:sz="6" w:space="0"/>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易燃</w:t>
            </w: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物质</w:t>
            </w: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1</w:t>
            </w:r>
          </w:p>
        </w:tc>
        <w:tc>
          <w:tcPr>
            <w:tcW w:w="7061" w:type="dxa"/>
            <w:gridSpan w:val="3"/>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可燃气体－在常压下以气态存在并与空气混合形成可燃混合物；其沸点（常压下）是 20℃或 20℃以下的物质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2" w:hRule="atLeast"/>
        </w:trPr>
        <w:tc>
          <w:tcPr>
            <w:tcW w:w="674" w:type="dxa"/>
            <w:vMerge w:val="continue"/>
            <w:tcBorders>
              <w:top w:val="nil"/>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2</w:t>
            </w:r>
          </w:p>
        </w:tc>
        <w:tc>
          <w:tcPr>
            <w:tcW w:w="7061" w:type="dxa"/>
            <w:gridSpan w:val="3"/>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易燃液体－闪点低于 21℃，沸点高于 20℃的物质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4" w:hRule="atLeast"/>
        </w:trPr>
        <w:tc>
          <w:tcPr>
            <w:tcW w:w="674" w:type="dxa"/>
            <w:vMerge w:val="continue"/>
            <w:tcBorders>
              <w:top w:val="nil"/>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3</w:t>
            </w:r>
          </w:p>
        </w:tc>
        <w:tc>
          <w:tcPr>
            <w:tcW w:w="7061" w:type="dxa"/>
            <w:gridSpan w:val="3"/>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可燃液体－闪点低于 55℃，压力下保持液态，在实际操作条件下（如高温高压）可以引起重大事故的物质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3" w:hRule="atLeast"/>
        </w:trPr>
        <w:tc>
          <w:tcPr>
            <w:tcW w:w="1538" w:type="dxa"/>
            <w:gridSpan w:val="2"/>
            <w:tcBorders>
              <w:top w:val="single" w:color="000000" w:sz="6" w:space="0"/>
              <w:left w:val="nil"/>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爆炸性物质</w:t>
            </w:r>
          </w:p>
        </w:tc>
        <w:tc>
          <w:tcPr>
            <w:tcW w:w="7061" w:type="dxa"/>
            <w:gridSpan w:val="3"/>
            <w:tcBorders>
              <w:top w:val="single" w:color="000000" w:sz="6" w:space="0"/>
              <w:left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在火焰影响下可以爆炸，或者对冲击、摩擦比硝基苯更为敏感的物质</w:t>
            </w:r>
          </w:p>
        </w:tc>
      </w:tr>
    </w:tbl>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kern w:val="2"/>
          <w:sz w:val="24"/>
          <w:szCs w:val="24"/>
          <w:lang w:val="en-US" w:eastAsia="zh-CN" w:bidi="ar-SA"/>
        </w:rPr>
      </w:pPr>
      <w:r>
        <w:rPr>
          <w:rFonts w:hint="default" w:ascii="Times New Roman" w:hAnsi="Times New Roman" w:eastAsia="宋体" w:cs="Times New Roman"/>
          <w:b w:val="0"/>
          <w:bCs w:val="0"/>
          <w:color w:val="000000"/>
          <w:kern w:val="2"/>
          <w:sz w:val="24"/>
          <w:szCs w:val="24"/>
          <w:lang w:val="en-US" w:eastAsia="zh-CN" w:bidi="ar-SA"/>
        </w:rPr>
        <w:t>注：（1）符合有毒物质判定标准序号为 1、2 的物质，属于剧毒物质；符合有毒物质判定标准序号 3 的属于一般毒物。</w:t>
      </w:r>
    </w:p>
    <w:p>
      <w:pPr>
        <w:keepNext w:val="0"/>
        <w:keepLines w:val="0"/>
        <w:pageBreakBefore w:val="0"/>
        <w:widowControl w:val="0"/>
        <w:numPr>
          <w:ilvl w:val="0"/>
          <w:numId w:val="3"/>
        </w:numPr>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sz w:val="24"/>
          <w:szCs w:val="24"/>
          <w:lang w:val="en-US" w:eastAsia="zh-CN"/>
        </w:rPr>
      </w:pPr>
      <w:r>
        <w:rPr>
          <w:rFonts w:hint="default" w:ascii="Times New Roman" w:hAnsi="Times New Roman" w:eastAsia="宋体" w:cs="Times New Roman"/>
          <w:b w:val="0"/>
          <w:bCs w:val="0"/>
          <w:color w:val="000000"/>
          <w:kern w:val="2"/>
          <w:sz w:val="24"/>
          <w:szCs w:val="24"/>
          <w:lang w:val="en-US" w:eastAsia="zh-CN" w:bidi="ar-SA"/>
        </w:rPr>
        <w:t>凡符合易燃物质和爆炸性物质标准的物质， 均视为火灾、爆炸危险物质。</w:t>
      </w:r>
    </w:p>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eastAsia" w:ascii="Times New Roman" w:hAnsi="Times New Roman" w:eastAsia="宋体" w:cs="宋体"/>
          <w:kern w:val="2"/>
          <w:sz w:val="24"/>
          <w:szCs w:val="24"/>
          <w:lang w:val="en-US" w:eastAsia="zh-CN" w:bidi="ar"/>
        </w:rPr>
        <w:t>根据《建设项目环境风险评价技术导则》</w:t>
      </w:r>
      <w:r>
        <w:rPr>
          <w:rFonts w:hint="default" w:ascii="Times New Roman" w:hAnsi="Times New Roman" w:eastAsia="宋体" w:cs="Times New Roman"/>
          <w:kern w:val="2"/>
          <w:sz w:val="24"/>
          <w:szCs w:val="24"/>
          <w:lang w:val="en-US" w:eastAsia="zh-CN" w:bidi="ar"/>
        </w:rPr>
        <w:t>(HJ 169-2018)</w:t>
      </w:r>
      <w:r>
        <w:rPr>
          <w:rFonts w:hint="eastAsia" w:ascii="Times New Roman" w:hAnsi="Times New Roman" w:eastAsia="宋体" w:cs="宋体"/>
          <w:kern w:val="2"/>
          <w:sz w:val="24"/>
          <w:szCs w:val="24"/>
          <w:lang w:val="en-US" w:eastAsia="zh-CN" w:bidi="ar"/>
        </w:rPr>
        <w:t>中附录</w:t>
      </w:r>
      <w:r>
        <w:rPr>
          <w:rFonts w:hint="default" w:ascii="Times New Roman" w:hAnsi="Times New Roman" w:eastAsia="宋体" w:cs="Times New Roman"/>
          <w:kern w:val="2"/>
          <w:sz w:val="24"/>
          <w:szCs w:val="24"/>
          <w:lang w:val="en-US" w:eastAsia="zh-CN" w:bidi="ar"/>
        </w:rPr>
        <w:t>C</w:t>
      </w:r>
      <w:r>
        <w:rPr>
          <w:rFonts w:hint="eastAsia" w:ascii="Times New Roman" w:hAnsi="Times New Roman" w:eastAsia="宋体" w:cs="宋体"/>
          <w:kern w:val="2"/>
          <w:sz w:val="24"/>
          <w:szCs w:val="24"/>
          <w:lang w:val="en-US" w:eastAsia="zh-CN" w:bidi="ar"/>
        </w:rPr>
        <w:t>，计算所涉及的每种危险物质在厂界内的最大存在总量与其在附录</w:t>
      </w:r>
      <w:r>
        <w:rPr>
          <w:rFonts w:hint="default" w:ascii="Times New Roman" w:hAnsi="Times New Roman" w:eastAsia="宋体" w:cs="Times New Roman"/>
          <w:kern w:val="2"/>
          <w:sz w:val="24"/>
          <w:szCs w:val="24"/>
          <w:lang w:val="en-US" w:eastAsia="zh-CN" w:bidi="ar"/>
        </w:rPr>
        <w:t>B</w:t>
      </w:r>
      <w:r>
        <w:rPr>
          <w:rFonts w:hint="eastAsia" w:ascii="Times New Roman" w:hAnsi="Times New Roman" w:eastAsia="宋体" w:cs="宋体"/>
          <w:kern w:val="2"/>
          <w:sz w:val="24"/>
          <w:szCs w:val="24"/>
          <w:lang w:val="en-US" w:eastAsia="zh-CN" w:bidi="ar"/>
        </w:rPr>
        <w:t>中对应临界量的比值</w:t>
      </w:r>
      <w:r>
        <w:rPr>
          <w:rFonts w:hint="default" w:ascii="Times New Roman" w:hAnsi="Times New Roman" w:eastAsia="宋体" w:cs="Times New Roman"/>
          <w:kern w:val="2"/>
          <w:sz w:val="24"/>
          <w:szCs w:val="24"/>
          <w:lang w:val="en-US" w:eastAsia="zh-CN" w:bidi="ar"/>
        </w:rPr>
        <w:t xml:space="preserve"> Q</w:t>
      </w:r>
      <w:r>
        <w:rPr>
          <w:rFonts w:hint="eastAsia" w:ascii="Times New Roman" w:hAnsi="Times New Roman" w:eastAsia="宋体" w:cs="宋体"/>
          <w:kern w:val="2"/>
          <w:sz w:val="24"/>
          <w:szCs w:val="24"/>
          <w:lang w:val="en-US" w:eastAsia="zh-CN" w:bidi="ar"/>
        </w:rPr>
        <w:t>。在不同厂区的同一种物质，按其在厂界内的最大存在总量计算。对于长输管线项目，按照两个截断阀室之间管段危险物质最大存在总量计算。</w:t>
      </w:r>
    </w:p>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eastAsia" w:ascii="Times New Roman" w:hAnsi="Times New Roman" w:eastAsia="宋体" w:cs="宋体"/>
          <w:kern w:val="2"/>
          <w:sz w:val="24"/>
          <w:szCs w:val="24"/>
          <w:lang w:val="en-US" w:eastAsia="zh-CN" w:bidi="ar"/>
        </w:rPr>
        <w:t>当只涉及一种危险物质时，计算该物质的总量与其临界量比值，即为</w:t>
      </w:r>
      <w:r>
        <w:rPr>
          <w:rFonts w:hint="default" w:ascii="Times New Roman" w:hAnsi="Times New Roman" w:eastAsia="宋体" w:cs="Times New Roman"/>
          <w:kern w:val="2"/>
          <w:sz w:val="24"/>
          <w:szCs w:val="24"/>
          <w:lang w:val="en-US" w:eastAsia="zh-CN" w:bidi="ar"/>
        </w:rPr>
        <w:t>Q</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 xml:space="preserve"> </w:t>
      </w:r>
    </w:p>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eastAsia" w:ascii="Times New Roman" w:hAnsi="Times New Roman" w:eastAsia="宋体" w:cs="宋体"/>
          <w:kern w:val="2"/>
          <w:sz w:val="24"/>
          <w:szCs w:val="24"/>
          <w:lang w:val="en-US" w:eastAsia="zh-CN" w:bidi="ar"/>
        </w:rPr>
        <w:t>当存在多种危险物质时，则按下式计算物质总量与其临界量比值（</w:t>
      </w:r>
      <w:r>
        <w:rPr>
          <w:rFonts w:hint="default" w:ascii="Times New Roman" w:hAnsi="Times New Roman" w:eastAsia="宋体" w:cs="Times New Roman"/>
          <w:kern w:val="2"/>
          <w:sz w:val="24"/>
          <w:szCs w:val="24"/>
          <w:lang w:val="en-US" w:eastAsia="zh-CN" w:bidi="ar"/>
        </w:rPr>
        <w:t>Q</w:t>
      </w:r>
      <w:r>
        <w:rPr>
          <w:rFonts w:hint="eastAsia" w:ascii="Times New Roman" w:hAnsi="Times New Roman" w:eastAsia="宋体" w:cs="宋体"/>
          <w:kern w:val="2"/>
          <w:sz w:val="24"/>
          <w:szCs w:val="24"/>
          <w:lang w:val="en-US" w:eastAsia="zh-CN" w:bidi="ar"/>
        </w:rPr>
        <w:t>）：</w:t>
      </w:r>
    </w:p>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default" w:ascii="Times New Roman" w:hAnsi="Times New Roman" w:eastAsia="宋体" w:cs="Times New Roman"/>
          <w:kern w:val="2"/>
          <w:sz w:val="24"/>
          <w:szCs w:val="24"/>
          <w:lang w:val="en-US" w:eastAsia="zh-CN" w:bidi="ar"/>
        </w:rPr>
        <w:drawing>
          <wp:inline distT="0" distB="0" distL="114300" distR="114300">
            <wp:extent cx="1390650" cy="447675"/>
            <wp:effectExtent l="0" t="0" r="0" b="9525"/>
            <wp:docPr id="3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8"/>
                    <pic:cNvPicPr>
                      <a:picLocks noChangeAspect="1"/>
                    </pic:cNvPicPr>
                  </pic:nvPicPr>
                  <pic:blipFill>
                    <a:blip r:embed="rId22"/>
                    <a:stretch>
                      <a:fillRect/>
                    </a:stretch>
                  </pic:blipFill>
                  <pic:spPr>
                    <a:xfrm>
                      <a:off x="0" y="0"/>
                      <a:ext cx="1390650" cy="447675"/>
                    </a:xfrm>
                    <a:prstGeom prst="rect">
                      <a:avLst/>
                    </a:prstGeom>
                    <a:noFill/>
                    <a:ln>
                      <a:noFill/>
                    </a:ln>
                  </pic:spPr>
                </pic:pic>
              </a:graphicData>
            </a:graphic>
          </wp:inline>
        </w:drawing>
      </w:r>
    </w:p>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eastAsia" w:ascii="Times New Roman" w:hAnsi="Times New Roman" w:eastAsia="宋体" w:cs="宋体"/>
          <w:kern w:val="2"/>
          <w:sz w:val="24"/>
          <w:szCs w:val="24"/>
          <w:lang w:val="en-US" w:eastAsia="zh-CN" w:bidi="ar"/>
        </w:rPr>
        <w:t>危险物质数量与临界量的比值（</w:t>
      </w:r>
      <w:r>
        <w:rPr>
          <w:rFonts w:hint="default" w:ascii="Times New Roman" w:hAnsi="Times New Roman" w:eastAsia="宋体" w:cs="Times New Roman"/>
          <w:kern w:val="2"/>
          <w:sz w:val="24"/>
          <w:szCs w:val="24"/>
          <w:lang w:val="en-US" w:eastAsia="zh-CN" w:bidi="ar"/>
        </w:rPr>
        <w:t>Q</w:t>
      </w:r>
      <w:r>
        <w:rPr>
          <w:rFonts w:hint="eastAsia" w:ascii="Times New Roman" w:hAnsi="Times New Roman" w:eastAsia="宋体" w:cs="宋体"/>
          <w:kern w:val="2"/>
          <w:sz w:val="24"/>
          <w:szCs w:val="24"/>
          <w:lang w:val="en-US" w:eastAsia="zh-CN" w:bidi="ar"/>
        </w:rPr>
        <w:t>）计算方法见如下公式：</w:t>
      </w:r>
    </w:p>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eastAsia" w:ascii="Times New Roman" w:hAnsi="Times New Roman" w:eastAsia="宋体" w:cs="宋体"/>
          <w:kern w:val="2"/>
          <w:sz w:val="24"/>
          <w:szCs w:val="24"/>
          <w:lang w:val="en-US" w:eastAsia="zh-CN" w:bidi="ar"/>
        </w:rPr>
        <w:t>式中：</w:t>
      </w:r>
      <w:r>
        <w:rPr>
          <w:rFonts w:hint="default" w:ascii="Times New Roman" w:hAnsi="Times New Roman" w:eastAsia="宋体" w:cs="Times New Roman"/>
          <w:kern w:val="2"/>
          <w:sz w:val="24"/>
          <w:szCs w:val="24"/>
          <w:lang w:val="en-US" w:eastAsia="zh-CN" w:bidi="ar"/>
        </w:rPr>
        <w:t>q1</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q2</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…qn——</w:t>
      </w:r>
      <w:r>
        <w:rPr>
          <w:rFonts w:hint="eastAsia" w:ascii="Times New Roman" w:hAnsi="Times New Roman" w:eastAsia="宋体" w:cs="宋体"/>
          <w:kern w:val="2"/>
          <w:sz w:val="24"/>
          <w:szCs w:val="24"/>
          <w:lang w:val="en-US" w:eastAsia="zh-CN" w:bidi="ar"/>
        </w:rPr>
        <w:t>每种危险物质的最大存在总量，</w:t>
      </w:r>
      <w:r>
        <w:rPr>
          <w:rFonts w:hint="default" w:ascii="Times New Roman" w:hAnsi="Times New Roman" w:eastAsia="宋体" w:cs="Times New Roman"/>
          <w:kern w:val="2"/>
          <w:sz w:val="24"/>
          <w:szCs w:val="24"/>
          <w:lang w:val="en-US" w:eastAsia="zh-CN" w:bidi="ar"/>
        </w:rPr>
        <w:t>t</w:t>
      </w:r>
      <w:r>
        <w:rPr>
          <w:rFonts w:hint="eastAsia" w:ascii="Times New Roman" w:hAnsi="Times New Roman" w:eastAsia="宋体" w:cs="宋体"/>
          <w:kern w:val="2"/>
          <w:sz w:val="24"/>
          <w:szCs w:val="24"/>
          <w:lang w:val="en-US" w:eastAsia="zh-CN" w:bidi="ar"/>
        </w:rPr>
        <w:t>；</w:t>
      </w:r>
    </w:p>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default" w:ascii="Times New Roman" w:hAnsi="Times New Roman" w:eastAsia="宋体" w:cs="Times New Roman"/>
          <w:kern w:val="2"/>
          <w:sz w:val="24"/>
          <w:szCs w:val="24"/>
          <w:lang w:val="en-US" w:eastAsia="zh-CN" w:bidi="ar"/>
        </w:rPr>
        <w:t>Q1</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Q2</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…Qn——</w:t>
      </w:r>
      <w:r>
        <w:rPr>
          <w:rFonts w:hint="eastAsia" w:ascii="Times New Roman" w:hAnsi="Times New Roman" w:eastAsia="宋体" w:cs="宋体"/>
          <w:kern w:val="2"/>
          <w:sz w:val="24"/>
          <w:szCs w:val="24"/>
          <w:lang w:val="en-US" w:eastAsia="zh-CN" w:bidi="ar"/>
        </w:rPr>
        <w:t>每种危险物质的临界量，</w:t>
      </w:r>
      <w:r>
        <w:rPr>
          <w:rFonts w:hint="default" w:ascii="Times New Roman" w:hAnsi="Times New Roman" w:eastAsia="宋体" w:cs="Times New Roman"/>
          <w:kern w:val="2"/>
          <w:sz w:val="24"/>
          <w:szCs w:val="24"/>
          <w:lang w:val="en-US" w:eastAsia="zh-CN" w:bidi="ar"/>
        </w:rPr>
        <w:t>t</w:t>
      </w:r>
      <w:r>
        <w:rPr>
          <w:rFonts w:hint="eastAsia" w:ascii="Times New Roman" w:hAnsi="Times New Roman" w:eastAsia="宋体" w:cs="宋体"/>
          <w:kern w:val="2"/>
          <w:sz w:val="24"/>
          <w:szCs w:val="24"/>
          <w:lang w:val="en-US" w:eastAsia="zh-CN" w:bidi="ar"/>
        </w:rPr>
        <w:t>。</w:t>
      </w:r>
    </w:p>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eastAsia" w:ascii="Times New Roman" w:hAnsi="Times New Roman" w:eastAsia="宋体" w:cs="宋体"/>
          <w:kern w:val="2"/>
          <w:sz w:val="24"/>
          <w:szCs w:val="24"/>
          <w:lang w:val="en-US" w:eastAsia="zh-CN" w:bidi="ar"/>
        </w:rPr>
        <w:t>当</w:t>
      </w:r>
      <w:r>
        <w:rPr>
          <w:rFonts w:hint="default" w:ascii="Times New Roman" w:hAnsi="Times New Roman" w:eastAsia="宋体" w:cs="Times New Roman"/>
          <w:kern w:val="2"/>
          <w:sz w:val="24"/>
          <w:szCs w:val="24"/>
          <w:lang w:val="en-US" w:eastAsia="zh-CN" w:bidi="ar"/>
        </w:rPr>
        <w:t>Q&lt;1</w:t>
      </w:r>
      <w:r>
        <w:rPr>
          <w:rFonts w:hint="eastAsia" w:ascii="Times New Roman" w:hAnsi="Times New Roman" w:eastAsia="宋体" w:cs="宋体"/>
          <w:kern w:val="2"/>
          <w:sz w:val="24"/>
          <w:szCs w:val="24"/>
          <w:lang w:val="en-US" w:eastAsia="zh-CN" w:bidi="ar"/>
        </w:rPr>
        <w:t>时，该项目环境风险潜势为</w:t>
      </w:r>
      <w:r>
        <w:rPr>
          <w:rFonts w:hint="default" w:ascii="Times New Roman" w:hAnsi="Times New Roman" w:eastAsia="宋体" w:cs="Times New Roman"/>
          <w:kern w:val="2"/>
          <w:sz w:val="24"/>
          <w:szCs w:val="24"/>
          <w:lang w:val="en-US" w:eastAsia="zh-CN" w:bidi="ar"/>
        </w:rPr>
        <w:t>Ⅰ</w:t>
      </w:r>
      <w:r>
        <w:rPr>
          <w:rFonts w:hint="eastAsia" w:ascii="Times New Roman" w:hAnsi="Times New Roman" w:eastAsia="宋体" w:cs="宋体"/>
          <w:kern w:val="2"/>
          <w:sz w:val="24"/>
          <w:szCs w:val="24"/>
          <w:lang w:val="en-US" w:eastAsia="zh-CN" w:bidi="ar"/>
        </w:rPr>
        <w:t>。当</w:t>
      </w:r>
      <w:r>
        <w:rPr>
          <w:rFonts w:hint="default" w:ascii="Times New Roman" w:hAnsi="Times New Roman" w:eastAsia="宋体" w:cs="Times New Roman"/>
          <w:kern w:val="2"/>
          <w:sz w:val="24"/>
          <w:szCs w:val="24"/>
          <w:lang w:val="en-US" w:eastAsia="zh-CN" w:bidi="ar"/>
        </w:rPr>
        <w:t>Q≥1</w:t>
      </w:r>
      <w:r>
        <w:rPr>
          <w:rFonts w:hint="eastAsia" w:ascii="Times New Roman" w:hAnsi="Times New Roman" w:eastAsia="宋体" w:cs="宋体"/>
          <w:kern w:val="2"/>
          <w:sz w:val="24"/>
          <w:szCs w:val="24"/>
          <w:lang w:val="en-US" w:eastAsia="zh-CN" w:bidi="ar"/>
        </w:rPr>
        <w:t>时，将</w:t>
      </w:r>
      <w:r>
        <w:rPr>
          <w:rFonts w:hint="default" w:ascii="Times New Roman" w:hAnsi="Times New Roman" w:eastAsia="宋体" w:cs="Times New Roman"/>
          <w:kern w:val="2"/>
          <w:sz w:val="24"/>
          <w:szCs w:val="24"/>
          <w:lang w:val="en-US" w:eastAsia="zh-CN" w:bidi="ar"/>
        </w:rPr>
        <w:t>Q</w:t>
      </w:r>
      <w:r>
        <w:rPr>
          <w:rFonts w:hint="eastAsia" w:ascii="Times New Roman" w:hAnsi="Times New Roman" w:eastAsia="宋体" w:cs="宋体"/>
          <w:kern w:val="2"/>
          <w:sz w:val="24"/>
          <w:szCs w:val="24"/>
          <w:lang w:val="en-US" w:eastAsia="zh-CN" w:bidi="ar"/>
        </w:rPr>
        <w:t>值划分为：（</w:t>
      </w:r>
      <w:r>
        <w:rPr>
          <w:rFonts w:hint="default" w:ascii="Times New Roman" w:hAnsi="Times New Roman" w:eastAsia="宋体" w:cs="Times New Roman"/>
          <w:kern w:val="2"/>
          <w:sz w:val="24"/>
          <w:szCs w:val="24"/>
          <w:lang w:val="en-US" w:eastAsia="zh-CN" w:bidi="ar"/>
        </w:rPr>
        <w:t>1</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1≤Q</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10</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2</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10≤Q</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100</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w:t>
      </w:r>
      <w:r>
        <w:rPr>
          <w:rFonts w:hint="eastAsia" w:ascii="Times New Roman" w:hAnsi="Times New Roman"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Q≥100</w:t>
      </w:r>
      <w:r>
        <w:rPr>
          <w:rFonts w:hint="eastAsia" w:ascii="Times New Roman" w:hAnsi="Times New Roman" w:eastAsia="宋体" w:cs="宋体"/>
          <w:kern w:val="2"/>
          <w:sz w:val="24"/>
          <w:szCs w:val="24"/>
          <w:lang w:val="en-US" w:eastAsia="zh-CN" w:bidi="ar"/>
        </w:rPr>
        <w:t>。</w:t>
      </w:r>
    </w:p>
    <w:p>
      <w:pPr>
        <w:keepNext w:val="0"/>
        <w:keepLines w:val="0"/>
        <w:widowControl w:val="0"/>
        <w:suppressLineNumbers w:val="0"/>
        <w:snapToGrid w:val="0"/>
        <w:spacing w:before="0" w:beforeAutospacing="0" w:after="0" w:afterAutospacing="0" w:line="360" w:lineRule="auto"/>
        <w:ind w:left="0" w:right="0"/>
        <w:jc w:val="center"/>
        <w:rPr>
          <w:sz w:val="21"/>
          <w:szCs w:val="21"/>
        </w:rPr>
      </w:pPr>
      <w:r>
        <w:rPr>
          <w:rFonts w:hint="default" w:ascii="Times New Roman" w:hAnsi="Times New Roman" w:eastAsia="宋体" w:cs="Times New Roman"/>
          <w:b/>
          <w:bCs/>
          <w:sz w:val="21"/>
          <w:szCs w:val="21"/>
        </w:rPr>
        <w:t xml:space="preserve">表 </w:t>
      </w:r>
      <w:r>
        <w:rPr>
          <w:rFonts w:hint="eastAsia" w:cs="Times New Roman"/>
          <w:b/>
          <w:bCs/>
          <w:sz w:val="21"/>
          <w:szCs w:val="21"/>
          <w:lang w:val="en-US" w:eastAsia="zh-CN"/>
        </w:rPr>
        <w:t>2.7</w:t>
      </w:r>
      <w:r>
        <w:rPr>
          <w:rFonts w:hint="default" w:ascii="Times New Roman" w:hAnsi="Times New Roman" w:eastAsia="宋体" w:cs="Times New Roman"/>
          <w:b/>
          <w:bCs/>
          <w:sz w:val="21"/>
          <w:szCs w:val="21"/>
        </w:rPr>
        <w:t>-</w:t>
      </w:r>
      <w:r>
        <w:rPr>
          <w:rFonts w:hint="eastAsia" w:ascii="Times New Roman" w:hAnsi="Times New Roman" w:eastAsia="宋体" w:cs="Times New Roman"/>
          <w:b/>
          <w:bCs/>
          <w:sz w:val="21"/>
          <w:szCs w:val="21"/>
          <w:lang w:val="en-US" w:eastAsia="zh-CN"/>
        </w:rPr>
        <w:t xml:space="preserve">2 </w:t>
      </w:r>
      <w:r>
        <w:rPr>
          <w:rFonts w:hint="default" w:ascii="Times New Roman" w:hAnsi="Times New Roman" w:eastAsia="宋体" w:cs="Times New Roman"/>
          <w:b/>
          <w:bCs w:val="0"/>
          <w:kern w:val="2"/>
          <w:sz w:val="21"/>
          <w:szCs w:val="21"/>
          <w:lang w:val="en-US" w:eastAsia="zh-CN" w:bidi="ar"/>
        </w:rPr>
        <w:t>Q</w:t>
      </w:r>
      <w:r>
        <w:rPr>
          <w:rFonts w:hint="eastAsia" w:ascii="Times New Roman" w:hAnsi="Times New Roman" w:eastAsia="宋体" w:cs="宋体"/>
          <w:b/>
          <w:bCs w:val="0"/>
          <w:kern w:val="2"/>
          <w:sz w:val="21"/>
          <w:szCs w:val="21"/>
          <w:lang w:val="en-US" w:eastAsia="zh-CN" w:bidi="ar"/>
        </w:rPr>
        <w:t>值计算结果</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21"/>
        <w:gridCol w:w="2693"/>
        <w:gridCol w:w="1559"/>
        <w:gridCol w:w="2126"/>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21" w:type="dxa"/>
            <w:tcBorders>
              <w:top w:val="single" w:color="auto" w:sz="12" w:space="0"/>
              <w:left w:val="nil"/>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rPr>
            </w:pPr>
            <w:r>
              <w:rPr>
                <w:rFonts w:hint="eastAsia" w:ascii="Times New Roman" w:hAnsi="Times New Roman" w:eastAsia="宋体" w:cs="宋体"/>
                <w:kern w:val="2"/>
                <w:sz w:val="21"/>
                <w:szCs w:val="21"/>
                <w:lang w:val="en-US" w:eastAsia="zh-CN" w:bidi="ar"/>
              </w:rPr>
              <w:t>类别</w:t>
            </w:r>
          </w:p>
        </w:tc>
        <w:tc>
          <w:tcPr>
            <w:tcW w:w="2693"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rPr>
            </w:pPr>
            <w:r>
              <w:rPr>
                <w:rFonts w:hint="eastAsia" w:ascii="Times New Roman" w:hAnsi="Times New Roman" w:eastAsia="宋体" w:cs="宋体"/>
                <w:kern w:val="2"/>
                <w:sz w:val="21"/>
                <w:szCs w:val="21"/>
                <w:lang w:val="en-US" w:eastAsia="zh-CN" w:bidi="ar"/>
              </w:rPr>
              <w:t>危险物质名称</w:t>
            </w:r>
          </w:p>
        </w:tc>
        <w:tc>
          <w:tcPr>
            <w:tcW w:w="1559"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rPr>
            </w:pPr>
            <w:r>
              <w:rPr>
                <w:rFonts w:hint="eastAsia" w:ascii="Times New Roman" w:hAnsi="Times New Roman" w:eastAsia="宋体" w:cs="宋体"/>
                <w:kern w:val="2"/>
                <w:sz w:val="21"/>
                <w:szCs w:val="21"/>
                <w:lang w:val="en-US" w:eastAsia="zh-CN" w:bidi="ar"/>
              </w:rPr>
              <w:t>本项目储存量</w:t>
            </w:r>
          </w:p>
        </w:tc>
        <w:tc>
          <w:tcPr>
            <w:tcW w:w="2126"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rPr>
            </w:pPr>
            <w:r>
              <w:rPr>
                <w:rFonts w:hint="eastAsia" w:ascii="Times New Roman" w:hAnsi="Times New Roman" w:eastAsia="宋体" w:cs="宋体"/>
                <w:kern w:val="2"/>
                <w:sz w:val="21"/>
                <w:szCs w:val="21"/>
                <w:lang w:val="en-US" w:eastAsia="zh-CN" w:bidi="ar"/>
              </w:rPr>
              <w:t>临界量（</w:t>
            </w:r>
            <w:r>
              <w:rPr>
                <w:rFonts w:hint="default" w:ascii="Times New Roman" w:hAnsi="Times New Roman" w:eastAsia="宋体" w:cs="Times New Roman"/>
                <w:kern w:val="2"/>
                <w:sz w:val="21"/>
                <w:szCs w:val="21"/>
                <w:lang w:val="en-US" w:eastAsia="zh-CN" w:bidi="ar"/>
              </w:rPr>
              <w:t>T</w:t>
            </w:r>
            <w:r>
              <w:rPr>
                <w:rFonts w:hint="eastAsia" w:ascii="Times New Roman" w:hAnsi="Times New Roman" w:eastAsia="宋体" w:cs="宋体"/>
                <w:kern w:val="2"/>
                <w:sz w:val="21"/>
                <w:szCs w:val="21"/>
                <w:lang w:val="en-US" w:eastAsia="zh-CN" w:bidi="ar"/>
              </w:rPr>
              <w:t>）</w:t>
            </w:r>
          </w:p>
        </w:tc>
        <w:tc>
          <w:tcPr>
            <w:tcW w:w="1430" w:type="dxa"/>
            <w:tcBorders>
              <w:top w:val="single" w:color="auto" w:sz="12" w:space="0"/>
              <w:left w:val="single" w:color="auto" w:sz="4" w:space="0"/>
              <w:bottom w:val="single" w:color="auto" w:sz="4" w:space="0"/>
              <w:right w:val="nil"/>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rPr>
            </w:pPr>
            <w:r>
              <w:rPr>
                <w:rFonts w:hint="default" w:ascii="Times New Roman" w:hAnsi="Times New Roman" w:eastAsia="宋体" w:cs="Times New Roman"/>
                <w:kern w:val="2"/>
                <w:sz w:val="21"/>
                <w:szCs w:val="21"/>
                <w:lang w:val="en-US" w:eastAsia="zh-CN" w:bidi="ar"/>
              </w:rPr>
              <w:t>q/Q</w:t>
            </w:r>
            <w:r>
              <w:rPr>
                <w:rFonts w:hint="eastAsia" w:ascii="Times New Roman" w:hAnsi="Times New Roman" w:eastAsia="宋体" w:cs="宋体"/>
                <w:kern w:val="2"/>
                <w:sz w:val="21"/>
                <w:szCs w:val="21"/>
                <w:lang w:val="en-US" w:eastAsia="zh-CN" w:bidi="ar"/>
              </w:rPr>
              <w:t>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8" w:hRule="atLeast"/>
          <w:jc w:val="center"/>
        </w:trPr>
        <w:tc>
          <w:tcPr>
            <w:tcW w:w="1221" w:type="dxa"/>
            <w:vMerge w:val="restart"/>
            <w:tcBorders>
              <w:top w:val="single" w:color="auto" w:sz="4" w:space="0"/>
              <w:left w:val="nil"/>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eastAsia="宋体"/>
                <w:kern w:val="2"/>
                <w:sz w:val="21"/>
                <w:szCs w:val="21"/>
                <w:lang w:val="en-US" w:eastAsia="zh-CN"/>
              </w:rPr>
            </w:pPr>
            <w:r>
              <w:rPr>
                <w:rFonts w:hint="eastAsia"/>
                <w:kern w:val="2"/>
                <w:sz w:val="21"/>
                <w:szCs w:val="21"/>
                <w:lang w:val="en-US" w:eastAsia="zh-CN"/>
              </w:rPr>
              <w:t>危险化学品</w:t>
            </w:r>
          </w:p>
        </w:tc>
        <w:tc>
          <w:tcPr>
            <w:tcW w:w="26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opLinePunct/>
              <w:adjustRightInd w:val="0"/>
              <w:snapToGrid w:val="0"/>
              <w:spacing w:before="0" w:beforeAutospacing="0" w:after="0" w:afterAutospacing="0"/>
              <w:ind w:left="0" w:right="0"/>
              <w:jc w:val="center"/>
              <w:rPr>
                <w:rFonts w:hint="default"/>
                <w:kern w:val="2"/>
                <w:sz w:val="21"/>
                <w:szCs w:val="21"/>
              </w:rPr>
            </w:pPr>
            <w:r>
              <w:rPr>
                <w:rFonts w:hint="eastAsia" w:cs="Times New Roman"/>
                <w:kern w:val="2"/>
                <w:sz w:val="21"/>
                <w:szCs w:val="21"/>
                <w:lang w:val="en-US" w:eastAsia="zh-CN" w:bidi="ar"/>
              </w:rPr>
              <w:t>氢氧化钠</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topLinePunct/>
              <w:adjustRightInd w:val="0"/>
              <w:snapToGrid w:val="0"/>
              <w:spacing w:before="0" w:beforeAutospacing="0" w:after="0" w:afterAutospacing="0"/>
              <w:ind w:left="0" w:right="0"/>
              <w:jc w:val="center"/>
              <w:rPr>
                <w:rFonts w:hint="default"/>
                <w:kern w:val="2"/>
                <w:sz w:val="21"/>
                <w:szCs w:val="21"/>
                <w:lang w:val="en-US"/>
              </w:rPr>
            </w:pPr>
            <w:r>
              <w:rPr>
                <w:rFonts w:hint="eastAsia" w:cs="Times New Roman"/>
                <w:kern w:val="2"/>
                <w:sz w:val="21"/>
                <w:szCs w:val="21"/>
                <w:lang w:val="en-US" w:eastAsia="zh-CN" w:bidi="ar"/>
              </w:rPr>
              <w:t>10t</w:t>
            </w: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lang w:val="en-US"/>
              </w:rPr>
            </w:pPr>
            <w:r>
              <w:rPr>
                <w:rFonts w:hint="eastAsia" w:cs="Times New Roman"/>
                <w:kern w:val="2"/>
                <w:sz w:val="21"/>
                <w:szCs w:val="21"/>
                <w:lang w:val="en-US" w:eastAsia="zh-CN" w:bidi="ar"/>
              </w:rPr>
              <w:t>100</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lang w:val="en-US"/>
              </w:rPr>
            </w:pPr>
            <w:r>
              <w:rPr>
                <w:rFonts w:hint="default" w:ascii="Times New Roman" w:hAnsi="Times New Roman" w:eastAsia="宋体" w:cs="Times New Roman"/>
                <w:kern w:val="2"/>
                <w:sz w:val="21"/>
                <w:szCs w:val="21"/>
                <w:lang w:val="en-US" w:eastAsia="zh-CN" w:bidi="ar"/>
              </w:rPr>
              <w:t>0.</w:t>
            </w:r>
            <w:r>
              <w:rPr>
                <w:rFonts w:hint="eastAsia" w:cs="Times New Roman"/>
                <w:kern w:val="2"/>
                <w:sz w:val="21"/>
                <w:szCs w:val="21"/>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6" w:hRule="atLeast"/>
          <w:jc w:val="center"/>
        </w:trPr>
        <w:tc>
          <w:tcPr>
            <w:tcW w:w="1221" w:type="dxa"/>
            <w:vMerge w:val="continue"/>
            <w:tcBorders>
              <w:left w:val="nil"/>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kern w:val="2"/>
                <w:sz w:val="21"/>
                <w:szCs w:val="21"/>
              </w:rPr>
            </w:pPr>
          </w:p>
        </w:tc>
        <w:tc>
          <w:tcPr>
            <w:tcW w:w="2693" w:type="dxa"/>
            <w:tcBorders>
              <w:top w:val="single" w:color="auto" w:sz="4" w:space="0"/>
              <w:left w:val="single" w:color="auto" w:sz="4" w:space="0"/>
              <w:right w:val="single" w:color="auto" w:sz="4" w:space="0"/>
            </w:tcBorders>
            <w:shd w:val="clear" w:color="auto" w:fill="auto"/>
            <w:vAlign w:val="center"/>
          </w:tcPr>
          <w:p>
            <w:pPr>
              <w:keepNext w:val="0"/>
              <w:keepLines w:val="0"/>
              <w:widowControl w:val="0"/>
              <w:suppressLineNumbers w:val="0"/>
              <w:topLinePunct/>
              <w:adjustRightInd w:val="0"/>
              <w:snapToGrid w:val="0"/>
              <w:spacing w:before="0" w:beforeAutospacing="0" w:after="0" w:afterAutospacing="0"/>
              <w:ind w:left="0" w:right="0"/>
              <w:jc w:val="center"/>
              <w:rPr>
                <w:rFonts w:hint="default"/>
                <w:kern w:val="2"/>
                <w:sz w:val="21"/>
                <w:szCs w:val="21"/>
              </w:rPr>
            </w:pPr>
            <w:r>
              <w:rPr>
                <w:rFonts w:hint="eastAsia"/>
                <w:szCs w:val="21"/>
              </w:rPr>
              <w:t>聚乙二醇</w:t>
            </w:r>
          </w:p>
        </w:tc>
        <w:tc>
          <w:tcPr>
            <w:tcW w:w="1559" w:type="dxa"/>
            <w:tcBorders>
              <w:top w:val="single" w:color="auto" w:sz="4" w:space="0"/>
              <w:left w:val="single" w:color="auto" w:sz="4" w:space="0"/>
              <w:right w:val="single" w:color="auto" w:sz="4" w:space="0"/>
            </w:tcBorders>
            <w:shd w:val="clear" w:color="auto" w:fill="auto"/>
            <w:vAlign w:val="center"/>
          </w:tcPr>
          <w:p>
            <w:pPr>
              <w:keepNext w:val="0"/>
              <w:keepLines w:val="0"/>
              <w:widowControl w:val="0"/>
              <w:suppressLineNumbers w:val="0"/>
              <w:topLinePunct/>
              <w:adjustRightInd w:val="0"/>
              <w:snapToGrid w:val="0"/>
              <w:spacing w:before="0" w:beforeAutospacing="0" w:after="0" w:afterAutospacing="0"/>
              <w:ind w:left="0" w:right="0"/>
              <w:jc w:val="center"/>
              <w:rPr>
                <w:rFonts w:hint="default"/>
                <w:kern w:val="2"/>
                <w:sz w:val="21"/>
                <w:szCs w:val="21"/>
              </w:rPr>
            </w:pPr>
            <w:r>
              <w:rPr>
                <w:rFonts w:hint="eastAsia" w:cs="Times New Roman"/>
                <w:kern w:val="2"/>
                <w:sz w:val="21"/>
                <w:szCs w:val="21"/>
                <w:lang w:val="en-US" w:eastAsia="zh-CN" w:bidi="ar"/>
              </w:rPr>
              <w:t>10</w:t>
            </w:r>
            <w:r>
              <w:rPr>
                <w:rFonts w:hint="default" w:ascii="Times New Roman" w:hAnsi="Times New Roman" w:eastAsia="宋体" w:cs="Times New Roman"/>
                <w:kern w:val="2"/>
                <w:sz w:val="21"/>
                <w:szCs w:val="21"/>
                <w:lang w:val="en-US" w:eastAsia="zh-CN" w:bidi="ar"/>
              </w:rPr>
              <w:t>t</w:t>
            </w:r>
          </w:p>
        </w:tc>
        <w:tc>
          <w:tcPr>
            <w:tcW w:w="2126" w:type="dxa"/>
            <w:tcBorders>
              <w:top w:val="single" w:color="auto" w:sz="4" w:space="0"/>
              <w:left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lang w:val="en-US"/>
              </w:rPr>
            </w:pPr>
            <w:r>
              <w:rPr>
                <w:rFonts w:hint="eastAsia" w:cs="Times New Roman"/>
                <w:kern w:val="2"/>
                <w:sz w:val="21"/>
                <w:szCs w:val="21"/>
                <w:lang w:val="en-US" w:eastAsia="zh-CN" w:bidi="ar"/>
              </w:rPr>
              <w:t>50</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lang w:val="en-US"/>
              </w:rPr>
            </w:pPr>
            <w:r>
              <w:rPr>
                <w:rFonts w:hint="eastAsia" w:ascii="Times New Roman" w:hAnsi="Times New Roman" w:eastAsia="宋体" w:cs="Times New Roman"/>
                <w:kern w:val="2"/>
                <w:sz w:val="21"/>
                <w:szCs w:val="21"/>
                <w:lang w:val="en-US" w:eastAsia="zh-CN" w:bidi="ar"/>
              </w:rPr>
              <w:t>0.</w:t>
            </w:r>
            <w:r>
              <w:rPr>
                <w:rFonts w:hint="eastAsia" w:cs="Times New Roman"/>
                <w:kern w:val="2"/>
                <w:sz w:val="21"/>
                <w:szCs w:val="21"/>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599" w:type="dxa"/>
            <w:gridSpan w:val="4"/>
            <w:tcBorders>
              <w:top w:val="single" w:color="auto" w:sz="4" w:space="0"/>
              <w:left w:val="nil"/>
              <w:bottom w:val="single" w:color="auto" w:sz="12" w:space="0"/>
              <w:right w:val="single" w:color="auto" w:sz="4" w:space="0"/>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rPr>
            </w:pPr>
            <w:r>
              <w:rPr>
                <w:rFonts w:hint="eastAsia" w:ascii="Times New Roman" w:hAnsi="Times New Roman" w:eastAsia="宋体" w:cs="宋体"/>
                <w:kern w:val="2"/>
                <w:sz w:val="21"/>
                <w:szCs w:val="21"/>
                <w:lang w:val="en-US" w:eastAsia="zh-CN" w:bidi="ar"/>
              </w:rPr>
              <w:t>合计</w:t>
            </w:r>
          </w:p>
        </w:tc>
        <w:tc>
          <w:tcPr>
            <w:tcW w:w="1430" w:type="dxa"/>
            <w:tcBorders>
              <w:top w:val="single" w:color="auto" w:sz="4" w:space="0"/>
              <w:left w:val="single" w:color="auto" w:sz="4" w:space="0"/>
              <w:bottom w:val="single" w:color="auto" w:sz="12" w:space="0"/>
              <w:right w:val="nil"/>
            </w:tcBorders>
            <w:shd w:val="clear" w:color="auto" w:fill="auto"/>
            <w:vAlign w:val="center"/>
          </w:tcPr>
          <w:p>
            <w:pPr>
              <w:keepNext w:val="0"/>
              <w:keepLines w:val="0"/>
              <w:widowControl w:val="0"/>
              <w:suppressLineNumbers w:val="0"/>
              <w:spacing w:before="0" w:beforeAutospacing="0" w:after="0" w:afterAutospacing="0" w:line="360" w:lineRule="auto"/>
              <w:ind w:left="0" w:right="0"/>
              <w:jc w:val="center"/>
              <w:rPr>
                <w:rFonts w:hint="default"/>
                <w:kern w:val="2"/>
                <w:sz w:val="21"/>
                <w:szCs w:val="21"/>
                <w:lang w:val="en-US"/>
              </w:rPr>
            </w:pPr>
            <w:r>
              <w:rPr>
                <w:rFonts w:hint="default" w:ascii="Times New Roman" w:hAnsi="Times New Roman" w:eastAsia="宋体" w:cs="Times New Roman"/>
                <w:kern w:val="2"/>
                <w:sz w:val="21"/>
                <w:szCs w:val="21"/>
                <w:lang w:val="en-US" w:eastAsia="zh-CN" w:bidi="ar"/>
              </w:rPr>
              <w:t>0.</w:t>
            </w:r>
            <w:r>
              <w:rPr>
                <w:rFonts w:hint="eastAsia" w:cs="Times New Roman"/>
                <w:kern w:val="2"/>
                <w:sz w:val="21"/>
                <w:szCs w:val="21"/>
                <w:lang w:val="en-US" w:eastAsia="zh-CN" w:bidi="ar"/>
              </w:rPr>
              <w:t>6</w:t>
            </w:r>
          </w:p>
        </w:tc>
      </w:tr>
    </w:tbl>
    <w:p>
      <w:pPr>
        <w:keepNext w:val="0"/>
        <w:keepLines w:val="0"/>
        <w:widowControl w:val="0"/>
        <w:suppressLineNumbers w:val="0"/>
        <w:snapToGrid w:val="0"/>
        <w:spacing w:before="0" w:beforeAutospacing="0" w:after="0" w:afterAutospacing="0" w:line="360" w:lineRule="auto"/>
        <w:ind w:left="0" w:right="0" w:firstLine="480" w:firstLineChars="200"/>
        <w:jc w:val="both"/>
        <w:rPr>
          <w:sz w:val="24"/>
          <w:szCs w:val="24"/>
        </w:rPr>
      </w:pPr>
      <w:r>
        <w:rPr>
          <w:rFonts w:hint="eastAsia" w:ascii="Times New Roman" w:hAnsi="Times New Roman" w:eastAsia="宋体" w:cs="宋体"/>
          <w:kern w:val="2"/>
          <w:sz w:val="24"/>
          <w:szCs w:val="24"/>
          <w:lang w:val="en-US" w:eastAsia="zh-CN" w:bidi="ar"/>
        </w:rPr>
        <w:t>根据以上分析，项</w:t>
      </w:r>
      <w:r>
        <w:rPr>
          <w:rFonts w:hint="eastAsia" w:ascii="Times New Roman" w:hAnsi="Times New Roman" w:eastAsia="宋体" w:cs="宋体"/>
          <w:sz w:val="24"/>
          <w:szCs w:val="24"/>
          <w:lang w:eastAsia="zh-CN"/>
        </w:rPr>
        <w:t>目</w:t>
      </w:r>
      <w:r>
        <w:rPr>
          <w:sz w:val="24"/>
          <w:szCs w:val="24"/>
          <w:lang w:val="en-US"/>
        </w:rPr>
        <w:t>q/Q=</w:t>
      </w:r>
      <w:r>
        <w:rPr>
          <w:rFonts w:hint="eastAsia"/>
          <w:sz w:val="24"/>
          <w:szCs w:val="24"/>
          <w:lang w:val="en-US" w:eastAsia="zh-CN"/>
        </w:rPr>
        <w:t>0.6</w:t>
      </w:r>
      <w:r>
        <w:rPr>
          <w:sz w:val="24"/>
          <w:szCs w:val="24"/>
          <w:lang w:val="en-US"/>
        </w:rPr>
        <w:t>&lt;1</w:t>
      </w:r>
      <w:r>
        <w:rPr>
          <w:rFonts w:hint="eastAsia" w:ascii="Times New Roman" w:hAnsi="Times New Roman" w:eastAsia="宋体" w:cs="宋体"/>
          <w:sz w:val="24"/>
          <w:szCs w:val="24"/>
          <w:lang w:eastAsia="zh-CN"/>
        </w:rPr>
        <w:t>，本项目环境风险潜势为</w:t>
      </w:r>
      <w:r>
        <w:rPr>
          <w:sz w:val="24"/>
          <w:szCs w:val="24"/>
          <w:lang w:val="en-US"/>
        </w:rPr>
        <w:t>Ⅰ</w:t>
      </w:r>
      <w:r>
        <w:rPr>
          <w:rFonts w:hint="eastAsia" w:ascii="Times New Roman" w:hAnsi="Times New Roman" w:eastAsia="宋体" w:cs="宋体"/>
          <w:sz w:val="24"/>
          <w:szCs w:val="24"/>
          <w:lang w:eastAsia="zh-CN"/>
        </w:rPr>
        <w:t>。</w:t>
      </w:r>
    </w:p>
    <w:p>
      <w:pPr>
        <w:pStyle w:val="2"/>
        <w:keepNext w:val="0"/>
        <w:keepLines w:val="0"/>
        <w:pageBreakBefore w:val="0"/>
        <w:kinsoku/>
        <w:wordWrap/>
        <w:overflowPunct/>
        <w:topLinePunct w:val="0"/>
        <w:bidi w:val="0"/>
        <w:spacing w:before="0" w:beforeAutospacing="0" w:after="0" w:afterAutospacing="0" w:line="360" w:lineRule="auto"/>
        <w:ind w:left="0" w:leftChars="0" w:right="0" w:firstLine="480" w:firstLineChars="200"/>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eastAsia="zh-CN"/>
        </w:rPr>
        <w:t>因此，本项目</w:t>
      </w:r>
      <w:r>
        <w:rPr>
          <w:rFonts w:hint="default" w:ascii="Times New Roman" w:hAnsi="Times New Roman" w:cs="Times New Roman"/>
          <w:color w:val="auto"/>
          <w:sz w:val="24"/>
          <w:szCs w:val="24"/>
        </w:rPr>
        <w:t>Q=</w:t>
      </w:r>
      <w:r>
        <w:rPr>
          <w:rFonts w:hint="eastAsia" w:cs="Times New Roman"/>
          <w:color w:val="auto"/>
          <w:sz w:val="24"/>
          <w:szCs w:val="24"/>
          <w:lang w:val="en-US" w:eastAsia="zh-CN"/>
        </w:rPr>
        <w:t>0.6</w:t>
      </w:r>
      <w:r>
        <w:rPr>
          <w:rFonts w:hint="default" w:ascii="Times New Roman" w:hAnsi="Times New Roman" w:cs="Times New Roman"/>
          <w:color w:val="auto"/>
          <w:sz w:val="24"/>
          <w:szCs w:val="24"/>
        </w:rPr>
        <w:t>，属于Q＜1。因此，本项目环境风险潜势为I；</w:t>
      </w:r>
    </w:p>
    <w:p>
      <w:pPr>
        <w:pStyle w:val="2"/>
        <w:keepNext w:val="0"/>
        <w:keepLines w:val="0"/>
        <w:pageBreakBefore w:val="0"/>
        <w:kinsoku/>
        <w:wordWrap/>
        <w:overflowPunct/>
        <w:topLinePunct w:val="0"/>
        <w:bidi w:val="0"/>
        <w:spacing w:before="0" w:beforeAutospacing="0" w:after="0" w:afterAutospacing="0" w:line="360" w:lineRule="auto"/>
        <w:ind w:left="0" w:leftChars="0" w:right="0" w:firstLine="480" w:firstLineChars="200"/>
        <w:rPr>
          <w:rFonts w:hint="default" w:ascii="Times New Roman" w:hAnsi="Times New Roman" w:cs="Times New Roman"/>
          <w:color w:val="FF0000"/>
          <w:sz w:val="24"/>
          <w:szCs w:val="24"/>
        </w:rPr>
      </w:pPr>
      <w:r>
        <w:rPr>
          <w:rFonts w:hint="default" w:ascii="Times New Roman" w:hAnsi="Times New Roman" w:cs="Times New Roman"/>
          <w:color w:val="auto"/>
          <w:sz w:val="24"/>
          <w:szCs w:val="24"/>
        </w:rPr>
        <w:t>根据《建设项目环境风险评价技术导则》（HJ169-2018）中环境风险评价等级划分方法，具体见下表。由表</w:t>
      </w:r>
      <w:r>
        <w:rPr>
          <w:rFonts w:hint="eastAsia" w:cs="Times New Roman"/>
          <w:color w:val="auto"/>
          <w:spacing w:val="7"/>
          <w:sz w:val="24"/>
          <w:szCs w:val="24"/>
          <w:lang w:val="en-US" w:eastAsia="zh-CN"/>
        </w:rPr>
        <w:t>2.7</w:t>
      </w:r>
      <w:r>
        <w:rPr>
          <w:rFonts w:hint="default" w:ascii="Times New Roman" w:hAnsi="Times New Roman" w:eastAsia="宋体" w:cs="Times New Roman"/>
          <w:color w:val="auto"/>
          <w:spacing w:val="7"/>
          <w:sz w:val="24"/>
          <w:szCs w:val="24"/>
        </w:rPr>
        <w:t>-</w:t>
      </w:r>
      <w:r>
        <w:rPr>
          <w:rFonts w:hint="eastAsia" w:cs="Times New Roman"/>
          <w:color w:val="auto"/>
          <w:spacing w:val="7"/>
          <w:sz w:val="24"/>
          <w:szCs w:val="24"/>
          <w:lang w:val="en-US" w:eastAsia="zh-CN"/>
        </w:rPr>
        <w:t>3</w:t>
      </w:r>
      <w:r>
        <w:rPr>
          <w:rFonts w:hint="default" w:ascii="Times New Roman" w:hAnsi="Times New Roman" w:eastAsia="宋体" w:cs="Times New Roman"/>
          <w:color w:val="auto"/>
          <w:spacing w:val="7"/>
          <w:sz w:val="24"/>
          <w:szCs w:val="24"/>
          <w:lang w:val="en-US" w:eastAsia="zh-CN"/>
        </w:rPr>
        <w:t xml:space="preserve"> </w:t>
      </w:r>
      <w:r>
        <w:rPr>
          <w:rFonts w:hint="default" w:ascii="Times New Roman" w:hAnsi="Times New Roman" w:cs="Times New Roman"/>
          <w:color w:val="auto"/>
          <w:sz w:val="24"/>
          <w:szCs w:val="24"/>
        </w:rPr>
        <w:t>可知，本项目环境风险评价仅进行简单分析。</w:t>
      </w:r>
    </w:p>
    <w:p>
      <w:pPr>
        <w:pStyle w:val="317"/>
        <w:keepNext w:val="0"/>
        <w:keepLines w:val="0"/>
        <w:pageBreakBefore w:val="0"/>
        <w:kinsoku/>
        <w:wordWrap/>
        <w:overflowPunct/>
        <w:topLinePunct w:val="0"/>
        <w:bidi w:val="0"/>
        <w:spacing w:before="0" w:beforeLines="0" w:beforeAutospacing="0" w:after="0" w:afterAutospacing="0" w:line="360" w:lineRule="auto"/>
        <w:ind w:left="0" w:leftChars="0" w:right="0" w:firstLine="422" w:firstLineChars="200"/>
        <w:rPr>
          <w:rFonts w:hint="default" w:ascii="Times New Roman" w:hAnsi="Times New Roman" w:cs="Times New Roman"/>
          <w:color w:val="auto"/>
          <w:sz w:val="24"/>
          <w:szCs w:val="24"/>
        </w:rPr>
      </w:pPr>
      <w:r>
        <w:rPr>
          <w:rFonts w:hint="default" w:ascii="Times New Roman" w:hAnsi="Times New Roman" w:eastAsia="宋体" w:cs="Times New Roman"/>
          <w:color w:val="auto"/>
          <w:sz w:val="21"/>
        </w:rPr>
        <w:t>表</w:t>
      </w:r>
      <w:r>
        <w:rPr>
          <w:rFonts w:hint="default" w:ascii="Times New Roman" w:hAnsi="Times New Roman" w:eastAsia="宋体" w:cs="Times New Roman"/>
          <w:color w:val="auto"/>
          <w:spacing w:val="1"/>
          <w:sz w:val="21"/>
        </w:rPr>
        <w:t xml:space="preserve"> </w:t>
      </w:r>
      <w:r>
        <w:rPr>
          <w:rFonts w:hint="eastAsia" w:cs="Times New Roman"/>
          <w:color w:val="auto"/>
          <w:spacing w:val="7"/>
          <w:sz w:val="21"/>
          <w:lang w:val="en-US" w:eastAsia="zh-CN"/>
        </w:rPr>
        <w:t>2.7</w:t>
      </w:r>
      <w:r>
        <w:rPr>
          <w:rFonts w:hint="default" w:ascii="Times New Roman" w:hAnsi="Times New Roman" w:eastAsia="宋体" w:cs="Times New Roman"/>
          <w:color w:val="auto"/>
          <w:spacing w:val="7"/>
          <w:sz w:val="21"/>
        </w:rPr>
        <w:t>-</w:t>
      </w:r>
      <w:r>
        <w:rPr>
          <w:rFonts w:hint="eastAsia" w:cs="Times New Roman"/>
          <w:color w:val="auto"/>
          <w:spacing w:val="7"/>
          <w:sz w:val="21"/>
          <w:lang w:val="en-US" w:eastAsia="zh-CN"/>
        </w:rPr>
        <w:t>3</w:t>
      </w:r>
      <w:r>
        <w:rPr>
          <w:rFonts w:hint="default" w:ascii="Times New Roman" w:hAnsi="Times New Roman" w:eastAsia="宋体" w:cs="Times New Roman"/>
          <w:color w:val="auto"/>
          <w:spacing w:val="7"/>
          <w:sz w:val="21"/>
          <w:lang w:val="en-US" w:eastAsia="zh-CN"/>
        </w:rPr>
        <w:t xml:space="preserve"> </w:t>
      </w:r>
      <w:r>
        <w:rPr>
          <w:rFonts w:hint="default" w:ascii="Times New Roman" w:hAnsi="Times New Roman" w:cs="Times New Roman"/>
          <w:color w:val="auto"/>
          <w:sz w:val="24"/>
          <w:szCs w:val="24"/>
        </w:rPr>
        <w:t xml:space="preserve"> 评级工作等级划分</w:t>
      </w:r>
    </w:p>
    <w:tbl>
      <w:tblPr>
        <w:tblStyle w:val="48"/>
        <w:tblW w:w="973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15"/>
        <w:gridCol w:w="1915"/>
        <w:gridCol w:w="1915"/>
        <w:gridCol w:w="1915"/>
        <w:gridCol w:w="207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atLeast"/>
          <w:jc w:val="center"/>
        </w:trPr>
        <w:tc>
          <w:tcPr>
            <w:tcW w:w="1915"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环境风险潜势</w:t>
            </w:r>
          </w:p>
        </w:tc>
        <w:tc>
          <w:tcPr>
            <w:tcW w:w="1915"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IV、IV</w:t>
            </w:r>
            <w:r>
              <w:rPr>
                <w:rFonts w:hint="default" w:ascii="Times New Roman" w:hAnsi="Times New Roman" w:cs="Times New Roman"/>
                <w:color w:val="auto"/>
                <w:sz w:val="21"/>
                <w:szCs w:val="21"/>
                <w:vertAlign w:val="superscript"/>
              </w:rPr>
              <w:t>+</w:t>
            </w:r>
          </w:p>
        </w:tc>
        <w:tc>
          <w:tcPr>
            <w:tcW w:w="1915"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III</w:t>
            </w:r>
          </w:p>
        </w:tc>
        <w:tc>
          <w:tcPr>
            <w:tcW w:w="1915"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II</w:t>
            </w:r>
          </w:p>
        </w:tc>
        <w:tc>
          <w:tcPr>
            <w:tcW w:w="2072"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I</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9" w:hRule="atLeast"/>
          <w:jc w:val="center"/>
        </w:trPr>
        <w:tc>
          <w:tcPr>
            <w:tcW w:w="1915"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评价工作等级</w:t>
            </w:r>
          </w:p>
        </w:tc>
        <w:tc>
          <w:tcPr>
            <w:tcW w:w="1915"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一</w:t>
            </w:r>
          </w:p>
        </w:tc>
        <w:tc>
          <w:tcPr>
            <w:tcW w:w="1915"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w:t>
            </w:r>
          </w:p>
        </w:tc>
        <w:tc>
          <w:tcPr>
            <w:tcW w:w="1915"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三</w:t>
            </w:r>
          </w:p>
        </w:tc>
        <w:tc>
          <w:tcPr>
            <w:tcW w:w="2072" w:type="dxa"/>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简单分析</w:t>
            </w:r>
            <w:r>
              <w:rPr>
                <w:rFonts w:hint="default" w:ascii="Times New Roman" w:hAnsi="Times New Roman" w:cs="Times New Roman"/>
                <w:color w:val="auto"/>
                <w:sz w:val="21"/>
                <w:szCs w:val="21"/>
                <w:vertAlign w:val="superscript"/>
              </w:rPr>
              <w: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5" w:hRule="atLeast"/>
          <w:jc w:val="center"/>
        </w:trPr>
        <w:tc>
          <w:tcPr>
            <w:tcW w:w="9732" w:type="dxa"/>
            <w:gridSpan w:val="5"/>
            <w:noWrap w:val="0"/>
            <w:vAlign w:val="top"/>
          </w:tcPr>
          <w:p>
            <w:pPr>
              <w:pStyle w:val="318"/>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jc w:val="left"/>
              <w:rPr>
                <w:rFonts w:hint="default" w:ascii="Times New Roman" w:hAnsi="Times New Roman" w:cs="Times New Roman"/>
                <w:color w:val="auto"/>
                <w:sz w:val="21"/>
                <w:szCs w:val="21"/>
              </w:rPr>
            </w:pPr>
            <w:r>
              <w:rPr>
                <w:rFonts w:hint="default" w:ascii="Times New Roman" w:hAnsi="Times New Roman" w:cs="Times New Roman"/>
                <w:color w:val="auto"/>
                <w:sz w:val="21"/>
                <w:szCs w:val="21"/>
              </w:rPr>
              <w:t>a是相对于详细评价工作内容而言，在描述危险物质、环境影响途径、环境危害后果、风险防范措施等方面给出定性的说明。</w:t>
            </w:r>
          </w:p>
        </w:tc>
      </w:tr>
    </w:tbl>
    <w:p>
      <w:pPr>
        <w:rPr>
          <w:rFonts w:hint="eastAsia"/>
          <w:lang w:val="en-US" w:eastAsia="zh-CN"/>
        </w:rPr>
      </w:pPr>
    </w:p>
    <w:p>
      <w:pPr>
        <w:rPr>
          <w:rFonts w:hint="default"/>
          <w:b/>
          <w:bCs/>
          <w:sz w:val="24"/>
          <w:szCs w:val="24"/>
        </w:rPr>
      </w:pPr>
      <w:r>
        <w:rPr>
          <w:rFonts w:hint="eastAsia"/>
          <w:b/>
          <w:bCs/>
          <w:sz w:val="24"/>
          <w:szCs w:val="24"/>
          <w:lang w:val="en-US" w:eastAsia="zh-CN"/>
        </w:rPr>
        <w:t>2.7.</w:t>
      </w:r>
      <w:r>
        <w:rPr>
          <w:rFonts w:hint="default"/>
          <w:b/>
          <w:bCs/>
          <w:sz w:val="24"/>
          <w:szCs w:val="24"/>
        </w:rPr>
        <w:t>2环境风险识别</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风险识别范围包括生产过程所涉及的物质风险识别和生产设施风险识别，本次评价根据《危险化学品重大危险源辨识》（GB18218-2009)对生产过程所涉及的物质风险和生产设施风险进行识别。</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物质风险识别范围：主要原材料及辅助材料、燃料、中间产品、最终产品以及生产过程排放的“三废”污染物等。</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生产设施风险识别范围：主要生产装置、贮运系统、公用工程系统、工程环保设施及辅助生产设施等。</w:t>
      </w:r>
    </w:p>
    <w:p>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风险类型根据有毒有害物质放散起因，分为火灾、爆炸和泄漏三种类型。</w:t>
      </w:r>
    </w:p>
    <w:p>
      <w:pPr>
        <w:rPr>
          <w:rFonts w:hint="default"/>
          <w:b/>
          <w:bCs/>
          <w:sz w:val="24"/>
          <w:szCs w:val="24"/>
        </w:rPr>
      </w:pPr>
    </w:p>
    <w:p>
      <w:pPr>
        <w:numPr>
          <w:ilvl w:val="0"/>
          <w:numId w:val="0"/>
        </w:numPr>
        <w:bidi w:val="0"/>
        <w:spacing w:line="360" w:lineRule="auto"/>
        <w:ind w:firstLine="482" w:firstLineChars="200"/>
        <w:rPr>
          <w:rFonts w:hint="default" w:ascii="Times New Roman" w:hAnsi="Times New Roman" w:cs="Times New Roman"/>
          <w:b/>
          <w:bCs/>
          <w:sz w:val="24"/>
          <w:szCs w:val="24"/>
        </w:rPr>
      </w:pPr>
      <w:r>
        <w:rPr>
          <w:rFonts w:hint="default" w:ascii="Times New Roman" w:hAnsi="Times New Roman" w:cs="Times New Roman"/>
          <w:b/>
          <w:bCs/>
          <w:sz w:val="24"/>
          <w:szCs w:val="24"/>
        </w:rPr>
        <w:t>（1)物质风险识别</w:t>
      </w:r>
    </w:p>
    <w:p>
      <w:pPr>
        <w:spacing w:line="360" w:lineRule="auto"/>
        <w:ind w:firstLine="480" w:firstLineChars="200"/>
        <w:rPr>
          <w:rFonts w:hint="default" w:ascii="Times New Roman" w:hAnsi="Times New Roman" w:cs="Times New Roman"/>
          <w:sz w:val="24"/>
          <w:szCs w:val="24"/>
          <w:lang w:val="zh-CN" w:eastAsia="zh-CN"/>
        </w:rPr>
      </w:pPr>
      <w:r>
        <w:rPr>
          <w:rFonts w:hint="default" w:ascii="Times New Roman" w:hAnsi="Times New Roman" w:cs="Times New Roman"/>
          <w:sz w:val="24"/>
          <w:szCs w:val="24"/>
          <w:lang w:val="zh-CN" w:eastAsia="zh-CN"/>
        </w:rPr>
        <w:t>本项目原辅材料的危害特征、毒性指标及危害程度根据《化学品分类、警示标签和警示性说明安全规范 急性毒性》（GB20592-2006)判定进行分级，本项目涉及的危险化学品主要为</w:t>
      </w:r>
      <w:r>
        <w:rPr>
          <w:rFonts w:hint="eastAsia" w:cs="Times New Roman"/>
          <w:sz w:val="24"/>
          <w:szCs w:val="24"/>
          <w:lang w:val="en-US" w:eastAsia="zh-CN"/>
        </w:rPr>
        <w:t>氢氧化钠、聚乙二醇</w:t>
      </w:r>
      <w:r>
        <w:rPr>
          <w:rFonts w:hint="default" w:ascii="Times New Roman" w:hAnsi="Times New Roman" w:cs="Times New Roman"/>
          <w:sz w:val="24"/>
          <w:szCs w:val="24"/>
          <w:lang w:val="zh-CN" w:eastAsia="zh-CN"/>
        </w:rPr>
        <w:t>等。</w:t>
      </w:r>
    </w:p>
    <w:p>
      <w:pPr>
        <w:numPr>
          <w:ilvl w:val="0"/>
          <w:numId w:val="4"/>
        </w:numPr>
        <w:bidi w:val="0"/>
        <w:spacing w:line="360" w:lineRule="auto"/>
        <w:ind w:firstLine="482" w:firstLineChars="200"/>
        <w:rPr>
          <w:rFonts w:hint="default" w:ascii="Times New Roman" w:hAnsi="Times New Roman" w:cs="Times New Roman"/>
          <w:b/>
          <w:bCs/>
          <w:sz w:val="24"/>
          <w:szCs w:val="24"/>
          <w:lang w:val="zh-CN" w:eastAsia="zh-CN"/>
        </w:rPr>
      </w:pPr>
      <w:r>
        <w:rPr>
          <w:rFonts w:hint="default" w:ascii="Times New Roman" w:hAnsi="Times New Roman" w:cs="Times New Roman"/>
          <w:b/>
          <w:bCs/>
          <w:sz w:val="24"/>
          <w:szCs w:val="24"/>
          <w:lang w:val="zh-CN" w:eastAsia="zh-CN"/>
        </w:rPr>
        <w:t>功能单元风险识别</w:t>
      </w:r>
    </w:p>
    <w:p>
      <w:pPr>
        <w:pStyle w:val="62"/>
        <w:numPr>
          <w:ilvl w:val="0"/>
          <w:numId w:val="0"/>
        </w:numPr>
        <w:ind w:firstLine="480" w:firstLineChars="200"/>
        <w:rPr>
          <w:rFonts w:hint="default" w:ascii="Times New Roman" w:hAnsi="Times New Roman" w:eastAsia="宋体" w:cs="Times New Roman"/>
          <w:snapToGrid/>
          <w:color w:val="auto"/>
          <w:sz w:val="24"/>
          <w:szCs w:val="24"/>
          <w:lang w:val="en-US" w:eastAsia="zh-CN" w:bidi="zh-CN"/>
        </w:rPr>
      </w:pPr>
      <w:r>
        <w:rPr>
          <w:rFonts w:hint="eastAsia" w:ascii="Times New Roman" w:hAnsi="Times New Roman" w:eastAsia="宋体" w:cs="Times New Roman"/>
          <w:snapToGrid/>
          <w:color w:val="auto"/>
          <w:sz w:val="24"/>
          <w:szCs w:val="24"/>
          <w:lang w:val="en-US" w:eastAsia="zh-CN" w:bidi="zh-CN"/>
        </w:rPr>
        <w:t>1、项目生产设施环境风险识别见表</w:t>
      </w:r>
      <w:r>
        <w:rPr>
          <w:rFonts w:hint="eastAsia" w:ascii="Times New Roman" w:hAnsi="Times New Roman" w:cs="Times New Roman"/>
          <w:snapToGrid/>
          <w:color w:val="auto"/>
          <w:sz w:val="24"/>
          <w:szCs w:val="24"/>
          <w:lang w:val="en-US" w:eastAsia="zh-CN" w:bidi="zh-CN"/>
        </w:rPr>
        <w:t>2.7-3</w:t>
      </w:r>
    </w:p>
    <w:p>
      <w:pPr>
        <w:pStyle w:val="62"/>
        <w:numPr>
          <w:ilvl w:val="0"/>
          <w:numId w:val="0"/>
        </w:numPr>
        <w:jc w:val="center"/>
        <w:rPr>
          <w:rFonts w:hint="default"/>
          <w:b/>
          <w:bCs/>
          <w:lang w:val="en-US" w:eastAsia="zh-CN"/>
        </w:rPr>
      </w:pPr>
      <w:r>
        <w:rPr>
          <w:rFonts w:hint="eastAsia"/>
          <w:b/>
          <w:bCs/>
          <w:lang w:val="en-US" w:eastAsia="zh-CN"/>
        </w:rPr>
        <w:t>表2.7-3 功能单元风险识别结果</w:t>
      </w:r>
    </w:p>
    <w:tbl>
      <w:tblPr>
        <w:tblStyle w:val="47"/>
        <w:tblW w:w="888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64"/>
        <w:gridCol w:w="1994"/>
        <w:gridCol w:w="622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1" w:hRule="atLeast"/>
          <w:jc w:val="center"/>
        </w:trPr>
        <w:tc>
          <w:tcPr>
            <w:tcW w:w="664" w:type="dxa"/>
            <w:tcBorders>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序</w:t>
            </w: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号</w:t>
            </w:r>
          </w:p>
        </w:tc>
        <w:tc>
          <w:tcPr>
            <w:tcW w:w="1994" w:type="dxa"/>
            <w:tcBorders>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功能单元</w:t>
            </w:r>
          </w:p>
        </w:tc>
        <w:tc>
          <w:tcPr>
            <w:tcW w:w="6226" w:type="dxa"/>
            <w:tcBorders>
              <w:left w:val="single" w:color="000000" w:sz="6" w:space="0"/>
              <w:bottom w:val="single" w:color="000000" w:sz="6" w:space="0"/>
            </w:tcBorders>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kern w:val="2"/>
                <w:lang w:eastAsia="zh-CN"/>
              </w:rPr>
            </w:pPr>
            <w:r>
              <w:rPr>
                <w:rFonts w:hint="eastAsia" w:ascii="Times New Roman" w:hAnsi="Times New Roman" w:cs="Times New Roman"/>
                <w:kern w:val="2"/>
                <w:lang w:val="en-US" w:eastAsia="zh-CN"/>
              </w:rPr>
              <w:t>依据</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7" w:hRule="atLeast"/>
          <w:jc w:val="center"/>
        </w:trPr>
        <w:tc>
          <w:tcPr>
            <w:tcW w:w="664" w:type="dxa"/>
            <w:tcBorders>
              <w:top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1</w:t>
            </w:r>
          </w:p>
        </w:tc>
        <w:tc>
          <w:tcPr>
            <w:tcW w:w="199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r>
              <w:rPr>
                <w:rFonts w:hint="default" w:ascii="Times New Roman" w:hAnsi="Times New Roman" w:cs="Times New Roman"/>
                <w:kern w:val="2"/>
              </w:rPr>
              <w:t>原料仓库</w:t>
            </w:r>
          </w:p>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kern w:val="2"/>
                <w:lang w:eastAsia="zh-CN"/>
              </w:rPr>
            </w:pPr>
          </w:p>
        </w:tc>
        <w:tc>
          <w:tcPr>
            <w:tcW w:w="6226" w:type="dxa"/>
            <w:tcBorders>
              <w:top w:val="single" w:color="000000" w:sz="6" w:space="0"/>
              <w:left w:val="single" w:color="000000" w:sz="6" w:space="0"/>
              <w:bottom w:val="single" w:color="000000" w:sz="6" w:space="0"/>
            </w:tcBorders>
            <w:vAlign w:val="center"/>
          </w:tcPr>
          <w:p>
            <w:pPr>
              <w:pStyle w:val="62"/>
              <w:keepNext w:val="0"/>
              <w:keepLines w:val="0"/>
              <w:numPr>
                <w:ilvl w:val="0"/>
                <w:numId w:val="0"/>
              </w:numPr>
              <w:suppressLineNumbers w:val="0"/>
              <w:spacing w:before="0" w:beforeAutospacing="0" w:after="0" w:afterAutospacing="0"/>
              <w:ind w:left="0" w:right="0"/>
              <w:rPr>
                <w:rFonts w:hint="default"/>
                <w:kern w:val="2"/>
                <w:lang w:val="en-US" w:eastAsia="zh-CN"/>
              </w:rPr>
            </w:pPr>
            <w:r>
              <w:rPr>
                <w:rFonts w:hint="eastAsia"/>
                <w:kern w:val="2"/>
                <w:lang w:val="en-US" w:eastAsia="zh-CN"/>
              </w:rPr>
              <w:t xml:space="preserve"> 1、原料的氢氧化钠、聚乙二醇为危险化学品，可能引发泄露。</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9" w:hRule="atLeast"/>
          <w:jc w:val="center"/>
        </w:trPr>
        <w:tc>
          <w:tcPr>
            <w:tcW w:w="664" w:type="dxa"/>
            <w:tcBorders>
              <w:top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kern w:val="2"/>
                <w:lang w:val="en-US" w:eastAsia="zh-CN"/>
              </w:rPr>
            </w:pPr>
            <w:r>
              <w:rPr>
                <w:rFonts w:hint="eastAsia" w:ascii="Times New Roman" w:hAnsi="Times New Roman" w:cs="Times New Roman"/>
                <w:kern w:val="2"/>
                <w:lang w:val="en-US" w:eastAsia="zh-CN"/>
              </w:rPr>
              <w:t>2</w:t>
            </w:r>
          </w:p>
        </w:tc>
        <w:tc>
          <w:tcPr>
            <w:tcW w:w="199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eastAsia" w:ascii="Times New Roman" w:hAnsi="Times New Roman" w:cs="Times New Roman"/>
                <w:kern w:val="2"/>
                <w:lang w:eastAsia="zh-CN"/>
              </w:rPr>
            </w:pPr>
            <w:r>
              <w:rPr>
                <w:rFonts w:hint="eastAsia" w:ascii="Times New Roman" w:hAnsi="Times New Roman" w:cs="Times New Roman"/>
                <w:kern w:val="2"/>
                <w:lang w:eastAsia="zh-CN"/>
              </w:rPr>
              <w:t>生产车间</w:t>
            </w:r>
          </w:p>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rPr>
            </w:pPr>
          </w:p>
        </w:tc>
        <w:tc>
          <w:tcPr>
            <w:tcW w:w="6226" w:type="dxa"/>
            <w:tcBorders>
              <w:top w:val="single" w:color="000000" w:sz="6" w:space="0"/>
              <w:left w:val="single" w:color="000000" w:sz="6" w:space="0"/>
              <w:bottom w:val="single" w:color="000000" w:sz="6" w:space="0"/>
            </w:tcBorders>
            <w:vAlign w:val="center"/>
          </w:tcPr>
          <w:p>
            <w:pPr>
              <w:keepNext w:val="0"/>
              <w:keepLines w:val="0"/>
              <w:numPr>
                <w:ilvl w:val="0"/>
                <w:numId w:val="5"/>
              </w:numPr>
              <w:suppressLineNumbers w:val="0"/>
              <w:bidi w:val="0"/>
              <w:spacing w:before="0" w:beforeAutospacing="0" w:after="0" w:afterAutospacing="0"/>
              <w:ind w:left="0" w:right="0"/>
              <w:jc w:val="left"/>
              <w:rPr>
                <w:rFonts w:hint="eastAsia" w:ascii="宋体" w:hAnsi="Times New Roman" w:eastAsia="宋体" w:cs="宋体"/>
                <w:snapToGrid w:val="0"/>
                <w:color w:val="000000"/>
                <w:kern w:val="2"/>
                <w:sz w:val="24"/>
                <w:szCs w:val="24"/>
                <w:lang w:val="en-US" w:eastAsia="zh-CN" w:bidi="ar-SA"/>
              </w:rPr>
            </w:pPr>
            <w:r>
              <w:rPr>
                <w:rFonts w:hint="eastAsia" w:ascii="宋体" w:hAnsi="Times New Roman" w:eastAsia="宋体" w:cs="宋体"/>
                <w:snapToGrid w:val="0"/>
                <w:color w:val="000000"/>
                <w:kern w:val="2"/>
                <w:sz w:val="24"/>
                <w:szCs w:val="24"/>
                <w:lang w:val="en-US" w:eastAsia="zh-CN" w:bidi="ar-SA"/>
              </w:rPr>
              <w:t>生产设备、电机和电气线路老化、短路、接触不良引发电火花引起火灾：</w:t>
            </w:r>
          </w:p>
          <w:p>
            <w:pPr>
              <w:pStyle w:val="62"/>
              <w:keepNext w:val="0"/>
              <w:keepLines w:val="0"/>
              <w:numPr>
                <w:ilvl w:val="0"/>
                <w:numId w:val="0"/>
              </w:numPr>
              <w:suppressLineNumbers w:val="0"/>
              <w:spacing w:before="0" w:beforeAutospacing="0" w:after="0" w:afterAutospacing="0"/>
              <w:ind w:left="0" w:right="0"/>
              <w:rPr>
                <w:rFonts w:hint="default" w:ascii="宋体" w:hAnsi="Times New Roman" w:eastAsia="宋体" w:cs="宋体"/>
                <w:snapToGrid w:val="0"/>
                <w:color w:val="000000"/>
                <w:kern w:val="2"/>
                <w:sz w:val="24"/>
                <w:szCs w:val="24"/>
                <w:lang w:val="en-US" w:eastAsia="zh-CN" w:bidi="ar-SA"/>
              </w:rPr>
            </w:pPr>
            <w:r>
              <w:rPr>
                <w:rFonts w:hint="default"/>
                <w:kern w:val="2"/>
                <w:lang w:val="en-US" w:eastAsia="zh-CN"/>
              </w:rPr>
              <w:t>2、</w:t>
            </w:r>
            <w:r>
              <w:rPr>
                <w:rFonts w:hint="default" w:ascii="宋体" w:hAnsi="Times New Roman" w:eastAsia="宋体" w:cs="宋体"/>
                <w:snapToGrid w:val="0"/>
                <w:color w:val="000000"/>
                <w:kern w:val="2"/>
                <w:sz w:val="24"/>
                <w:szCs w:val="24"/>
                <w:lang w:val="en-US" w:eastAsia="zh-CN" w:bidi="ar-SA"/>
              </w:rPr>
              <w:t>设备、管道接地电阻不良静电引发火灾：</w:t>
            </w:r>
          </w:p>
          <w:p>
            <w:pPr>
              <w:keepNext w:val="0"/>
              <w:keepLines w:val="0"/>
              <w:suppressLineNumbers w:val="0"/>
              <w:bidi w:val="0"/>
              <w:spacing w:before="0" w:beforeAutospacing="0" w:after="0" w:afterAutospacing="0"/>
              <w:ind w:left="0" w:right="0"/>
              <w:jc w:val="left"/>
              <w:rPr>
                <w:rFonts w:hint="default" w:ascii="Times New Roman" w:hAnsi="Times New Roman" w:cs="Times New Roman"/>
                <w:kern w:val="2"/>
                <w:lang w:eastAsia="zh-CN"/>
              </w:rPr>
            </w:pPr>
            <w:r>
              <w:rPr>
                <w:rFonts w:hint="default" w:ascii="宋体" w:hAnsi="Times New Roman" w:eastAsia="宋体" w:cs="宋体"/>
                <w:snapToGrid w:val="0"/>
                <w:color w:val="000000"/>
                <w:kern w:val="2"/>
                <w:sz w:val="24"/>
                <w:szCs w:val="24"/>
                <w:lang w:val="en-US" w:eastAsia="zh-CN" w:bidi="ar-SA"/>
              </w:rPr>
              <w:t>3、电气设备、电气线路老化绝缘不良短路产生火花引发火灾</w:t>
            </w:r>
            <w:r>
              <w:rPr>
                <w:rFonts w:hint="default"/>
                <w:kern w:val="2"/>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9" w:hRule="atLeast"/>
          <w:jc w:val="center"/>
        </w:trPr>
        <w:tc>
          <w:tcPr>
            <w:tcW w:w="664" w:type="dxa"/>
            <w:tcBorders>
              <w:top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kern w:val="2"/>
                <w:lang w:val="en-US" w:eastAsia="zh-CN"/>
              </w:rPr>
            </w:pPr>
            <w:r>
              <w:rPr>
                <w:rFonts w:hint="eastAsia" w:ascii="Times New Roman" w:hAnsi="Times New Roman" w:cs="Times New Roman"/>
                <w:kern w:val="2"/>
                <w:lang w:val="en-US" w:eastAsia="zh-CN"/>
              </w:rPr>
              <w:t>3</w:t>
            </w:r>
          </w:p>
        </w:tc>
        <w:tc>
          <w:tcPr>
            <w:tcW w:w="1994" w:type="dxa"/>
            <w:tcBorders>
              <w:top w:val="single" w:color="000000" w:sz="6" w:space="0"/>
              <w:left w:val="single" w:color="000000" w:sz="6" w:space="0"/>
              <w:right w:val="single" w:color="000000" w:sz="6" w:space="0"/>
            </w:tcBorders>
            <w:vAlign w:val="center"/>
          </w:tcPr>
          <w:p>
            <w:pPr>
              <w:pStyle w:val="62"/>
              <w:keepNext w:val="0"/>
              <w:keepLines w:val="0"/>
              <w:numPr>
                <w:ilvl w:val="0"/>
                <w:numId w:val="0"/>
              </w:numPr>
              <w:suppressLineNumbers w:val="0"/>
              <w:spacing w:before="0" w:beforeAutospacing="0" w:after="0" w:afterAutospacing="0"/>
              <w:ind w:left="0" w:right="0"/>
              <w:jc w:val="center"/>
              <w:rPr>
                <w:rFonts w:hint="default" w:ascii="宋体" w:hAnsi="Times New Roman" w:eastAsia="宋体" w:cs="宋体"/>
                <w:snapToGrid w:val="0"/>
                <w:color w:val="000000"/>
                <w:kern w:val="2"/>
                <w:sz w:val="24"/>
                <w:szCs w:val="24"/>
                <w:lang w:val="en-US" w:eastAsia="zh-CN" w:bidi="ar-SA"/>
              </w:rPr>
            </w:pPr>
            <w:r>
              <w:rPr>
                <w:rFonts w:hint="eastAsia" w:ascii="宋体" w:hAnsi="Times New Roman" w:eastAsia="宋体" w:cs="宋体"/>
                <w:snapToGrid w:val="0"/>
                <w:color w:val="000000"/>
                <w:kern w:val="2"/>
                <w:sz w:val="24"/>
                <w:szCs w:val="24"/>
                <w:lang w:val="en-US" w:eastAsia="zh-CN" w:bidi="ar-SA"/>
              </w:rPr>
              <w:t>环保设施</w:t>
            </w:r>
          </w:p>
        </w:tc>
        <w:tc>
          <w:tcPr>
            <w:tcW w:w="6226" w:type="dxa"/>
            <w:tcBorders>
              <w:top w:val="single" w:color="000000" w:sz="6" w:space="0"/>
              <w:left w:val="single" w:color="000000" w:sz="6" w:space="0"/>
            </w:tcBorders>
            <w:vAlign w:val="center"/>
          </w:tcPr>
          <w:p>
            <w:pPr>
              <w:pStyle w:val="62"/>
              <w:keepNext w:val="0"/>
              <w:keepLines w:val="0"/>
              <w:numPr>
                <w:ilvl w:val="0"/>
                <w:numId w:val="0"/>
              </w:numPr>
              <w:suppressLineNumbers w:val="0"/>
              <w:spacing w:before="0" w:beforeAutospacing="0" w:after="0" w:afterAutospacing="0"/>
              <w:ind w:left="0" w:right="0"/>
              <w:jc w:val="center"/>
              <w:rPr>
                <w:rFonts w:hint="default" w:ascii="宋体" w:hAnsi="Times New Roman" w:eastAsia="宋体" w:cs="宋体"/>
                <w:snapToGrid w:val="0"/>
                <w:color w:val="000000"/>
                <w:kern w:val="2"/>
                <w:sz w:val="24"/>
                <w:szCs w:val="24"/>
                <w:lang w:val="en-US" w:eastAsia="zh-CN" w:bidi="ar-SA"/>
              </w:rPr>
            </w:pPr>
            <w:r>
              <w:rPr>
                <w:rFonts w:hint="eastAsia" w:ascii="宋体" w:hAnsi="Times New Roman" w:eastAsia="宋体" w:cs="宋体"/>
                <w:snapToGrid w:val="0"/>
                <w:color w:val="000000"/>
                <w:kern w:val="2"/>
                <w:sz w:val="24"/>
                <w:szCs w:val="24"/>
                <w:lang w:val="en-US" w:eastAsia="zh-CN" w:bidi="ar-SA"/>
              </w:rPr>
              <w:t>废水、废气、固体废物没有得到合理处置后外排。</w:t>
            </w:r>
          </w:p>
        </w:tc>
      </w:tr>
    </w:tbl>
    <w:p>
      <w:pPr>
        <w:pStyle w:val="62"/>
        <w:numPr>
          <w:ilvl w:val="0"/>
          <w:numId w:val="0"/>
        </w:numPr>
        <w:rPr>
          <w:rFonts w:hint="default"/>
          <w:lang w:val="en-US" w:eastAsia="zh-CN"/>
        </w:rPr>
      </w:pPr>
    </w:p>
    <w:p>
      <w:pPr>
        <w:pStyle w:val="62"/>
        <w:keepNext w:val="0"/>
        <w:keepLines w:val="0"/>
        <w:pageBreakBefore w:val="0"/>
        <w:widowControl w:val="0"/>
        <w:numPr>
          <w:ilvl w:val="0"/>
          <w:numId w:val="0"/>
        </w:numPr>
        <w:kinsoku/>
        <w:wordWrap/>
        <w:overflowPunct/>
        <w:topLinePunct w:val="0"/>
        <w:autoSpaceDE w:val="0"/>
        <w:autoSpaceDN w:val="0"/>
        <w:bidi w:val="0"/>
        <w:adjustRightInd w:val="0"/>
        <w:snapToGrid/>
        <w:spacing w:line="372" w:lineRule="auto"/>
        <w:ind w:firstLine="480" w:firstLineChars="200"/>
        <w:textAlignment w:val="auto"/>
        <w:rPr>
          <w:rFonts w:hint="default" w:ascii="Times New Roman" w:hAnsi="Times New Roman" w:eastAsia="宋体" w:cs="Times New Roman"/>
          <w:snapToGrid/>
          <w:color w:val="auto"/>
          <w:sz w:val="24"/>
          <w:szCs w:val="24"/>
          <w:lang w:val="zh-CN" w:eastAsia="zh-CN" w:bidi="zh-CN"/>
        </w:rPr>
      </w:pPr>
      <w:r>
        <w:rPr>
          <w:rFonts w:hint="default" w:ascii="Times New Roman" w:hAnsi="Times New Roman" w:eastAsia="宋体" w:cs="Times New Roman"/>
          <w:snapToGrid/>
          <w:color w:val="auto"/>
          <w:sz w:val="24"/>
          <w:szCs w:val="24"/>
          <w:lang w:val="zh-CN" w:eastAsia="zh-CN" w:bidi="zh-CN"/>
        </w:rPr>
        <w:t>2、储运</w:t>
      </w:r>
    </w:p>
    <w:p>
      <w:pPr>
        <w:pStyle w:val="62"/>
        <w:keepNext w:val="0"/>
        <w:keepLines w:val="0"/>
        <w:pageBreakBefore w:val="0"/>
        <w:widowControl w:val="0"/>
        <w:numPr>
          <w:ilvl w:val="0"/>
          <w:numId w:val="0"/>
        </w:numPr>
        <w:kinsoku/>
        <w:wordWrap/>
        <w:overflowPunct/>
        <w:topLinePunct w:val="0"/>
        <w:autoSpaceDE w:val="0"/>
        <w:autoSpaceDN w:val="0"/>
        <w:bidi w:val="0"/>
        <w:adjustRightInd w:val="0"/>
        <w:snapToGrid/>
        <w:spacing w:line="372" w:lineRule="auto"/>
        <w:ind w:firstLine="480" w:firstLineChars="200"/>
        <w:jc w:val="both"/>
        <w:textAlignment w:val="auto"/>
        <w:rPr>
          <w:rFonts w:hint="default" w:ascii="Times New Roman" w:hAnsi="Times New Roman" w:eastAsia="宋体" w:cs="Times New Roman"/>
          <w:snapToGrid/>
          <w:color w:val="auto"/>
          <w:sz w:val="24"/>
          <w:szCs w:val="24"/>
          <w:lang w:val="zh-CN" w:eastAsia="zh-CN" w:bidi="zh-CN"/>
        </w:rPr>
      </w:pPr>
      <w:r>
        <w:rPr>
          <w:rFonts w:hint="default" w:ascii="Times New Roman" w:hAnsi="Times New Roman" w:eastAsia="宋体" w:cs="Times New Roman"/>
          <w:snapToGrid/>
          <w:color w:val="auto"/>
          <w:sz w:val="24"/>
          <w:szCs w:val="24"/>
          <w:lang w:val="zh-CN" w:eastAsia="zh-CN" w:bidi="zh-CN"/>
        </w:rPr>
        <w:t>属于危险化学品的原料按危险化学品管理规定贮运。产品输出全部用汽车运输</w:t>
      </w:r>
      <w:r>
        <w:rPr>
          <w:rFonts w:hint="eastAsia" w:ascii="Times New Roman" w:hAnsi="Times New Roman" w:eastAsia="宋体" w:cs="Times New Roman"/>
          <w:snapToGrid/>
          <w:color w:val="auto"/>
          <w:sz w:val="24"/>
          <w:szCs w:val="24"/>
          <w:lang w:val="zh-CN" w:eastAsia="zh-CN" w:bidi="zh-CN"/>
        </w:rPr>
        <w:t>。</w:t>
      </w:r>
      <w:r>
        <w:rPr>
          <w:rFonts w:hint="eastAsia" w:ascii="Times New Roman" w:hAnsi="Times New Roman" w:cs="Times New Roman"/>
          <w:snapToGrid/>
          <w:color w:val="auto"/>
          <w:sz w:val="24"/>
          <w:szCs w:val="24"/>
          <w:lang w:val="en-US" w:eastAsia="zh-CN" w:bidi="zh-CN"/>
        </w:rPr>
        <w:t>原料</w:t>
      </w:r>
      <w:r>
        <w:rPr>
          <w:rFonts w:hint="default" w:ascii="Times New Roman" w:hAnsi="Times New Roman" w:eastAsia="宋体" w:cs="Times New Roman"/>
          <w:snapToGrid/>
          <w:color w:val="auto"/>
          <w:sz w:val="24"/>
          <w:szCs w:val="24"/>
          <w:lang w:val="zh-CN" w:eastAsia="zh-CN" w:bidi="zh-CN"/>
        </w:rPr>
        <w:t>仓库存在泄漏和火灾风险，或在运输过程中因操作不当、碰撞、倾覆等原因引起泄漏，将污染大气环境、水环境等，造成人员中毒。</w:t>
      </w:r>
    </w:p>
    <w:p>
      <w:pPr>
        <w:pStyle w:val="4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eastAsia="zh-CN"/>
        </w:rPr>
      </w:pPr>
      <w:r>
        <w:rPr>
          <w:rFonts w:hint="default" w:ascii="Times New Roman" w:hAnsi="Times New Roman" w:eastAsia="宋体" w:cs="Times New Roman"/>
          <w:snapToGrid/>
          <w:color w:val="auto"/>
          <w:sz w:val="24"/>
          <w:szCs w:val="24"/>
          <w:lang w:val="zh-CN" w:eastAsia="zh-CN" w:bidi="zh-CN"/>
        </w:rPr>
        <w:t>储运系统存在危险品泄漏和火灾风险。</w:t>
      </w:r>
    </w:p>
    <w:bookmarkEnd w:id="195"/>
    <w:bookmarkEnd w:id="196"/>
    <w:bookmarkEnd w:id="197"/>
    <w:bookmarkEnd w:id="201"/>
    <w:bookmarkEnd w:id="202"/>
    <w:p>
      <w:pPr>
        <w:pStyle w:val="4"/>
        <w:spacing w:before="780" w:beforeAutospacing="0"/>
        <w:jc w:val="center"/>
      </w:pPr>
      <w:bookmarkStart w:id="220" w:name="_Toc30573"/>
      <w:r>
        <w:t>第</w:t>
      </w:r>
      <w:r>
        <w:rPr>
          <w:rFonts w:hint="eastAsia"/>
          <w:lang w:val="en-US" w:eastAsia="zh-CN"/>
        </w:rPr>
        <w:t>三</w:t>
      </w:r>
      <w:r>
        <w:rPr>
          <w:rFonts w:hint="eastAsia"/>
        </w:rPr>
        <w:t>章</w:t>
      </w:r>
      <w:r>
        <w:rPr>
          <w:rFonts w:hint="eastAsia"/>
          <w:lang w:val="en-US" w:eastAsia="zh-CN"/>
        </w:rPr>
        <w:t xml:space="preserve"> </w:t>
      </w:r>
      <w:r>
        <w:rPr>
          <w:rFonts w:hint="eastAsia"/>
        </w:rPr>
        <w:t>组织机构与职责</w:t>
      </w:r>
      <w:bookmarkEnd w:id="220"/>
    </w:p>
    <w:p>
      <w:pPr>
        <w:pStyle w:val="5"/>
      </w:pPr>
      <w:bookmarkStart w:id="221" w:name="_Toc408503090"/>
      <w:bookmarkStart w:id="222" w:name="_Toc43202963"/>
      <w:bookmarkStart w:id="223" w:name="_Toc46857513"/>
      <w:bookmarkStart w:id="224" w:name="_Toc16456_WPSOffice_Level2"/>
      <w:bookmarkStart w:id="225" w:name="_Toc11827"/>
      <w:bookmarkStart w:id="226" w:name="_Toc23660_WPSOffice_Level2"/>
      <w:r>
        <w:rPr>
          <w:rFonts w:hint="eastAsia"/>
          <w:lang w:val="en-US" w:eastAsia="zh-CN"/>
        </w:rPr>
        <w:t>3</w:t>
      </w:r>
      <w:r>
        <w:rPr>
          <w:rFonts w:hint="eastAsia"/>
        </w:rPr>
        <w:t>.1企业应急组织体系</w:t>
      </w:r>
      <w:bookmarkEnd w:id="221"/>
      <w:bookmarkEnd w:id="222"/>
      <w:bookmarkEnd w:id="223"/>
      <w:bookmarkEnd w:id="224"/>
      <w:bookmarkEnd w:id="225"/>
      <w:bookmarkEnd w:id="226"/>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lang w:eastAsia="zh-CN"/>
        </w:rPr>
        <w:t>宜春宇泽新能源有限公司</w:t>
      </w:r>
      <w:r>
        <w:rPr>
          <w:rFonts w:hint="eastAsia" w:ascii="宋体" w:hAnsi="宋体" w:cs="宋体"/>
          <w:bCs/>
          <w:color w:val="000000"/>
          <w:sz w:val="24"/>
        </w:rPr>
        <w:t>应急机构包括应急指挥部及下设应急小组，应急指挥部主要由总指挥和副总指挥构成，应急小组主要有：医疗救护组、现场治安组、环境监测组、应急消防组、应急抢险组、物资保障组、通讯联络组等，各小组设组长一名，所有人员经过相关演练与培训，具有相关的应急能力。</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具体应急机构图如下。</w:t>
      </w:r>
    </w:p>
    <w:p>
      <w:pPr>
        <w:adjustRightInd w:val="0"/>
        <w:snapToGrid w:val="0"/>
        <w:spacing w:line="360" w:lineRule="auto"/>
        <w:jc w:val="center"/>
        <w:rPr>
          <w:rFonts w:ascii="宋体" w:hAnsi="宋体" w:cs="宋体"/>
          <w:b/>
          <w:bCs/>
          <w:color w:val="000000"/>
          <w:sz w:val="24"/>
        </w:rPr>
      </w:pPr>
      <w:bookmarkStart w:id="227" w:name="_Toc12708_WPSOffice_Level2"/>
      <w:r>
        <w:drawing>
          <wp:inline distT="0" distB="0" distL="114300" distR="114300">
            <wp:extent cx="5619750" cy="3657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3"/>
                    <a:stretch>
                      <a:fillRect/>
                    </a:stretch>
                  </pic:blipFill>
                  <pic:spPr>
                    <a:xfrm>
                      <a:off x="0" y="0"/>
                      <a:ext cx="5619750" cy="3657600"/>
                    </a:xfrm>
                    <a:prstGeom prst="rect">
                      <a:avLst/>
                    </a:prstGeom>
                    <a:noFill/>
                    <a:ln>
                      <a:noFill/>
                    </a:ln>
                  </pic:spPr>
                </pic:pic>
              </a:graphicData>
            </a:graphic>
          </wp:inline>
        </w:drawing>
      </w:r>
    </w:p>
    <w:p>
      <w:pPr>
        <w:adjustRightInd w:val="0"/>
        <w:snapToGrid w:val="0"/>
        <w:spacing w:line="360" w:lineRule="auto"/>
        <w:jc w:val="center"/>
        <w:rPr>
          <w:rFonts w:ascii="宋体" w:hAnsi="宋体" w:cs="宋体"/>
          <w:b/>
          <w:bCs/>
          <w:color w:val="000000"/>
          <w:sz w:val="24"/>
        </w:rPr>
      </w:pPr>
      <w:r>
        <w:rPr>
          <w:rFonts w:hint="eastAsia" w:ascii="宋体" w:hAnsi="宋体" w:cs="宋体"/>
          <w:b/>
          <w:bCs/>
          <w:color w:val="000000"/>
          <w:sz w:val="24"/>
        </w:rPr>
        <w:t>图</w:t>
      </w:r>
      <w:r>
        <w:rPr>
          <w:rFonts w:hint="eastAsia" w:ascii="宋体" w:hAnsi="宋体" w:cs="宋体"/>
          <w:b/>
          <w:bCs/>
          <w:color w:val="000000"/>
          <w:sz w:val="24"/>
          <w:lang w:val="en-US" w:eastAsia="zh-CN"/>
        </w:rPr>
        <w:t>3</w:t>
      </w:r>
      <w:r>
        <w:rPr>
          <w:rFonts w:hint="eastAsia" w:ascii="宋体" w:hAnsi="宋体" w:cs="宋体"/>
          <w:b/>
          <w:bCs/>
          <w:color w:val="000000"/>
          <w:sz w:val="24"/>
        </w:rPr>
        <w:t>.1-1 应急机构网络图</w:t>
      </w:r>
      <w:bookmarkEnd w:id="227"/>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公司所有应急人员应以一定形式将事故状况、应急工作状况等报告应急指挥部。指挥部根据事故及其处理状况，下达应急指令。应急队伍接受指令后，立即按照职责、分工行动；并在行动过程中，随时将事故状况反馈给指挥部；指挥部根据反馈情况再次下达指令，直到完成应急事故处理。</w:t>
      </w:r>
    </w:p>
    <w:p>
      <w:pPr>
        <w:adjustRightInd w:val="0"/>
        <w:snapToGrid w:val="0"/>
        <w:spacing w:line="360" w:lineRule="auto"/>
        <w:jc w:val="center"/>
        <w:rPr>
          <w:rFonts w:hint="eastAsia" w:ascii="宋体" w:hAnsi="宋体" w:cs="宋体"/>
          <w:bCs/>
          <w:color w:val="000000"/>
          <w:sz w:val="24"/>
        </w:rPr>
      </w:pPr>
    </w:p>
    <w:p>
      <w:pPr>
        <w:adjustRightInd w:val="0"/>
        <w:snapToGrid w:val="0"/>
        <w:spacing w:line="360" w:lineRule="auto"/>
        <w:jc w:val="center"/>
        <w:rPr>
          <w:rFonts w:hAnsi="仿宋_GB2312" w:eastAsia="仿宋_GB2312"/>
          <w:bCs/>
          <w:color w:val="000000"/>
          <w:sz w:val="24"/>
        </w:rPr>
      </w:pPr>
      <w:r>
        <w:rPr>
          <w:rFonts w:hint="eastAsia" w:ascii="宋体" w:hAnsi="宋体" w:cs="宋体"/>
          <w:bCs/>
          <w:color w:val="000000"/>
          <w:sz w:val="24"/>
        </w:rPr>
        <w:t>应急过程中各应急人员以及应急指挥部应佩戴相应的标志性袖章，以示辨识</w:t>
      </w:r>
      <w:r>
        <w:rPr>
          <w:rFonts w:hint="eastAsia" w:ascii="仿宋_GB2312" w:hAnsi="仿宋_GB2312" w:eastAsia="仿宋_GB2312"/>
          <w:bCs/>
          <w:color w:val="000000"/>
          <w:sz w:val="24"/>
        </w:rPr>
        <w:t>。</w:t>
      </w:r>
    </w:p>
    <w:p>
      <w:pPr>
        <w:pStyle w:val="5"/>
      </w:pPr>
      <w:bookmarkStart w:id="228" w:name="_Toc46857514"/>
      <w:bookmarkStart w:id="229" w:name="_Toc43202964"/>
      <w:bookmarkStart w:id="230" w:name="_Toc9771_WPSOffice_Level2"/>
      <w:bookmarkStart w:id="231" w:name="_Toc29496_WPSOffice_Level2"/>
      <w:bookmarkStart w:id="232" w:name="_Toc408503091"/>
      <w:bookmarkStart w:id="233" w:name="_Toc18719"/>
      <w:r>
        <w:rPr>
          <w:rFonts w:hint="eastAsia"/>
          <w:lang w:val="en-US" w:eastAsia="zh-CN"/>
        </w:rPr>
        <w:t>3</w:t>
      </w:r>
      <w:r>
        <w:rPr>
          <w:rFonts w:hint="eastAsia"/>
        </w:rPr>
        <w:t>.2指挥部与应急小组职责</w:t>
      </w:r>
      <w:bookmarkEnd w:id="228"/>
      <w:bookmarkEnd w:id="229"/>
      <w:bookmarkEnd w:id="230"/>
      <w:bookmarkEnd w:id="231"/>
      <w:bookmarkEnd w:id="232"/>
      <w:bookmarkEnd w:id="233"/>
    </w:p>
    <w:p>
      <w:pPr>
        <w:pStyle w:val="6"/>
      </w:pPr>
      <w:bookmarkStart w:id="234" w:name="_Toc43202965"/>
      <w:r>
        <w:rPr>
          <w:rFonts w:hint="eastAsia"/>
          <w:lang w:val="en-US" w:eastAsia="zh-CN"/>
        </w:rPr>
        <w:t>3</w:t>
      </w:r>
      <w:r>
        <w:rPr>
          <w:rFonts w:hint="eastAsia"/>
        </w:rPr>
        <w:t>.2.1指挥职责</w:t>
      </w:r>
      <w:bookmarkEnd w:id="234"/>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⑴组织制订突发环境事件应急预案；</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⑵批准本预案的启动与终止；</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 xml:space="preserve">⑶现场事故等级判定及相应的应急响应启动； </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⑷负责人员、资源配置、应急队伍的调动；</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⑸确定应急现场指挥人员；</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⑹协调事故现场有关工作；</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⑺确定事故状态下各级人员的职责；</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⑻负责突发环境事件信息的上报工作；</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⑼接受政府的指令和调动；</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⑽组织应急预案的演练；</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⑾负责保护事故现场及收集相关数据；</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⑿负责事故原因调查，应急经验总结；</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⒀负责企业生产过程改进，应急预案制定、更新与发布。</w:t>
      </w:r>
    </w:p>
    <w:p>
      <w:pPr>
        <w:adjustRightInd w:val="0"/>
        <w:snapToGrid w:val="0"/>
        <w:spacing w:line="360" w:lineRule="auto"/>
        <w:rPr>
          <w:rFonts w:ascii="宋体" w:hAnsi="宋体" w:cs="宋体"/>
          <w:b/>
          <w:bCs/>
          <w:color w:val="000000"/>
          <w:sz w:val="24"/>
        </w:rPr>
      </w:pPr>
      <w:bookmarkStart w:id="235" w:name="_Toc341807497"/>
      <w:bookmarkStart w:id="236" w:name="_Toc342216081"/>
      <w:bookmarkStart w:id="237" w:name="_Toc170632597"/>
      <w:bookmarkStart w:id="238" w:name="_Toc171561492"/>
      <w:r>
        <w:rPr>
          <w:rFonts w:hint="eastAsia" w:ascii="宋体" w:hAnsi="宋体" w:cs="宋体"/>
          <w:b/>
          <w:bCs/>
          <w:color w:val="000000"/>
          <w:sz w:val="24"/>
          <w:lang w:val="en-US" w:eastAsia="zh-CN"/>
        </w:rPr>
        <w:t>3</w:t>
      </w:r>
      <w:r>
        <w:rPr>
          <w:rFonts w:hint="eastAsia" w:ascii="宋体" w:hAnsi="宋体" w:cs="宋体"/>
          <w:b/>
          <w:bCs/>
          <w:color w:val="000000"/>
          <w:sz w:val="24"/>
        </w:rPr>
        <w:t>.2.1.1 指挥部人员职责划分</w:t>
      </w:r>
      <w:bookmarkEnd w:id="235"/>
      <w:bookmarkEnd w:id="236"/>
      <w:bookmarkEnd w:id="237"/>
      <w:bookmarkEnd w:id="238"/>
    </w:p>
    <w:p>
      <w:pPr>
        <w:adjustRightInd w:val="0"/>
        <w:snapToGrid w:val="0"/>
        <w:spacing w:line="360" w:lineRule="auto"/>
        <w:ind w:firstLine="555"/>
        <w:rPr>
          <w:rFonts w:hint="eastAsia" w:ascii="宋体" w:hAnsi="宋体" w:eastAsia="宋体" w:cs="宋体"/>
          <w:bCs/>
          <w:color w:val="000000"/>
          <w:sz w:val="24"/>
          <w:lang w:eastAsia="zh-CN"/>
        </w:rPr>
      </w:pPr>
      <w:r>
        <w:rPr>
          <w:rFonts w:hint="eastAsia" w:ascii="宋体" w:hAnsi="宋体" w:cs="宋体"/>
          <w:bCs/>
          <w:color w:val="000000"/>
          <w:sz w:val="24"/>
        </w:rPr>
        <w:t>⑴总指挥：</w:t>
      </w:r>
      <w:r>
        <w:rPr>
          <w:rFonts w:hint="eastAsia" w:ascii="宋体" w:hAnsi="宋体" w:cs="宋体"/>
          <w:bCs/>
          <w:color w:val="000000"/>
          <w:sz w:val="24"/>
          <w:lang w:eastAsia="zh-CN"/>
        </w:rPr>
        <w:t>邢立勋</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职责：</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①组织制定突发环境事件应急预案；</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②批准本预案的启动与终止；</w:t>
      </w:r>
    </w:p>
    <w:p>
      <w:pPr>
        <w:adjustRightInd w:val="0"/>
        <w:snapToGrid w:val="0"/>
        <w:spacing w:line="360" w:lineRule="auto"/>
        <w:ind w:left="550"/>
        <w:rPr>
          <w:rFonts w:ascii="宋体" w:hAnsi="宋体" w:cs="宋体"/>
          <w:bCs/>
          <w:color w:val="000000"/>
          <w:sz w:val="24"/>
        </w:rPr>
      </w:pPr>
      <w:r>
        <w:rPr>
          <w:rFonts w:hint="eastAsia" w:ascii="宋体" w:hAnsi="宋体" w:cs="宋体"/>
          <w:bCs/>
          <w:color w:val="000000"/>
          <w:sz w:val="24"/>
        </w:rPr>
        <w:t>③现场事故等级判定及相应的应急响应启动；</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④全面负责各小组应急指挥工作；</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⑤调动人员、物资，并发布应急指令；</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⑥接收政府的指令和调动；</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⑦负责应急预案的制定和发布；</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⑧负责突发环境事件信息的上报工作。</w:t>
      </w:r>
    </w:p>
    <w:p>
      <w:pPr>
        <w:adjustRightInd w:val="0"/>
        <w:snapToGrid w:val="0"/>
        <w:spacing w:line="360" w:lineRule="auto"/>
        <w:ind w:firstLine="555"/>
        <w:rPr>
          <w:rFonts w:hint="eastAsia" w:ascii="宋体" w:hAnsi="宋体" w:eastAsia="宋体" w:cs="宋体"/>
          <w:bCs/>
          <w:color w:val="000000"/>
          <w:sz w:val="24"/>
          <w:lang w:eastAsia="zh-CN"/>
        </w:rPr>
      </w:pPr>
      <w:r>
        <w:rPr>
          <w:rFonts w:hint="eastAsia" w:ascii="宋体" w:hAnsi="宋体" w:cs="宋体"/>
          <w:bCs/>
          <w:color w:val="000000"/>
          <w:sz w:val="24"/>
        </w:rPr>
        <w:t>⑵副总指挥：</w:t>
      </w:r>
      <w:r>
        <w:rPr>
          <w:rFonts w:hint="eastAsia" w:ascii="宋体" w:hAnsi="宋体" w:cs="宋体"/>
          <w:bCs/>
          <w:color w:val="000000"/>
          <w:sz w:val="24"/>
          <w:lang w:eastAsia="zh-CN"/>
        </w:rPr>
        <w:t>贺立超</w:t>
      </w:r>
    </w:p>
    <w:p>
      <w:pPr>
        <w:adjustRightInd w:val="0"/>
        <w:snapToGrid w:val="0"/>
        <w:spacing w:line="360" w:lineRule="auto"/>
        <w:ind w:firstLine="555"/>
        <w:rPr>
          <w:rFonts w:ascii="宋体" w:hAnsi="宋体" w:cs="宋体"/>
          <w:bCs/>
          <w:color w:val="000000"/>
          <w:sz w:val="24"/>
        </w:rPr>
      </w:pPr>
      <w:r>
        <w:rPr>
          <w:rFonts w:hint="eastAsia" w:ascii="宋体" w:hAnsi="宋体" w:cs="宋体"/>
          <w:bCs/>
          <w:color w:val="000000"/>
          <w:sz w:val="24"/>
        </w:rPr>
        <w:t>职责：</w:t>
      </w:r>
    </w:p>
    <w:p>
      <w:pPr>
        <w:adjustRightInd w:val="0"/>
        <w:snapToGrid w:val="0"/>
        <w:spacing w:line="360" w:lineRule="auto"/>
        <w:ind w:left="552"/>
        <w:rPr>
          <w:rFonts w:ascii="宋体" w:hAnsi="宋体" w:cs="宋体"/>
          <w:bCs/>
          <w:color w:val="000000"/>
          <w:sz w:val="24"/>
        </w:rPr>
      </w:pPr>
      <w:bookmarkStart w:id="239" w:name="_Toc165165582"/>
      <w:bookmarkStart w:id="240" w:name="_Toc161808476"/>
      <w:r>
        <w:rPr>
          <w:rFonts w:hint="eastAsia" w:ascii="宋体" w:hAnsi="宋体" w:cs="宋体"/>
          <w:bCs/>
          <w:color w:val="000000"/>
          <w:sz w:val="24"/>
        </w:rPr>
        <w:t>①负责具体落实各应急小组应急工作；</w:t>
      </w:r>
    </w:p>
    <w:p>
      <w:pPr>
        <w:adjustRightInd w:val="0"/>
        <w:snapToGrid w:val="0"/>
        <w:spacing w:line="360" w:lineRule="auto"/>
        <w:ind w:left="552"/>
        <w:rPr>
          <w:rFonts w:ascii="宋体" w:hAnsi="宋体" w:cs="宋体"/>
          <w:bCs/>
          <w:color w:val="000000"/>
          <w:sz w:val="24"/>
        </w:rPr>
      </w:pPr>
      <w:r>
        <w:rPr>
          <w:rFonts w:hint="eastAsia" w:ascii="宋体" w:hAnsi="宋体" w:cs="宋体"/>
          <w:bCs/>
          <w:color w:val="000000"/>
          <w:sz w:val="24"/>
        </w:rPr>
        <w:t>②负责各应急小组组长工作任务分配；</w:t>
      </w:r>
    </w:p>
    <w:p>
      <w:pPr>
        <w:adjustRightInd w:val="0"/>
        <w:snapToGrid w:val="0"/>
        <w:spacing w:line="360" w:lineRule="auto"/>
        <w:ind w:left="552"/>
        <w:rPr>
          <w:rFonts w:ascii="宋体" w:hAnsi="宋体" w:cs="宋体"/>
          <w:bCs/>
          <w:color w:val="000000"/>
          <w:sz w:val="24"/>
        </w:rPr>
      </w:pPr>
      <w:r>
        <w:rPr>
          <w:rFonts w:hint="eastAsia" w:ascii="宋体" w:hAnsi="宋体" w:cs="宋体"/>
          <w:bCs/>
          <w:color w:val="000000"/>
          <w:sz w:val="24"/>
        </w:rPr>
        <w:t>③协调事故现场有关工作；</w:t>
      </w:r>
    </w:p>
    <w:p>
      <w:pPr>
        <w:adjustRightInd w:val="0"/>
        <w:snapToGrid w:val="0"/>
        <w:spacing w:line="360" w:lineRule="auto"/>
        <w:ind w:left="552"/>
        <w:rPr>
          <w:rFonts w:ascii="宋体" w:hAnsi="宋体" w:cs="宋体"/>
          <w:bCs/>
          <w:color w:val="000000"/>
          <w:sz w:val="24"/>
        </w:rPr>
      </w:pPr>
      <w:r>
        <w:rPr>
          <w:rFonts w:hint="eastAsia" w:ascii="宋体" w:hAnsi="宋体" w:cs="宋体"/>
          <w:bCs/>
          <w:color w:val="000000"/>
          <w:sz w:val="24"/>
        </w:rPr>
        <w:t>④组织应急预案的演练；</w:t>
      </w:r>
    </w:p>
    <w:p>
      <w:pPr>
        <w:adjustRightInd w:val="0"/>
        <w:snapToGrid w:val="0"/>
        <w:spacing w:line="360" w:lineRule="auto"/>
        <w:ind w:left="552"/>
        <w:rPr>
          <w:rFonts w:ascii="宋体" w:hAnsi="宋体" w:cs="宋体"/>
          <w:bCs/>
          <w:color w:val="000000"/>
          <w:sz w:val="24"/>
        </w:rPr>
      </w:pPr>
      <w:r>
        <w:rPr>
          <w:rFonts w:hint="eastAsia" w:ascii="宋体" w:hAnsi="宋体" w:cs="宋体"/>
          <w:bCs/>
          <w:color w:val="000000"/>
          <w:sz w:val="24"/>
        </w:rPr>
        <w:t>⑤负责事故原因调查、应急经验总结；</w:t>
      </w:r>
    </w:p>
    <w:p>
      <w:pPr>
        <w:adjustRightInd w:val="0"/>
        <w:snapToGrid w:val="0"/>
        <w:spacing w:line="360" w:lineRule="auto"/>
        <w:ind w:left="552"/>
        <w:rPr>
          <w:rFonts w:eastAsia="仿宋_GB2312"/>
          <w:bCs/>
          <w:color w:val="000000"/>
          <w:sz w:val="24"/>
        </w:rPr>
      </w:pPr>
      <w:r>
        <w:rPr>
          <w:rFonts w:hint="eastAsia" w:ascii="宋体" w:hAnsi="宋体" w:cs="宋体"/>
          <w:bCs/>
          <w:color w:val="000000"/>
          <w:sz w:val="24"/>
        </w:rPr>
        <w:t>⑥负责公司生产改进，应急预案改进、更新；</w:t>
      </w:r>
    </w:p>
    <w:p>
      <w:pPr>
        <w:pStyle w:val="6"/>
      </w:pPr>
      <w:bookmarkStart w:id="241" w:name="_Toc408503093"/>
      <w:bookmarkStart w:id="242" w:name="_Toc43202966"/>
      <w:r>
        <w:rPr>
          <w:rFonts w:hint="eastAsia"/>
          <w:lang w:val="en-US" w:eastAsia="zh-CN"/>
        </w:rPr>
        <w:t>3</w:t>
      </w:r>
      <w:r>
        <w:t>.</w:t>
      </w:r>
      <w:r>
        <w:rPr>
          <w:rFonts w:hint="eastAsia"/>
        </w:rPr>
        <w:t>2</w:t>
      </w:r>
      <w:r>
        <w:t>.</w:t>
      </w:r>
      <w:r>
        <w:rPr>
          <w:rFonts w:hint="eastAsia"/>
        </w:rPr>
        <w:t>2</w:t>
      </w:r>
      <w:r>
        <w:t>应急</w:t>
      </w:r>
      <w:r>
        <w:rPr>
          <w:rFonts w:hint="eastAsia"/>
        </w:rPr>
        <w:t>小组</w:t>
      </w:r>
      <w:r>
        <w:t>职责</w:t>
      </w:r>
      <w:bookmarkEnd w:id="239"/>
      <w:bookmarkEnd w:id="240"/>
      <w:bookmarkEnd w:id="241"/>
      <w:bookmarkEnd w:id="242"/>
    </w:p>
    <w:p>
      <w:pPr>
        <w:adjustRightInd w:val="0"/>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1、应急消防组职责</w:t>
      </w:r>
    </w:p>
    <w:p>
      <w:pPr>
        <w:adjustRightInd w:val="0"/>
        <w:snapToGrid w:val="0"/>
        <w:spacing w:line="360" w:lineRule="auto"/>
        <w:ind w:firstLine="480" w:firstLineChars="200"/>
        <w:rPr>
          <w:rFonts w:hint="eastAsia" w:ascii="宋体" w:hAnsi="宋体" w:cs="宋体"/>
          <w:bCs/>
          <w:color w:val="000000"/>
          <w:sz w:val="24"/>
          <w:lang w:eastAsia="zh-CN"/>
        </w:rPr>
      </w:pPr>
      <w:r>
        <w:rPr>
          <w:rFonts w:hint="eastAsia" w:ascii="宋体" w:hAnsi="宋体" w:cs="宋体"/>
          <w:bCs/>
          <w:color w:val="000000"/>
          <w:sz w:val="24"/>
        </w:rPr>
        <w:t>组长：</w:t>
      </w:r>
      <w:r>
        <w:rPr>
          <w:rFonts w:hint="eastAsia" w:ascii="宋体" w:hAnsi="宋体" w:cs="宋体"/>
          <w:bCs/>
          <w:color w:val="000000"/>
          <w:sz w:val="24"/>
          <w:lang w:eastAsia="zh-CN"/>
        </w:rPr>
        <w:t>邓 磊</w:t>
      </w:r>
    </w:p>
    <w:p>
      <w:pPr>
        <w:adjustRightInd w:val="0"/>
        <w:snapToGrid w:val="0"/>
        <w:spacing w:line="360" w:lineRule="auto"/>
        <w:ind w:firstLine="480" w:firstLineChars="200"/>
        <w:rPr>
          <w:rFonts w:hint="default" w:ascii="宋体" w:hAnsi="宋体" w:cs="宋体"/>
          <w:bCs/>
          <w:color w:val="000000"/>
          <w:sz w:val="24"/>
          <w:lang w:val="en-US" w:eastAsia="zh-CN"/>
        </w:rPr>
      </w:pPr>
      <w:r>
        <w:rPr>
          <w:rFonts w:hint="eastAsia" w:ascii="宋体" w:hAnsi="宋体" w:cs="宋体"/>
          <w:bCs/>
          <w:color w:val="000000"/>
          <w:sz w:val="24"/>
          <w:lang w:val="en-US" w:eastAsia="zh-CN"/>
        </w:rPr>
        <w:t>成员;袁定洪、袁杰、高文科、袁明、冯计宜、易初耀</w:t>
      </w:r>
    </w:p>
    <w:p>
      <w:pPr>
        <w:adjustRightInd w:val="0"/>
        <w:snapToGrid w:val="0"/>
        <w:spacing w:line="360" w:lineRule="auto"/>
        <w:ind w:firstLine="480" w:firstLineChars="200"/>
        <w:rPr>
          <w:rFonts w:hint="eastAsia" w:ascii="宋体" w:hAnsi="宋体" w:cs="宋体"/>
          <w:bCs/>
          <w:color w:val="000000"/>
          <w:sz w:val="24"/>
        </w:rPr>
      </w:pPr>
      <w:r>
        <w:rPr>
          <w:rFonts w:hint="eastAsia" w:ascii="宋体" w:hAnsi="宋体" w:cs="宋体"/>
          <w:bCs/>
          <w:color w:val="000000"/>
          <w:sz w:val="24"/>
        </w:rPr>
        <w:t>职责：</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（1）负责事故现场应急消防，联络接应119消防队；</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（2）负责关闭雨水排口阀门，开启应急泵，收集消防废水及泄漏液体的收集；</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（3）负责消防物资（灭火器、消防栓、水枪、灭火沙等）取用；</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（4）负责事故后的污染场地洗消；</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（5）将消防废水收集后转移至厂内废水站处理达标。</w:t>
      </w:r>
    </w:p>
    <w:p>
      <w:pPr>
        <w:adjustRightInd w:val="0"/>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2、应急抢险组职责</w:t>
      </w:r>
    </w:p>
    <w:p>
      <w:pPr>
        <w:adjustRightInd w:val="0"/>
        <w:snapToGrid w:val="0"/>
        <w:spacing w:line="360" w:lineRule="auto"/>
        <w:ind w:firstLine="480" w:firstLineChars="200"/>
        <w:rPr>
          <w:rFonts w:hint="eastAsia" w:ascii="宋体" w:hAnsi="宋体" w:cs="宋体"/>
          <w:bCs/>
          <w:color w:val="000000"/>
          <w:sz w:val="24"/>
          <w:lang w:eastAsia="zh-CN"/>
        </w:rPr>
      </w:pPr>
      <w:bookmarkStart w:id="243" w:name="_Toc408503094"/>
      <w:r>
        <w:rPr>
          <w:rFonts w:hint="eastAsia" w:ascii="宋体" w:hAnsi="宋体" w:cs="宋体"/>
          <w:bCs/>
          <w:color w:val="000000"/>
          <w:sz w:val="24"/>
        </w:rPr>
        <w:t>组长：</w:t>
      </w:r>
      <w:bookmarkEnd w:id="243"/>
      <w:r>
        <w:rPr>
          <w:rFonts w:hint="eastAsia" w:ascii="宋体" w:hAnsi="宋体" w:cs="宋体"/>
          <w:bCs/>
          <w:color w:val="000000"/>
          <w:sz w:val="24"/>
          <w:lang w:eastAsia="zh-CN"/>
        </w:rPr>
        <w:t>晏新聪</w:t>
      </w:r>
    </w:p>
    <w:p>
      <w:pPr>
        <w:adjustRightInd w:val="0"/>
        <w:snapToGrid w:val="0"/>
        <w:spacing w:line="360" w:lineRule="auto"/>
        <w:ind w:firstLine="480" w:firstLineChars="200"/>
        <w:rPr>
          <w:rFonts w:hint="default" w:ascii="宋体" w:hAnsi="宋体" w:cs="宋体"/>
          <w:bCs/>
          <w:color w:val="000000"/>
          <w:sz w:val="24"/>
          <w:lang w:val="en-US" w:eastAsia="zh-CN"/>
        </w:rPr>
      </w:pPr>
      <w:r>
        <w:rPr>
          <w:rFonts w:hint="eastAsia" w:ascii="宋体" w:hAnsi="宋体" w:cs="宋体"/>
          <w:bCs/>
          <w:color w:val="000000"/>
          <w:sz w:val="24"/>
          <w:lang w:val="en-US" w:eastAsia="zh-CN"/>
        </w:rPr>
        <w:t>成员：黄材岗、柳才竹、彭晶</w:t>
      </w:r>
    </w:p>
    <w:p>
      <w:pPr>
        <w:adjustRightInd w:val="0"/>
        <w:snapToGrid w:val="0"/>
        <w:spacing w:line="360" w:lineRule="auto"/>
        <w:ind w:firstLine="480" w:firstLineChars="200"/>
        <w:rPr>
          <w:rFonts w:hint="eastAsia" w:ascii="宋体" w:hAnsi="宋体" w:cs="宋体"/>
          <w:bCs/>
          <w:color w:val="000000"/>
          <w:sz w:val="24"/>
        </w:rPr>
      </w:pPr>
      <w:r>
        <w:rPr>
          <w:rFonts w:hint="eastAsia" w:ascii="宋体" w:hAnsi="宋体" w:cs="宋体"/>
          <w:bCs/>
          <w:color w:val="000000"/>
          <w:sz w:val="24"/>
        </w:rPr>
        <w:t xml:space="preserve">职责： </w:t>
      </w:r>
    </w:p>
    <w:p>
      <w:pPr>
        <w:adjustRightInd w:val="0"/>
        <w:snapToGrid w:val="0"/>
        <w:spacing w:line="360" w:lineRule="auto"/>
        <w:ind w:firstLine="480" w:firstLineChars="200"/>
        <w:rPr>
          <w:rFonts w:ascii="宋体" w:hAnsi="宋体" w:cs="宋体"/>
          <w:bCs/>
          <w:color w:val="000000"/>
          <w:sz w:val="24"/>
        </w:rPr>
      </w:pPr>
      <w:bookmarkStart w:id="244" w:name="_Toc405881550"/>
      <w:bookmarkStart w:id="245" w:name="_Toc408503096"/>
      <w:bookmarkStart w:id="246" w:name="_Toc396934365"/>
      <w:bookmarkStart w:id="247" w:name="_Toc383072783"/>
      <w:bookmarkStart w:id="248" w:name="_Toc396237235"/>
      <w:bookmarkStart w:id="249" w:name="_Toc405384539"/>
      <w:bookmarkStart w:id="250" w:name="_Toc403659373"/>
      <w:bookmarkStart w:id="251" w:name="_Toc383172990"/>
      <w:bookmarkStart w:id="252" w:name="_Toc395804991"/>
      <w:bookmarkStart w:id="253" w:name="_Toc378105667"/>
      <w:bookmarkStart w:id="254" w:name="_Toc402875704"/>
      <w:bookmarkStart w:id="255" w:name="_Toc399352194"/>
      <w:r>
        <w:rPr>
          <w:rFonts w:hint="eastAsia" w:ascii="宋体" w:hAnsi="宋体" w:cs="宋体"/>
          <w:bCs/>
          <w:color w:val="000000"/>
          <w:sz w:val="24"/>
        </w:rPr>
        <w:t>（1）负责泄漏处应急堵漏（阀门、法兰、垫圈等泄漏处堵漏）；</w:t>
      </w:r>
      <w:bookmarkEnd w:id="244"/>
      <w:bookmarkEnd w:id="245"/>
      <w:bookmarkEnd w:id="246"/>
      <w:bookmarkEnd w:id="247"/>
      <w:bookmarkEnd w:id="248"/>
      <w:bookmarkEnd w:id="249"/>
      <w:bookmarkEnd w:id="250"/>
      <w:bookmarkEnd w:id="251"/>
      <w:bookmarkEnd w:id="252"/>
      <w:bookmarkEnd w:id="253"/>
      <w:bookmarkEnd w:id="254"/>
      <w:bookmarkEnd w:id="255"/>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（2）负责围堰内液体收集、转移和地面残液处理；</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（3）负责泄漏废水的围堵与疏导；</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（4）负责故障设备抢修。</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（5）抢险物资的取用。</w:t>
      </w:r>
    </w:p>
    <w:p>
      <w:pPr>
        <w:adjustRightInd w:val="0"/>
        <w:snapToGrid w:val="0"/>
        <w:spacing w:line="360" w:lineRule="auto"/>
        <w:ind w:firstLine="602" w:firstLineChars="250"/>
        <w:rPr>
          <w:rFonts w:ascii="宋体" w:hAnsi="宋体" w:cs="宋体"/>
          <w:b/>
          <w:bCs/>
          <w:color w:val="000000"/>
          <w:sz w:val="24"/>
        </w:rPr>
      </w:pPr>
      <w:bookmarkStart w:id="256" w:name="_Toc403659374"/>
      <w:bookmarkStart w:id="257" w:name="_Toc383072784"/>
      <w:bookmarkStart w:id="258" w:name="_Toc402875705"/>
      <w:bookmarkStart w:id="259" w:name="_Toc405384540"/>
      <w:bookmarkStart w:id="260" w:name="_Toc378105668"/>
      <w:bookmarkStart w:id="261" w:name="_Toc405881551"/>
      <w:bookmarkStart w:id="262" w:name="_Toc396237236"/>
      <w:bookmarkStart w:id="263" w:name="_Toc395804992"/>
      <w:bookmarkStart w:id="264" w:name="_Toc396934366"/>
      <w:bookmarkStart w:id="265" w:name="_Toc408503097"/>
      <w:bookmarkStart w:id="266" w:name="_Toc399352195"/>
      <w:bookmarkStart w:id="267" w:name="_Toc383172991"/>
      <w:r>
        <w:rPr>
          <w:rFonts w:hint="eastAsia" w:ascii="宋体" w:hAnsi="宋体" w:cs="宋体"/>
          <w:b/>
          <w:bCs/>
          <w:color w:val="000000"/>
          <w:sz w:val="24"/>
        </w:rPr>
        <w:t>3、医疗救护组职责</w:t>
      </w:r>
      <w:bookmarkEnd w:id="256"/>
      <w:bookmarkEnd w:id="257"/>
      <w:bookmarkEnd w:id="258"/>
      <w:bookmarkEnd w:id="259"/>
      <w:bookmarkEnd w:id="260"/>
      <w:bookmarkEnd w:id="261"/>
      <w:bookmarkEnd w:id="262"/>
      <w:bookmarkEnd w:id="263"/>
      <w:bookmarkEnd w:id="264"/>
      <w:bookmarkEnd w:id="265"/>
      <w:bookmarkEnd w:id="266"/>
      <w:bookmarkEnd w:id="267"/>
    </w:p>
    <w:p>
      <w:pPr>
        <w:adjustRightInd w:val="0"/>
        <w:snapToGrid w:val="0"/>
        <w:spacing w:line="360" w:lineRule="auto"/>
        <w:ind w:left="479" w:leftChars="228" w:firstLine="0" w:firstLineChars="0"/>
        <w:rPr>
          <w:rFonts w:hint="default" w:ascii="宋体" w:hAnsi="宋体" w:eastAsia="宋体" w:cs="宋体"/>
          <w:bCs/>
          <w:color w:val="000000"/>
          <w:sz w:val="24"/>
          <w:szCs w:val="24"/>
          <w:lang w:val="en-US" w:eastAsia="zh-CN"/>
        </w:rPr>
      </w:pPr>
      <w:r>
        <w:rPr>
          <w:rFonts w:hint="eastAsia" w:ascii="宋体" w:hAnsi="宋体" w:cs="宋体"/>
          <w:bCs/>
          <w:color w:val="000000"/>
          <w:sz w:val="24"/>
          <w:szCs w:val="24"/>
        </w:rPr>
        <w:t>组长：</w:t>
      </w:r>
      <w:r>
        <w:rPr>
          <w:rFonts w:hint="eastAsia" w:ascii="宋体" w:hAnsi="宋体" w:cs="宋体"/>
          <w:bCs/>
          <w:color w:val="000000"/>
          <w:sz w:val="24"/>
          <w:szCs w:val="24"/>
          <w:lang w:eastAsia="zh-CN"/>
        </w:rPr>
        <w:t>胡沛</w:t>
      </w:r>
      <w:r>
        <w:rPr>
          <w:rFonts w:hint="eastAsia" w:ascii="宋体" w:hAnsi="宋体" w:cs="宋体"/>
          <w:bCs/>
          <w:color w:val="000000"/>
          <w:sz w:val="24"/>
          <w:szCs w:val="24"/>
          <w:lang w:eastAsia="zh-CN"/>
        </w:rPr>
        <w:br w:type="textWrapping"/>
      </w:r>
      <w:r>
        <w:rPr>
          <w:rFonts w:hint="eastAsia" w:ascii="宋体" w:hAnsi="宋体" w:cs="宋体"/>
          <w:bCs/>
          <w:color w:val="000000"/>
          <w:sz w:val="24"/>
          <w:szCs w:val="24"/>
          <w:lang w:val="en-US" w:eastAsia="zh-CN"/>
        </w:rPr>
        <w:t>成员：</w:t>
      </w:r>
      <w:r>
        <w:rPr>
          <w:rFonts w:hint="eastAsia" w:ascii="宋体" w:hAnsi="宋体" w:eastAsia="宋体" w:cs="宋体"/>
          <w:b w:val="0"/>
          <w:bCs/>
          <w:color w:val="auto"/>
          <w:sz w:val="24"/>
          <w:szCs w:val="24"/>
          <w:lang w:val="en-US" w:eastAsia="zh-CN"/>
        </w:rPr>
        <w:t>易建娣</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吴松</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职责：</w:t>
      </w:r>
    </w:p>
    <w:p>
      <w:pPr>
        <w:numPr>
          <w:ilvl w:val="0"/>
          <w:numId w:val="0"/>
        </w:numPr>
        <w:adjustRightInd w:val="0"/>
        <w:snapToGrid w:val="0"/>
        <w:spacing w:line="360" w:lineRule="auto"/>
        <w:ind w:left="555" w:leftChars="0"/>
        <w:rPr>
          <w:rFonts w:ascii="宋体" w:hAnsi="宋体" w:cs="宋体"/>
          <w:bCs/>
          <w:color w:val="000000"/>
          <w:sz w:val="24"/>
        </w:rPr>
      </w:pPr>
      <w:r>
        <w:rPr>
          <w:rFonts w:hint="eastAsia" w:ascii="宋体" w:hAnsi="宋体" w:cs="宋体"/>
          <w:bCs/>
          <w:color w:val="000000"/>
          <w:sz w:val="24"/>
          <w:lang w:eastAsia="zh-CN"/>
        </w:rPr>
        <w:t>（</w:t>
      </w:r>
      <w:r>
        <w:rPr>
          <w:rFonts w:hint="eastAsia" w:ascii="宋体" w:hAnsi="宋体" w:cs="宋体"/>
          <w:bCs/>
          <w:color w:val="000000"/>
          <w:sz w:val="24"/>
          <w:lang w:val="en-US" w:eastAsia="zh-CN"/>
        </w:rPr>
        <w:t>1</w:t>
      </w:r>
      <w:r>
        <w:rPr>
          <w:rFonts w:hint="eastAsia" w:ascii="宋体" w:hAnsi="宋体" w:cs="宋体"/>
          <w:bCs/>
          <w:color w:val="000000"/>
          <w:sz w:val="24"/>
          <w:lang w:eastAsia="zh-CN"/>
        </w:rPr>
        <w:t>）</w:t>
      </w:r>
      <w:r>
        <w:rPr>
          <w:rFonts w:hint="eastAsia" w:ascii="宋体" w:hAnsi="宋体" w:cs="宋体"/>
          <w:bCs/>
          <w:color w:val="000000"/>
          <w:sz w:val="24"/>
        </w:rPr>
        <w:t>负责对事故伤员应急抢救；</w:t>
      </w:r>
    </w:p>
    <w:p>
      <w:pPr>
        <w:numPr>
          <w:ilvl w:val="0"/>
          <w:numId w:val="0"/>
        </w:numPr>
        <w:adjustRightInd w:val="0"/>
        <w:snapToGrid w:val="0"/>
        <w:spacing w:line="360" w:lineRule="auto"/>
        <w:ind w:left="555" w:leftChars="0"/>
        <w:rPr>
          <w:rFonts w:ascii="宋体" w:hAnsi="宋体" w:cs="宋体"/>
          <w:bCs/>
          <w:color w:val="000000"/>
          <w:sz w:val="24"/>
        </w:rPr>
      </w:pPr>
      <w:r>
        <w:rPr>
          <w:rFonts w:hint="eastAsia" w:ascii="宋体" w:hAnsi="宋体" w:cs="宋体"/>
          <w:bCs/>
          <w:color w:val="000000"/>
          <w:sz w:val="24"/>
          <w:lang w:eastAsia="zh-CN"/>
        </w:rPr>
        <w:t>（</w:t>
      </w:r>
      <w:r>
        <w:rPr>
          <w:rFonts w:hint="eastAsia" w:ascii="宋体" w:hAnsi="宋体" w:cs="宋体"/>
          <w:bCs/>
          <w:color w:val="000000"/>
          <w:sz w:val="24"/>
          <w:lang w:val="en-US" w:eastAsia="zh-CN"/>
        </w:rPr>
        <w:t>2</w:t>
      </w:r>
      <w:r>
        <w:rPr>
          <w:rFonts w:hint="eastAsia" w:ascii="宋体" w:hAnsi="宋体" w:cs="宋体"/>
          <w:bCs/>
          <w:color w:val="000000"/>
          <w:sz w:val="24"/>
          <w:lang w:eastAsia="zh-CN"/>
        </w:rPr>
        <w:t>）</w:t>
      </w:r>
      <w:r>
        <w:rPr>
          <w:rFonts w:hint="eastAsia" w:ascii="宋体" w:hAnsi="宋体" w:cs="宋体"/>
          <w:bCs/>
          <w:color w:val="000000"/>
          <w:sz w:val="24"/>
        </w:rPr>
        <w:t>负责联络120急救中心；</w:t>
      </w:r>
    </w:p>
    <w:p>
      <w:pPr>
        <w:numPr>
          <w:ilvl w:val="0"/>
          <w:numId w:val="0"/>
        </w:numPr>
        <w:adjustRightInd w:val="0"/>
        <w:snapToGrid w:val="0"/>
        <w:spacing w:line="360" w:lineRule="auto"/>
        <w:ind w:left="555" w:leftChars="0"/>
        <w:rPr>
          <w:rFonts w:ascii="宋体" w:hAnsi="宋体" w:cs="宋体"/>
          <w:bCs/>
          <w:color w:val="000000"/>
          <w:sz w:val="24"/>
        </w:rPr>
      </w:pPr>
      <w:r>
        <w:rPr>
          <w:rFonts w:hint="eastAsia" w:ascii="宋体" w:hAnsi="宋体" w:cs="宋体"/>
          <w:bCs/>
          <w:color w:val="000000"/>
          <w:sz w:val="24"/>
          <w:lang w:eastAsia="zh-CN"/>
        </w:rPr>
        <w:t>（</w:t>
      </w:r>
      <w:r>
        <w:rPr>
          <w:rFonts w:hint="eastAsia" w:ascii="宋体" w:hAnsi="宋体" w:cs="宋体"/>
          <w:bCs/>
          <w:color w:val="000000"/>
          <w:sz w:val="24"/>
          <w:lang w:val="en-US" w:eastAsia="zh-CN"/>
        </w:rPr>
        <w:t>3</w:t>
      </w:r>
      <w:r>
        <w:rPr>
          <w:rFonts w:hint="eastAsia" w:ascii="宋体" w:hAnsi="宋体" w:cs="宋体"/>
          <w:bCs/>
          <w:color w:val="000000"/>
          <w:sz w:val="24"/>
          <w:lang w:eastAsia="zh-CN"/>
        </w:rPr>
        <w:t>）</w:t>
      </w:r>
      <w:r>
        <w:rPr>
          <w:rFonts w:hint="eastAsia" w:ascii="宋体" w:hAnsi="宋体" w:cs="宋体"/>
          <w:bCs/>
          <w:color w:val="000000"/>
          <w:sz w:val="24"/>
        </w:rPr>
        <w:t>负责将中毒人员向事故地上风向（根据风向标指示）疏散；</w:t>
      </w:r>
    </w:p>
    <w:p>
      <w:pPr>
        <w:numPr>
          <w:ilvl w:val="0"/>
          <w:numId w:val="0"/>
        </w:numPr>
        <w:adjustRightInd w:val="0"/>
        <w:snapToGrid w:val="0"/>
        <w:spacing w:line="360" w:lineRule="auto"/>
        <w:ind w:left="555" w:leftChars="0"/>
        <w:rPr>
          <w:rFonts w:ascii="宋体" w:hAnsi="宋体" w:cs="宋体"/>
          <w:bCs/>
          <w:color w:val="000000"/>
          <w:sz w:val="24"/>
        </w:rPr>
      </w:pPr>
      <w:r>
        <w:rPr>
          <w:rFonts w:hint="eastAsia" w:ascii="宋体" w:hAnsi="宋体" w:cs="宋体"/>
          <w:bCs/>
          <w:color w:val="000000"/>
          <w:sz w:val="24"/>
          <w:lang w:eastAsia="zh-CN"/>
        </w:rPr>
        <w:t>（</w:t>
      </w:r>
      <w:r>
        <w:rPr>
          <w:rFonts w:hint="eastAsia" w:ascii="宋体" w:hAnsi="宋体" w:cs="宋体"/>
          <w:bCs/>
          <w:color w:val="000000"/>
          <w:sz w:val="24"/>
          <w:lang w:val="en-US" w:eastAsia="zh-CN"/>
        </w:rPr>
        <w:t>4</w:t>
      </w:r>
      <w:r>
        <w:rPr>
          <w:rFonts w:hint="eastAsia" w:ascii="宋体" w:hAnsi="宋体" w:cs="宋体"/>
          <w:bCs/>
          <w:color w:val="000000"/>
          <w:sz w:val="24"/>
          <w:lang w:eastAsia="zh-CN"/>
        </w:rPr>
        <w:t>）</w:t>
      </w:r>
      <w:r>
        <w:rPr>
          <w:rFonts w:hint="eastAsia" w:ascii="宋体" w:hAnsi="宋体" w:cs="宋体"/>
          <w:bCs/>
          <w:color w:val="000000"/>
          <w:sz w:val="24"/>
        </w:rPr>
        <w:t>负责医疗物资的取用。</w:t>
      </w:r>
    </w:p>
    <w:p>
      <w:pPr>
        <w:adjustRightInd w:val="0"/>
        <w:snapToGrid w:val="0"/>
        <w:spacing w:line="360" w:lineRule="auto"/>
        <w:ind w:firstLine="602" w:firstLineChars="250"/>
        <w:rPr>
          <w:rFonts w:ascii="宋体" w:hAnsi="宋体" w:cs="宋体"/>
          <w:bCs/>
          <w:color w:val="000000"/>
          <w:sz w:val="24"/>
        </w:rPr>
      </w:pPr>
      <w:r>
        <w:rPr>
          <w:rFonts w:hint="eastAsia" w:ascii="宋体" w:hAnsi="宋体" w:cs="宋体"/>
          <w:b/>
          <w:bCs/>
          <w:color w:val="000000"/>
          <w:sz w:val="24"/>
        </w:rPr>
        <w:t>4、应急监测组职责</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b w:val="0"/>
          <w:bCs/>
          <w:color w:val="auto"/>
          <w:kern w:val="2"/>
          <w:sz w:val="24"/>
          <w:szCs w:val="24"/>
          <w:lang w:val="en-US" w:eastAsia="zh-CN" w:bidi="ar-SA"/>
        </w:rPr>
      </w:pPr>
      <w:r>
        <w:rPr>
          <w:rFonts w:hint="eastAsia" w:ascii="宋体" w:hAnsi="宋体" w:cs="宋体"/>
          <w:b w:val="0"/>
          <w:bCs/>
          <w:color w:val="000000"/>
          <w:sz w:val="24"/>
          <w:szCs w:val="24"/>
        </w:rPr>
        <w:t>组长：</w:t>
      </w:r>
      <w:r>
        <w:rPr>
          <w:rFonts w:hint="eastAsia" w:ascii="宋体" w:hAnsi="宋体" w:eastAsia="宋体" w:cs="宋体"/>
          <w:b w:val="0"/>
          <w:bCs/>
          <w:color w:val="auto"/>
          <w:kern w:val="2"/>
          <w:sz w:val="24"/>
          <w:szCs w:val="24"/>
          <w:lang w:val="en-US" w:eastAsia="zh-CN" w:bidi="ar-SA"/>
        </w:rPr>
        <w:t>金 鑫</w:t>
      </w:r>
    </w:p>
    <w:p>
      <w:pPr>
        <w:pStyle w:val="58"/>
        <w:keepNext w:val="0"/>
        <w:keepLines w:val="0"/>
        <w:pageBreakBefore w:val="0"/>
        <w:widowControl w:val="0"/>
        <w:kinsoku/>
        <w:wordWrap/>
        <w:overflowPunct/>
        <w:topLinePunct w:val="0"/>
        <w:bidi w:val="0"/>
        <w:adjustRightInd w:val="0"/>
        <w:spacing w:line="360" w:lineRule="auto"/>
        <w:ind w:firstLine="480" w:firstLineChars="200"/>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成员：周谱根</w:t>
      </w:r>
    </w:p>
    <w:p>
      <w:pPr>
        <w:pStyle w:val="58"/>
        <w:keepNext w:val="0"/>
        <w:keepLines w:val="0"/>
        <w:pageBreakBefore w:val="0"/>
        <w:widowControl w:val="0"/>
        <w:kinsoku/>
        <w:wordWrap/>
        <w:overflowPunct/>
        <w:topLinePunct w:val="0"/>
        <w:bidi w:val="0"/>
        <w:adjustRightInd w:val="0"/>
        <w:spacing w:line="360" w:lineRule="auto"/>
        <w:ind w:firstLine="480" w:firstLineChars="200"/>
        <w:textAlignment w:val="auto"/>
        <w:rPr>
          <w:rFonts w:ascii="宋体" w:hAnsi="宋体" w:cs="宋体"/>
          <w:b w:val="0"/>
          <w:bCs/>
          <w:color w:val="000000"/>
          <w:sz w:val="24"/>
          <w:szCs w:val="24"/>
        </w:rPr>
      </w:pPr>
      <w:r>
        <w:rPr>
          <w:rFonts w:hint="eastAsia" w:ascii="宋体" w:hAnsi="宋体" w:cs="宋体"/>
          <w:b w:val="0"/>
          <w:bCs/>
          <w:color w:val="000000"/>
          <w:sz w:val="24"/>
          <w:szCs w:val="24"/>
        </w:rPr>
        <w:t>职责：</w:t>
      </w:r>
    </w:p>
    <w:p>
      <w:pPr>
        <w:keepNext w:val="0"/>
        <w:keepLines w:val="0"/>
        <w:pageBreakBefore w:val="0"/>
        <w:widowControl w:val="0"/>
        <w:numPr>
          <w:ilvl w:val="0"/>
          <w:numId w:val="6"/>
        </w:numPr>
        <w:kinsoku/>
        <w:wordWrap/>
        <w:overflowPunct/>
        <w:topLinePunct w:val="0"/>
        <w:bidi w:val="0"/>
        <w:adjustRightInd w:val="0"/>
        <w:snapToGrid w:val="0"/>
        <w:spacing w:line="360" w:lineRule="auto"/>
        <w:textAlignment w:val="auto"/>
        <w:rPr>
          <w:rFonts w:ascii="宋体" w:hAnsi="宋体" w:cs="宋体"/>
          <w:bCs/>
          <w:color w:val="000000"/>
          <w:sz w:val="24"/>
        </w:rPr>
      </w:pPr>
      <w:r>
        <w:rPr>
          <w:rFonts w:hint="eastAsia" w:ascii="宋体" w:hAnsi="宋体" w:cs="宋体"/>
          <w:bCs/>
          <w:color w:val="000000"/>
          <w:sz w:val="24"/>
        </w:rPr>
        <w:t>负责事故现场大气中废气等浓度监测；</w:t>
      </w:r>
    </w:p>
    <w:p>
      <w:pPr>
        <w:keepNext w:val="0"/>
        <w:keepLines w:val="0"/>
        <w:pageBreakBefore w:val="0"/>
        <w:widowControl w:val="0"/>
        <w:numPr>
          <w:ilvl w:val="0"/>
          <w:numId w:val="6"/>
        </w:numPr>
        <w:kinsoku/>
        <w:wordWrap/>
        <w:overflowPunct/>
        <w:topLinePunct w:val="0"/>
        <w:bidi w:val="0"/>
        <w:adjustRightInd w:val="0"/>
        <w:snapToGrid w:val="0"/>
        <w:spacing w:line="360" w:lineRule="auto"/>
        <w:textAlignment w:val="auto"/>
        <w:rPr>
          <w:rFonts w:ascii="宋体" w:hAnsi="宋体" w:cs="宋体"/>
          <w:bCs/>
          <w:color w:val="000000"/>
          <w:sz w:val="24"/>
        </w:rPr>
      </w:pPr>
      <w:r>
        <w:rPr>
          <w:rFonts w:hint="eastAsia" w:ascii="宋体" w:hAnsi="宋体" w:cs="宋体"/>
          <w:bCs/>
          <w:color w:val="000000"/>
          <w:sz w:val="24"/>
        </w:rPr>
        <w:t>消防废水及事故池中COD、毒害品等浓度监测；</w:t>
      </w:r>
    </w:p>
    <w:p>
      <w:pPr>
        <w:numPr>
          <w:ilvl w:val="0"/>
          <w:numId w:val="6"/>
        </w:numPr>
        <w:adjustRightInd w:val="0"/>
        <w:snapToGrid w:val="0"/>
        <w:spacing w:line="360" w:lineRule="auto"/>
        <w:rPr>
          <w:rFonts w:ascii="宋体" w:hAnsi="宋体" w:cs="宋体"/>
          <w:bCs/>
          <w:color w:val="000000"/>
          <w:sz w:val="24"/>
        </w:rPr>
      </w:pPr>
      <w:r>
        <w:rPr>
          <w:rFonts w:hint="eastAsia" w:ascii="宋体" w:hAnsi="宋体" w:cs="宋体"/>
          <w:bCs/>
          <w:color w:val="000000"/>
          <w:sz w:val="24"/>
        </w:rPr>
        <w:t>负责事故应急中止后大气、水体环境采样与监测。</w:t>
      </w:r>
    </w:p>
    <w:p>
      <w:pPr>
        <w:numPr>
          <w:ilvl w:val="0"/>
          <w:numId w:val="6"/>
        </w:numPr>
        <w:adjustRightInd w:val="0"/>
        <w:snapToGrid w:val="0"/>
        <w:spacing w:line="360" w:lineRule="auto"/>
        <w:rPr>
          <w:rFonts w:ascii="宋体" w:hAnsi="宋体" w:cs="宋体"/>
          <w:bCs/>
          <w:color w:val="000000"/>
          <w:sz w:val="24"/>
        </w:rPr>
      </w:pPr>
      <w:r>
        <w:rPr>
          <w:rFonts w:hint="eastAsia" w:ascii="宋体" w:hAnsi="宋体" w:cs="宋体"/>
          <w:color w:val="000000"/>
          <w:sz w:val="24"/>
        </w:rPr>
        <w:t>负责联络接应外部环境监测单位；</w:t>
      </w:r>
    </w:p>
    <w:p>
      <w:pPr>
        <w:numPr>
          <w:ilvl w:val="0"/>
          <w:numId w:val="6"/>
        </w:numPr>
        <w:adjustRightInd w:val="0"/>
        <w:snapToGrid w:val="0"/>
        <w:spacing w:line="360" w:lineRule="auto"/>
        <w:rPr>
          <w:rFonts w:ascii="宋体" w:hAnsi="宋体" w:cs="宋体"/>
          <w:bCs/>
          <w:color w:val="000000"/>
          <w:sz w:val="24"/>
        </w:rPr>
      </w:pPr>
      <w:r>
        <w:rPr>
          <w:rFonts w:hint="eastAsia" w:ascii="宋体" w:hAnsi="宋体" w:cs="宋体"/>
          <w:bCs/>
          <w:color w:val="000000"/>
          <w:sz w:val="24"/>
        </w:rPr>
        <w:t>负责各监测设备的维护与取用；</w:t>
      </w:r>
    </w:p>
    <w:p>
      <w:pPr>
        <w:adjustRightInd w:val="0"/>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5、现场治安组职责</w:t>
      </w:r>
    </w:p>
    <w:p>
      <w:pPr>
        <w:adjustRightInd w:val="0"/>
        <w:snapToGrid w:val="0"/>
        <w:spacing w:line="360" w:lineRule="auto"/>
        <w:ind w:firstLine="480" w:firstLineChars="200"/>
        <w:rPr>
          <w:rFonts w:hint="eastAsia" w:ascii="宋体" w:hAnsi="宋体" w:cs="宋体"/>
          <w:bCs/>
          <w:color w:val="000000"/>
          <w:sz w:val="24"/>
          <w:lang w:eastAsia="zh-CN"/>
        </w:rPr>
      </w:pPr>
      <w:r>
        <w:rPr>
          <w:rFonts w:hint="eastAsia" w:ascii="宋体" w:hAnsi="宋体" w:cs="宋体"/>
          <w:bCs/>
          <w:color w:val="000000"/>
          <w:sz w:val="24"/>
        </w:rPr>
        <w:t>组长：</w:t>
      </w:r>
      <w:r>
        <w:rPr>
          <w:rFonts w:hint="eastAsia" w:ascii="宋体" w:hAnsi="宋体" w:cs="宋体"/>
          <w:bCs/>
          <w:color w:val="000000"/>
          <w:sz w:val="24"/>
          <w:lang w:eastAsia="zh-CN"/>
        </w:rPr>
        <w:t>曹国庆</w:t>
      </w:r>
    </w:p>
    <w:p>
      <w:pPr>
        <w:adjustRightInd w:val="0"/>
        <w:snapToGrid w:val="0"/>
        <w:spacing w:line="360" w:lineRule="auto"/>
        <w:ind w:firstLine="480" w:firstLineChars="200"/>
        <w:rPr>
          <w:rFonts w:hint="default" w:ascii="宋体" w:hAnsi="宋体" w:cs="宋体"/>
          <w:bCs/>
          <w:color w:val="000000"/>
          <w:sz w:val="24"/>
          <w:lang w:val="en-US" w:eastAsia="zh-CN"/>
        </w:rPr>
      </w:pPr>
      <w:r>
        <w:rPr>
          <w:rFonts w:hint="eastAsia" w:ascii="宋体" w:hAnsi="宋体" w:cs="宋体"/>
          <w:bCs/>
          <w:color w:val="000000"/>
          <w:sz w:val="24"/>
          <w:lang w:val="en-US" w:eastAsia="zh-CN"/>
        </w:rPr>
        <w:t>成员：胡凯、刘亮、黄志甫、邓磊</w:t>
      </w:r>
    </w:p>
    <w:p>
      <w:pPr>
        <w:adjustRightInd w:val="0"/>
        <w:snapToGrid w:val="0"/>
        <w:spacing w:line="360" w:lineRule="auto"/>
        <w:ind w:firstLine="480" w:firstLineChars="200"/>
        <w:rPr>
          <w:rFonts w:hint="eastAsia" w:ascii="宋体" w:hAnsi="宋体" w:cs="宋体"/>
          <w:bCs/>
          <w:color w:val="000000"/>
          <w:sz w:val="24"/>
        </w:rPr>
      </w:pPr>
      <w:r>
        <w:rPr>
          <w:rFonts w:hint="eastAsia" w:ascii="宋体" w:hAnsi="宋体" w:cs="宋体"/>
          <w:bCs/>
          <w:color w:val="000000"/>
          <w:sz w:val="24"/>
        </w:rPr>
        <w:t>职责：</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（1）划定事故现场境界区域，禁止无关人员与车辆进入危险区；</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（2）疏散事故现场无关人员；</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（3）负责周边企业、居民点人员向事故地上风向（根据风向标指示）疏散至合适距离。</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（4）负责标识物资的取用。</w:t>
      </w:r>
    </w:p>
    <w:p>
      <w:pPr>
        <w:adjustRightInd w:val="0"/>
        <w:snapToGrid w:val="0"/>
        <w:spacing w:line="360" w:lineRule="auto"/>
        <w:ind w:firstLine="602" w:firstLineChars="250"/>
        <w:rPr>
          <w:rFonts w:ascii="宋体" w:hAnsi="宋体" w:cs="宋体"/>
          <w:b/>
          <w:bCs/>
          <w:color w:val="000000"/>
          <w:sz w:val="24"/>
        </w:rPr>
      </w:pPr>
      <w:bookmarkStart w:id="268" w:name="_Toc405881552"/>
      <w:bookmarkStart w:id="269" w:name="_Toc396934367"/>
      <w:bookmarkStart w:id="270" w:name="_Toc396237237"/>
      <w:bookmarkStart w:id="271" w:name="_Toc405384541"/>
      <w:bookmarkStart w:id="272" w:name="_Toc402875706"/>
      <w:bookmarkStart w:id="273" w:name="_Toc395804993"/>
      <w:bookmarkStart w:id="274" w:name="_Toc378105669"/>
      <w:bookmarkStart w:id="275" w:name="_Toc383072785"/>
      <w:bookmarkStart w:id="276" w:name="_Toc403659375"/>
      <w:bookmarkStart w:id="277" w:name="_Toc399352196"/>
      <w:bookmarkStart w:id="278" w:name="_Toc408503098"/>
      <w:bookmarkStart w:id="279" w:name="_Toc383172992"/>
      <w:r>
        <w:rPr>
          <w:rFonts w:hint="eastAsia" w:ascii="宋体" w:hAnsi="宋体" w:cs="宋体"/>
          <w:b/>
          <w:bCs/>
          <w:color w:val="000000"/>
          <w:sz w:val="24"/>
        </w:rPr>
        <w:t>6、物资保障组职责</w:t>
      </w:r>
      <w:bookmarkEnd w:id="268"/>
      <w:bookmarkEnd w:id="269"/>
      <w:bookmarkEnd w:id="270"/>
      <w:bookmarkEnd w:id="271"/>
      <w:bookmarkEnd w:id="272"/>
      <w:bookmarkEnd w:id="273"/>
      <w:bookmarkEnd w:id="274"/>
      <w:bookmarkEnd w:id="275"/>
      <w:bookmarkEnd w:id="276"/>
      <w:bookmarkEnd w:id="277"/>
      <w:bookmarkEnd w:id="278"/>
      <w:bookmarkEnd w:id="279"/>
    </w:p>
    <w:p>
      <w:pPr>
        <w:adjustRightInd w:val="0"/>
        <w:snapToGrid w:val="0"/>
        <w:spacing w:line="360" w:lineRule="auto"/>
        <w:ind w:firstLine="480" w:firstLineChars="200"/>
        <w:rPr>
          <w:rFonts w:hint="eastAsia" w:ascii="宋体" w:hAnsi="宋体" w:cs="宋体"/>
          <w:bCs/>
          <w:color w:val="000000"/>
          <w:sz w:val="24"/>
          <w:lang w:eastAsia="zh-CN"/>
        </w:rPr>
      </w:pPr>
      <w:r>
        <w:rPr>
          <w:rFonts w:hint="eastAsia" w:ascii="宋体" w:hAnsi="宋体" w:cs="宋体"/>
          <w:bCs/>
          <w:color w:val="000000"/>
          <w:sz w:val="24"/>
        </w:rPr>
        <w:t>组长：</w:t>
      </w:r>
      <w:r>
        <w:rPr>
          <w:rFonts w:hint="eastAsia" w:ascii="宋体" w:hAnsi="宋体" w:cs="宋体"/>
          <w:bCs/>
          <w:color w:val="000000"/>
          <w:sz w:val="24"/>
          <w:lang w:eastAsia="zh-CN"/>
        </w:rPr>
        <w:t>胡才县</w:t>
      </w:r>
    </w:p>
    <w:p>
      <w:pPr>
        <w:adjustRightInd w:val="0"/>
        <w:snapToGrid w:val="0"/>
        <w:spacing w:line="360" w:lineRule="auto"/>
        <w:ind w:firstLine="480" w:firstLineChars="200"/>
        <w:rPr>
          <w:rFonts w:hint="default" w:ascii="宋体" w:hAnsi="宋体" w:cs="宋体"/>
          <w:bCs/>
          <w:color w:val="000000"/>
          <w:sz w:val="24"/>
          <w:lang w:val="en-US" w:eastAsia="zh-CN"/>
        </w:rPr>
      </w:pPr>
      <w:r>
        <w:rPr>
          <w:rFonts w:hint="eastAsia" w:ascii="宋体" w:hAnsi="宋体" w:cs="宋体"/>
          <w:bCs/>
          <w:color w:val="000000"/>
          <w:sz w:val="24"/>
          <w:lang w:val="en-US" w:eastAsia="zh-CN"/>
        </w:rPr>
        <w:t>成员：陈书亮、刘雪连、张海芳</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职责：（1）负责各种应急物资和设施的采购；</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（2）负责各种应急物资的管理和维护；</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（3）负责应急现场各种物资、设备的供应；</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（4）协助其他小组应急。</w:t>
      </w:r>
    </w:p>
    <w:p>
      <w:pPr>
        <w:adjustRightInd w:val="0"/>
        <w:snapToGrid w:val="0"/>
        <w:spacing w:line="360" w:lineRule="auto"/>
        <w:ind w:firstLine="602" w:firstLineChars="250"/>
        <w:rPr>
          <w:rFonts w:ascii="宋体" w:hAnsi="宋体" w:cs="宋体"/>
          <w:b/>
          <w:bCs/>
          <w:color w:val="000000"/>
          <w:sz w:val="24"/>
        </w:rPr>
      </w:pPr>
      <w:r>
        <w:rPr>
          <w:rFonts w:hint="eastAsia" w:ascii="宋体" w:hAnsi="宋体" w:cs="宋体"/>
          <w:b/>
          <w:bCs/>
          <w:color w:val="000000"/>
          <w:sz w:val="24"/>
        </w:rPr>
        <w:t>7、通讯联络组职责</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ascii="宋体" w:hAnsi="宋体" w:cs="宋体"/>
          <w:bCs/>
          <w:color w:val="000000"/>
          <w:sz w:val="24"/>
          <w:lang w:eastAsia="zh-CN"/>
        </w:rPr>
      </w:pPr>
      <w:r>
        <w:rPr>
          <w:rFonts w:hint="eastAsia" w:ascii="宋体" w:hAnsi="宋体" w:cs="宋体"/>
          <w:bCs/>
          <w:color w:val="000000"/>
          <w:sz w:val="24"/>
        </w:rPr>
        <w:t>组长：</w:t>
      </w:r>
      <w:r>
        <w:rPr>
          <w:rFonts w:hint="eastAsia" w:ascii="宋体" w:hAnsi="宋体" w:cs="宋体"/>
          <w:bCs/>
          <w:color w:val="000000"/>
          <w:sz w:val="24"/>
          <w:lang w:eastAsia="zh-CN"/>
        </w:rPr>
        <w:t>孙瑜</w:t>
      </w:r>
    </w:p>
    <w:p>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成员：黄静蕾、彭伟根</w:t>
      </w:r>
    </w:p>
    <w:p>
      <w:pPr>
        <w:keepNext w:val="0"/>
        <w:keepLines w:val="0"/>
        <w:pageBreakBefore w:val="0"/>
        <w:widowControl w:val="0"/>
        <w:kinsoku/>
        <w:wordWrap/>
        <w:overflowPunct/>
        <w:topLinePunct w:val="0"/>
        <w:bidi w:val="0"/>
        <w:adjustRightInd w:val="0"/>
        <w:snapToGrid w:val="0"/>
        <w:spacing w:line="360" w:lineRule="auto"/>
        <w:ind w:firstLine="432" w:firstLineChars="180"/>
        <w:textAlignment w:val="auto"/>
        <w:rPr>
          <w:rFonts w:ascii="宋体" w:hAnsi="宋体" w:cs="宋体"/>
          <w:bCs/>
          <w:color w:val="000000"/>
          <w:sz w:val="24"/>
        </w:rPr>
      </w:pPr>
      <w:r>
        <w:rPr>
          <w:rFonts w:hint="eastAsia" w:ascii="宋体" w:hAnsi="宋体" w:cs="宋体"/>
          <w:bCs/>
          <w:color w:val="000000"/>
          <w:sz w:val="24"/>
        </w:rPr>
        <w:t>职责：（1）负责对外的突发环境事件信息发布工作；</w:t>
      </w:r>
    </w:p>
    <w:p>
      <w:pPr>
        <w:keepNext w:val="0"/>
        <w:keepLines w:val="0"/>
        <w:pageBreakBefore w:val="0"/>
        <w:widowControl w:val="0"/>
        <w:numPr>
          <w:ilvl w:val="0"/>
          <w:numId w:val="7"/>
        </w:numPr>
        <w:kinsoku/>
        <w:wordWrap/>
        <w:overflowPunct/>
        <w:topLinePunct w:val="0"/>
        <w:bidi w:val="0"/>
        <w:adjustRightInd w:val="0"/>
        <w:snapToGrid w:val="0"/>
        <w:spacing w:line="360" w:lineRule="auto"/>
        <w:ind w:firstLine="480" w:firstLineChars="200"/>
        <w:textAlignment w:val="auto"/>
        <w:rPr>
          <w:rFonts w:ascii="宋体" w:hAnsi="宋体" w:cs="宋体"/>
          <w:bCs/>
          <w:color w:val="000000"/>
          <w:sz w:val="24"/>
        </w:rPr>
      </w:pPr>
      <w:r>
        <w:rPr>
          <w:rFonts w:hint="eastAsia" w:ascii="宋体" w:hAnsi="宋体" w:cs="宋体"/>
          <w:bCs/>
          <w:color w:val="000000"/>
          <w:sz w:val="24"/>
        </w:rPr>
        <w:t>协助总指挥的突发环境事件信息上报工作。</w:t>
      </w:r>
    </w:p>
    <w:p>
      <w:pPr>
        <w:pStyle w:val="5"/>
      </w:pPr>
      <w:bookmarkStart w:id="280" w:name="_Toc46857515"/>
      <w:bookmarkStart w:id="281" w:name="_Toc23636"/>
      <w:bookmarkStart w:id="282" w:name="_Toc10778_WPSOffice_Level2"/>
      <w:bookmarkStart w:id="283" w:name="_Toc5489_WPSOffice_Level2"/>
      <w:bookmarkStart w:id="284" w:name="_Toc43202968"/>
      <w:bookmarkStart w:id="285" w:name="_Toc398107864"/>
      <w:bookmarkStart w:id="286" w:name="_Toc458694317"/>
      <w:r>
        <w:rPr>
          <w:rFonts w:hint="eastAsia"/>
          <w:lang w:val="en-US" w:eastAsia="zh-CN"/>
        </w:rPr>
        <w:t>3</w:t>
      </w:r>
      <w:r>
        <w:rPr>
          <w:rFonts w:hint="eastAsia"/>
        </w:rPr>
        <w:t>.3其他制度</w:t>
      </w:r>
      <w:bookmarkEnd w:id="280"/>
      <w:bookmarkEnd w:id="281"/>
      <w:bookmarkEnd w:id="282"/>
      <w:bookmarkEnd w:id="283"/>
      <w:bookmarkEnd w:id="284"/>
    </w:p>
    <w:p>
      <w:pPr>
        <w:pStyle w:val="6"/>
      </w:pPr>
      <w:bookmarkStart w:id="287" w:name="_Toc43202969"/>
      <w:r>
        <w:rPr>
          <w:rFonts w:hint="eastAsia"/>
          <w:lang w:val="en-US" w:eastAsia="zh-CN"/>
        </w:rPr>
        <w:t>3</w:t>
      </w:r>
      <w:r>
        <w:rPr>
          <w:rFonts w:hint="eastAsia"/>
        </w:rPr>
        <w:t>.3.1 替岗制度</w:t>
      </w:r>
      <w:bookmarkEnd w:id="285"/>
      <w:bookmarkEnd w:id="286"/>
      <w:bookmarkEnd w:id="287"/>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为保证突发环境事件时不致因人员不在岗而耽误抢险救援工作，特规定以下人员替岗制度：</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⑴突发环境事件时，根据人员在岗的情况，按照相关人员顺序依序确定担任总指挥职务，如同时不在岗时，由指挥部成员依序代行总指挥职务。</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⑵ 应急指挥</w:t>
      </w:r>
      <w:r>
        <w:rPr>
          <w:rFonts w:hint="eastAsia" w:ascii="宋体" w:hAnsi="宋体" w:cs="宋体"/>
          <w:color w:val="000000"/>
          <w:sz w:val="24"/>
          <w:lang w:val="en-US" w:eastAsia="zh-CN"/>
        </w:rPr>
        <w:t>部成员</w:t>
      </w:r>
      <w:r>
        <w:rPr>
          <w:rFonts w:hint="eastAsia" w:ascii="宋体" w:hAnsi="宋体" w:cs="宋体"/>
          <w:color w:val="000000"/>
          <w:sz w:val="24"/>
        </w:rPr>
        <w:t>不得同时离开岗位。</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⑶ 应急工作组组长离开岗位时，必须指定一人代行组长职务。</w:t>
      </w:r>
    </w:p>
    <w:p>
      <w:pPr>
        <w:pStyle w:val="6"/>
      </w:pPr>
      <w:bookmarkStart w:id="288" w:name="_Toc43202970"/>
      <w:bookmarkStart w:id="289" w:name="_Toc458694318"/>
      <w:bookmarkStart w:id="290" w:name="_Toc398107865"/>
      <w:r>
        <w:rPr>
          <w:rFonts w:hint="eastAsia"/>
          <w:lang w:val="en-US" w:eastAsia="zh-CN"/>
        </w:rPr>
        <w:t>3</w:t>
      </w:r>
      <w:r>
        <w:t>.3.2汇报协调制度</w:t>
      </w:r>
      <w:bookmarkEnd w:id="288"/>
      <w:bookmarkEnd w:id="289"/>
      <w:bookmarkEnd w:id="290"/>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突发环境事件时，现场负责人负责与公司突发环境事件应急指挥中心进行联络，将现场发生的环境事件信息报告公司应急指挥中心，请求公司启动应急预案对车间进行救援。</w:t>
      </w:r>
    </w:p>
    <w:p>
      <w:pPr>
        <w:pStyle w:val="6"/>
      </w:pPr>
      <w:bookmarkStart w:id="291" w:name="_Toc43202971"/>
      <w:bookmarkStart w:id="292" w:name="_Toc398107866"/>
      <w:bookmarkStart w:id="293" w:name="_Toc458694319"/>
      <w:r>
        <w:rPr>
          <w:rFonts w:hint="eastAsia"/>
        </w:rPr>
        <w:t>2</w:t>
      </w:r>
      <w:r>
        <w:t>.3.3 各级指挥关系</w:t>
      </w:r>
      <w:bookmarkEnd w:id="291"/>
      <w:bookmarkEnd w:id="292"/>
      <w:bookmarkEnd w:id="293"/>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突发环境事件时，各负责人、污水处理设施管理员、仓库管理员作为现场应急负责人，负责事发时的先期处置，并报告应急指挥中心；当事发时部门负责人不在现场，由在场职务最高人员作为现场应急负责人。各应急工作小组在启动应急预案时，应随时待命，由应急总指挥按响应的程序调配各应急工作组；应急工作组由组长带领，当组长无法履行职责时，由现场指挥部指派。应急指挥中心各成员按职能分工负责，综合协调组及时联络并及时通报救援工作情况，相互协调，在应急指挥中心指挥下统一资源调配，非专业救援抢险队伍的人员在履行必要的岗位职责后，可紧急避险，由公司组建的应急工作组接手进行相应的应急救援工作。</w:t>
      </w:r>
    </w:p>
    <w:p>
      <w:pPr>
        <w:pStyle w:val="6"/>
      </w:pPr>
      <w:bookmarkStart w:id="294" w:name="_Toc21860"/>
      <w:bookmarkStart w:id="295" w:name="_Toc398107867"/>
      <w:bookmarkStart w:id="296" w:name="_Toc43202972"/>
      <w:bookmarkStart w:id="297" w:name="_Toc458694320"/>
      <w:bookmarkStart w:id="298" w:name="_Toc367176937"/>
      <w:r>
        <w:rPr>
          <w:rFonts w:hint="eastAsia"/>
          <w:lang w:val="en-US" w:eastAsia="zh-CN"/>
        </w:rPr>
        <w:t>3</w:t>
      </w:r>
      <w:r>
        <w:rPr>
          <w:rFonts w:hint="eastAsia"/>
        </w:rPr>
        <w:t>.3.4外部指挥与协调</w:t>
      </w:r>
      <w:bookmarkEnd w:id="294"/>
      <w:bookmarkEnd w:id="295"/>
      <w:bookmarkEnd w:id="296"/>
      <w:bookmarkEnd w:id="297"/>
      <w:bookmarkEnd w:id="298"/>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本公司与</w:t>
      </w:r>
      <w:r>
        <w:rPr>
          <w:rFonts w:hint="eastAsia" w:ascii="宋体" w:hAnsi="宋体" w:cs="宋体"/>
          <w:color w:val="000000"/>
          <w:sz w:val="24"/>
          <w:lang w:eastAsia="zh-CN"/>
        </w:rPr>
        <w:t>宜春市生态环境局宜春经济技术开发区分局</w:t>
      </w:r>
      <w:r>
        <w:rPr>
          <w:rFonts w:hint="eastAsia" w:ascii="宋体" w:hAnsi="宋体" w:cs="宋体"/>
          <w:color w:val="000000"/>
          <w:sz w:val="24"/>
        </w:rPr>
        <w:t>、</w:t>
      </w:r>
      <w:r>
        <w:rPr>
          <w:rFonts w:hint="eastAsia" w:ascii="宋体" w:hAnsi="宋体" w:cs="宋体"/>
          <w:color w:val="000000"/>
          <w:sz w:val="24"/>
          <w:lang w:eastAsia="zh-CN"/>
        </w:rPr>
        <w:t>消防救援大队</w:t>
      </w:r>
      <w:r>
        <w:rPr>
          <w:rFonts w:hint="eastAsia" w:ascii="宋体" w:hAnsi="宋体" w:cs="宋体"/>
          <w:color w:val="000000"/>
          <w:sz w:val="24"/>
        </w:rPr>
        <w:t>等部门之间建立应急联动机制，在突发环境事件时，公司突发环境事件应急指挥中心启动相应级别应急预案进行救援，在政府相关部门介入公司突发环境事件处置时，公司应急指挥中心移交指挥权，公司各应急工作组将无条件听从调配，并按要求和能力配置应急救援人员、队伍、装备、物资等，提供所需的用品。</w:t>
      </w:r>
    </w:p>
    <w:p>
      <w:pPr>
        <w:autoSpaceDE w:val="0"/>
        <w:autoSpaceDN w:val="0"/>
        <w:adjustRightIn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为使上级有关部门及时掌握突发环境事件信息、便于根据事态的发展做出相应决策，公司根据《突发环境事件信息报告办法》，确定</w:t>
      </w:r>
      <w:r>
        <w:rPr>
          <w:rFonts w:hint="eastAsia" w:ascii="宋体" w:hAnsi="宋体" w:cs="宋体"/>
          <w:color w:val="000000"/>
          <w:sz w:val="24"/>
          <w:lang w:eastAsia="zh-CN"/>
        </w:rPr>
        <w:t>邢立勋</w:t>
      </w:r>
      <w:r>
        <w:rPr>
          <w:rFonts w:hint="eastAsia" w:ascii="宋体" w:hAnsi="宋体" w:cs="宋体"/>
          <w:color w:val="000000"/>
          <w:sz w:val="24"/>
        </w:rPr>
        <w:t>为公司</w:t>
      </w:r>
      <w:r>
        <w:rPr>
          <w:rFonts w:hint="eastAsia" w:ascii="宋体" w:hAnsi="宋体" w:cs="宋体"/>
          <w:bCs/>
          <w:color w:val="000000"/>
          <w:sz w:val="24"/>
        </w:rPr>
        <w:t>对外联络人</w:t>
      </w:r>
      <w:r>
        <w:rPr>
          <w:rFonts w:hint="eastAsia" w:ascii="宋体" w:hAnsi="宋体" w:cs="宋体"/>
          <w:color w:val="000000"/>
          <w:sz w:val="24"/>
        </w:rPr>
        <w:t>，负责在发生突发环境事件时，及时向</w:t>
      </w:r>
      <w:r>
        <w:rPr>
          <w:rFonts w:hint="eastAsia" w:ascii="宋体" w:hAnsi="宋体" w:cs="宋体"/>
          <w:color w:val="000000"/>
          <w:sz w:val="24"/>
          <w:lang w:eastAsia="zh-CN"/>
        </w:rPr>
        <w:t>宜春经济技术开发区管委会</w:t>
      </w:r>
      <w:r>
        <w:rPr>
          <w:rFonts w:hint="eastAsia" w:ascii="宋体" w:hAnsi="宋体" w:cs="宋体"/>
          <w:color w:val="000000"/>
          <w:sz w:val="24"/>
        </w:rPr>
        <w:t>汇报，并接受有关部门的指挥。必要时，请求宜春市政府启动《突发环境事件应急预案》对公司进行救援，以</w:t>
      </w:r>
      <w:r>
        <w:rPr>
          <w:rFonts w:hint="eastAsia" w:ascii="宋体" w:hAnsi="宋体" w:cs="宋体"/>
          <w:color w:val="000000"/>
          <w:sz w:val="24"/>
          <w:lang w:eastAsia="zh-CN"/>
        </w:rPr>
        <w:t>宜春经济技术开发区</w:t>
      </w:r>
      <w:r>
        <w:rPr>
          <w:rFonts w:hint="eastAsia" w:ascii="宋体" w:hAnsi="宋体" w:cs="宋体"/>
          <w:color w:val="000000"/>
          <w:sz w:val="24"/>
        </w:rPr>
        <w:t>的应急救援组织机构、队伍、装备和物资等区域应急资源，更好应对突发环境事件。</w:t>
      </w:r>
    </w:p>
    <w:p>
      <w:pPr>
        <w:pStyle w:val="271"/>
        <w:ind w:firstLine="480"/>
        <w:rPr>
          <w:rFonts w:hint="eastAsia" w:ascii="宋体" w:hAnsi="宋体" w:cs="宋体"/>
          <w:color w:val="000000"/>
        </w:rPr>
      </w:pPr>
      <w:r>
        <w:rPr>
          <w:rFonts w:hint="eastAsia" w:ascii="宋体" w:hAnsi="宋体" w:cs="宋体"/>
          <w:color w:val="000000"/>
        </w:rPr>
        <w:t>当其他单位发生突发环境事件需要公司支援时，公司根据自身能力在政府相关部门协调下，或者与事件发生单位协调，组织应急救援队伍、调配应急物资进行支援。</w:t>
      </w:r>
    </w:p>
    <w:p>
      <w:pPr>
        <w:tabs>
          <w:tab w:val="left" w:pos="2460"/>
        </w:tabs>
        <w:jc w:val="center"/>
        <w:outlineLvl w:val="3"/>
        <w:rPr>
          <w:rFonts w:ascii="宋体" w:hAnsi="宋体"/>
          <w:b/>
          <w:bCs/>
          <w:kern w:val="0"/>
        </w:rPr>
      </w:pPr>
    </w:p>
    <w:p>
      <w:pPr>
        <w:tabs>
          <w:tab w:val="left" w:pos="2460"/>
        </w:tabs>
        <w:jc w:val="center"/>
        <w:outlineLvl w:val="3"/>
        <w:rPr>
          <w:rFonts w:ascii="宋体" w:hAnsi="宋体"/>
          <w:b/>
          <w:bCs/>
          <w:color w:val="FF0000"/>
          <w:kern w:val="0"/>
        </w:rPr>
      </w:pPr>
      <w:r>
        <w:rPr>
          <w:rFonts w:ascii="宋体" w:hAnsi="宋体"/>
          <w:b/>
          <w:bCs/>
          <w:color w:val="FF0000"/>
          <w:kern w:val="0"/>
        </w:rPr>
        <w:t>外部应急队伍及联系方式</w:t>
      </w:r>
    </w:p>
    <w:tbl>
      <w:tblPr>
        <w:tblStyle w:val="47"/>
        <w:tblW w:w="8245" w:type="dxa"/>
        <w:jc w:val="center"/>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4537"/>
        <w:gridCol w:w="2933"/>
      </w:tblGrid>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rPr>
              <w:t>1</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default" w:ascii="Times New Roman" w:hAnsi="Times New Roman" w:eastAsia="宋体" w:cs="Times New Roman"/>
                <w:color w:val="FF0000"/>
                <w:kern w:val="2"/>
                <w:sz w:val="24"/>
                <w:szCs w:val="24"/>
              </w:rPr>
              <w:t>宜春市应急管理局</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default" w:ascii="Times New Roman" w:hAnsi="Times New Roman" w:eastAsia="宋体" w:cs="Times New Roman"/>
                <w:color w:val="FF0000"/>
                <w:kern w:val="2"/>
                <w:sz w:val="24"/>
                <w:szCs w:val="24"/>
              </w:rPr>
              <w:t>0795-3590918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rPr>
              <w:t>2</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eastAsia="zh-CN"/>
              </w:rPr>
            </w:pPr>
            <w:r>
              <w:rPr>
                <w:rFonts w:hint="default" w:ascii="Times New Roman" w:hAnsi="Times New Roman" w:eastAsia="宋体" w:cs="Times New Roman"/>
                <w:color w:val="FF0000"/>
                <w:kern w:val="2"/>
                <w:sz w:val="24"/>
                <w:szCs w:val="24"/>
              </w:rPr>
              <w:t>宜春市生态环境局</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eastAsia="zh-CN"/>
              </w:rPr>
            </w:pPr>
            <w:r>
              <w:rPr>
                <w:rFonts w:hint="default" w:ascii="Times New Roman" w:hAnsi="Times New Roman" w:eastAsia="宋体" w:cs="Times New Roman"/>
                <w:color w:val="FF0000"/>
                <w:kern w:val="2"/>
                <w:sz w:val="24"/>
                <w:szCs w:val="24"/>
              </w:rPr>
              <w:t>0795-3998865</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rPr>
              <w:t>3</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default" w:ascii="Times New Roman" w:hAnsi="Times New Roman" w:eastAsia="宋体" w:cs="Times New Roman"/>
                <w:color w:val="FF0000"/>
                <w:kern w:val="2"/>
                <w:sz w:val="24"/>
                <w:szCs w:val="24"/>
              </w:rPr>
              <w:t>宜春市安全生产应急救援</w:t>
            </w:r>
          </w:p>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default" w:ascii="Times New Roman" w:hAnsi="Times New Roman" w:eastAsia="宋体" w:cs="Times New Roman"/>
                <w:color w:val="FF0000"/>
                <w:kern w:val="2"/>
                <w:sz w:val="24"/>
                <w:szCs w:val="24"/>
              </w:rPr>
              <w:t>指挥中心</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default" w:ascii="Times New Roman" w:hAnsi="Times New Roman" w:eastAsia="宋体" w:cs="Times New Roman"/>
                <w:color w:val="FF0000"/>
                <w:kern w:val="2"/>
                <w:sz w:val="24"/>
                <w:szCs w:val="24"/>
              </w:rPr>
              <w:t>0795-3562731</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rPr>
              <w:t>4</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lang w:eastAsia="zh-CN"/>
              </w:rPr>
              <w:t>宜春经济技术开发区应急管理局</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default" w:ascii="Times New Roman" w:hAnsi="Times New Roman" w:eastAsia="宋体" w:cs="Times New Roman"/>
                <w:color w:val="FF0000"/>
                <w:kern w:val="2"/>
                <w:sz w:val="24"/>
                <w:szCs w:val="24"/>
              </w:rPr>
              <w:t>0795-3668228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rPr>
              <w:t>5</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lang w:eastAsia="zh-CN"/>
              </w:rPr>
              <w:t>宜春市生态环境局宜春经济技术开发区分局</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lang w:eastAsia="zh-CN"/>
              </w:rPr>
              <w:t>0795-3653639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eastAsia" w:ascii="Times New Roman" w:hAnsi="Times New Roman" w:eastAsia="宋体" w:cs="Times New Roman"/>
                <w:color w:val="FF0000"/>
                <w:kern w:val="2"/>
                <w:sz w:val="24"/>
                <w:szCs w:val="24"/>
              </w:rPr>
              <w:t>6</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default" w:ascii="Times New Roman" w:hAnsi="Times New Roman" w:eastAsia="宋体" w:cs="Times New Roman"/>
                <w:color w:val="FF0000"/>
                <w:kern w:val="2"/>
                <w:sz w:val="24"/>
                <w:szCs w:val="24"/>
              </w:rPr>
              <w:t>宜春市公安局</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rPr>
            </w:pPr>
            <w:r>
              <w:rPr>
                <w:rFonts w:hint="default" w:ascii="Times New Roman" w:hAnsi="Times New Roman" w:eastAsia="宋体" w:cs="Times New Roman"/>
                <w:color w:val="FF0000"/>
                <w:kern w:val="2"/>
                <w:sz w:val="24"/>
                <w:szCs w:val="24"/>
              </w:rPr>
              <w:t>110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7</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default" w:ascii="Times New Roman" w:hAnsi="Times New Roman" w:eastAsia="宋体" w:cs="Times New Roman"/>
                <w:color w:val="FF0000"/>
                <w:kern w:val="2"/>
                <w:sz w:val="24"/>
                <w:szCs w:val="24"/>
              </w:rPr>
              <w:t>宜春市交警支队</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default" w:ascii="Times New Roman" w:hAnsi="Times New Roman" w:eastAsia="宋体" w:cs="Times New Roman"/>
                <w:color w:val="FF0000"/>
                <w:kern w:val="2"/>
                <w:sz w:val="24"/>
                <w:szCs w:val="24"/>
              </w:rPr>
              <w:t>122</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8</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cs="Times New Roman"/>
                <w:color w:val="FF0000"/>
                <w:kern w:val="2"/>
                <w:sz w:val="24"/>
                <w:szCs w:val="24"/>
                <w:lang w:eastAsia="zh-CN"/>
              </w:rPr>
              <w:t>宜春市消防救援支队</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default" w:ascii="Times New Roman" w:hAnsi="Times New Roman" w:eastAsia="宋体" w:cs="Times New Roman"/>
                <w:color w:val="FF0000"/>
                <w:kern w:val="2"/>
                <w:sz w:val="24"/>
                <w:szCs w:val="24"/>
              </w:rPr>
              <w:t>119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9</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宜春市人民医院</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120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10</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宜春经济技术开发区管理委员会</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eastAsia="zh-CN"/>
              </w:rPr>
              <w:t>0795-3668066</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11</w:t>
            </w:r>
          </w:p>
        </w:tc>
        <w:tc>
          <w:tcPr>
            <w:tcW w:w="4537"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cs="Times New Roman"/>
                <w:color w:val="FF0000"/>
                <w:kern w:val="2"/>
                <w:sz w:val="24"/>
                <w:szCs w:val="24"/>
                <w:lang w:val="en-US" w:eastAsia="zh-CN"/>
              </w:rPr>
              <w:t>江西省宜春生态环境监测中心</w:t>
            </w:r>
          </w:p>
        </w:tc>
        <w:tc>
          <w:tcPr>
            <w:tcW w:w="2933" w:type="dxa"/>
            <w:noWrap w:val="0"/>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eastAsia="zh-CN"/>
              </w:rPr>
            </w:pPr>
            <w:r>
              <w:rPr>
                <w:rFonts w:hint="eastAsia" w:ascii="Times New Roman" w:hAnsi="Times New Roman" w:eastAsia="宋体" w:cs="Times New Roman"/>
                <w:color w:val="FF0000"/>
                <w:kern w:val="2"/>
                <w:sz w:val="24"/>
                <w:szCs w:val="24"/>
                <w:lang w:val="en-US" w:eastAsia="zh-CN"/>
              </w:rPr>
              <w:t>0795-3998059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noWrap w:val="0"/>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12</w:t>
            </w:r>
          </w:p>
        </w:tc>
        <w:tc>
          <w:tcPr>
            <w:tcW w:w="4537" w:type="dxa"/>
            <w:noWrap w:val="0"/>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宜春经开区党工委党群工作部</w:t>
            </w:r>
          </w:p>
        </w:tc>
        <w:tc>
          <w:tcPr>
            <w:tcW w:w="2933" w:type="dxa"/>
            <w:noWrap w:val="0"/>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0795-3918597</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13</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宜春经开区经济发展和科技创新局（建设局）</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0795-3666628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14</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宜春经开区供电服务中心</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0795-7307397</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15</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宜春经开区供水客服中心</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0795-3918126</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16</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宜春经开区综合行政执法分局</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0795-3668077</w:t>
            </w:r>
          </w:p>
        </w:tc>
      </w:tr>
    </w:tbl>
    <w:p>
      <w:pPr>
        <w:pStyle w:val="271"/>
        <w:ind w:firstLine="480"/>
        <w:rPr>
          <w:rFonts w:hint="eastAsia" w:ascii="宋体" w:hAnsi="宋体" w:cs="宋体"/>
          <w:color w:val="000000"/>
        </w:rPr>
      </w:pPr>
    </w:p>
    <w:p>
      <w:pPr>
        <w:adjustRightInd w:val="0"/>
        <w:snapToGrid w:val="0"/>
        <w:spacing w:line="360" w:lineRule="auto"/>
        <w:rPr>
          <w:rFonts w:eastAsia="仿宋_GB2312"/>
          <w:bCs/>
          <w:color w:val="000000"/>
          <w:sz w:val="24"/>
        </w:rPr>
      </w:pPr>
    </w:p>
    <w:p>
      <w:pPr>
        <w:pStyle w:val="46"/>
        <w:ind w:firstLine="0" w:firstLineChars="0"/>
      </w:pPr>
    </w:p>
    <w:p>
      <w:pPr>
        <w:pStyle w:val="4"/>
        <w:jc w:val="center"/>
      </w:pPr>
      <w:bookmarkStart w:id="299" w:name="_Toc396237238"/>
      <w:bookmarkStart w:id="300" w:name="_Toc15019_WPSOffice_Level1"/>
      <w:bookmarkStart w:id="301" w:name="_Toc383172993"/>
      <w:bookmarkStart w:id="302" w:name="_Toc408503099"/>
      <w:bookmarkStart w:id="303" w:name="_Toc8274_WPSOffice_Level1"/>
      <w:bookmarkStart w:id="304" w:name="_Toc395804994"/>
      <w:r>
        <w:rPr>
          <w:rFonts w:hint="eastAsia"/>
        </w:rPr>
        <w:br w:type="page"/>
      </w:r>
    </w:p>
    <w:p>
      <w:pPr>
        <w:pStyle w:val="4"/>
        <w:jc w:val="center"/>
      </w:pPr>
      <w:bookmarkStart w:id="305" w:name="_Toc46857516"/>
      <w:bookmarkStart w:id="306" w:name="_Toc43202973"/>
      <w:bookmarkStart w:id="307" w:name="_Toc20919"/>
      <w:r>
        <w:rPr>
          <w:rFonts w:hint="eastAsia"/>
        </w:rPr>
        <w:t>第</w:t>
      </w:r>
      <w:r>
        <w:rPr>
          <w:rFonts w:hint="eastAsia"/>
          <w:lang w:val="en-US" w:eastAsia="zh-CN"/>
        </w:rPr>
        <w:t>四</w:t>
      </w:r>
      <w:r>
        <w:rPr>
          <w:rFonts w:hint="eastAsia"/>
        </w:rPr>
        <w:t>章</w:t>
      </w:r>
      <w:r>
        <w:rPr>
          <w:rFonts w:hint="eastAsia"/>
          <w:lang w:val="en-US" w:eastAsia="zh-CN"/>
        </w:rPr>
        <w:t xml:space="preserve"> </w:t>
      </w:r>
      <w:r>
        <w:rPr>
          <w:rFonts w:hint="eastAsia"/>
        </w:rPr>
        <w:t>预防与预警</w:t>
      </w:r>
      <w:bookmarkEnd w:id="299"/>
      <w:bookmarkEnd w:id="300"/>
      <w:bookmarkEnd w:id="301"/>
      <w:bookmarkEnd w:id="302"/>
      <w:bookmarkEnd w:id="303"/>
      <w:bookmarkEnd w:id="304"/>
      <w:bookmarkEnd w:id="305"/>
      <w:bookmarkEnd w:id="306"/>
      <w:bookmarkEnd w:id="307"/>
    </w:p>
    <w:p>
      <w:pPr>
        <w:pStyle w:val="5"/>
      </w:pPr>
      <w:bookmarkStart w:id="308" w:name="_Toc46857517"/>
      <w:bookmarkStart w:id="309" w:name="_Toc5047"/>
      <w:bookmarkStart w:id="310" w:name="_Toc408503100"/>
      <w:bookmarkStart w:id="311" w:name="_Toc27032_WPSOffice_Level2"/>
      <w:bookmarkStart w:id="312" w:name="_Toc23993_WPSOffice_Level2"/>
      <w:bookmarkStart w:id="313" w:name="_Toc43202974"/>
      <w:bookmarkStart w:id="314" w:name="_Toc342216084"/>
      <w:bookmarkStart w:id="315" w:name="_Toc341807500"/>
      <w:bookmarkStart w:id="316" w:name="_Toc166424747"/>
      <w:r>
        <w:rPr>
          <w:rFonts w:hint="eastAsia"/>
          <w:lang w:val="en-US" w:eastAsia="zh-CN"/>
        </w:rPr>
        <w:t>4</w:t>
      </w:r>
      <w:r>
        <w:rPr>
          <w:rFonts w:hint="eastAsia"/>
        </w:rPr>
        <w:t>.1建立健全预案体系</w:t>
      </w:r>
      <w:bookmarkEnd w:id="308"/>
      <w:bookmarkEnd w:id="309"/>
      <w:bookmarkEnd w:id="310"/>
      <w:bookmarkEnd w:id="311"/>
      <w:bookmarkEnd w:id="312"/>
      <w:bookmarkEnd w:id="313"/>
      <w:bookmarkEnd w:id="314"/>
    </w:p>
    <w:bookmarkEnd w:id="315"/>
    <w:p>
      <w:pPr>
        <w:autoSpaceDE w:val="0"/>
        <w:autoSpaceDN w:val="0"/>
        <w:adjustRightInd w:val="0"/>
        <w:snapToGrid w:val="0"/>
        <w:spacing w:line="360" w:lineRule="auto"/>
        <w:ind w:firstLine="480" w:firstLineChars="200"/>
        <w:jc w:val="left"/>
        <w:rPr>
          <w:rFonts w:ascii="宋体" w:hAnsi="宋体" w:cs="宋体"/>
          <w:bCs/>
          <w:color w:val="000000"/>
          <w:sz w:val="24"/>
        </w:rPr>
      </w:pPr>
      <w:r>
        <w:rPr>
          <w:rFonts w:hint="eastAsia" w:ascii="宋体" w:hAnsi="宋体" w:cs="宋体"/>
          <w:bCs/>
          <w:color w:val="000000"/>
          <w:sz w:val="24"/>
          <w:lang w:eastAsia="zh-CN"/>
        </w:rPr>
        <w:t>宜春宇泽新能源有限公司</w:t>
      </w:r>
      <w:r>
        <w:rPr>
          <w:rFonts w:hint="eastAsia" w:ascii="宋体" w:hAnsi="宋体" w:cs="宋体"/>
          <w:bCs/>
          <w:color w:val="000000"/>
          <w:sz w:val="24"/>
        </w:rPr>
        <w:t>环境风险种类较多，可能发生水环境污染、大气环境污染等多种类型的突发事件，企业应根据实际生产编写环境应急预案，并及时修订更新。</w:t>
      </w:r>
    </w:p>
    <w:p>
      <w:pPr>
        <w:autoSpaceDE w:val="0"/>
        <w:autoSpaceDN w:val="0"/>
        <w:adjustRightInd w:val="0"/>
        <w:snapToGrid w:val="0"/>
        <w:spacing w:line="360" w:lineRule="auto"/>
        <w:ind w:firstLine="480" w:firstLineChars="200"/>
        <w:jc w:val="left"/>
        <w:rPr>
          <w:rFonts w:ascii="宋体" w:hAnsi="宋体" w:cs="宋体"/>
          <w:bCs/>
          <w:color w:val="000000"/>
          <w:sz w:val="24"/>
        </w:rPr>
      </w:pPr>
      <w:r>
        <w:rPr>
          <w:rFonts w:hint="eastAsia" w:ascii="宋体" w:hAnsi="宋体" w:cs="宋体"/>
          <w:bCs/>
          <w:color w:val="000000"/>
          <w:sz w:val="24"/>
        </w:rPr>
        <w:t>企业应针对厂区生产厂房火灾、废气处理设施故障、废水处理设施故障、危废仓库泄漏等某一种类的环境风险，根据存在的环境危险源和可能发生的突发事件类型，编制相应的专项环境应急预案，应针对企业涉及风险的重点操作岗位，相应编制重点工作岗位的现场应急处置预案。综合环境应急预案、专项环境应急预案和现场处置预案之间应当相互协调，充分利用社会应急资源，与地方政府预案、上级主管单位以及相关部门的预案相衔接。</w:t>
      </w:r>
    </w:p>
    <w:p>
      <w:pPr>
        <w:pStyle w:val="5"/>
      </w:pPr>
      <w:bookmarkStart w:id="317" w:name="_Toc6571"/>
      <w:bookmarkStart w:id="318" w:name="_Toc342216085"/>
      <w:bookmarkStart w:id="319" w:name="_Toc13835_WPSOffice_Level2"/>
      <w:bookmarkStart w:id="320" w:name="_Toc29798_WPSOffice_Level2"/>
      <w:bookmarkStart w:id="321" w:name="_Toc408503101"/>
      <w:bookmarkStart w:id="322" w:name="_Toc46857518"/>
      <w:bookmarkStart w:id="323" w:name="_Toc43202975"/>
      <w:bookmarkStart w:id="324" w:name="_Toc341884126"/>
      <w:r>
        <w:rPr>
          <w:rFonts w:hint="eastAsia"/>
          <w:lang w:val="en-US" w:eastAsia="zh-CN"/>
        </w:rPr>
        <w:t>4</w:t>
      </w:r>
      <w:r>
        <w:t>.</w:t>
      </w:r>
      <w:r>
        <w:rPr>
          <w:rFonts w:hint="eastAsia"/>
        </w:rPr>
        <w:t>2环境危险源监控</w:t>
      </w:r>
      <w:bookmarkEnd w:id="317"/>
      <w:bookmarkEnd w:id="318"/>
      <w:bookmarkEnd w:id="319"/>
      <w:bookmarkEnd w:id="320"/>
      <w:bookmarkEnd w:id="321"/>
      <w:bookmarkEnd w:id="322"/>
      <w:bookmarkEnd w:id="323"/>
      <w:bookmarkEnd w:id="324"/>
    </w:p>
    <w:p>
      <w:pPr>
        <w:autoSpaceDE w:val="0"/>
        <w:autoSpaceDN w:val="0"/>
        <w:adjustRightInd w:val="0"/>
        <w:snapToGrid w:val="0"/>
        <w:spacing w:line="360" w:lineRule="auto"/>
        <w:ind w:firstLine="480" w:firstLineChars="200"/>
        <w:jc w:val="left"/>
        <w:rPr>
          <w:rFonts w:hint="default" w:ascii="宋体" w:hAnsi="宋体" w:eastAsia="宋体" w:cs="宋体"/>
          <w:bCs/>
          <w:color w:val="000000"/>
          <w:sz w:val="24"/>
        </w:rPr>
      </w:pPr>
      <w:r>
        <w:rPr>
          <w:rFonts w:hint="default" w:ascii="宋体" w:hAnsi="宋体" w:eastAsia="宋体" w:cs="宋体"/>
          <w:bCs/>
          <w:color w:val="000000"/>
          <w:sz w:val="24"/>
        </w:rPr>
        <w:t>公司对各环境风险源的监控预防措施主要有：</w:t>
      </w:r>
    </w:p>
    <w:p>
      <w:pPr>
        <w:autoSpaceDE w:val="0"/>
        <w:autoSpaceDN w:val="0"/>
        <w:adjustRightInd w:val="0"/>
        <w:snapToGrid w:val="0"/>
        <w:spacing w:line="360" w:lineRule="auto"/>
        <w:ind w:firstLine="480" w:firstLineChars="200"/>
        <w:jc w:val="left"/>
        <w:rPr>
          <w:rFonts w:hint="default" w:ascii="宋体" w:hAnsi="宋体" w:eastAsia="宋体" w:cs="宋体"/>
          <w:bCs/>
          <w:color w:val="000000"/>
          <w:sz w:val="24"/>
        </w:rPr>
      </w:pPr>
      <w:r>
        <w:rPr>
          <w:rFonts w:hint="eastAsia" w:ascii="宋体" w:hAnsi="宋体" w:eastAsia="宋体" w:cs="宋体"/>
          <w:bCs/>
          <w:color w:val="000000"/>
          <w:sz w:val="24"/>
          <w:lang w:eastAsia="zh-CN"/>
        </w:rPr>
        <w:t>（</w:t>
      </w:r>
      <w:r>
        <w:rPr>
          <w:rFonts w:hint="eastAsia" w:ascii="宋体" w:hAnsi="宋体" w:eastAsia="宋体" w:cs="宋体"/>
          <w:bCs/>
          <w:color w:val="000000"/>
          <w:sz w:val="24"/>
          <w:lang w:val="en-US" w:eastAsia="zh-CN"/>
        </w:rPr>
        <w:t>1</w:t>
      </w:r>
      <w:r>
        <w:rPr>
          <w:rFonts w:hint="eastAsia" w:ascii="宋体" w:hAnsi="宋体" w:eastAsia="宋体" w:cs="宋体"/>
          <w:bCs/>
          <w:color w:val="000000"/>
          <w:sz w:val="24"/>
          <w:lang w:eastAsia="zh-CN"/>
        </w:rPr>
        <w:t>）</w:t>
      </w:r>
      <w:r>
        <w:rPr>
          <w:rFonts w:hint="default" w:ascii="宋体" w:hAnsi="宋体" w:eastAsia="宋体" w:cs="宋体"/>
          <w:bCs/>
          <w:color w:val="000000"/>
          <w:sz w:val="24"/>
        </w:rPr>
        <w:t>建立危险源监控制度，落实监控措施；</w:t>
      </w:r>
    </w:p>
    <w:p>
      <w:pPr>
        <w:autoSpaceDE w:val="0"/>
        <w:autoSpaceDN w:val="0"/>
        <w:adjustRightInd w:val="0"/>
        <w:snapToGrid w:val="0"/>
        <w:spacing w:line="360" w:lineRule="auto"/>
        <w:ind w:firstLine="480" w:firstLineChars="200"/>
        <w:jc w:val="left"/>
        <w:rPr>
          <w:rFonts w:hint="default" w:ascii="宋体" w:hAnsi="宋体" w:eastAsia="宋体" w:cs="宋体"/>
          <w:bCs/>
          <w:color w:val="000000"/>
          <w:sz w:val="24"/>
        </w:rPr>
      </w:pPr>
      <w:r>
        <w:rPr>
          <w:rFonts w:hint="eastAsia" w:ascii="宋体" w:hAnsi="宋体" w:eastAsia="宋体" w:cs="宋体"/>
          <w:bCs/>
          <w:color w:val="000000"/>
          <w:sz w:val="24"/>
          <w:lang w:eastAsia="zh-CN"/>
        </w:rPr>
        <w:t>（</w:t>
      </w:r>
      <w:r>
        <w:rPr>
          <w:rFonts w:hint="eastAsia" w:ascii="宋体" w:hAnsi="宋体" w:eastAsia="宋体" w:cs="宋体"/>
          <w:bCs/>
          <w:color w:val="000000"/>
          <w:sz w:val="24"/>
          <w:lang w:val="en-US" w:eastAsia="zh-CN"/>
        </w:rPr>
        <w:t>2</w:t>
      </w:r>
      <w:r>
        <w:rPr>
          <w:rFonts w:hint="eastAsia" w:ascii="宋体" w:hAnsi="宋体" w:eastAsia="宋体" w:cs="宋体"/>
          <w:bCs/>
          <w:color w:val="000000"/>
          <w:sz w:val="24"/>
          <w:lang w:eastAsia="zh-CN"/>
        </w:rPr>
        <w:t>）</w:t>
      </w:r>
      <w:r>
        <w:rPr>
          <w:rFonts w:hint="default" w:ascii="宋体" w:hAnsi="宋体" w:eastAsia="宋体" w:cs="宋体"/>
          <w:bCs/>
          <w:color w:val="000000"/>
          <w:sz w:val="24"/>
        </w:rPr>
        <w:t>定期进行防雷防静电检测；</w:t>
      </w:r>
    </w:p>
    <w:p>
      <w:pPr>
        <w:autoSpaceDE w:val="0"/>
        <w:autoSpaceDN w:val="0"/>
        <w:adjustRightInd w:val="0"/>
        <w:snapToGrid w:val="0"/>
        <w:spacing w:line="360" w:lineRule="auto"/>
        <w:ind w:firstLine="480" w:firstLineChars="200"/>
        <w:jc w:val="left"/>
        <w:rPr>
          <w:rFonts w:hint="default" w:ascii="宋体" w:hAnsi="宋体" w:eastAsia="宋体" w:cs="宋体"/>
          <w:bCs/>
          <w:color w:val="000000"/>
          <w:sz w:val="24"/>
        </w:rPr>
      </w:pPr>
      <w:r>
        <w:rPr>
          <w:rFonts w:hint="eastAsia" w:ascii="宋体" w:hAnsi="宋体" w:eastAsia="宋体" w:cs="宋体"/>
          <w:bCs/>
          <w:color w:val="000000"/>
          <w:sz w:val="24"/>
          <w:lang w:eastAsia="zh-CN"/>
        </w:rPr>
        <w:t>（</w:t>
      </w:r>
      <w:r>
        <w:rPr>
          <w:rFonts w:hint="eastAsia" w:ascii="宋体" w:hAnsi="宋体" w:eastAsia="宋体" w:cs="宋体"/>
          <w:bCs/>
          <w:color w:val="000000"/>
          <w:sz w:val="24"/>
          <w:lang w:val="en-US" w:eastAsia="zh-CN"/>
        </w:rPr>
        <w:t>3</w:t>
      </w:r>
      <w:r>
        <w:rPr>
          <w:rFonts w:hint="eastAsia" w:ascii="宋体" w:hAnsi="宋体" w:eastAsia="宋体" w:cs="宋体"/>
          <w:bCs/>
          <w:color w:val="000000"/>
          <w:sz w:val="24"/>
          <w:lang w:eastAsia="zh-CN"/>
        </w:rPr>
        <w:t>）</w:t>
      </w:r>
      <w:r>
        <w:rPr>
          <w:rFonts w:hint="default" w:ascii="宋体" w:hAnsi="宋体" w:eastAsia="宋体" w:cs="宋体"/>
          <w:bCs/>
          <w:color w:val="000000"/>
          <w:sz w:val="24"/>
        </w:rPr>
        <w:t>设备设施定期保养并保持完好；</w:t>
      </w:r>
    </w:p>
    <w:p>
      <w:pPr>
        <w:autoSpaceDE w:val="0"/>
        <w:autoSpaceDN w:val="0"/>
        <w:adjustRightInd w:val="0"/>
        <w:snapToGrid w:val="0"/>
        <w:spacing w:line="360" w:lineRule="auto"/>
        <w:ind w:firstLine="480" w:firstLineChars="200"/>
        <w:jc w:val="left"/>
        <w:rPr>
          <w:rFonts w:hint="eastAsia" w:ascii="宋体" w:hAnsi="宋体" w:eastAsia="宋体" w:cs="宋体"/>
          <w:bCs/>
          <w:color w:val="000000"/>
          <w:sz w:val="24"/>
        </w:rPr>
      </w:pPr>
      <w:r>
        <w:rPr>
          <w:rFonts w:hint="default" w:ascii="宋体" w:hAnsi="宋体" w:eastAsia="宋体" w:cs="宋体"/>
          <w:bCs/>
          <w:color w:val="000000"/>
          <w:sz w:val="24"/>
        </w:rPr>
        <w:t>（4）建立安全检查制度，定期对现场进行安全检查，发现问题及时整改。</w:t>
      </w:r>
    </w:p>
    <w:p>
      <w:pPr>
        <w:pStyle w:val="5"/>
      </w:pPr>
      <w:bookmarkStart w:id="325" w:name="_Toc43202976"/>
      <w:bookmarkStart w:id="326" w:name="_Toc46857519"/>
      <w:bookmarkStart w:id="327" w:name="_Toc29450_WPSOffice_Level2"/>
      <w:bookmarkStart w:id="328" w:name="_Toc408503102"/>
      <w:bookmarkStart w:id="329" w:name="_Toc19625"/>
      <w:bookmarkStart w:id="330" w:name="_Toc26986_WPSOffice_Level2"/>
      <w:r>
        <w:rPr>
          <w:rFonts w:hint="eastAsia"/>
          <w:lang w:val="en-US" w:eastAsia="zh-CN"/>
        </w:rPr>
        <w:t>4</w:t>
      </w:r>
      <w:r>
        <w:t>.</w:t>
      </w:r>
      <w:r>
        <w:rPr>
          <w:rFonts w:hint="eastAsia"/>
        </w:rPr>
        <w:t>3</w:t>
      </w:r>
      <w:r>
        <w:t>事故预防</w:t>
      </w:r>
      <w:bookmarkEnd w:id="316"/>
      <w:r>
        <w:t>措施</w:t>
      </w:r>
      <w:bookmarkEnd w:id="325"/>
      <w:bookmarkEnd w:id="326"/>
      <w:bookmarkEnd w:id="327"/>
      <w:bookmarkEnd w:id="328"/>
      <w:bookmarkEnd w:id="329"/>
      <w:bookmarkEnd w:id="330"/>
    </w:p>
    <w:p>
      <w:pPr>
        <w:pStyle w:val="6"/>
        <w:rPr>
          <w:rFonts w:ascii="宋体" w:hAnsi="宋体" w:cs="宋体"/>
          <w:b w:val="0"/>
          <w:bCs w:val="0"/>
          <w:color w:val="000000"/>
          <w:sz w:val="24"/>
          <w:szCs w:val="24"/>
        </w:rPr>
      </w:pPr>
      <w:bookmarkStart w:id="331" w:name="_Toc43202977"/>
      <w:r>
        <w:rPr>
          <w:rFonts w:hint="eastAsia" w:ascii="宋体" w:hAnsi="宋体" w:cs="宋体"/>
          <w:b w:val="0"/>
          <w:bCs w:val="0"/>
          <w:color w:val="000000"/>
          <w:sz w:val="24"/>
          <w:szCs w:val="24"/>
        </w:rPr>
        <w:t>各事故预防措施见下表。</w:t>
      </w:r>
    </w:p>
    <w:p>
      <w:pPr>
        <w:jc w:val="center"/>
        <w:rPr>
          <w:b/>
          <w:sz w:val="24"/>
        </w:rPr>
      </w:pPr>
      <w:r>
        <w:rPr>
          <w:rFonts w:hint="eastAsia"/>
          <w:b/>
          <w:sz w:val="24"/>
        </w:rPr>
        <w:t>表</w:t>
      </w:r>
      <w:r>
        <w:rPr>
          <w:rFonts w:hint="eastAsia"/>
          <w:b/>
          <w:sz w:val="24"/>
          <w:lang w:val="en-US" w:eastAsia="zh-CN"/>
        </w:rPr>
        <w:t>4</w:t>
      </w:r>
      <w:r>
        <w:rPr>
          <w:rFonts w:hint="eastAsia"/>
          <w:b/>
          <w:sz w:val="24"/>
        </w:rPr>
        <w:t>.3-1 事故预防一览表</w:t>
      </w:r>
    </w:p>
    <w:bookmarkEnd w:id="331"/>
    <w:tbl>
      <w:tblPr>
        <w:tblStyle w:val="47"/>
        <w:tblW w:w="928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440"/>
        <w:gridCol w:w="720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ascii="宋体" w:hAnsi="宋体"/>
                <w:szCs w:val="21"/>
              </w:rPr>
            </w:pPr>
            <w:bookmarkStart w:id="332" w:name="_Toc408503108"/>
            <w:bookmarkStart w:id="333" w:name="_Toc28970_WPSOffice_Level2"/>
            <w:bookmarkStart w:id="334" w:name="_Toc342216091"/>
            <w:bookmarkStart w:id="335" w:name="_Toc43202982"/>
            <w:bookmarkStart w:id="336" w:name="_Toc7166_WPSOffice_Level2"/>
            <w:r>
              <w:rPr>
                <w:rFonts w:ascii="宋体" w:hAnsi="宋体"/>
                <w:szCs w:val="21"/>
              </w:rPr>
              <w:t>序号</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ascii="宋体" w:hAnsi="宋体"/>
                <w:szCs w:val="21"/>
              </w:rPr>
            </w:pPr>
            <w:r>
              <w:rPr>
                <w:rFonts w:ascii="宋体" w:hAnsi="宋体"/>
                <w:szCs w:val="21"/>
              </w:rPr>
              <w:t>环境风险源</w:t>
            </w:r>
          </w:p>
        </w:tc>
        <w:tc>
          <w:tcPr>
            <w:tcW w:w="7200" w:type="dxa"/>
            <w:tcBorders>
              <w:top w:val="single" w:color="auto" w:sz="4" w:space="0"/>
              <w:left w:val="single" w:color="auto" w:sz="4" w:space="0"/>
              <w:bottom w:val="single" w:color="auto" w:sz="4" w:space="0"/>
              <w:right w:val="nil"/>
            </w:tcBorders>
            <w:vAlign w:val="center"/>
          </w:tcPr>
          <w:p>
            <w:pPr>
              <w:keepNext w:val="0"/>
              <w:keepLines w:val="0"/>
              <w:suppressLineNumbers w:val="0"/>
              <w:spacing w:before="0" w:beforeAutospacing="0" w:after="0" w:afterAutospacing="0"/>
              <w:ind w:left="0" w:right="0" w:firstLine="640"/>
              <w:jc w:val="center"/>
              <w:rPr>
                <w:rFonts w:ascii="宋体" w:hAnsi="宋体"/>
                <w:szCs w:val="21"/>
              </w:rPr>
            </w:pPr>
            <w:r>
              <w:rPr>
                <w:rFonts w:ascii="宋体" w:hAnsi="宋体"/>
                <w:szCs w:val="21"/>
              </w:rPr>
              <w:t>防范措施</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szCs w:val="21"/>
              </w:rPr>
            </w:pPr>
            <w:r>
              <w:rPr>
                <w:rFonts w:ascii="宋体" w:hAnsi="宋体"/>
                <w:szCs w:val="21"/>
              </w:rPr>
              <w:t>1</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szCs w:val="21"/>
              </w:rPr>
            </w:pPr>
            <w:r>
              <w:rPr>
                <w:rFonts w:ascii="宋体" w:hAnsi="宋体"/>
                <w:szCs w:val="21"/>
              </w:rPr>
              <w:t>废气非正常排放</w:t>
            </w:r>
          </w:p>
        </w:tc>
        <w:tc>
          <w:tcPr>
            <w:tcW w:w="7200" w:type="dxa"/>
            <w:tcBorders>
              <w:top w:val="single" w:color="auto" w:sz="4" w:space="0"/>
              <w:left w:val="single" w:color="auto" w:sz="4" w:space="0"/>
              <w:bottom w:val="single" w:color="auto" w:sz="4" w:space="0"/>
              <w:right w:val="nil"/>
            </w:tcBorders>
            <w:vAlign w:val="center"/>
          </w:tcPr>
          <w:p>
            <w:pPr>
              <w:pStyle w:val="24"/>
              <w:keepNext w:val="0"/>
              <w:keepLines w:val="0"/>
              <w:suppressLineNumbers w:val="0"/>
              <w:spacing w:before="0" w:beforeAutospacing="0" w:after="0" w:afterAutospacing="0" w:line="240" w:lineRule="auto"/>
              <w:ind w:left="0" w:right="0" w:firstLine="420"/>
              <w:rPr>
                <w:rFonts w:hint="default" w:ascii="宋体" w:hAnsi="宋体" w:eastAsia="宋体" w:cs="Times New Roman"/>
                <w:szCs w:val="21"/>
                <w:lang w:val="en-US" w:eastAsia="zh-CN"/>
              </w:rPr>
            </w:pPr>
            <w:r>
              <w:rPr>
                <w:rFonts w:hint="eastAsia" w:ascii="宋体" w:hAnsi="宋体" w:eastAsia="宋体" w:cs="Times New Roman"/>
                <w:kern w:val="2"/>
                <w:sz w:val="21"/>
                <w:szCs w:val="21"/>
                <w:lang w:val="en-US" w:eastAsia="zh-CN" w:bidi="ar-SA"/>
              </w:rPr>
              <w:t>本项目主要废气为点胶工序产生的非甲烷总烃，采用集气罩+活性炭吸附处理。（1）对废气治理设施进行定期检修，保证其正常运行;(2)确保废气净化设施的电力供应正常；（3）对活性炭定期更换，确保吸附效率不降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szCs w:val="21"/>
              </w:rPr>
            </w:pPr>
            <w:r>
              <w:rPr>
                <w:rFonts w:ascii="宋体" w:hAnsi="宋体"/>
                <w:szCs w:val="21"/>
              </w:rPr>
              <w:t>2</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szCs w:val="21"/>
              </w:rPr>
            </w:pPr>
            <w:r>
              <w:rPr>
                <w:rFonts w:ascii="宋体" w:hAnsi="宋体"/>
                <w:szCs w:val="21"/>
              </w:rPr>
              <w:t>废水泄露</w:t>
            </w:r>
          </w:p>
        </w:tc>
        <w:tc>
          <w:tcPr>
            <w:tcW w:w="7200" w:type="dxa"/>
            <w:tcBorders>
              <w:top w:val="single" w:color="auto" w:sz="4" w:space="0"/>
              <w:left w:val="single" w:color="auto" w:sz="4" w:space="0"/>
              <w:bottom w:val="single" w:color="auto" w:sz="4" w:space="0"/>
              <w:right w:val="nil"/>
            </w:tcBorders>
            <w:vAlign w:val="center"/>
          </w:tcPr>
          <w:p>
            <w:pPr>
              <w:pStyle w:val="24"/>
              <w:keepNext w:val="0"/>
              <w:keepLines w:val="0"/>
              <w:suppressLineNumbers w:val="0"/>
              <w:spacing w:before="0" w:beforeAutospacing="0" w:after="0" w:afterAutospacing="0" w:line="240" w:lineRule="auto"/>
              <w:ind w:left="0" w:leftChars="0" w:right="0" w:firstLine="0" w:firstLineChars="0"/>
              <w:rPr>
                <w:rFonts w:hint="eastAsia" w:ascii="宋体" w:hAnsi="宋体" w:cs="Times New Roman"/>
                <w:szCs w:val="21"/>
                <w:lang w:val="en-US" w:eastAsia="zh-CN"/>
              </w:rPr>
            </w:pPr>
            <w:r>
              <w:rPr>
                <w:rFonts w:hint="eastAsia" w:ascii="宋体" w:hAnsi="宋体" w:cs="Times New Roman"/>
                <w:szCs w:val="21"/>
                <w:lang w:val="en-US" w:eastAsia="zh-CN"/>
              </w:rPr>
              <w:t>①废水处理设施中，应设相应的备用设备，如备用泵、事故应急池等。</w:t>
            </w:r>
          </w:p>
          <w:p>
            <w:pPr>
              <w:pStyle w:val="24"/>
              <w:keepNext w:val="0"/>
              <w:keepLines w:val="0"/>
              <w:suppressLineNumbers w:val="0"/>
              <w:spacing w:before="0" w:beforeAutospacing="0" w:after="0" w:afterAutospacing="0" w:line="240" w:lineRule="auto"/>
              <w:ind w:left="0" w:leftChars="0" w:right="0" w:firstLine="0" w:firstLineChars="0"/>
              <w:rPr>
                <w:rFonts w:hint="eastAsia" w:ascii="宋体" w:hAnsi="宋体" w:cs="Times New Roman"/>
                <w:szCs w:val="21"/>
                <w:lang w:val="en-US" w:eastAsia="zh-CN"/>
              </w:rPr>
            </w:pPr>
            <w:r>
              <w:rPr>
                <w:rFonts w:hint="eastAsia" w:ascii="宋体" w:hAnsi="宋体" w:cs="Times New Roman"/>
                <w:szCs w:val="21"/>
                <w:lang w:val="en-US" w:eastAsia="zh-CN"/>
              </w:rPr>
              <w:t>②废水处理设施一旦发生故障，应将产生的废水储存于事故应急池中，不得外排，并及时检修，尽快使其恢复运行；若备用池蓄满水时，废水处理设施仍未修复，应立即停产检修。</w:t>
            </w:r>
          </w:p>
          <w:p>
            <w:pPr>
              <w:pStyle w:val="24"/>
              <w:keepNext w:val="0"/>
              <w:keepLines w:val="0"/>
              <w:suppressLineNumbers w:val="0"/>
              <w:spacing w:before="0" w:beforeAutospacing="0" w:after="0" w:afterAutospacing="0" w:line="240" w:lineRule="auto"/>
              <w:ind w:left="0" w:leftChars="0" w:right="0" w:firstLine="0" w:firstLineChars="0"/>
              <w:rPr>
                <w:rFonts w:hint="default" w:eastAsia="宋体"/>
                <w:lang w:val="en-US" w:eastAsia="zh-CN"/>
              </w:rPr>
            </w:pPr>
            <w:r>
              <w:rPr>
                <w:rFonts w:hint="eastAsia" w:ascii="宋体" w:hAnsi="宋体" w:cs="Times New Roman"/>
                <w:szCs w:val="21"/>
                <w:lang w:val="en-US" w:eastAsia="zh-CN"/>
              </w:rPr>
              <w:t>③厂区应按清污分流、雨污分流的原则建立一个完善的排水系统，确保各类废水得到有效收集、监测监督和处理。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szCs w:val="21"/>
              </w:rPr>
            </w:pPr>
            <w:r>
              <w:rPr>
                <w:rFonts w:ascii="宋体" w:hAnsi="宋体"/>
                <w:szCs w:val="21"/>
              </w:rPr>
              <w:t>3</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szCs w:val="21"/>
              </w:rPr>
            </w:pPr>
            <w:r>
              <w:rPr>
                <w:rFonts w:ascii="宋体" w:hAnsi="宋体"/>
                <w:szCs w:val="21"/>
              </w:rPr>
              <w:t>原料仓库化学品泄漏</w:t>
            </w:r>
          </w:p>
        </w:tc>
        <w:tc>
          <w:tcPr>
            <w:tcW w:w="7200" w:type="dxa"/>
            <w:tcBorders>
              <w:top w:val="single" w:color="auto" w:sz="4" w:space="0"/>
              <w:left w:val="single" w:color="auto" w:sz="4" w:space="0"/>
              <w:bottom w:val="single" w:color="auto" w:sz="4" w:space="0"/>
              <w:right w:val="nil"/>
            </w:tcBorders>
            <w:vAlign w:val="center"/>
          </w:tcPr>
          <w:p>
            <w:pPr>
              <w:pStyle w:val="24"/>
              <w:keepNext w:val="0"/>
              <w:keepLines w:val="0"/>
              <w:suppressLineNumbers w:val="0"/>
              <w:spacing w:before="0" w:beforeAutospacing="0" w:after="0" w:afterAutospacing="0" w:line="240" w:lineRule="auto"/>
              <w:ind w:left="0" w:right="0" w:firstLine="411" w:firstLineChars="196"/>
              <w:rPr>
                <w:rFonts w:ascii="宋体" w:hAnsi="宋体"/>
                <w:szCs w:val="21"/>
              </w:rPr>
            </w:pPr>
            <w:r>
              <w:rPr>
                <w:rFonts w:ascii="宋体" w:hAnsi="宋体"/>
                <w:szCs w:val="21"/>
              </w:rPr>
              <w:t>1、贮存要求</w:t>
            </w:r>
          </w:p>
          <w:p>
            <w:pPr>
              <w:pStyle w:val="24"/>
              <w:keepNext w:val="0"/>
              <w:keepLines w:val="0"/>
              <w:suppressLineNumbers w:val="0"/>
              <w:spacing w:before="0" w:beforeAutospacing="0" w:after="0" w:afterAutospacing="0" w:line="240" w:lineRule="auto"/>
              <w:ind w:left="0" w:right="0" w:firstLine="420"/>
              <w:rPr>
                <w:rFonts w:ascii="宋体" w:hAnsi="宋体"/>
                <w:szCs w:val="21"/>
              </w:rPr>
            </w:pPr>
            <w:r>
              <w:rPr>
                <w:rFonts w:ascii="宋体" w:hAnsi="宋体"/>
                <w:szCs w:val="21"/>
              </w:rPr>
              <w:t>⑴严格按照规划设计布置物料储存区，危险化学品贮存的场所必须是经公安消防部门审查批准设置的专门危险化学品库房，液体储存区必须符合防漏要求。防火间距的设置以及消防器材的配备必须通过消防部门审查认可，并设置危险介质浓度报警探头。</w:t>
            </w:r>
          </w:p>
          <w:p>
            <w:pPr>
              <w:keepNext w:val="0"/>
              <w:keepLines w:val="0"/>
              <w:suppressLineNumbers w:val="0"/>
              <w:adjustRightInd w:val="0"/>
              <w:snapToGrid w:val="0"/>
              <w:spacing w:before="0" w:beforeAutospacing="0" w:after="0" w:afterAutospacing="0"/>
              <w:ind w:left="0" w:right="0" w:firstLine="420" w:firstLineChars="200"/>
              <w:rPr>
                <w:rFonts w:ascii="宋体" w:hAnsi="宋体"/>
                <w:szCs w:val="21"/>
              </w:rPr>
            </w:pPr>
            <w:r>
              <w:rPr>
                <w:rFonts w:ascii="宋体" w:hAnsi="宋体"/>
                <w:szCs w:val="21"/>
              </w:rPr>
              <w:t>⑵化学危险品储存过程中需与其对应的禁忌物分开储存，储存和运输过程中需注意化学危险品的毒害性。此外，库区或储罐区需安装避雷设施，库区内需加强通风，并根据库区内各化学危险品的特性，保持库区内一定的温度和湿度。危险化学品仓库严禁禁忌物混放和超量储存。仓库的通道、出入口应保持畅通，不得堆放任何物品。各种化学危险品需储存于阴凉、干燥、通风良好的库房。远离火种、热源。并且与各自相应的禁忌物分开、远离存放。采用防爆型照明、通风设施。禁止使用易产生火花的机械设备和工具。</w:t>
            </w:r>
          </w:p>
          <w:p>
            <w:pPr>
              <w:keepNext w:val="0"/>
              <w:keepLines w:val="0"/>
              <w:suppressLineNumbers w:val="0"/>
              <w:adjustRightInd w:val="0"/>
              <w:snapToGrid w:val="0"/>
              <w:spacing w:before="0" w:beforeAutospacing="0" w:after="0" w:afterAutospacing="0"/>
              <w:ind w:left="0" w:right="0" w:firstLine="420" w:firstLineChars="200"/>
              <w:rPr>
                <w:rFonts w:ascii="宋体" w:hAnsi="宋体"/>
                <w:szCs w:val="21"/>
              </w:rPr>
            </w:pPr>
            <w:r>
              <w:rPr>
                <w:rFonts w:ascii="宋体" w:hAnsi="宋体"/>
                <w:szCs w:val="21"/>
              </w:rPr>
              <w:t>⑶易燃物品仓库安装避雷装置；按国家有关的标准储存，保存危险化学品，严禁将互相禁忌的危化品混存混运。危化品仓库应有良好的通风，在充分利用自然通风的同时，增加机械通风设施；仓库应设温、湿度计并有高温季节的降温措施。</w:t>
            </w:r>
          </w:p>
          <w:p>
            <w:pPr>
              <w:keepNext w:val="0"/>
              <w:keepLines w:val="0"/>
              <w:suppressLineNumbers w:val="0"/>
              <w:adjustRightInd w:val="0"/>
              <w:snapToGrid w:val="0"/>
              <w:spacing w:before="0" w:beforeAutospacing="0" w:after="0" w:afterAutospacing="0"/>
              <w:ind w:left="0" w:right="0" w:firstLine="420" w:firstLineChars="200"/>
              <w:rPr>
                <w:rFonts w:ascii="宋体" w:hAnsi="宋体"/>
                <w:szCs w:val="21"/>
              </w:rPr>
            </w:pPr>
            <w:r>
              <w:rPr>
                <w:rFonts w:ascii="宋体" w:hAnsi="宋体"/>
                <w:szCs w:val="21"/>
              </w:rPr>
              <w:t>⑷原辅材料中应做好密封保存工作，分开存放，避免发生碰撞；主要化学物料输送管道应安装必要的安全附件。</w:t>
            </w:r>
          </w:p>
          <w:p>
            <w:pPr>
              <w:keepNext w:val="0"/>
              <w:keepLines w:val="0"/>
              <w:suppressLineNumbers w:val="0"/>
              <w:adjustRightInd w:val="0"/>
              <w:snapToGrid w:val="0"/>
              <w:spacing w:before="0" w:beforeAutospacing="0" w:after="0" w:afterAutospacing="0"/>
              <w:ind w:left="0" w:right="0" w:firstLine="420" w:firstLineChars="200"/>
              <w:rPr>
                <w:rFonts w:ascii="宋体" w:hAnsi="宋体"/>
                <w:szCs w:val="21"/>
              </w:rPr>
            </w:pPr>
            <w:r>
              <w:rPr>
                <w:rFonts w:ascii="宋体" w:hAnsi="宋体"/>
                <w:szCs w:val="21"/>
              </w:rPr>
              <w:t>2、管理要求</w:t>
            </w:r>
          </w:p>
          <w:p>
            <w:pPr>
              <w:pStyle w:val="24"/>
              <w:keepNext w:val="0"/>
              <w:keepLines w:val="0"/>
              <w:suppressLineNumbers w:val="0"/>
              <w:spacing w:before="0" w:beforeAutospacing="0" w:after="0" w:afterAutospacing="0" w:line="240" w:lineRule="auto"/>
              <w:ind w:left="0" w:right="0" w:firstLine="420"/>
              <w:rPr>
                <w:rFonts w:ascii="宋体" w:hAnsi="宋体"/>
                <w:szCs w:val="21"/>
              </w:rPr>
            </w:pPr>
            <w:r>
              <w:rPr>
                <w:rFonts w:ascii="宋体" w:hAnsi="宋体"/>
                <w:szCs w:val="21"/>
              </w:rPr>
              <w:t>⑴贮存危险化学品的仓库管理人员，必须经过专业知识培训，熟悉贮存物品的特性，事故处理办法和防护知识，同时，必须配备有关的个人防护用品。</w:t>
            </w:r>
          </w:p>
          <w:p>
            <w:pPr>
              <w:pStyle w:val="24"/>
              <w:keepNext w:val="0"/>
              <w:keepLines w:val="0"/>
              <w:suppressLineNumbers w:val="0"/>
              <w:spacing w:before="0" w:beforeAutospacing="0" w:after="0" w:afterAutospacing="0" w:line="240" w:lineRule="auto"/>
              <w:ind w:left="0" w:right="0" w:firstLine="420"/>
              <w:rPr>
                <w:rFonts w:ascii="宋体" w:hAnsi="宋体"/>
                <w:szCs w:val="21"/>
              </w:rPr>
            </w:pPr>
            <w:r>
              <w:rPr>
                <w:rFonts w:ascii="宋体" w:hAnsi="宋体"/>
                <w:szCs w:val="21"/>
              </w:rPr>
              <w:t>⑵贮存的危险化学品必须设有明显的标志，并按国家规定标准控制不同单位面积的最大贮存限量和垛距。</w:t>
            </w:r>
          </w:p>
          <w:p>
            <w:pPr>
              <w:pStyle w:val="24"/>
              <w:keepNext w:val="0"/>
              <w:keepLines w:val="0"/>
              <w:suppressLineNumbers w:val="0"/>
              <w:spacing w:before="0" w:beforeAutospacing="0" w:after="0" w:afterAutospacing="0" w:line="240" w:lineRule="auto"/>
              <w:ind w:left="0" w:right="0" w:firstLine="420"/>
              <w:rPr>
                <w:rFonts w:ascii="宋体" w:hAnsi="宋体"/>
                <w:szCs w:val="21"/>
              </w:rPr>
            </w:pPr>
            <w:r>
              <w:rPr>
                <w:rFonts w:ascii="宋体" w:hAnsi="宋体"/>
                <w:szCs w:val="21"/>
              </w:rPr>
              <w:t>⑶贮存危险化学品的库房、场所的消防设施、用电设施、防雷防静电设施等必须符合国家规定的安全要求。</w:t>
            </w:r>
          </w:p>
          <w:p>
            <w:pPr>
              <w:pStyle w:val="24"/>
              <w:keepNext w:val="0"/>
              <w:keepLines w:val="0"/>
              <w:suppressLineNumbers w:val="0"/>
              <w:spacing w:before="0" w:beforeAutospacing="0" w:after="0" w:afterAutospacing="0" w:line="240" w:lineRule="auto"/>
              <w:ind w:left="0" w:right="0" w:firstLine="420"/>
              <w:rPr>
                <w:rFonts w:ascii="宋体" w:hAnsi="宋体"/>
                <w:szCs w:val="21"/>
              </w:rPr>
            </w:pPr>
            <w:r>
              <w:rPr>
                <w:rFonts w:ascii="宋体" w:hAnsi="宋体"/>
                <w:szCs w:val="21"/>
              </w:rPr>
              <w:t>⑷危险化学品出入库必须检查验收登记，贮存期间定期养护，控制好贮存场所的温度和湿度；装卸、搬运时应轻装轻卸，注意自我防护。</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szCs w:val="21"/>
              </w:rPr>
            </w:pPr>
            <w:r>
              <w:rPr>
                <w:rFonts w:ascii="宋体" w:hAnsi="宋体"/>
                <w:szCs w:val="21"/>
              </w:rPr>
              <w:t>4</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szCs w:val="21"/>
              </w:rPr>
            </w:pPr>
            <w:r>
              <w:rPr>
                <w:rFonts w:ascii="宋体" w:hAnsi="宋体"/>
                <w:szCs w:val="21"/>
              </w:rPr>
              <w:t>火灾事故</w:t>
            </w:r>
          </w:p>
        </w:tc>
        <w:tc>
          <w:tcPr>
            <w:tcW w:w="7200" w:type="dxa"/>
            <w:tcBorders>
              <w:top w:val="single" w:color="auto" w:sz="4" w:space="0"/>
              <w:left w:val="single" w:color="auto" w:sz="4" w:space="0"/>
              <w:bottom w:val="single" w:color="auto" w:sz="4" w:space="0"/>
              <w:right w:val="nil"/>
            </w:tcBorders>
            <w:vAlign w:val="center"/>
          </w:tcPr>
          <w:p>
            <w:pPr>
              <w:keepNext w:val="0"/>
              <w:keepLines w:val="0"/>
              <w:suppressLineNumbers w:val="0"/>
              <w:spacing w:before="0" w:beforeAutospacing="0" w:after="0" w:afterAutospacing="0"/>
              <w:ind w:left="0" w:right="0" w:firstLine="560"/>
              <w:rPr>
                <w:rFonts w:ascii="宋体" w:hAnsi="宋体"/>
                <w:szCs w:val="21"/>
              </w:rPr>
            </w:pPr>
            <w:r>
              <w:rPr>
                <w:rFonts w:ascii="宋体" w:hAnsi="宋体"/>
                <w:szCs w:val="21"/>
              </w:rPr>
              <w:t>(1)严格按照国家规范的要求进行设计和投入使用</w:t>
            </w:r>
          </w:p>
          <w:p>
            <w:pPr>
              <w:keepNext w:val="0"/>
              <w:keepLines w:val="0"/>
              <w:suppressLineNumbers w:val="0"/>
              <w:spacing w:before="0" w:beforeAutospacing="0" w:after="0" w:afterAutospacing="0"/>
              <w:ind w:left="0" w:right="0" w:firstLine="560"/>
              <w:rPr>
                <w:rFonts w:ascii="宋体" w:hAnsi="宋体"/>
                <w:szCs w:val="21"/>
              </w:rPr>
            </w:pPr>
            <w:r>
              <w:rPr>
                <w:rFonts w:ascii="宋体" w:hAnsi="宋体"/>
                <w:szCs w:val="21"/>
              </w:rPr>
              <w:t>在设计和建设过程中就要严格按照现行的消防技术规范和标准进行设计、施工。充分考虑建筑物的总体布局、耐火等级、防火间距、防火分区和防火分隔措施,根据仓库的使用性,质按规范要求设置火灾自动报警、自动灭火设施，落实消防水源和室内外消防给水系统,从本质上防止火灾发生和控制灾害的发展。在设计过程中,要着眼于物资储存量大、消防用水量大和一旦发生火灾就有发生重大火灾的可能，重点规划布置库区的防火间距、消防车道、消防水源、堆垛组距、垛距等。</w:t>
            </w:r>
          </w:p>
          <w:p>
            <w:pPr>
              <w:keepNext w:val="0"/>
              <w:keepLines w:val="0"/>
              <w:suppressLineNumbers w:val="0"/>
              <w:spacing w:before="0" w:beforeAutospacing="0" w:after="0" w:afterAutospacing="0"/>
              <w:ind w:left="0" w:right="0" w:firstLine="560"/>
              <w:rPr>
                <w:rFonts w:ascii="宋体" w:hAnsi="宋体"/>
                <w:szCs w:val="21"/>
              </w:rPr>
            </w:pPr>
            <w:r>
              <w:rPr>
                <w:rFonts w:ascii="宋体" w:hAnsi="宋体"/>
                <w:szCs w:val="21"/>
              </w:rPr>
              <w:t>(2)严格按照国家规范的要求设置仓库的电气线路</w:t>
            </w:r>
          </w:p>
          <w:p>
            <w:pPr>
              <w:keepNext w:val="0"/>
              <w:keepLines w:val="0"/>
              <w:suppressLineNumbers w:val="0"/>
              <w:spacing w:before="0" w:beforeAutospacing="0" w:after="0" w:afterAutospacing="0"/>
              <w:ind w:left="0" w:right="0" w:firstLine="560"/>
              <w:rPr>
                <w:rFonts w:ascii="宋体" w:hAnsi="宋体"/>
                <w:szCs w:val="21"/>
              </w:rPr>
            </w:pPr>
            <w:r>
              <w:rPr>
                <w:rFonts w:ascii="宋体" w:hAnsi="宋体"/>
                <w:szCs w:val="21"/>
              </w:rPr>
              <w:t>易燃易爆危险物品仓库应采用防爆电器和照明，电气线路必须按照防爆的要求进行敷设。普通丙类物资仓库的电气线路应穿金属管或不燃型的硬质塑料管固定敷设，按规范要求选用照明灯具。库房内不得设置移动照明、配电线路与货垛之间应按规范的要求保持足够的防火间距,不得在堆垛_上方架设临时线路，不得设置移动照明和配电板等。</w:t>
            </w:r>
          </w:p>
          <w:p>
            <w:pPr>
              <w:keepNext w:val="0"/>
              <w:keepLines w:val="0"/>
              <w:suppressLineNumbers w:val="0"/>
              <w:spacing w:before="0" w:beforeAutospacing="0" w:after="0" w:afterAutospacing="0"/>
              <w:ind w:left="0" w:right="0" w:firstLine="560"/>
              <w:rPr>
                <w:rFonts w:ascii="宋体" w:hAnsi="宋体"/>
                <w:szCs w:val="21"/>
              </w:rPr>
            </w:pPr>
            <w:r>
              <w:rPr>
                <w:rFonts w:ascii="宋体" w:hAnsi="宋体"/>
                <w:szCs w:val="21"/>
              </w:rPr>
              <w:t>(3)加强消防设施的维护与保养</w:t>
            </w:r>
          </w:p>
          <w:p>
            <w:pPr>
              <w:keepNext w:val="0"/>
              <w:keepLines w:val="0"/>
              <w:suppressLineNumbers w:val="0"/>
              <w:spacing w:before="0" w:beforeAutospacing="0" w:after="0" w:afterAutospacing="0"/>
              <w:ind w:left="0" w:right="0" w:firstLine="560"/>
              <w:rPr>
                <w:rFonts w:ascii="宋体" w:hAnsi="宋体"/>
                <w:szCs w:val="21"/>
              </w:rPr>
            </w:pPr>
            <w:r>
              <w:rPr>
                <w:rFonts w:ascii="宋体" w:hAnsi="宋体"/>
                <w:szCs w:val="21"/>
              </w:rPr>
              <w:t>要增加消防投入，不能重经济效益轻消防安全,忽略必要的消防资金投入，加强消防设施的日常维修保养,提高消防设施的合格率和完好率，使其保持在良好的性能状态。同时要按照国家规范的要求设置安装避雷装置，并在每年雷雨季节前测试一-次， 保证完好。</w:t>
            </w:r>
          </w:p>
          <w:p>
            <w:pPr>
              <w:keepNext w:val="0"/>
              <w:keepLines w:val="0"/>
              <w:suppressLineNumbers w:val="0"/>
              <w:spacing w:before="0" w:beforeAutospacing="0" w:after="0" w:afterAutospacing="0"/>
              <w:ind w:left="0" w:right="0" w:firstLine="560"/>
              <w:rPr>
                <w:rFonts w:ascii="宋体" w:hAnsi="宋体"/>
                <w:szCs w:val="21"/>
              </w:rPr>
            </w:pPr>
            <w:r>
              <w:rPr>
                <w:rFonts w:ascii="宋体" w:hAnsi="宋体"/>
                <w:szCs w:val="21"/>
              </w:rPr>
              <w:t>(4)加强危险物品仓库的消防安全评价</w:t>
            </w:r>
          </w:p>
          <w:p>
            <w:pPr>
              <w:keepNext w:val="0"/>
              <w:keepLines w:val="0"/>
              <w:suppressLineNumbers w:val="0"/>
              <w:spacing w:before="0" w:beforeAutospacing="0" w:after="0" w:afterAutospacing="0"/>
              <w:ind w:left="0" w:right="0" w:firstLine="560"/>
              <w:rPr>
                <w:rFonts w:ascii="宋体" w:hAnsi="宋体"/>
                <w:szCs w:val="21"/>
              </w:rPr>
            </w:pPr>
            <w:r>
              <w:rPr>
                <w:rFonts w:ascii="宋体" w:hAnsi="宋体"/>
                <w:szCs w:val="21"/>
              </w:rPr>
              <w:t>通过消防安全评价,如实反映出危险物品仓库的消防安全所处状态，预先发现、识别可能导致事故发生的危害因素,以便在事故发生之前采取消防和控制措施,从而保障危险物品仓库的安全。应明确其责任部门，确立消防安全评估的法律地位，体现可行性和可操作性,充分发挥消防安全评价在强化社会消防安全意识和加强企业自身安全可靠性方面的效应。</w:t>
            </w:r>
          </w:p>
        </w:tc>
      </w:tr>
    </w:tbl>
    <w:p>
      <w:pPr>
        <w:pStyle w:val="5"/>
      </w:pPr>
      <w:bookmarkStart w:id="337" w:name="_Toc46857520"/>
      <w:bookmarkStart w:id="338" w:name="_Toc11028"/>
      <w:r>
        <w:rPr>
          <w:rFonts w:hint="eastAsia"/>
          <w:lang w:val="en-US" w:eastAsia="zh-CN"/>
        </w:rPr>
        <w:t>4</w:t>
      </w:r>
      <w:r>
        <w:rPr>
          <w:rFonts w:hint="eastAsia"/>
        </w:rPr>
        <w:t>.4预警</w:t>
      </w:r>
      <w:bookmarkEnd w:id="332"/>
      <w:bookmarkEnd w:id="333"/>
      <w:bookmarkEnd w:id="334"/>
      <w:bookmarkEnd w:id="335"/>
      <w:bookmarkEnd w:id="336"/>
      <w:bookmarkEnd w:id="337"/>
      <w:bookmarkEnd w:id="338"/>
    </w:p>
    <w:p>
      <w:pPr>
        <w:pStyle w:val="6"/>
      </w:pPr>
      <w:bookmarkStart w:id="339" w:name="_Toc43202983"/>
      <w:bookmarkStart w:id="340" w:name="_Toc342216094"/>
      <w:bookmarkStart w:id="341" w:name="_Toc408503111"/>
      <w:r>
        <w:rPr>
          <w:rFonts w:hint="eastAsia"/>
          <w:lang w:val="en-US" w:eastAsia="zh-CN"/>
        </w:rPr>
        <w:t>4</w:t>
      </w:r>
      <w:r>
        <w:rPr>
          <w:rFonts w:hint="eastAsia"/>
        </w:rPr>
        <w:t>.4.1 预警程序</w:t>
      </w:r>
      <w:bookmarkEnd w:id="339"/>
      <w:bookmarkEnd w:id="340"/>
      <w:bookmarkEnd w:id="341"/>
    </w:p>
    <w:p>
      <w:pPr>
        <w:adjustRightInd w:val="0"/>
        <w:snapToGrid w:val="0"/>
        <w:spacing w:line="360" w:lineRule="auto"/>
        <w:ind w:firstLine="482" w:firstLineChars="200"/>
        <w:rPr>
          <w:rStyle w:val="236"/>
          <w:rFonts w:ascii="宋体" w:hAnsi="宋体" w:cs="宋体"/>
          <w:b/>
          <w:color w:val="000000"/>
          <w:sz w:val="24"/>
        </w:rPr>
      </w:pPr>
      <w:bookmarkStart w:id="342" w:name="_Toc332728782"/>
      <w:bookmarkStart w:id="343" w:name="_Toc329451677"/>
      <w:bookmarkStart w:id="344" w:name="_Toc335058751"/>
      <w:r>
        <w:rPr>
          <w:rStyle w:val="236"/>
          <w:rFonts w:hint="eastAsia" w:ascii="宋体" w:hAnsi="宋体" w:cs="宋体"/>
          <w:b/>
          <w:color w:val="000000"/>
          <w:sz w:val="24"/>
        </w:rPr>
        <w:t>1、预警分级指标</w:t>
      </w:r>
      <w:bookmarkEnd w:id="342"/>
      <w:bookmarkEnd w:id="343"/>
      <w:bookmarkEnd w:id="344"/>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按照企业突发事故严重性、紧急程度和可能波及的范围，环境污染事件分为环境污染事件（Ⅰ级）、环境污染事件（Ⅱ级）和环境污染事件（Ⅲ级）。预警级别相应地由高到低依次用橙色、黄色和蓝色预警，根据事态的发展和采取措施的效果，预警可以升级、降级或解除。</w:t>
      </w:r>
    </w:p>
    <w:p>
      <w:pPr>
        <w:adjustRightInd w:val="0"/>
        <w:snapToGrid w:val="0"/>
        <w:spacing w:line="360" w:lineRule="auto"/>
        <w:ind w:firstLine="482" w:firstLineChars="200"/>
        <w:rPr>
          <w:rStyle w:val="236"/>
          <w:rFonts w:ascii="宋体" w:hAnsi="宋体" w:cs="宋体"/>
          <w:b/>
          <w:color w:val="000000"/>
          <w:sz w:val="24"/>
        </w:rPr>
      </w:pPr>
      <w:bookmarkStart w:id="345" w:name="_Toc332728783"/>
      <w:bookmarkStart w:id="346" w:name="_Toc329451678"/>
      <w:bookmarkStart w:id="347" w:name="_Toc335058752"/>
      <w:r>
        <w:rPr>
          <w:rStyle w:val="236"/>
          <w:rFonts w:hint="eastAsia" w:ascii="宋体" w:hAnsi="宋体" w:cs="宋体"/>
          <w:b/>
          <w:color w:val="000000"/>
          <w:sz w:val="24"/>
        </w:rPr>
        <w:t>2、预警内容</w:t>
      </w:r>
    </w:p>
    <w:p>
      <w:pPr>
        <w:adjustRightInd w:val="0"/>
        <w:snapToGrid w:val="0"/>
        <w:spacing w:line="360" w:lineRule="auto"/>
        <w:ind w:firstLine="480" w:firstLineChars="200"/>
        <w:rPr>
          <w:rFonts w:ascii="宋体" w:hAnsi="宋体" w:cs="宋体"/>
          <w:b/>
          <w:color w:val="000000"/>
          <w:sz w:val="24"/>
        </w:rPr>
      </w:pPr>
      <w:r>
        <w:rPr>
          <w:rFonts w:hint="eastAsia" w:ascii="宋体" w:hAnsi="宋体" w:cs="宋体"/>
          <w:bCs/>
          <w:color w:val="000000"/>
          <w:sz w:val="24"/>
        </w:rPr>
        <w:t>向企业内部发布预警，报告事故内容。事故内容包括地点、事故类型、撤离地点等。应急指挥部根据预警内容和事故严重程度，确定相应应急程序。</w:t>
      </w:r>
    </w:p>
    <w:p>
      <w:pPr>
        <w:adjustRightInd w:val="0"/>
        <w:snapToGrid w:val="0"/>
        <w:spacing w:line="360" w:lineRule="auto"/>
        <w:ind w:firstLine="482" w:firstLineChars="200"/>
        <w:rPr>
          <w:rStyle w:val="236"/>
          <w:rFonts w:ascii="宋体" w:hAnsi="宋体" w:cs="宋体"/>
          <w:b/>
          <w:color w:val="000000"/>
          <w:sz w:val="24"/>
        </w:rPr>
      </w:pPr>
      <w:r>
        <w:rPr>
          <w:rStyle w:val="236"/>
          <w:rFonts w:hint="eastAsia" w:ascii="宋体" w:hAnsi="宋体" w:cs="宋体"/>
          <w:b/>
          <w:color w:val="000000"/>
          <w:sz w:val="24"/>
        </w:rPr>
        <w:t>3、外部报送</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根据厂内事故预警等级，向上级部门报送。</w:t>
      </w:r>
      <w:r>
        <w:rPr>
          <w:rFonts w:hint="eastAsia" w:ascii="宋体" w:hAnsi="宋体" w:cs="宋体"/>
          <w:bCs/>
          <w:color w:val="000000"/>
          <w:sz w:val="24"/>
        </w:rPr>
        <w:t>突发事件责任单位根据事故严重程度，向相应管理部门报送。突发环境污染事件的报告分为初报、续报和处理结果报告三类。报告可采用电话、网络和书面报告等方式，包括事故发生原因、事故发生过程、应急处理措施、造成的人员伤害、事故造成的经济损失和社会影响等。</w:t>
      </w:r>
    </w:p>
    <w:p>
      <w:pPr>
        <w:adjustRightInd w:val="0"/>
        <w:snapToGrid w:val="0"/>
        <w:spacing w:line="360" w:lineRule="auto"/>
        <w:ind w:firstLine="482" w:firstLineChars="200"/>
        <w:rPr>
          <w:rStyle w:val="236"/>
          <w:rFonts w:ascii="宋体" w:hAnsi="宋体" w:cs="宋体"/>
          <w:b/>
          <w:color w:val="000000"/>
          <w:sz w:val="24"/>
        </w:rPr>
      </w:pPr>
      <w:r>
        <w:rPr>
          <w:rStyle w:val="236"/>
          <w:rFonts w:hint="eastAsia" w:ascii="宋体" w:hAnsi="宋体" w:cs="宋体"/>
          <w:b/>
          <w:color w:val="000000"/>
          <w:sz w:val="24"/>
        </w:rPr>
        <w:t>4、预警响应</w:t>
      </w:r>
      <w:bookmarkEnd w:id="345"/>
      <w:bookmarkEnd w:id="346"/>
      <w:bookmarkEnd w:id="347"/>
    </w:p>
    <w:p>
      <w:pPr>
        <w:adjustRightInd w:val="0"/>
        <w:snapToGrid w:val="0"/>
        <w:spacing w:line="360" w:lineRule="auto"/>
        <w:ind w:firstLine="600" w:firstLineChars="250"/>
        <w:rPr>
          <w:rFonts w:ascii="宋体" w:hAnsi="宋体" w:cs="宋体"/>
          <w:bCs/>
          <w:color w:val="000000"/>
          <w:sz w:val="24"/>
        </w:rPr>
      </w:pPr>
      <w:r>
        <w:rPr>
          <w:rFonts w:hint="eastAsia" w:ascii="宋体" w:hAnsi="宋体" w:cs="宋体"/>
          <w:bCs/>
          <w:color w:val="000000"/>
          <w:sz w:val="24"/>
        </w:rPr>
        <w:t>企业厂内发生火灾爆炸等突发环境事件时，在收集有关信息证明突发环境事件可能性增大时，按照应急预案立即采取措施。进入预警状态后，企业应采取以下预警措施：</w:t>
      </w:r>
    </w:p>
    <w:p>
      <w:pPr>
        <w:adjustRightInd w:val="0"/>
        <w:snapToGrid w:val="0"/>
        <w:spacing w:line="360" w:lineRule="auto"/>
        <w:ind w:left="600"/>
        <w:rPr>
          <w:rFonts w:ascii="宋体" w:hAnsi="宋体" w:cs="宋体"/>
          <w:bCs/>
          <w:color w:val="000000"/>
          <w:sz w:val="24"/>
        </w:rPr>
      </w:pPr>
      <w:r>
        <w:rPr>
          <w:rFonts w:hint="eastAsia" w:ascii="宋体" w:hAnsi="宋体" w:cs="宋体"/>
          <w:bCs/>
          <w:color w:val="000000"/>
          <w:sz w:val="24"/>
        </w:rPr>
        <w:t>⑴立即启动应急预案。</w:t>
      </w:r>
    </w:p>
    <w:p>
      <w:pPr>
        <w:adjustRightInd w:val="0"/>
        <w:snapToGrid w:val="0"/>
        <w:spacing w:line="360" w:lineRule="auto"/>
        <w:ind w:left="600"/>
        <w:rPr>
          <w:rFonts w:ascii="宋体" w:hAnsi="宋体" w:cs="宋体"/>
          <w:bCs/>
          <w:color w:val="000000"/>
          <w:sz w:val="24"/>
        </w:rPr>
      </w:pPr>
      <w:r>
        <w:rPr>
          <w:rFonts w:hint="eastAsia" w:ascii="宋体" w:hAnsi="宋体" w:cs="宋体"/>
          <w:bCs/>
          <w:color w:val="000000"/>
          <w:sz w:val="24"/>
        </w:rPr>
        <w:t>⑵在厂内发布预警公告。</w:t>
      </w:r>
    </w:p>
    <w:p>
      <w:pPr>
        <w:adjustRightInd w:val="0"/>
        <w:snapToGrid w:val="0"/>
        <w:spacing w:line="360" w:lineRule="auto"/>
        <w:ind w:left="600"/>
        <w:rPr>
          <w:rFonts w:ascii="宋体" w:hAnsi="宋体" w:cs="宋体"/>
          <w:bCs/>
          <w:color w:val="000000"/>
          <w:sz w:val="24"/>
        </w:rPr>
      </w:pPr>
      <w:r>
        <w:rPr>
          <w:rFonts w:hint="eastAsia" w:ascii="宋体" w:hAnsi="宋体" w:cs="宋体"/>
          <w:bCs/>
          <w:color w:val="000000"/>
          <w:sz w:val="24"/>
        </w:rPr>
        <w:t>⑶转移、撤离或者疏散厂内可能受到危害的人员，并进行妥善安置。</w:t>
      </w:r>
    </w:p>
    <w:p>
      <w:pPr>
        <w:adjustRightInd w:val="0"/>
        <w:snapToGrid w:val="0"/>
        <w:spacing w:line="360" w:lineRule="auto"/>
        <w:ind w:firstLine="600" w:firstLineChars="250"/>
        <w:rPr>
          <w:rFonts w:ascii="宋体" w:hAnsi="宋体" w:cs="宋体"/>
          <w:bCs/>
          <w:color w:val="000000"/>
          <w:sz w:val="24"/>
        </w:rPr>
      </w:pPr>
      <w:r>
        <w:rPr>
          <w:rFonts w:hint="eastAsia" w:ascii="宋体" w:hAnsi="宋体" w:cs="宋体"/>
          <w:bCs/>
          <w:color w:val="000000"/>
          <w:sz w:val="24"/>
        </w:rPr>
        <w:t>⑷指令各环境应急救援队伍进入应急状态，控制事故源，处理泄漏物质，开展应急监测，随时掌握并报告事态进展情况。</w:t>
      </w:r>
    </w:p>
    <w:p>
      <w:pPr>
        <w:adjustRightInd w:val="0"/>
        <w:snapToGrid w:val="0"/>
        <w:spacing w:line="360" w:lineRule="auto"/>
        <w:ind w:firstLine="600" w:firstLineChars="250"/>
        <w:rPr>
          <w:rFonts w:ascii="宋体" w:hAnsi="宋体" w:cs="宋体"/>
          <w:bCs/>
          <w:color w:val="000000"/>
          <w:sz w:val="24"/>
        </w:rPr>
      </w:pPr>
      <w:r>
        <w:rPr>
          <w:rFonts w:hint="eastAsia" w:ascii="宋体" w:hAnsi="宋体" w:cs="宋体"/>
          <w:bCs/>
          <w:color w:val="000000"/>
          <w:sz w:val="24"/>
        </w:rPr>
        <w:t>⑸针对突发事故可能造成的危害，封闭、隔离或者限制使用事发场所，中止可能导致危害扩大的行为和活动。</w:t>
      </w:r>
    </w:p>
    <w:p>
      <w:pPr>
        <w:adjustRightInd w:val="0"/>
        <w:snapToGrid w:val="0"/>
        <w:spacing w:line="360" w:lineRule="auto"/>
        <w:ind w:firstLine="600" w:firstLineChars="250"/>
        <w:rPr>
          <w:rFonts w:ascii="宋体" w:hAnsi="宋体" w:cs="宋体"/>
          <w:bCs/>
          <w:color w:val="000000"/>
          <w:sz w:val="24"/>
        </w:rPr>
      </w:pPr>
      <w:r>
        <w:rPr>
          <w:rFonts w:hint="eastAsia" w:ascii="宋体" w:hAnsi="宋体" w:cs="宋体"/>
          <w:bCs/>
          <w:color w:val="000000"/>
          <w:sz w:val="24"/>
        </w:rPr>
        <w:t>⑹调集厂内应急所需的物资和设备，确保应急保障工作。</w:t>
      </w:r>
    </w:p>
    <w:bookmarkEnd w:id="198"/>
    <w:p>
      <w:pPr>
        <w:pStyle w:val="6"/>
      </w:pPr>
      <w:bookmarkStart w:id="348" w:name="_Toc43202984"/>
      <w:r>
        <w:rPr>
          <w:rFonts w:hint="eastAsia"/>
        </w:rPr>
        <w:t>3.4.2</w:t>
      </w:r>
      <w:r>
        <w:t>预警方法</w:t>
      </w:r>
      <w:bookmarkEnd w:id="348"/>
    </w:p>
    <w:p>
      <w:pPr>
        <w:spacing w:line="360" w:lineRule="auto"/>
        <w:ind w:firstLine="480" w:firstLineChars="200"/>
        <w:rPr>
          <w:sz w:val="24"/>
        </w:rPr>
      </w:pPr>
      <w:r>
        <w:rPr>
          <w:sz w:val="24"/>
        </w:rPr>
        <w:t>在确认进入预警状态之后，根据预警相应级别环境应急小组按照相关程序可采取以下行动：（1）立即启动相应事件的应急预案。</w:t>
      </w:r>
    </w:p>
    <w:p>
      <w:pPr>
        <w:spacing w:line="360" w:lineRule="auto"/>
        <w:ind w:firstLine="480" w:firstLineChars="200"/>
        <w:rPr>
          <w:sz w:val="24"/>
        </w:rPr>
      </w:pPr>
      <w:r>
        <w:rPr>
          <w:sz w:val="24"/>
        </w:rPr>
        <w:t>（2）按照环境污染事故发布预警的等级，向全公司以及附近居民发布预警等级。一级预警：现场人员报告值班调度，调度核实情况后立即报告公司，公司应急指挥中心依据现场情况决定是否通知相关机构协助应急救援。若可能发生的环境污染事件严重，应当及时向</w:t>
      </w:r>
      <w:r>
        <w:rPr>
          <w:rFonts w:hint="eastAsia"/>
          <w:sz w:val="24"/>
          <w:lang w:eastAsia="zh-CN"/>
        </w:rPr>
        <w:t>宜春市生态环境局宜春经济技术开发区分局</w:t>
      </w:r>
      <w:r>
        <w:rPr>
          <w:sz w:val="24"/>
        </w:rPr>
        <w:t>、</w:t>
      </w:r>
      <w:r>
        <w:rPr>
          <w:rFonts w:hint="eastAsia"/>
          <w:sz w:val="24"/>
          <w:lang w:eastAsia="zh-CN"/>
        </w:rPr>
        <w:t>宜春经济技术开发区</w:t>
      </w:r>
      <w:r>
        <w:rPr>
          <w:rFonts w:hint="eastAsia"/>
          <w:sz w:val="24"/>
          <w:lang w:val="en-US" w:eastAsia="zh-CN"/>
        </w:rPr>
        <w:t>管委会</w:t>
      </w:r>
      <w:r>
        <w:rPr>
          <w:sz w:val="24"/>
        </w:rPr>
        <w:t>有关部门报告，由</w:t>
      </w:r>
      <w:r>
        <w:rPr>
          <w:rFonts w:hint="eastAsia"/>
          <w:sz w:val="24"/>
          <w:lang w:eastAsia="zh-CN"/>
        </w:rPr>
        <w:t>宜春市生态环境局宜春经济技术开发区分局</w:t>
      </w:r>
      <w:r>
        <w:rPr>
          <w:sz w:val="24"/>
        </w:rPr>
        <w:t>、</w:t>
      </w:r>
      <w:r>
        <w:rPr>
          <w:rFonts w:hint="eastAsia"/>
          <w:sz w:val="24"/>
          <w:lang w:eastAsia="zh-CN"/>
        </w:rPr>
        <w:t>宜春经济技术开发区</w:t>
      </w:r>
      <w:r>
        <w:rPr>
          <w:rFonts w:hint="eastAsia"/>
          <w:sz w:val="24"/>
          <w:lang w:val="en-US" w:eastAsia="zh-CN"/>
        </w:rPr>
        <w:t>管委会</w:t>
      </w:r>
      <w:r>
        <w:rPr>
          <w:sz w:val="24"/>
        </w:rPr>
        <w:t>决定后发布预警等级。二级预警：现场人员或调度向安全或环保部门报告，由安全或环保部门负责上报事故情况，公司应急指挥中心宣布启动预案。三级预警：现场人员立即报告部门负责人和值班调度并通知安全或环保部门，部门负责人或调度视现场情况组织现场处置，安全或环保部门视情况协调相关部门进行现场处置，落实巡查、监控措施；如隐患未消除，应通知相关应急部门、人员作好应急准备。遇非工作日时，通知值班调度和总值班人员，并及时报告应急指挥中心总指挥和有关人员。</w:t>
      </w:r>
    </w:p>
    <w:p>
      <w:pPr>
        <w:spacing w:line="360" w:lineRule="auto"/>
        <w:ind w:firstLine="480" w:firstLineChars="200"/>
        <w:rPr>
          <w:sz w:val="24"/>
        </w:rPr>
      </w:pPr>
      <w:r>
        <w:rPr>
          <w:sz w:val="24"/>
        </w:rPr>
        <w:t>（3）根据预警级别准备转移、撤离或者疏散可能受到危害的人员，进行妥善安置。</w:t>
      </w:r>
    </w:p>
    <w:p>
      <w:pPr>
        <w:spacing w:line="360" w:lineRule="auto"/>
        <w:ind w:firstLine="480" w:firstLineChars="200"/>
        <w:rPr>
          <w:sz w:val="24"/>
        </w:rPr>
      </w:pPr>
      <w:r>
        <w:rPr>
          <w:sz w:val="24"/>
        </w:rPr>
        <w:t>（4）指令各应急专业队伍进入应急状态，环境监测人员立即开展应急监测，随时掌握并报告事态进展情况。</w:t>
      </w:r>
    </w:p>
    <w:p>
      <w:pPr>
        <w:spacing w:line="360" w:lineRule="auto"/>
        <w:ind w:firstLine="480" w:firstLineChars="200"/>
        <w:rPr>
          <w:sz w:val="24"/>
        </w:rPr>
      </w:pPr>
      <w:r>
        <w:rPr>
          <w:sz w:val="24"/>
        </w:rPr>
        <w:t>（5）针对突发事件可能造成的危害，封闭、隔离或者限制有关场所，中止可能导致危害扩大的行为和活动。</w:t>
      </w:r>
    </w:p>
    <w:p>
      <w:pPr>
        <w:spacing w:line="360" w:lineRule="auto"/>
        <w:ind w:firstLine="480" w:firstLineChars="200"/>
        <w:rPr>
          <w:sz w:val="24"/>
        </w:rPr>
      </w:pPr>
      <w:r>
        <w:rPr>
          <w:sz w:val="24"/>
        </w:rPr>
        <w:t>（6）调集应急处置所需物资和设备，做好其他应急保障工作。</w:t>
      </w:r>
    </w:p>
    <w:p>
      <w:pPr>
        <w:pStyle w:val="4"/>
        <w:jc w:val="center"/>
      </w:pPr>
      <w:bookmarkStart w:id="349" w:name="_Toc408503112"/>
      <w:bookmarkStart w:id="350" w:name="_Toc15380_WPSOffice_Level1"/>
      <w:bookmarkStart w:id="351" w:name="_Toc43202985"/>
      <w:bookmarkStart w:id="352" w:name="_Toc19542_WPSOffice_Level1"/>
      <w:r>
        <w:br w:type="page"/>
      </w:r>
    </w:p>
    <w:p>
      <w:pPr>
        <w:pStyle w:val="4"/>
        <w:jc w:val="center"/>
      </w:pPr>
      <w:bookmarkStart w:id="353" w:name="_Toc6097"/>
      <w:bookmarkStart w:id="354" w:name="_Toc46857521"/>
      <w:r>
        <w:rPr>
          <w:rFonts w:hint="eastAsia"/>
        </w:rPr>
        <w:t>第</w:t>
      </w:r>
      <w:r>
        <w:rPr>
          <w:rFonts w:hint="eastAsia"/>
          <w:lang w:val="en-US" w:eastAsia="zh-CN"/>
        </w:rPr>
        <w:t>五</w:t>
      </w:r>
      <w:r>
        <w:rPr>
          <w:rFonts w:hint="eastAsia"/>
        </w:rPr>
        <w:t>章</w:t>
      </w:r>
      <w:r>
        <w:rPr>
          <w:rFonts w:hint="eastAsia"/>
          <w:lang w:val="en-US" w:eastAsia="zh-CN"/>
        </w:rPr>
        <w:t xml:space="preserve"> </w:t>
      </w:r>
      <w:r>
        <w:rPr>
          <w:rFonts w:hint="eastAsia"/>
        </w:rPr>
        <w:t>应急响应</w:t>
      </w:r>
      <w:bookmarkEnd w:id="349"/>
      <w:bookmarkEnd w:id="350"/>
      <w:bookmarkEnd w:id="351"/>
      <w:bookmarkEnd w:id="352"/>
      <w:bookmarkEnd w:id="353"/>
      <w:bookmarkEnd w:id="354"/>
    </w:p>
    <w:p>
      <w:bookmarkStart w:id="355" w:name="_Toc408503113"/>
      <w:bookmarkStart w:id="356" w:name="_Toc354489545"/>
    </w:p>
    <w:p>
      <w:pPr>
        <w:pStyle w:val="5"/>
      </w:pPr>
      <w:bookmarkStart w:id="357" w:name="_Toc46857522"/>
      <w:bookmarkStart w:id="358" w:name="_Toc43202986"/>
      <w:bookmarkStart w:id="359" w:name="_Toc17174_WPSOffice_Level2"/>
      <w:bookmarkStart w:id="360" w:name="_Toc22811_WPSOffice_Level2"/>
      <w:bookmarkStart w:id="361" w:name="_Toc12047"/>
      <w:r>
        <w:rPr>
          <w:rFonts w:hint="eastAsia"/>
          <w:lang w:val="en-US" w:eastAsia="zh-CN"/>
        </w:rPr>
        <w:t>5</w:t>
      </w:r>
      <w:r>
        <w:rPr>
          <w:rFonts w:hint="eastAsia"/>
        </w:rPr>
        <w:t>.1应急响应流程</w:t>
      </w:r>
      <w:bookmarkEnd w:id="355"/>
      <w:bookmarkEnd w:id="356"/>
      <w:bookmarkEnd w:id="357"/>
      <w:bookmarkEnd w:id="358"/>
      <w:bookmarkEnd w:id="359"/>
      <w:bookmarkEnd w:id="360"/>
      <w:bookmarkEnd w:id="361"/>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企业突发环境事件应急响应流程详见图</w:t>
      </w:r>
      <w:r>
        <w:rPr>
          <w:rFonts w:hint="eastAsia" w:ascii="宋体" w:hAnsi="宋体" w:cs="宋体"/>
          <w:bCs/>
          <w:color w:val="000000"/>
          <w:sz w:val="24"/>
          <w:lang w:val="en-US" w:eastAsia="zh-CN"/>
        </w:rPr>
        <w:t>5</w:t>
      </w:r>
      <w:r>
        <w:rPr>
          <w:rFonts w:hint="eastAsia" w:ascii="宋体" w:hAnsi="宋体" w:cs="宋体"/>
          <w:bCs/>
          <w:color w:val="000000"/>
          <w:sz w:val="24"/>
        </w:rPr>
        <w:t>.1-1。</w:t>
      </w:r>
    </w:p>
    <w:p>
      <w:pPr>
        <w:adjustRightInd w:val="0"/>
        <w:snapToGrid w:val="0"/>
        <w:spacing w:line="360" w:lineRule="auto"/>
        <w:rPr>
          <w:rFonts w:eastAsia="仿宋_GB2312"/>
          <w:bCs/>
          <w:color w:val="000000"/>
          <w:sz w:val="24"/>
        </w:rPr>
      </w:pPr>
      <w:r>
        <w:rPr>
          <w:rFonts w:hint="eastAsia" w:eastAsia="仿宋_GB2312"/>
          <w:bCs/>
          <w:color w:val="000000"/>
          <w:sz w:val="24"/>
        </w:rPr>
        <w:drawing>
          <wp:inline distT="0" distB="0" distL="0" distR="0">
            <wp:extent cx="5727700" cy="5279390"/>
            <wp:effectExtent l="19050" t="0" r="635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727700" cy="5279390"/>
                    </a:xfrm>
                    <a:prstGeom prst="rect">
                      <a:avLst/>
                    </a:prstGeom>
                    <a:noFill/>
                    <a:ln w="9525">
                      <a:noFill/>
                      <a:miter lim="800000"/>
                      <a:headEnd/>
                      <a:tailEnd/>
                    </a:ln>
                  </pic:spPr>
                </pic:pic>
              </a:graphicData>
            </a:graphic>
          </wp:inline>
        </w:drawing>
      </w:r>
    </w:p>
    <w:p>
      <w:pPr>
        <w:adjustRightInd w:val="0"/>
        <w:snapToGrid w:val="0"/>
        <w:spacing w:line="360" w:lineRule="auto"/>
        <w:jc w:val="center"/>
        <w:rPr>
          <w:rFonts w:ascii="宋体" w:hAnsi="宋体" w:cs="宋体"/>
          <w:b/>
          <w:bCs/>
          <w:color w:val="000000"/>
          <w:sz w:val="24"/>
        </w:rPr>
      </w:pPr>
      <w:bookmarkStart w:id="362" w:name="_Toc31003_WPSOffice_Level2"/>
      <w:r>
        <w:rPr>
          <w:rFonts w:hint="eastAsia" w:ascii="宋体" w:hAnsi="宋体" w:cs="宋体"/>
          <w:b/>
          <w:bCs/>
          <w:color w:val="000000"/>
          <w:sz w:val="24"/>
        </w:rPr>
        <w:t>图</w:t>
      </w:r>
      <w:r>
        <w:rPr>
          <w:rFonts w:hint="eastAsia" w:ascii="宋体" w:hAnsi="宋体" w:cs="宋体"/>
          <w:b/>
          <w:bCs/>
          <w:color w:val="000000"/>
          <w:sz w:val="24"/>
          <w:lang w:val="en-US" w:eastAsia="zh-CN"/>
        </w:rPr>
        <w:t>5</w:t>
      </w:r>
      <w:r>
        <w:rPr>
          <w:rFonts w:hint="eastAsia" w:ascii="宋体" w:hAnsi="宋体" w:cs="宋体"/>
          <w:b/>
          <w:bCs/>
          <w:color w:val="000000"/>
          <w:sz w:val="24"/>
        </w:rPr>
        <w:t>.1-1  突发环境污染事故应急响应流程图</w:t>
      </w:r>
      <w:bookmarkEnd w:id="362"/>
    </w:p>
    <w:p>
      <w:pPr>
        <w:pStyle w:val="5"/>
      </w:pPr>
      <w:bookmarkStart w:id="363" w:name="_Toc336166318"/>
      <w:bookmarkStart w:id="364" w:name="_Toc339203007"/>
      <w:bookmarkStart w:id="365" w:name="_Toc12455"/>
      <w:bookmarkStart w:id="366" w:name="_Toc24988_WPSOffice_Level2"/>
      <w:bookmarkStart w:id="367" w:name="_Toc46857523"/>
      <w:bookmarkStart w:id="368" w:name="_Toc12903_WPSOffice_Level2"/>
      <w:bookmarkStart w:id="369" w:name="_Toc408503117"/>
      <w:bookmarkStart w:id="370" w:name="_Toc334558347"/>
      <w:bookmarkStart w:id="371" w:name="_Toc43202987"/>
      <w:r>
        <w:rPr>
          <w:rFonts w:hint="eastAsia"/>
          <w:lang w:val="en-US" w:eastAsia="zh-CN"/>
        </w:rPr>
        <w:t>5</w:t>
      </w:r>
      <w:r>
        <w:rPr>
          <w:rFonts w:hint="eastAsia"/>
        </w:rPr>
        <w:t>.2 应急分级响应机制</w:t>
      </w:r>
      <w:bookmarkEnd w:id="363"/>
      <w:bookmarkEnd w:id="364"/>
      <w:bookmarkEnd w:id="365"/>
      <w:bookmarkEnd w:id="366"/>
      <w:bookmarkEnd w:id="367"/>
      <w:bookmarkEnd w:id="368"/>
      <w:bookmarkEnd w:id="369"/>
      <w:bookmarkEnd w:id="370"/>
      <w:bookmarkEnd w:id="371"/>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根据《国家突发环境事件应急预案》中的“突发环境事件分级标准”、《突发环境事件信息报告办法》（环保部令第 17 号），结合企业生产实际情况，环境风险对周围环境影响程度和单位控制事态的能力，本公司的事故应急响应分为三级应急状态、二级应急状态、一级应急状态，分别对应三级预警、二级预警、一级预警，一级为最高级别，且根据事件的后续发展，预警可升级、降级或者解除。总指挥应当根据收集到的信息对突发环境事件进行预判，启动应急响应。</w:t>
      </w:r>
    </w:p>
    <w:p>
      <w:pPr>
        <w:pStyle w:val="6"/>
      </w:pPr>
      <w:bookmarkStart w:id="372" w:name="_Toc43202988"/>
      <w:r>
        <w:rPr>
          <w:rFonts w:hint="eastAsia"/>
          <w:lang w:val="en-US" w:eastAsia="zh-CN"/>
        </w:rPr>
        <w:t>5</w:t>
      </w:r>
      <w:r>
        <w:rPr>
          <w:rFonts w:hint="eastAsia"/>
        </w:rPr>
        <w:t>.2.1  三级响应</w:t>
      </w:r>
      <w:bookmarkEnd w:id="372"/>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生产废水收集系统故障，造成生产废水无法及时进入处理站处理；截水沟和雨水导排系统堵塞，导致雨水无法外排，在厂区内集积。发布三级预警信号，启动三级预警。</w:t>
      </w:r>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三级应急指挥由相应部门的负责人组织指挥应急处理。</w:t>
      </w:r>
    </w:p>
    <w:p>
      <w:pPr>
        <w:pStyle w:val="6"/>
      </w:pPr>
      <w:bookmarkStart w:id="373" w:name="_Toc43202989"/>
      <w:r>
        <w:rPr>
          <w:rFonts w:hint="eastAsia"/>
          <w:lang w:val="en-US" w:eastAsia="zh-CN"/>
        </w:rPr>
        <w:t>5</w:t>
      </w:r>
      <w:r>
        <w:rPr>
          <w:rFonts w:hint="eastAsia"/>
        </w:rPr>
        <w:t>.2.2  二级响应</w:t>
      </w:r>
      <w:bookmarkEnd w:id="373"/>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中毒和窒息导致人员受伤；因为内因或者外因引发局部火灾，由此产生的消防水外排。发布二级预警信号，启动二级响应。二级应急指挥由应急指挥部组织指挥应急处理。</w:t>
      </w:r>
    </w:p>
    <w:p>
      <w:pPr>
        <w:pStyle w:val="6"/>
      </w:pPr>
      <w:bookmarkStart w:id="374" w:name="_Toc43202990"/>
      <w:r>
        <w:rPr>
          <w:rFonts w:hint="eastAsia"/>
          <w:lang w:val="en-US" w:eastAsia="zh-CN"/>
        </w:rPr>
        <w:t>5</w:t>
      </w:r>
      <w:r>
        <w:rPr>
          <w:rFonts w:hint="eastAsia"/>
        </w:rPr>
        <w:t>.2.3  一级响应</w:t>
      </w:r>
      <w:bookmarkEnd w:id="374"/>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火灾、爆炸造成重大人员伤亡；因为内因或者外因引发大面积火灾；化学品泄漏造成不可控制时间及其他事故影响及处理超出本公司可控制范围的事件。发布一级预警信号，启动一级响应。</w:t>
      </w:r>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一级应急响应指挥由应急总指挥执行，总指挥不在时，依序由副总指挥执行；</w:t>
      </w:r>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当政府应急人员到达现场时，移交政府指挥部人员指挥，火灾时在消防部门到场后移交消防部门指挥，并介绍事故情况和已采取的应急措施，配合协助应急指挥与处置。对于不同级别的环境污染事件，企业进行不同应急救援响应，制定不同的应急措施，并采取不同级别的汇报工作。</w:t>
      </w:r>
    </w:p>
    <w:p>
      <w:pPr>
        <w:pStyle w:val="6"/>
      </w:pPr>
      <w:bookmarkStart w:id="375" w:name="_Toc408503118"/>
      <w:bookmarkStart w:id="376" w:name="_Toc335810256"/>
      <w:bookmarkStart w:id="377" w:name="_Toc43202991"/>
      <w:bookmarkStart w:id="378" w:name="_Toc339203008"/>
      <w:bookmarkStart w:id="379" w:name="_Toc336166319"/>
      <w:r>
        <w:rPr>
          <w:rFonts w:hint="eastAsia"/>
          <w:lang w:val="en-US" w:eastAsia="zh-CN"/>
        </w:rPr>
        <w:t>5</w:t>
      </w:r>
      <w:r>
        <w:t>.2.</w:t>
      </w:r>
      <w:r>
        <w:rPr>
          <w:rFonts w:hint="eastAsia"/>
        </w:rPr>
        <w:t>4一</w:t>
      </w:r>
      <w:r>
        <w:t>级突发环境</w:t>
      </w:r>
      <w:r>
        <w:rPr>
          <w:rFonts w:hint="eastAsia"/>
        </w:rPr>
        <w:t>污染</w:t>
      </w:r>
      <w:r>
        <w:t>事件应急响应</w:t>
      </w:r>
      <w:bookmarkEnd w:id="375"/>
      <w:bookmarkEnd w:id="376"/>
      <w:bookmarkEnd w:id="377"/>
      <w:bookmarkEnd w:id="378"/>
      <w:bookmarkEnd w:id="379"/>
    </w:p>
    <w:p>
      <w:pPr>
        <w:adjustRightInd w:val="0"/>
        <w:snapToGrid w:val="0"/>
        <w:spacing w:line="360" w:lineRule="auto"/>
        <w:ind w:firstLine="420"/>
        <w:jc w:val="left"/>
        <w:rPr>
          <w:rFonts w:ascii="宋体" w:hAnsi="宋体" w:cs="宋体"/>
          <w:bCs/>
          <w:color w:val="000000"/>
          <w:sz w:val="24"/>
        </w:rPr>
      </w:pPr>
      <w:r>
        <w:rPr>
          <w:rFonts w:hint="eastAsia" w:ascii="宋体" w:hAnsi="宋体" w:cs="宋体"/>
          <w:bCs/>
          <w:color w:val="000000"/>
          <w:sz w:val="24"/>
        </w:rPr>
        <w:t>一级</w:t>
      </w:r>
      <w:r>
        <w:rPr>
          <w:rFonts w:hint="eastAsia" w:ascii="宋体" w:hAnsi="宋体" w:cs="宋体"/>
          <w:color w:val="000000"/>
          <w:sz w:val="24"/>
        </w:rPr>
        <w:t>环境污染事件是对企业的生产和人员安全造成重大危害和威胁，严重影响到周围环境和人员安全，造成或可能造成人员伤亡、财产损失和环境破坏，</w:t>
      </w:r>
      <w:r>
        <w:rPr>
          <w:rFonts w:hint="eastAsia" w:ascii="宋体" w:hAnsi="宋体" w:cs="宋体"/>
          <w:bCs/>
          <w:color w:val="000000"/>
          <w:sz w:val="24"/>
        </w:rPr>
        <w:t>需要动用外部应急救援力量和资源进行应急处置的环境污染事件。当发生重大环境污染</w:t>
      </w:r>
      <w:r>
        <w:rPr>
          <w:rFonts w:hint="eastAsia" w:ascii="宋体" w:hAnsi="宋体" w:cs="宋体"/>
          <w:color w:val="000000"/>
          <w:sz w:val="24"/>
        </w:rPr>
        <w:t>事件</w:t>
      </w:r>
      <w:r>
        <w:rPr>
          <w:rFonts w:hint="eastAsia" w:ascii="宋体" w:hAnsi="宋体" w:cs="宋体"/>
          <w:bCs/>
          <w:color w:val="000000"/>
          <w:sz w:val="24"/>
        </w:rPr>
        <w:t>时，企业内部应急力量予以先期处置，并由应急指挥部第一时间请求市环保、消防、公安和医疗等相关力量协助。待外部应急力量到达现场后，与企业内部应急力量共同处置事故。具体应急响应措施如下：</w:t>
      </w:r>
    </w:p>
    <w:p>
      <w:pPr>
        <w:adjustRightInd w:val="0"/>
        <w:snapToGrid w:val="0"/>
        <w:spacing w:line="360" w:lineRule="auto"/>
        <w:ind w:firstLine="482"/>
        <w:rPr>
          <w:rFonts w:ascii="宋体" w:hAnsi="宋体" w:cs="宋体"/>
          <w:bCs/>
          <w:color w:val="000000"/>
          <w:sz w:val="24"/>
        </w:rPr>
      </w:pPr>
      <w:r>
        <w:rPr>
          <w:rFonts w:hint="eastAsia" w:ascii="宋体" w:hAnsi="宋体" w:cs="宋体"/>
          <w:bCs/>
          <w:color w:val="000000"/>
          <w:sz w:val="24"/>
        </w:rPr>
        <w:t>1、启动一级应急响应程序，企业内部应急力量予以先期处置，控制事故危险源，及时进行人员疏散和转移，同时开展抢险救援，防止扩大事故范围和事故程度；</w:t>
      </w:r>
    </w:p>
    <w:p>
      <w:pPr>
        <w:adjustRightInd w:val="0"/>
        <w:snapToGrid w:val="0"/>
        <w:spacing w:line="360" w:lineRule="auto"/>
        <w:ind w:firstLine="482"/>
        <w:rPr>
          <w:rFonts w:ascii="宋体" w:hAnsi="宋体" w:cs="宋体"/>
          <w:bCs/>
          <w:color w:val="000000"/>
          <w:sz w:val="24"/>
        </w:rPr>
      </w:pPr>
      <w:r>
        <w:rPr>
          <w:rFonts w:hint="eastAsia" w:ascii="宋体" w:hAnsi="宋体" w:cs="宋体"/>
          <w:bCs/>
          <w:color w:val="000000"/>
          <w:sz w:val="24"/>
        </w:rPr>
        <w:t>2、立即联系</w:t>
      </w:r>
      <w:r>
        <w:rPr>
          <w:rFonts w:hint="eastAsia" w:ascii="宋体" w:hAnsi="宋体" w:cs="宋体"/>
          <w:bCs/>
          <w:color w:val="000000"/>
          <w:sz w:val="24"/>
          <w:lang w:eastAsia="zh-CN"/>
        </w:rPr>
        <w:t>宜春市生态环境局宜春经济技术开发区分局</w:t>
      </w:r>
      <w:r>
        <w:rPr>
          <w:rFonts w:hint="eastAsia" w:ascii="宋体" w:hAnsi="宋体" w:cs="宋体"/>
          <w:bCs/>
          <w:color w:val="000000"/>
          <w:sz w:val="24"/>
        </w:rPr>
        <w:t>，视事件变化情况，联系消防、公安和医疗等，并接应外部应急求援力量，配合其进行全力抢救抢险；</w:t>
      </w:r>
    </w:p>
    <w:p>
      <w:pPr>
        <w:adjustRightInd w:val="0"/>
        <w:snapToGrid w:val="0"/>
        <w:spacing w:line="360" w:lineRule="auto"/>
        <w:ind w:firstLine="482"/>
        <w:rPr>
          <w:rFonts w:ascii="宋体" w:hAnsi="宋体" w:cs="宋体"/>
          <w:bCs/>
          <w:color w:val="000000"/>
          <w:sz w:val="24"/>
        </w:rPr>
      </w:pPr>
      <w:r>
        <w:rPr>
          <w:rFonts w:hint="eastAsia" w:ascii="宋体" w:hAnsi="宋体" w:cs="宋体"/>
          <w:bCs/>
          <w:color w:val="000000"/>
          <w:sz w:val="24"/>
        </w:rPr>
        <w:t>3、事故后现场恢复和清理，洗消废水收集至污水站处理后外排；</w:t>
      </w:r>
    </w:p>
    <w:p>
      <w:pPr>
        <w:adjustRightInd w:val="0"/>
        <w:snapToGrid w:val="0"/>
        <w:spacing w:line="360" w:lineRule="auto"/>
        <w:ind w:firstLine="482"/>
        <w:rPr>
          <w:rFonts w:ascii="宋体" w:hAnsi="宋体" w:cs="宋体"/>
          <w:bCs/>
          <w:color w:val="000000"/>
          <w:sz w:val="24"/>
        </w:rPr>
      </w:pPr>
      <w:r>
        <w:rPr>
          <w:rFonts w:hint="eastAsia" w:ascii="宋体" w:hAnsi="宋体" w:cs="宋体"/>
          <w:bCs/>
          <w:color w:val="000000"/>
          <w:sz w:val="24"/>
        </w:rPr>
        <w:t>4、事故原因调查、事故总结，事故信息最终报告市政府、</w:t>
      </w:r>
      <w:r>
        <w:rPr>
          <w:rFonts w:hint="eastAsia" w:ascii="宋体" w:hAnsi="宋体" w:cs="宋体"/>
          <w:bCs/>
          <w:color w:val="000000"/>
          <w:sz w:val="24"/>
          <w:lang w:eastAsia="zh-CN"/>
        </w:rPr>
        <w:t>生态环境局</w:t>
      </w:r>
      <w:r>
        <w:rPr>
          <w:rFonts w:hint="eastAsia" w:ascii="宋体" w:hAnsi="宋体" w:cs="宋体"/>
          <w:bCs/>
          <w:color w:val="000000"/>
          <w:sz w:val="24"/>
        </w:rPr>
        <w:t>和</w:t>
      </w:r>
      <w:r>
        <w:rPr>
          <w:rFonts w:hint="eastAsia" w:ascii="宋体" w:hAnsi="宋体" w:cs="宋体"/>
          <w:bCs/>
          <w:color w:val="000000"/>
          <w:sz w:val="24"/>
          <w:lang w:eastAsia="zh-CN"/>
        </w:rPr>
        <w:t>应急管理局</w:t>
      </w:r>
      <w:r>
        <w:rPr>
          <w:rFonts w:hint="eastAsia" w:ascii="宋体" w:hAnsi="宋体" w:cs="宋体"/>
          <w:bCs/>
          <w:color w:val="000000"/>
          <w:sz w:val="24"/>
        </w:rPr>
        <w:t>；</w:t>
      </w:r>
    </w:p>
    <w:p>
      <w:pPr>
        <w:adjustRightInd w:val="0"/>
        <w:snapToGrid w:val="0"/>
        <w:spacing w:line="360" w:lineRule="auto"/>
        <w:ind w:firstLine="480"/>
        <w:rPr>
          <w:rFonts w:eastAsia="仿宋_GB2312"/>
          <w:bCs/>
          <w:color w:val="000000"/>
          <w:sz w:val="24"/>
        </w:rPr>
      </w:pPr>
      <w:r>
        <w:rPr>
          <w:rFonts w:hint="eastAsia" w:ascii="宋体" w:hAnsi="宋体" w:cs="宋体"/>
          <w:bCs/>
          <w:color w:val="000000"/>
          <w:sz w:val="24"/>
        </w:rPr>
        <w:t>5、针对事故原因，进行生产、储存环节改进，加强事故预防，并对应急预案进行改进完善，提高应急效率。</w:t>
      </w:r>
    </w:p>
    <w:p>
      <w:pPr>
        <w:pStyle w:val="6"/>
      </w:pPr>
      <w:bookmarkStart w:id="380" w:name="_Toc339203009"/>
      <w:bookmarkStart w:id="381" w:name="_Toc43202992"/>
      <w:bookmarkStart w:id="382" w:name="_Toc408503119"/>
      <w:bookmarkStart w:id="383" w:name="_Toc336166320"/>
      <w:r>
        <w:rPr>
          <w:rFonts w:hint="eastAsia"/>
          <w:lang w:val="en-US" w:eastAsia="zh-CN"/>
        </w:rPr>
        <w:t>5</w:t>
      </w:r>
      <w:r>
        <w:rPr>
          <w:rFonts w:hint="eastAsia"/>
        </w:rPr>
        <w:t>.2.5 二级突发环境污染事件应急响应</w:t>
      </w:r>
      <w:bookmarkEnd w:id="380"/>
      <w:bookmarkEnd w:id="381"/>
      <w:bookmarkEnd w:id="382"/>
      <w:bookmarkEnd w:id="383"/>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二级环境污染事件是对企业生产和人员安全造成较大危害和威胁，造成或者可能造成人员伤亡、财产损失和环境破坏，事故控制及其对生产、社会、环境产生的影响依靠车间内自身力量不能控制，需要上级或相关方面救援力量进行应急处置的环境污染事件。</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当发生</w:t>
      </w:r>
      <w:r>
        <w:rPr>
          <w:rFonts w:hint="eastAsia" w:ascii="宋体" w:hAnsi="宋体" w:cs="宋体"/>
          <w:color w:val="000000"/>
          <w:sz w:val="24"/>
        </w:rPr>
        <w:t>一般环境污染事件</w:t>
      </w:r>
      <w:r>
        <w:rPr>
          <w:rFonts w:hint="eastAsia" w:ascii="宋体" w:hAnsi="宋体" w:cs="宋体"/>
          <w:bCs/>
          <w:color w:val="000000"/>
          <w:sz w:val="24"/>
        </w:rPr>
        <w:t>时，原则上由企业内部组织应急救援力量处置，应急指挥部视</w:t>
      </w:r>
      <w:r>
        <w:rPr>
          <w:rFonts w:hint="eastAsia" w:ascii="宋体" w:hAnsi="宋体" w:cs="宋体"/>
          <w:color w:val="000000"/>
          <w:sz w:val="24"/>
        </w:rPr>
        <w:t>事故态势变化</w:t>
      </w:r>
      <w:r>
        <w:rPr>
          <w:rFonts w:hint="eastAsia" w:ascii="宋体" w:hAnsi="宋体" w:cs="宋体"/>
          <w:bCs/>
          <w:color w:val="000000"/>
          <w:sz w:val="24"/>
        </w:rPr>
        <w:t>请求市环保、消防、公安和医疗等相关力量协助，协助进行应急监测以及事故处置。具体应急响应措施如下：</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1、启动二级应急响应程序，控制并消除事故危险源，同时进行人员疏散与转移；</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2、联系</w:t>
      </w:r>
      <w:r>
        <w:rPr>
          <w:rFonts w:hint="eastAsia" w:ascii="宋体" w:hAnsi="宋体" w:cs="宋体"/>
          <w:bCs/>
          <w:color w:val="000000"/>
          <w:sz w:val="24"/>
          <w:lang w:eastAsia="zh-CN"/>
        </w:rPr>
        <w:t>生态环境局</w:t>
      </w:r>
      <w:r>
        <w:rPr>
          <w:rFonts w:hint="eastAsia" w:ascii="宋体" w:hAnsi="宋体" w:cs="宋体"/>
          <w:bCs/>
          <w:color w:val="000000"/>
          <w:sz w:val="24"/>
        </w:rPr>
        <w:t>，视</w:t>
      </w:r>
      <w:r>
        <w:rPr>
          <w:rFonts w:hint="eastAsia" w:ascii="宋体" w:hAnsi="宋体" w:cs="宋体"/>
          <w:color w:val="000000"/>
          <w:sz w:val="24"/>
        </w:rPr>
        <w:t>事故态势变化</w:t>
      </w:r>
      <w:r>
        <w:rPr>
          <w:rFonts w:hint="eastAsia" w:ascii="宋体" w:hAnsi="宋体" w:cs="宋体"/>
          <w:bCs/>
          <w:color w:val="000000"/>
          <w:sz w:val="24"/>
        </w:rPr>
        <w:t>联系消防、公安和医疗等相关力量协助；</w:t>
      </w:r>
    </w:p>
    <w:p>
      <w:pPr>
        <w:adjustRightInd w:val="0"/>
        <w:snapToGrid w:val="0"/>
        <w:spacing w:line="360" w:lineRule="auto"/>
        <w:ind w:firstLine="436" w:firstLineChars="182"/>
        <w:rPr>
          <w:rFonts w:ascii="宋体" w:hAnsi="宋体" w:cs="宋体"/>
          <w:bCs/>
          <w:color w:val="000000"/>
          <w:sz w:val="24"/>
        </w:rPr>
      </w:pPr>
      <w:r>
        <w:rPr>
          <w:rFonts w:hint="eastAsia" w:ascii="宋体" w:hAnsi="宋体" w:cs="宋体"/>
          <w:bCs/>
          <w:color w:val="000000"/>
          <w:sz w:val="24"/>
        </w:rPr>
        <w:t>3、事故后现场恢复和清理；</w:t>
      </w:r>
    </w:p>
    <w:p>
      <w:pPr>
        <w:adjustRightInd w:val="0"/>
        <w:snapToGrid w:val="0"/>
        <w:spacing w:line="360" w:lineRule="auto"/>
        <w:ind w:firstLine="436" w:firstLineChars="182"/>
        <w:rPr>
          <w:rFonts w:ascii="宋体" w:hAnsi="宋体" w:cs="宋体"/>
          <w:bCs/>
          <w:color w:val="000000"/>
          <w:sz w:val="24"/>
        </w:rPr>
      </w:pPr>
      <w:r>
        <w:rPr>
          <w:rFonts w:hint="eastAsia" w:ascii="宋体" w:hAnsi="宋体" w:cs="宋体"/>
          <w:bCs/>
          <w:color w:val="000000"/>
          <w:sz w:val="24"/>
        </w:rPr>
        <w:t>4、事故原因调查、事故总结、事故信息最终报告</w:t>
      </w:r>
      <w:r>
        <w:rPr>
          <w:rFonts w:hint="eastAsia" w:ascii="宋体" w:hAnsi="宋体" w:cs="宋体"/>
          <w:bCs/>
          <w:color w:val="000000"/>
          <w:sz w:val="24"/>
          <w:lang w:eastAsia="zh-CN"/>
        </w:rPr>
        <w:t>生态环境局</w:t>
      </w:r>
      <w:r>
        <w:rPr>
          <w:rFonts w:hint="eastAsia" w:ascii="宋体" w:hAnsi="宋体" w:cs="宋体"/>
          <w:bCs/>
          <w:color w:val="000000"/>
          <w:sz w:val="24"/>
        </w:rPr>
        <w:t>、</w:t>
      </w:r>
      <w:r>
        <w:rPr>
          <w:rFonts w:hint="eastAsia" w:ascii="宋体" w:hAnsi="宋体" w:cs="宋体"/>
          <w:bCs/>
          <w:color w:val="000000"/>
          <w:sz w:val="24"/>
          <w:lang w:eastAsia="zh-CN"/>
        </w:rPr>
        <w:t>应急管理局</w:t>
      </w:r>
      <w:r>
        <w:rPr>
          <w:rFonts w:hint="eastAsia" w:ascii="宋体" w:hAnsi="宋体" w:cs="宋体"/>
          <w:bCs/>
          <w:color w:val="000000"/>
          <w:sz w:val="24"/>
        </w:rPr>
        <w:t>；</w:t>
      </w:r>
    </w:p>
    <w:p>
      <w:pPr>
        <w:adjustRightInd w:val="0"/>
        <w:snapToGrid w:val="0"/>
        <w:spacing w:line="360" w:lineRule="auto"/>
        <w:ind w:firstLine="480" w:firstLineChars="200"/>
        <w:rPr>
          <w:rFonts w:hint="eastAsia" w:ascii="宋体" w:hAnsi="宋体" w:eastAsia="宋体" w:cs="宋体"/>
          <w:bCs/>
          <w:color w:val="000000"/>
          <w:sz w:val="24"/>
          <w:lang w:eastAsia="zh-CN"/>
        </w:rPr>
        <w:sectPr>
          <w:footerReference r:id="rId12" w:type="default"/>
          <w:pgSz w:w="11906" w:h="16838"/>
          <w:pgMar w:top="1418" w:right="1418" w:bottom="1418" w:left="1418" w:header="851" w:footer="992" w:gutter="0"/>
          <w:pgNumType w:start="1"/>
          <w:cols w:space="720" w:num="1"/>
          <w:docGrid w:type="lines" w:linePitch="312" w:charSpace="0"/>
        </w:sectPr>
      </w:pPr>
      <w:r>
        <w:rPr>
          <w:rFonts w:hint="eastAsia" w:ascii="宋体" w:hAnsi="宋体" w:cs="宋体"/>
          <w:bCs/>
          <w:color w:val="000000"/>
          <w:sz w:val="24"/>
        </w:rPr>
        <w:t>5、针对事故原因，进行生产、储存环节改进，加强事故预防，并对应急预案进行改进完善，提高应急效</w:t>
      </w:r>
      <w:r>
        <w:rPr>
          <w:rFonts w:hint="eastAsia" w:ascii="宋体" w:hAnsi="宋体" w:cs="宋体"/>
          <w:bCs/>
          <w:color w:val="000000"/>
          <w:sz w:val="24"/>
          <w:lang w:eastAsia="zh-CN"/>
        </w:rPr>
        <w:t>。</w:t>
      </w:r>
    </w:p>
    <w:p>
      <w:pPr>
        <w:pStyle w:val="6"/>
      </w:pPr>
      <w:bookmarkStart w:id="384" w:name="_Toc43202993"/>
      <w:bookmarkStart w:id="385" w:name="_Toc336166321"/>
      <w:bookmarkStart w:id="386" w:name="_Toc408503120"/>
      <w:bookmarkStart w:id="387" w:name="_Toc339203010"/>
      <w:r>
        <w:rPr>
          <w:rFonts w:hint="eastAsia"/>
          <w:lang w:val="en-US" w:eastAsia="zh-CN"/>
        </w:rPr>
        <w:t>5</w:t>
      </w:r>
      <w:r>
        <w:rPr>
          <w:rFonts w:hint="eastAsia"/>
        </w:rPr>
        <w:t>.2.6 三级突发环境污染事件应急响应</w:t>
      </w:r>
      <w:bookmarkEnd w:id="384"/>
      <w:bookmarkEnd w:id="385"/>
      <w:bookmarkEnd w:id="386"/>
      <w:bookmarkEnd w:id="387"/>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color w:val="000000"/>
          <w:kern w:val="0"/>
          <w:sz w:val="24"/>
        </w:rPr>
        <w:t>厂区</w:t>
      </w:r>
      <w:r>
        <w:rPr>
          <w:rFonts w:hint="eastAsia" w:ascii="宋体" w:hAnsi="宋体" w:cs="宋体"/>
          <w:color w:val="000000"/>
          <w:sz w:val="24"/>
        </w:rPr>
        <w:t>内生产车间或车间范围的发生的环境污染事件由于对周边环境造成的危害较小，是</w:t>
      </w:r>
      <w:r>
        <w:rPr>
          <w:rFonts w:hint="eastAsia" w:ascii="宋体" w:hAnsi="宋体" w:cs="宋体"/>
          <w:bCs/>
          <w:color w:val="000000"/>
          <w:sz w:val="24"/>
        </w:rPr>
        <w:t>轻微</w:t>
      </w:r>
      <w:r>
        <w:rPr>
          <w:rFonts w:hint="eastAsia" w:ascii="宋体" w:hAnsi="宋体" w:cs="宋体"/>
          <w:color w:val="000000"/>
          <w:sz w:val="24"/>
        </w:rPr>
        <w:t>环境污染事件。事故发生后，启动三</w:t>
      </w:r>
      <w:r>
        <w:rPr>
          <w:rFonts w:hint="eastAsia" w:ascii="宋体" w:hAnsi="宋体" w:cs="宋体"/>
          <w:bCs/>
          <w:color w:val="000000"/>
          <w:sz w:val="24"/>
        </w:rPr>
        <w:t>级</w:t>
      </w:r>
      <w:r>
        <w:rPr>
          <w:rFonts w:hint="eastAsia" w:ascii="宋体" w:hAnsi="宋体" w:cs="宋体"/>
          <w:color w:val="000000"/>
          <w:sz w:val="24"/>
        </w:rPr>
        <w:t>应急预案，由车间或现场操作人员组织救援力量展开救援。</w:t>
      </w:r>
      <w:r>
        <w:rPr>
          <w:rFonts w:hint="eastAsia" w:ascii="宋体" w:hAnsi="宋体" w:cs="宋体"/>
          <w:bCs/>
          <w:color w:val="000000"/>
          <w:sz w:val="24"/>
        </w:rPr>
        <w:t>具体应急响应措施如下：</w:t>
      </w:r>
    </w:p>
    <w:p>
      <w:pPr>
        <w:adjustRightInd w:val="0"/>
        <w:snapToGrid w:val="0"/>
        <w:spacing w:line="360" w:lineRule="auto"/>
        <w:ind w:firstLine="480"/>
        <w:rPr>
          <w:rFonts w:ascii="宋体" w:hAnsi="宋体" w:cs="宋体"/>
          <w:bCs/>
          <w:color w:val="000000"/>
          <w:sz w:val="24"/>
        </w:rPr>
      </w:pPr>
      <w:r>
        <w:rPr>
          <w:rFonts w:hint="eastAsia" w:ascii="宋体" w:hAnsi="宋体" w:cs="宋体"/>
          <w:bCs/>
          <w:color w:val="000000"/>
          <w:sz w:val="24"/>
        </w:rPr>
        <w:t>1、启动三级应急响应程序，开展应急救援；</w:t>
      </w:r>
    </w:p>
    <w:p>
      <w:pPr>
        <w:adjustRightInd w:val="0"/>
        <w:snapToGrid w:val="0"/>
        <w:spacing w:line="360" w:lineRule="auto"/>
        <w:ind w:firstLine="480"/>
        <w:rPr>
          <w:rFonts w:ascii="宋体" w:hAnsi="宋体" w:cs="宋体"/>
          <w:bCs/>
          <w:color w:val="000000"/>
          <w:sz w:val="24"/>
        </w:rPr>
      </w:pPr>
      <w:r>
        <w:rPr>
          <w:rFonts w:hint="eastAsia" w:ascii="宋体" w:hAnsi="宋体" w:cs="宋体"/>
          <w:bCs/>
          <w:color w:val="000000"/>
          <w:sz w:val="24"/>
        </w:rPr>
        <w:t>2、事故后现场恢复和清理；</w:t>
      </w:r>
    </w:p>
    <w:p>
      <w:pPr>
        <w:adjustRightInd w:val="0"/>
        <w:snapToGrid w:val="0"/>
        <w:spacing w:line="360" w:lineRule="auto"/>
        <w:ind w:firstLine="480"/>
        <w:rPr>
          <w:rFonts w:ascii="宋体" w:hAnsi="宋体" w:cs="宋体"/>
          <w:bCs/>
          <w:color w:val="000000"/>
          <w:sz w:val="24"/>
        </w:rPr>
      </w:pPr>
      <w:r>
        <w:rPr>
          <w:rFonts w:hint="eastAsia" w:ascii="宋体" w:hAnsi="宋体" w:cs="宋体"/>
          <w:bCs/>
          <w:color w:val="000000"/>
          <w:sz w:val="24"/>
        </w:rPr>
        <w:t>3、事故原因调查、事故总结，事故处理后报告应急指挥部；</w:t>
      </w:r>
    </w:p>
    <w:p>
      <w:pPr>
        <w:adjustRightInd w:val="0"/>
        <w:snapToGrid w:val="0"/>
        <w:spacing w:line="360" w:lineRule="auto"/>
        <w:ind w:firstLine="480"/>
        <w:rPr>
          <w:rFonts w:ascii="宋体" w:hAnsi="宋体" w:cs="宋体"/>
          <w:bCs/>
          <w:color w:val="000000"/>
          <w:sz w:val="24"/>
        </w:rPr>
      </w:pPr>
      <w:r>
        <w:rPr>
          <w:rFonts w:hint="eastAsia" w:ascii="宋体" w:hAnsi="宋体" w:cs="宋体"/>
          <w:bCs/>
          <w:color w:val="000000"/>
          <w:sz w:val="24"/>
        </w:rPr>
        <w:t>4、针对事故原因，进行生产、储存环节改进，加强事故预防，并对应急预案进行改进完善，提高应急效率。</w:t>
      </w:r>
    </w:p>
    <w:p>
      <w:pPr>
        <w:pStyle w:val="5"/>
      </w:pPr>
      <w:bookmarkStart w:id="388" w:name="_Toc30420"/>
      <w:bookmarkStart w:id="389" w:name="_Toc341884142"/>
      <w:bookmarkStart w:id="390" w:name="_Toc43202994"/>
      <w:bookmarkStart w:id="391" w:name="_Toc1805_WPSOffice_Level2"/>
      <w:bookmarkStart w:id="392" w:name="_Toc46857524"/>
      <w:bookmarkStart w:id="393" w:name="_Toc408503121"/>
      <w:bookmarkStart w:id="394" w:name="_Toc342216101"/>
      <w:bookmarkStart w:id="395" w:name="_Toc7834_WPSOffice_Level2"/>
      <w:bookmarkStart w:id="396" w:name="_Toc336166322"/>
      <w:bookmarkStart w:id="397" w:name="_Toc339203011"/>
      <w:r>
        <w:rPr>
          <w:rFonts w:hint="eastAsia"/>
          <w:lang w:val="en-US" w:eastAsia="zh-CN"/>
        </w:rPr>
        <w:t>5</w:t>
      </w:r>
      <w:r>
        <w:rPr>
          <w:rFonts w:hint="eastAsia"/>
        </w:rPr>
        <w:t>.3 启动条件</w:t>
      </w:r>
      <w:bookmarkEnd w:id="388"/>
      <w:bookmarkEnd w:id="389"/>
      <w:bookmarkEnd w:id="390"/>
      <w:bookmarkEnd w:id="391"/>
      <w:bookmarkEnd w:id="392"/>
      <w:bookmarkEnd w:id="393"/>
      <w:bookmarkEnd w:id="394"/>
      <w:bookmarkEnd w:id="395"/>
    </w:p>
    <w:p>
      <w:pPr>
        <w:adjustRightInd w:val="0"/>
        <w:snapToGrid w:val="0"/>
        <w:spacing w:line="360" w:lineRule="auto"/>
        <w:ind w:firstLine="615"/>
        <w:rPr>
          <w:rFonts w:ascii="宋体" w:hAnsi="宋体" w:cs="宋体"/>
          <w:bCs/>
          <w:color w:val="000000"/>
          <w:sz w:val="24"/>
        </w:rPr>
      </w:pPr>
      <w:r>
        <w:rPr>
          <w:rFonts w:hint="eastAsia" w:ascii="宋体" w:hAnsi="宋体" w:cs="宋体"/>
          <w:bCs/>
          <w:color w:val="000000"/>
          <w:sz w:val="24"/>
        </w:rPr>
        <w:t>对于不同级别的环境事件，企业进行不同应急救援响应，制定不同的应急措施，并采取不同级别的汇报工作。</w:t>
      </w:r>
    </w:p>
    <w:p>
      <w:pPr>
        <w:adjustRightInd w:val="0"/>
        <w:snapToGrid w:val="0"/>
        <w:spacing w:line="360" w:lineRule="auto"/>
        <w:ind w:firstLine="470" w:firstLineChars="196"/>
        <w:rPr>
          <w:rFonts w:ascii="宋体" w:hAnsi="宋体" w:cs="宋体"/>
          <w:bCs/>
          <w:color w:val="000000"/>
          <w:sz w:val="24"/>
        </w:rPr>
      </w:pPr>
      <w:r>
        <w:rPr>
          <w:rFonts w:hint="eastAsia" w:ascii="宋体" w:hAnsi="宋体" w:cs="宋体"/>
          <w:bCs/>
          <w:color w:val="000000"/>
          <w:sz w:val="24"/>
        </w:rPr>
        <w:t>突发环境事件应急等级判定条件见表4.3-1。</w:t>
      </w:r>
    </w:p>
    <w:p>
      <w:pPr>
        <w:jc w:val="center"/>
        <w:rPr>
          <w:rFonts w:ascii="宋体" w:hAnsi="宋体" w:cs="宋体"/>
          <w:b/>
          <w:bCs/>
          <w:sz w:val="24"/>
        </w:rPr>
      </w:pPr>
      <w:r>
        <w:rPr>
          <w:rFonts w:hint="eastAsia" w:ascii="宋体" w:hAnsi="宋体" w:cs="宋体"/>
          <w:b/>
          <w:bCs/>
          <w:sz w:val="24"/>
        </w:rPr>
        <w:t>表</w:t>
      </w:r>
      <w:r>
        <w:rPr>
          <w:rFonts w:hint="eastAsia" w:ascii="宋体" w:hAnsi="宋体" w:cs="宋体"/>
          <w:b/>
          <w:bCs/>
          <w:sz w:val="24"/>
          <w:lang w:val="en-US" w:eastAsia="zh-CN"/>
        </w:rPr>
        <w:t>5</w:t>
      </w:r>
      <w:r>
        <w:rPr>
          <w:rFonts w:hint="eastAsia" w:ascii="宋体" w:hAnsi="宋体" w:cs="宋体"/>
          <w:b/>
          <w:bCs/>
          <w:sz w:val="24"/>
        </w:rPr>
        <w:t>.3-1 突发环境事件应急等级判定条件</w:t>
      </w:r>
    </w:p>
    <w:tbl>
      <w:tblPr>
        <w:tblStyle w:val="47"/>
        <w:tblW w:w="9286"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01"/>
        <w:gridCol w:w="778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501"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sz w:val="18"/>
                <w:szCs w:val="18"/>
              </w:rPr>
            </w:pPr>
            <w:r>
              <w:rPr>
                <w:rFonts w:hint="eastAsia" w:ascii="宋体" w:hAnsi="宋体" w:cs="宋体"/>
                <w:bCs/>
                <w:color w:val="000000"/>
                <w:sz w:val="18"/>
                <w:szCs w:val="18"/>
              </w:rPr>
              <w:t>应急等级</w:t>
            </w:r>
          </w:p>
        </w:tc>
        <w:tc>
          <w:tcPr>
            <w:tcW w:w="7785"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sz w:val="18"/>
                <w:szCs w:val="18"/>
              </w:rPr>
            </w:pPr>
            <w:r>
              <w:rPr>
                <w:rFonts w:hint="eastAsia" w:ascii="宋体" w:hAnsi="宋体" w:cs="宋体"/>
                <w:bCs/>
                <w:color w:val="000000"/>
                <w:sz w:val="18"/>
                <w:szCs w:val="18"/>
              </w:rPr>
              <w:t>判定条件</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501"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sz w:val="18"/>
                <w:szCs w:val="18"/>
              </w:rPr>
            </w:pPr>
            <w:r>
              <w:rPr>
                <w:rFonts w:hint="eastAsia" w:ascii="宋体" w:hAnsi="宋体" w:cs="宋体"/>
                <w:bCs/>
                <w:color w:val="000000"/>
                <w:sz w:val="18"/>
                <w:szCs w:val="18"/>
              </w:rPr>
              <w:t>一级</w:t>
            </w:r>
          </w:p>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sz w:val="18"/>
                <w:szCs w:val="18"/>
              </w:rPr>
            </w:pPr>
          </w:p>
        </w:tc>
        <w:tc>
          <w:tcPr>
            <w:tcW w:w="7785" w:type="dxa"/>
            <w:tcBorders>
              <w:tl2br w:val="nil"/>
              <w:tr2bl w:val="nil"/>
            </w:tcBorders>
            <w:vAlign w:val="center"/>
          </w:tcPr>
          <w:p>
            <w:pPr>
              <w:keepNext w:val="0"/>
              <w:keepLines w:val="0"/>
              <w:numPr>
                <w:ilvl w:val="0"/>
                <w:numId w:val="8"/>
              </w:numPr>
              <w:suppressLineNumbers w:val="0"/>
              <w:adjustRightInd w:val="0"/>
              <w:snapToGrid w:val="0"/>
              <w:spacing w:before="0" w:beforeAutospacing="0" w:after="0" w:afterAutospacing="0" w:line="360" w:lineRule="auto"/>
              <w:ind w:right="0"/>
              <w:rPr>
                <w:rFonts w:ascii="宋体" w:hAnsi="宋体" w:cs="宋体"/>
                <w:bCs/>
                <w:color w:val="000000"/>
                <w:sz w:val="18"/>
                <w:szCs w:val="18"/>
              </w:rPr>
            </w:pPr>
            <w:r>
              <w:rPr>
                <w:rFonts w:hint="eastAsia" w:ascii="宋体" w:hAnsi="宋体" w:cs="宋体"/>
                <w:color w:val="000000"/>
                <w:sz w:val="18"/>
                <w:szCs w:val="18"/>
              </w:rPr>
              <w:t>大面积起火且火势已蔓延扩散，需要厂外救援人员；因火灾造成受伤人员3人以上，需外送医院治疗的；因火灾发生人员死亡的</w:t>
            </w:r>
          </w:p>
          <w:p>
            <w:pPr>
              <w:keepNext w:val="0"/>
              <w:keepLines w:val="0"/>
              <w:numPr>
                <w:ilvl w:val="0"/>
                <w:numId w:val="8"/>
              </w:numPr>
              <w:suppressLineNumbers w:val="0"/>
              <w:adjustRightInd w:val="0"/>
              <w:snapToGrid w:val="0"/>
              <w:spacing w:before="0" w:beforeAutospacing="0" w:after="0" w:afterAutospacing="0" w:line="360" w:lineRule="auto"/>
              <w:ind w:right="0"/>
              <w:rPr>
                <w:rFonts w:ascii="宋体" w:hAnsi="宋体" w:cs="宋体"/>
                <w:bCs/>
                <w:color w:val="000000"/>
                <w:sz w:val="18"/>
                <w:szCs w:val="18"/>
              </w:rPr>
            </w:pPr>
            <w:r>
              <w:rPr>
                <w:rFonts w:hint="eastAsia" w:ascii="宋体" w:hAnsi="宋体" w:cs="宋体"/>
                <w:bCs/>
                <w:color w:val="000000"/>
                <w:sz w:val="18"/>
                <w:szCs w:val="18"/>
              </w:rPr>
              <w:t>危险化学品大量泄漏，无法在企业内控制，生产中断，并有扩大倾向</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01"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sz w:val="18"/>
                <w:szCs w:val="18"/>
              </w:rPr>
            </w:pPr>
            <w:r>
              <w:rPr>
                <w:rFonts w:hint="eastAsia" w:ascii="宋体" w:hAnsi="宋体" w:cs="宋体"/>
                <w:bCs/>
                <w:color w:val="000000"/>
                <w:sz w:val="18"/>
                <w:szCs w:val="18"/>
              </w:rPr>
              <w:t>二级</w:t>
            </w:r>
          </w:p>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sz w:val="18"/>
                <w:szCs w:val="18"/>
              </w:rPr>
            </w:pPr>
          </w:p>
        </w:tc>
        <w:tc>
          <w:tcPr>
            <w:tcW w:w="7785" w:type="dxa"/>
            <w:tcBorders>
              <w:tl2br w:val="nil"/>
              <w:tr2bl w:val="nil"/>
            </w:tcBorders>
            <w:vAlign w:val="center"/>
          </w:tcPr>
          <w:p>
            <w:pPr>
              <w:keepNext w:val="0"/>
              <w:keepLines w:val="0"/>
              <w:numPr>
                <w:ilvl w:val="0"/>
                <w:numId w:val="8"/>
              </w:numPr>
              <w:suppressLineNumbers w:val="0"/>
              <w:adjustRightInd w:val="0"/>
              <w:snapToGrid w:val="0"/>
              <w:spacing w:before="0" w:beforeAutospacing="0" w:after="0" w:afterAutospacing="0" w:line="360" w:lineRule="auto"/>
              <w:ind w:right="0"/>
              <w:rPr>
                <w:rFonts w:ascii="宋体" w:hAnsi="宋体" w:cs="宋体"/>
                <w:bCs/>
                <w:color w:val="000000"/>
                <w:sz w:val="18"/>
                <w:szCs w:val="18"/>
              </w:rPr>
            </w:pPr>
            <w:r>
              <w:rPr>
                <w:rFonts w:hint="eastAsia" w:ascii="宋体" w:hAnsi="宋体" w:cs="宋体"/>
                <w:color w:val="000000"/>
                <w:sz w:val="18"/>
                <w:szCs w:val="18"/>
              </w:rPr>
              <w:t>单一车间或设备起火，且所产生的烟和热在员工穿防护服的情况下，冒烟起火且初判可以在短时间（＜1h）内控制</w:t>
            </w:r>
          </w:p>
          <w:p>
            <w:pPr>
              <w:keepNext w:val="0"/>
              <w:keepLines w:val="0"/>
              <w:numPr>
                <w:ilvl w:val="0"/>
                <w:numId w:val="8"/>
              </w:numPr>
              <w:suppressLineNumbers w:val="0"/>
              <w:adjustRightInd w:val="0"/>
              <w:snapToGrid w:val="0"/>
              <w:spacing w:before="0" w:beforeAutospacing="0" w:after="0" w:afterAutospacing="0" w:line="360" w:lineRule="auto"/>
              <w:ind w:right="0"/>
              <w:rPr>
                <w:rFonts w:ascii="宋体" w:hAnsi="宋体" w:cs="宋体"/>
                <w:bCs/>
                <w:color w:val="000000"/>
                <w:sz w:val="18"/>
                <w:szCs w:val="18"/>
              </w:rPr>
            </w:pPr>
            <w:r>
              <w:rPr>
                <w:rFonts w:hint="eastAsia" w:ascii="宋体" w:hAnsi="宋体" w:cs="宋体"/>
                <w:bCs/>
                <w:color w:val="000000"/>
                <w:sz w:val="18"/>
                <w:szCs w:val="18"/>
              </w:rPr>
              <w:t>危险化学品大量泄漏，造成生产中断，但1h内可有效控制泄漏源</w:t>
            </w:r>
          </w:p>
          <w:p>
            <w:pPr>
              <w:keepNext w:val="0"/>
              <w:keepLines w:val="0"/>
              <w:numPr>
                <w:ilvl w:val="0"/>
                <w:numId w:val="8"/>
              </w:numPr>
              <w:suppressLineNumbers w:val="0"/>
              <w:adjustRightInd w:val="0"/>
              <w:snapToGrid w:val="0"/>
              <w:spacing w:before="0" w:beforeAutospacing="0" w:after="0" w:afterAutospacing="0" w:line="360" w:lineRule="auto"/>
              <w:ind w:right="0"/>
              <w:rPr>
                <w:rFonts w:ascii="宋体" w:hAnsi="宋体" w:cs="宋体"/>
                <w:bCs/>
                <w:color w:val="000000"/>
                <w:sz w:val="18"/>
                <w:szCs w:val="18"/>
              </w:rPr>
            </w:pPr>
            <w:r>
              <w:rPr>
                <w:rFonts w:hint="eastAsia" w:ascii="宋体" w:hAnsi="宋体" w:cs="宋体"/>
                <w:bCs/>
                <w:color w:val="000000"/>
                <w:sz w:val="18"/>
                <w:szCs w:val="18"/>
              </w:rPr>
              <w:t>废水或废气治理设施非正常运行，无法在企业内控制，且造成大量废水或废气超标排放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1501"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sz w:val="18"/>
                <w:szCs w:val="18"/>
              </w:rPr>
            </w:pPr>
            <w:r>
              <w:rPr>
                <w:rFonts w:hint="eastAsia" w:ascii="宋体" w:hAnsi="宋体" w:cs="宋体"/>
                <w:bCs/>
                <w:color w:val="000000"/>
                <w:sz w:val="18"/>
                <w:szCs w:val="18"/>
              </w:rPr>
              <w:t>三级</w:t>
            </w:r>
          </w:p>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sz w:val="18"/>
                <w:szCs w:val="18"/>
              </w:rPr>
            </w:pPr>
          </w:p>
        </w:tc>
        <w:tc>
          <w:tcPr>
            <w:tcW w:w="7785" w:type="dxa"/>
            <w:tcBorders>
              <w:tl2br w:val="nil"/>
              <w:tr2bl w:val="nil"/>
            </w:tcBorders>
            <w:vAlign w:val="center"/>
          </w:tcPr>
          <w:p>
            <w:pPr>
              <w:keepNext w:val="0"/>
              <w:keepLines w:val="0"/>
              <w:numPr>
                <w:ilvl w:val="0"/>
                <w:numId w:val="8"/>
              </w:numPr>
              <w:suppressLineNumbers w:val="0"/>
              <w:adjustRightInd w:val="0"/>
              <w:snapToGrid w:val="0"/>
              <w:spacing w:before="0" w:beforeAutospacing="0" w:after="0" w:afterAutospacing="0" w:line="360" w:lineRule="auto"/>
              <w:ind w:right="0"/>
              <w:rPr>
                <w:rFonts w:ascii="宋体" w:hAnsi="宋体" w:cs="宋体"/>
                <w:bCs/>
                <w:color w:val="000000"/>
                <w:sz w:val="18"/>
                <w:szCs w:val="18"/>
              </w:rPr>
            </w:pPr>
            <w:r>
              <w:rPr>
                <w:rFonts w:hint="eastAsia" w:ascii="宋体" w:hAnsi="宋体" w:cs="宋体"/>
                <w:bCs/>
                <w:color w:val="000000"/>
                <w:sz w:val="18"/>
                <w:szCs w:val="18"/>
              </w:rPr>
              <w:t>单一车间或设备冒烟起火，且产生的烟和热，应急人员在未穿防护服情况下，可在短时间（&lt; 5min）内控制</w:t>
            </w:r>
          </w:p>
          <w:p>
            <w:pPr>
              <w:keepNext w:val="0"/>
              <w:keepLines w:val="0"/>
              <w:numPr>
                <w:ilvl w:val="0"/>
                <w:numId w:val="8"/>
              </w:numPr>
              <w:suppressLineNumbers w:val="0"/>
              <w:adjustRightInd w:val="0"/>
              <w:snapToGrid w:val="0"/>
              <w:spacing w:before="0" w:beforeAutospacing="0" w:after="0" w:afterAutospacing="0" w:line="360" w:lineRule="auto"/>
              <w:ind w:right="0"/>
              <w:rPr>
                <w:rFonts w:ascii="宋体" w:hAnsi="宋体" w:cs="宋体"/>
                <w:bCs/>
                <w:color w:val="000000"/>
                <w:sz w:val="18"/>
                <w:szCs w:val="18"/>
              </w:rPr>
            </w:pPr>
            <w:r>
              <w:rPr>
                <w:rFonts w:hint="eastAsia" w:ascii="宋体" w:hAnsi="宋体" w:cs="宋体"/>
                <w:bCs/>
                <w:color w:val="000000"/>
                <w:sz w:val="18"/>
                <w:szCs w:val="18"/>
              </w:rPr>
              <w:t>危险化学品少量泄漏或翻洒，未造成生产中断及人员受伤</w:t>
            </w:r>
          </w:p>
          <w:p>
            <w:pPr>
              <w:keepNext w:val="0"/>
              <w:keepLines w:val="0"/>
              <w:numPr>
                <w:ilvl w:val="0"/>
                <w:numId w:val="8"/>
              </w:numPr>
              <w:suppressLineNumbers w:val="0"/>
              <w:adjustRightInd w:val="0"/>
              <w:snapToGrid w:val="0"/>
              <w:spacing w:before="0" w:beforeAutospacing="0" w:after="0" w:afterAutospacing="0" w:line="360" w:lineRule="auto"/>
              <w:ind w:right="0"/>
              <w:rPr>
                <w:rFonts w:ascii="宋体" w:hAnsi="宋体" w:cs="宋体"/>
                <w:bCs/>
                <w:color w:val="000000"/>
                <w:sz w:val="18"/>
                <w:szCs w:val="18"/>
              </w:rPr>
            </w:pPr>
            <w:r>
              <w:rPr>
                <w:rFonts w:hint="eastAsia" w:ascii="宋体" w:hAnsi="宋体" w:cs="宋体"/>
                <w:bCs/>
                <w:color w:val="000000"/>
                <w:sz w:val="18"/>
                <w:szCs w:val="18"/>
              </w:rPr>
              <w:t>废水治理设施非正常运行，但启用事故应急池，12h内能恢复正常运行；废气治理设施非正常运行，12h内能恢复正常运行，不影响厂区外企业及敏感点</w:t>
            </w:r>
          </w:p>
        </w:tc>
      </w:tr>
    </w:tbl>
    <w:p>
      <w:pPr>
        <w:pStyle w:val="5"/>
      </w:pPr>
      <w:bookmarkStart w:id="398" w:name="_Toc408503122"/>
      <w:bookmarkStart w:id="399" w:name="_Toc43202995"/>
      <w:bookmarkStart w:id="400" w:name="_Toc46857525"/>
      <w:bookmarkStart w:id="401" w:name="_Toc400_WPSOffice_Level2"/>
      <w:bookmarkStart w:id="402" w:name="_Toc8349"/>
      <w:bookmarkStart w:id="403" w:name="_Toc28714_WPSOffice_Level2"/>
      <w:bookmarkStart w:id="404" w:name="_Toc341884143"/>
      <w:bookmarkStart w:id="405" w:name="_Toc342328514"/>
      <w:bookmarkStart w:id="406" w:name="_Toc342165902"/>
      <w:bookmarkStart w:id="407" w:name="_Toc342216102"/>
      <w:r>
        <w:rPr>
          <w:rFonts w:hint="eastAsia"/>
          <w:lang w:val="en-US" w:eastAsia="zh-CN"/>
        </w:rPr>
        <w:t>5</w:t>
      </w:r>
      <w:r>
        <w:rPr>
          <w:rFonts w:hint="eastAsia"/>
        </w:rPr>
        <w:t>.4信息报告与通报</w:t>
      </w:r>
      <w:bookmarkEnd w:id="398"/>
      <w:bookmarkEnd w:id="399"/>
      <w:bookmarkEnd w:id="400"/>
      <w:bookmarkEnd w:id="401"/>
      <w:bookmarkEnd w:id="402"/>
      <w:bookmarkEnd w:id="403"/>
    </w:p>
    <w:p>
      <w:pPr>
        <w:adjustRightInd w:val="0"/>
        <w:snapToGrid w:val="0"/>
        <w:spacing w:line="360" w:lineRule="auto"/>
        <w:ind w:firstLine="602" w:firstLineChars="250"/>
        <w:rPr>
          <w:rFonts w:ascii="宋体" w:hAnsi="宋体" w:cs="宋体"/>
          <w:b/>
          <w:bCs/>
          <w:color w:val="000000"/>
          <w:sz w:val="24"/>
        </w:rPr>
      </w:pPr>
      <w:r>
        <w:rPr>
          <w:rFonts w:hint="eastAsia" w:ascii="宋体" w:hAnsi="宋体" w:cs="宋体"/>
          <w:b/>
          <w:bCs/>
          <w:color w:val="000000"/>
          <w:sz w:val="24"/>
        </w:rPr>
        <w:t>1、企业内部报警程序</w:t>
      </w:r>
    </w:p>
    <w:p>
      <w:pPr>
        <w:adjustRightInd w:val="0"/>
        <w:snapToGrid w:val="0"/>
        <w:spacing w:line="360" w:lineRule="auto"/>
        <w:ind w:firstLine="540"/>
        <w:rPr>
          <w:rFonts w:ascii="宋体" w:hAnsi="宋体" w:cs="宋体"/>
          <w:bCs/>
          <w:color w:val="000000"/>
          <w:sz w:val="24"/>
        </w:rPr>
      </w:pPr>
      <w:r>
        <w:rPr>
          <w:rFonts w:hint="eastAsia" w:ascii="宋体" w:hAnsi="宋体" w:cs="宋体"/>
          <w:bCs/>
          <w:color w:val="000000"/>
          <w:sz w:val="24"/>
        </w:rPr>
        <w:t>⑴厂内报警程序：事故单元→指挥部（值班长（夜间））→发布警报。</w:t>
      </w:r>
    </w:p>
    <w:p>
      <w:pPr>
        <w:adjustRightInd w:val="0"/>
        <w:snapToGrid w:val="0"/>
        <w:spacing w:line="360" w:lineRule="auto"/>
        <w:ind w:firstLine="540"/>
        <w:rPr>
          <w:rFonts w:ascii="宋体" w:hAnsi="宋体" w:cs="宋体"/>
          <w:bCs/>
          <w:color w:val="000000"/>
          <w:sz w:val="24"/>
        </w:rPr>
      </w:pPr>
      <w:r>
        <w:rPr>
          <w:rFonts w:hint="eastAsia" w:ascii="宋体" w:hAnsi="宋体" w:cs="宋体"/>
          <w:bCs/>
          <w:color w:val="000000"/>
          <w:sz w:val="24"/>
        </w:rPr>
        <w:t>⑵事故单元向指挥部（值班室）报警模式：“我是××车间×××（姓名），××车间发生火灾（××泄漏）事件，请求救援”。</w:t>
      </w:r>
    </w:p>
    <w:p>
      <w:pPr>
        <w:adjustRightInd w:val="0"/>
        <w:snapToGrid w:val="0"/>
        <w:spacing w:line="360" w:lineRule="auto"/>
        <w:ind w:firstLine="540"/>
        <w:rPr>
          <w:rFonts w:ascii="宋体" w:hAnsi="宋体" w:cs="宋体"/>
          <w:bCs/>
          <w:color w:val="000000"/>
          <w:sz w:val="24"/>
        </w:rPr>
      </w:pPr>
      <w:r>
        <w:rPr>
          <w:rFonts w:hint="eastAsia" w:ascii="宋体" w:hAnsi="宋体" w:cs="宋体"/>
          <w:bCs/>
          <w:color w:val="000000"/>
          <w:sz w:val="24"/>
        </w:rPr>
        <w:t>⑶厂内发布警报以广播为主，警报模式：</w:t>
      </w:r>
    </w:p>
    <w:p>
      <w:pPr>
        <w:adjustRightInd w:val="0"/>
        <w:snapToGrid w:val="0"/>
        <w:spacing w:line="360" w:lineRule="auto"/>
        <w:ind w:firstLine="540"/>
        <w:rPr>
          <w:rFonts w:ascii="宋体" w:hAnsi="宋体" w:cs="宋体"/>
          <w:bCs/>
          <w:color w:val="000000"/>
          <w:sz w:val="24"/>
        </w:rPr>
      </w:pPr>
      <w:r>
        <w:rPr>
          <w:rFonts w:hint="eastAsia" w:ascii="宋体" w:hAnsi="宋体" w:cs="宋体"/>
          <w:bCs/>
          <w:color w:val="000000"/>
          <w:sz w:val="24"/>
        </w:rPr>
        <w:t>广播：“紧急通知：××车间发生火灾（××泄漏）事件，请应急救援人员立即到现场”，连播三遍，1分钟后再播一次（三遍）。同时用厂内电话（手机）报告至指挥部成员。报警时声音要清晰。</w:t>
      </w:r>
    </w:p>
    <w:p>
      <w:pPr>
        <w:adjustRightInd w:val="0"/>
        <w:snapToGrid w:val="0"/>
        <w:spacing w:line="360" w:lineRule="auto"/>
        <w:ind w:firstLine="540"/>
        <w:rPr>
          <w:rFonts w:ascii="宋体" w:hAnsi="宋体" w:cs="宋体"/>
          <w:bCs/>
          <w:color w:val="000000"/>
          <w:sz w:val="24"/>
        </w:rPr>
      </w:pPr>
      <w:r>
        <w:rPr>
          <w:rFonts w:hint="eastAsia" w:ascii="宋体" w:hAnsi="宋体" w:cs="宋体"/>
          <w:bCs/>
          <w:color w:val="000000"/>
          <w:sz w:val="24"/>
        </w:rPr>
        <w:t>⑷如需撤离全厂人员时，须及时发布警报，警报模式：广播“紧急通知：××车间发生火灾（××泄漏）事件，全厂人员立即撤离到××（地点）”。连播三遍，1分钟后再播一次（三遍）。</w:t>
      </w:r>
    </w:p>
    <w:p>
      <w:pPr>
        <w:adjustRightInd w:val="0"/>
        <w:snapToGrid w:val="0"/>
        <w:spacing w:line="360" w:lineRule="auto"/>
        <w:ind w:firstLine="602" w:firstLineChars="250"/>
        <w:rPr>
          <w:rFonts w:ascii="宋体" w:hAnsi="宋体" w:cs="宋体"/>
          <w:b/>
          <w:bCs/>
          <w:color w:val="000000"/>
          <w:sz w:val="24"/>
        </w:rPr>
      </w:pPr>
      <w:r>
        <w:rPr>
          <w:rFonts w:hint="eastAsia" w:ascii="宋体" w:hAnsi="宋体" w:cs="宋体"/>
          <w:b/>
          <w:bCs/>
          <w:color w:val="000000"/>
          <w:sz w:val="24"/>
        </w:rPr>
        <w:t>2、外部报警程序</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环境污染事件、安全事故发生后，应急指挥部需根据事态及时做出外部报警求救（火警119、急救120、110）决定。对外报警以外线电话（手机）为主，报警时要说清以下内容：报警人姓名、单位详细名称、地址、附近典型标志、发生事故物资、事故大小等，并派专人接应各种救援车辆。</w:t>
      </w:r>
    </w:p>
    <w:p>
      <w:pPr>
        <w:adjustRightInd w:val="0"/>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3、事故信息上报</w:t>
      </w:r>
    </w:p>
    <w:p>
      <w:pPr>
        <w:tabs>
          <w:tab w:val="left" w:pos="7380"/>
        </w:tabs>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突发事件责任单位和责任人以及负有监管责任的单位发现突发环境事件后，在发生环境污染突发事故（事故较为严重时）时，须报告宜春市人民政府、</w:t>
      </w:r>
      <w:r>
        <w:rPr>
          <w:rFonts w:hint="eastAsia" w:ascii="宋体" w:hAnsi="宋体" w:cs="宋体"/>
          <w:bCs/>
          <w:color w:val="000000"/>
          <w:sz w:val="24"/>
          <w:lang w:eastAsia="zh-CN"/>
        </w:rPr>
        <w:t>宜春市生态环境局宜春经济技术开发区分局</w:t>
      </w:r>
      <w:r>
        <w:rPr>
          <w:rFonts w:hint="eastAsia" w:ascii="宋体" w:hAnsi="宋体" w:cs="宋体"/>
          <w:bCs/>
          <w:color w:val="000000"/>
          <w:sz w:val="24"/>
        </w:rPr>
        <w:t>、区</w:t>
      </w:r>
      <w:r>
        <w:rPr>
          <w:rFonts w:hint="eastAsia" w:ascii="宋体" w:hAnsi="宋体" w:cs="宋体"/>
          <w:bCs/>
          <w:color w:val="000000"/>
          <w:sz w:val="24"/>
          <w:lang w:eastAsia="zh-CN"/>
        </w:rPr>
        <w:t>应急管理局</w:t>
      </w:r>
      <w:r>
        <w:rPr>
          <w:rFonts w:hint="eastAsia" w:ascii="宋体" w:hAnsi="宋体" w:cs="宋体"/>
          <w:bCs/>
          <w:color w:val="000000"/>
          <w:sz w:val="24"/>
        </w:rPr>
        <w:t>等，同时向上一级相关专业主管部门报告，要进行连续上报。并立即组织现场事故应急处理和事故情况调查，在处理过程中根据实际应急处理情况进行不定期连续上报。事故应急处理完成后，对于事故的发生原因调查，事故应急总结等情况，确保在事故处理完成后15个工作日内，向宜春</w:t>
      </w:r>
      <w:r>
        <w:rPr>
          <w:rFonts w:hint="eastAsia" w:ascii="宋体" w:hAnsi="宋体" w:cs="宋体"/>
          <w:bCs/>
          <w:color w:val="000000"/>
          <w:sz w:val="24"/>
          <w:lang w:val="en-US" w:eastAsia="zh-CN"/>
        </w:rPr>
        <w:t>经济技术开发区管委会</w:t>
      </w:r>
      <w:r>
        <w:rPr>
          <w:rFonts w:hint="eastAsia" w:ascii="宋体" w:hAnsi="宋体" w:cs="宋体"/>
          <w:bCs/>
          <w:color w:val="000000"/>
          <w:sz w:val="24"/>
        </w:rPr>
        <w:t>、</w:t>
      </w:r>
      <w:r>
        <w:rPr>
          <w:rFonts w:hint="eastAsia" w:ascii="宋体" w:hAnsi="宋体" w:cs="宋体"/>
          <w:bCs/>
          <w:color w:val="000000"/>
          <w:sz w:val="24"/>
          <w:lang w:eastAsia="zh-CN"/>
        </w:rPr>
        <w:t>宜春市生态环境局宜春经济技术开发区分局</w:t>
      </w:r>
      <w:r>
        <w:rPr>
          <w:rFonts w:hint="eastAsia" w:ascii="宋体" w:hAnsi="宋体" w:cs="宋体"/>
          <w:bCs/>
          <w:color w:val="000000"/>
          <w:sz w:val="24"/>
        </w:rPr>
        <w:t>、</w:t>
      </w:r>
      <w:r>
        <w:rPr>
          <w:rFonts w:hint="eastAsia" w:ascii="宋体" w:hAnsi="宋体" w:cs="宋体"/>
          <w:bCs/>
          <w:color w:val="000000"/>
          <w:sz w:val="24"/>
          <w:lang w:eastAsia="zh-CN"/>
        </w:rPr>
        <w:t>应急管理局</w:t>
      </w:r>
      <w:r>
        <w:rPr>
          <w:rFonts w:hint="eastAsia" w:ascii="宋体" w:hAnsi="宋体" w:cs="宋体"/>
          <w:bCs/>
          <w:color w:val="000000"/>
          <w:sz w:val="24"/>
        </w:rPr>
        <w:t>等单位上报。</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突发环境污染事件的报告分为初报、续报和处理结果报告三类。初报从发现事件时上报；续报在查清有关基本情况后随时上报；处理结果报告在事件处理完毕后立即上报。</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初报可采用电话方式，由指挥部指定专人报告。报告内容主要为：事故发生类型、发生时间、地点、污染源、主要污染物、人员伤害情况、事故的发展趋势、事故的潜在危害程度等。初报过程中应采用适当的方式，避免在当地群众中造成不利影响。</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续报可采用电话、网络和书面报告等方式，由初报人员担任。在初报的基础上报告有关确切数据，事故发生的原因、过程、进展情况以及采取的应急措施等基本情况。</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处理结果及事故原因调查报告采用书面报告形式，报告人仍可以是初报人员或（副）总指挥。报告内容：事故发生原因、事故发生过程、应急处理措施、造成的人员伤害、事故造成的经济损失和社会影响、应急监测数据、事故处理效果、事故处理的遗留问题、参加处理工作的有关部门和工作内容等，出具有关危害与损失的证明文件等详细情况。</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当发生一级事故时，在事故发生时、处理中、处理后均上报</w:t>
      </w:r>
      <w:r>
        <w:rPr>
          <w:rFonts w:hint="eastAsia" w:ascii="宋体" w:hAnsi="宋体" w:cs="宋体"/>
          <w:bCs/>
          <w:color w:val="000000"/>
          <w:sz w:val="24"/>
          <w:lang w:val="en-US" w:eastAsia="zh-CN"/>
        </w:rPr>
        <w:t>宜春经济技术开发区管委会</w:t>
      </w:r>
      <w:r>
        <w:rPr>
          <w:rFonts w:hint="eastAsia" w:ascii="宋体" w:hAnsi="宋体" w:cs="宋体"/>
          <w:bCs/>
          <w:color w:val="000000"/>
          <w:sz w:val="24"/>
        </w:rPr>
        <w:t>、</w:t>
      </w:r>
      <w:r>
        <w:rPr>
          <w:rFonts w:hint="eastAsia" w:ascii="宋体" w:hAnsi="宋体" w:cs="宋体"/>
          <w:bCs/>
          <w:color w:val="000000"/>
          <w:sz w:val="24"/>
          <w:lang w:val="en-US" w:eastAsia="zh-CN"/>
        </w:rPr>
        <w:t>宜春市生态环境局宜春经济技术开发区分局</w:t>
      </w:r>
      <w:r>
        <w:rPr>
          <w:rFonts w:hint="eastAsia" w:ascii="宋体" w:hAnsi="宋体" w:cs="宋体"/>
          <w:bCs/>
          <w:color w:val="000000"/>
          <w:sz w:val="24"/>
        </w:rPr>
        <w:t>、</w:t>
      </w:r>
      <w:r>
        <w:rPr>
          <w:rFonts w:hint="eastAsia" w:ascii="宋体" w:hAnsi="宋体" w:cs="宋体"/>
          <w:bCs/>
          <w:color w:val="000000"/>
          <w:sz w:val="24"/>
          <w:lang w:val="en-US" w:eastAsia="zh-CN"/>
        </w:rPr>
        <w:t>宜春经济技术开发区应急管理局</w:t>
      </w:r>
      <w:r>
        <w:rPr>
          <w:rFonts w:hint="eastAsia" w:ascii="宋体" w:hAnsi="宋体" w:cs="宋体"/>
          <w:bCs/>
          <w:color w:val="000000"/>
          <w:sz w:val="24"/>
        </w:rPr>
        <w:t>；</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当发生二级事故时，在事故处理后上</w:t>
      </w:r>
      <w:r>
        <w:rPr>
          <w:rFonts w:hint="eastAsia" w:ascii="宋体" w:hAnsi="宋体" w:cs="宋体"/>
          <w:bCs/>
          <w:color w:val="000000"/>
          <w:sz w:val="24"/>
          <w:lang w:val="en-US" w:eastAsia="zh-CN"/>
        </w:rPr>
        <w:t>宜春经济技术开发区管委会</w:t>
      </w:r>
      <w:r>
        <w:rPr>
          <w:rFonts w:hint="eastAsia" w:ascii="宋体" w:hAnsi="宋体" w:cs="宋体"/>
          <w:bCs/>
          <w:color w:val="000000"/>
          <w:sz w:val="24"/>
        </w:rPr>
        <w:t>、</w:t>
      </w:r>
      <w:r>
        <w:rPr>
          <w:rFonts w:hint="eastAsia" w:ascii="宋体" w:hAnsi="宋体" w:cs="宋体"/>
          <w:bCs/>
          <w:color w:val="000000"/>
          <w:sz w:val="24"/>
          <w:lang w:val="en-US" w:eastAsia="zh-CN"/>
        </w:rPr>
        <w:t>宜春市生态环境局宜春经济技术开发区分局</w:t>
      </w:r>
      <w:r>
        <w:rPr>
          <w:rFonts w:hint="eastAsia" w:ascii="宋体" w:hAnsi="宋体" w:cs="宋体"/>
          <w:bCs/>
          <w:color w:val="000000"/>
          <w:sz w:val="24"/>
        </w:rPr>
        <w:t>、</w:t>
      </w:r>
      <w:r>
        <w:rPr>
          <w:rFonts w:hint="eastAsia" w:ascii="宋体" w:hAnsi="宋体" w:cs="宋体"/>
          <w:bCs/>
          <w:color w:val="000000"/>
          <w:sz w:val="24"/>
          <w:lang w:val="en-US" w:eastAsia="zh-CN"/>
        </w:rPr>
        <w:t>宜春经济技术开发区应急管理局</w:t>
      </w:r>
      <w:r>
        <w:rPr>
          <w:rFonts w:hint="eastAsia" w:ascii="宋体" w:hAnsi="宋体" w:cs="宋体"/>
          <w:bCs/>
          <w:color w:val="000000"/>
          <w:sz w:val="24"/>
        </w:rPr>
        <w:t>；</w:t>
      </w:r>
    </w:p>
    <w:p>
      <w:pPr>
        <w:adjustRightInd w:val="0"/>
        <w:snapToGrid w:val="0"/>
        <w:spacing w:line="360" w:lineRule="auto"/>
        <w:ind w:firstLine="556"/>
        <w:rPr>
          <w:rFonts w:ascii="宋体" w:hAnsi="宋体" w:cs="宋体"/>
          <w:bCs/>
          <w:color w:val="000000"/>
          <w:sz w:val="24"/>
        </w:rPr>
      </w:pPr>
      <w:r>
        <w:rPr>
          <w:rFonts w:hint="eastAsia" w:ascii="宋体" w:hAnsi="宋体" w:cs="宋体"/>
          <w:bCs/>
          <w:color w:val="000000"/>
          <w:sz w:val="24"/>
        </w:rPr>
        <w:t>当发生三级事故时，在事故处理后上报</w:t>
      </w:r>
      <w:r>
        <w:rPr>
          <w:rFonts w:hint="eastAsia" w:ascii="宋体" w:hAnsi="宋体" w:cs="宋体"/>
          <w:bCs/>
          <w:color w:val="000000"/>
          <w:sz w:val="24"/>
          <w:lang w:eastAsia="zh-CN"/>
        </w:rPr>
        <w:t>宜春市生态环境局宜春经济技术开发区分局</w:t>
      </w:r>
      <w:r>
        <w:rPr>
          <w:rFonts w:hint="eastAsia" w:ascii="宋体" w:hAnsi="宋体" w:cs="宋体"/>
          <w:bCs/>
          <w:color w:val="000000"/>
          <w:sz w:val="24"/>
        </w:rPr>
        <w:t>。</w:t>
      </w:r>
    </w:p>
    <w:p>
      <w:pPr>
        <w:adjustRightInd w:val="0"/>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4、事故信息通报</w:t>
      </w:r>
    </w:p>
    <w:p>
      <w:pPr>
        <w:adjustRightInd w:val="0"/>
        <w:snapToGrid w:val="0"/>
        <w:spacing w:line="360" w:lineRule="auto"/>
        <w:ind w:firstLine="480" w:firstLineChars="200"/>
        <w:rPr>
          <w:rFonts w:ascii="宋体" w:hAnsi="宋体" w:cs="宋体"/>
          <w:color w:val="000000"/>
          <w:kern w:val="0"/>
          <w:sz w:val="24"/>
        </w:rPr>
      </w:pPr>
      <w:r>
        <w:rPr>
          <w:rFonts w:hint="eastAsia" w:ascii="宋体" w:hAnsi="宋体" w:cs="宋体"/>
          <w:bCs/>
          <w:color w:val="000000"/>
          <w:sz w:val="24"/>
        </w:rPr>
        <w:t>企业发现突发环境事件后，在上报相关部门的同时，根据事故的类别、可能波及的范围、可能危害的程度、可能延续的时间，及时通报周边企业和居民，通报的内容主要包括提醒事宜和应采取的相应措施等，可通过广播、宣传车、警报器或组织人员逐户通知等方式进行发布，对于老、弱、病、残、孕等特殊人群以及学校等特殊场所和警报盲区，应当采取有针对性的公告方式。</w:t>
      </w:r>
    </w:p>
    <w:p>
      <w:pPr>
        <w:pStyle w:val="5"/>
      </w:pPr>
      <w:bookmarkStart w:id="408" w:name="_Toc21139_WPSOffice_Level2"/>
      <w:bookmarkStart w:id="409" w:name="_Toc46857526"/>
      <w:bookmarkStart w:id="410" w:name="_Toc43202996"/>
      <w:bookmarkStart w:id="411" w:name="_Toc408503123"/>
      <w:bookmarkStart w:id="412" w:name="_Toc9618_WPSOffice_Level2"/>
      <w:bookmarkStart w:id="413" w:name="_Toc22211"/>
      <w:r>
        <w:rPr>
          <w:rFonts w:hint="eastAsia"/>
          <w:lang w:val="en-US" w:eastAsia="zh-CN"/>
        </w:rPr>
        <w:t>5</w:t>
      </w:r>
      <w:r>
        <w:rPr>
          <w:rFonts w:hint="eastAsia"/>
        </w:rPr>
        <w:t>.5 应急准备</w:t>
      </w:r>
      <w:bookmarkEnd w:id="404"/>
      <w:bookmarkEnd w:id="405"/>
      <w:bookmarkEnd w:id="408"/>
      <w:bookmarkEnd w:id="409"/>
      <w:bookmarkEnd w:id="410"/>
      <w:bookmarkEnd w:id="411"/>
      <w:bookmarkEnd w:id="412"/>
      <w:bookmarkEnd w:id="413"/>
    </w:p>
    <w:p>
      <w:pPr>
        <w:adjustRightInd w:val="0"/>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1、命令启动</w:t>
      </w:r>
    </w:p>
    <w:p>
      <w:pPr>
        <w:adjustRightInd w:val="0"/>
        <w:snapToGrid w:val="0"/>
        <w:spacing w:line="360" w:lineRule="auto"/>
        <w:ind w:firstLine="480" w:firstLineChars="200"/>
        <w:rPr>
          <w:rFonts w:ascii="宋体" w:hAnsi="宋体" w:cs="宋体"/>
          <w:b/>
          <w:bCs/>
          <w:color w:val="000000"/>
          <w:sz w:val="24"/>
        </w:rPr>
      </w:pPr>
      <w:r>
        <w:rPr>
          <w:rFonts w:hint="eastAsia" w:ascii="宋体" w:hAnsi="宋体" w:cs="宋体"/>
          <w:color w:val="000000"/>
          <w:sz w:val="24"/>
        </w:rPr>
        <w:t>发现人员应迅速报告值班人员（必要时申请外部救助），同时采取措施控制事态扩大。应急指挥部根据事故严重程度，启动相应程序应急预案。</w:t>
      </w:r>
    </w:p>
    <w:p>
      <w:pPr>
        <w:adjustRightInd w:val="0"/>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2、人员召集</w:t>
      </w:r>
    </w:p>
    <w:p>
      <w:pPr>
        <w:adjustRightInd w:val="0"/>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相关应急小组成员保证通讯通畅，服从指挥部应急调配，确保应急有效性。</w:t>
      </w:r>
    </w:p>
    <w:p>
      <w:pPr>
        <w:adjustRightInd w:val="0"/>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3、应急会议</w:t>
      </w:r>
    </w:p>
    <w:p>
      <w:pPr>
        <w:adjustRightInd w:val="0"/>
        <w:snapToGrid w:val="0"/>
        <w:spacing w:line="360" w:lineRule="auto"/>
        <w:ind w:firstLine="470" w:firstLineChars="196"/>
        <w:rPr>
          <w:rFonts w:ascii="宋体" w:hAnsi="宋体" w:cs="宋体"/>
          <w:bCs/>
          <w:color w:val="000000"/>
          <w:sz w:val="24"/>
        </w:rPr>
      </w:pPr>
      <w:r>
        <w:rPr>
          <w:rFonts w:hint="eastAsia" w:ascii="宋体" w:hAnsi="宋体" w:cs="宋体"/>
          <w:bCs/>
          <w:color w:val="000000"/>
          <w:sz w:val="24"/>
        </w:rPr>
        <w:t>发生事故后，由发现者报告应急指挥部。应急指挥部接到报警后，相关成员第一时间到达事故现场，根据实际情况依据应急预案演练方案进行抢险救援的具体工作。</w:t>
      </w:r>
    </w:p>
    <w:p>
      <w:pPr>
        <w:pStyle w:val="5"/>
      </w:pPr>
      <w:bookmarkStart w:id="414" w:name="_Toc46857527"/>
      <w:bookmarkStart w:id="415" w:name="_Toc43202997"/>
      <w:bookmarkStart w:id="416" w:name="_Toc408503124"/>
      <w:bookmarkStart w:id="417" w:name="_Toc337_WPSOffice_Level2"/>
      <w:bookmarkStart w:id="418" w:name="_Toc23239_WPSOffice_Level2"/>
      <w:bookmarkStart w:id="419" w:name="_Toc24699"/>
      <w:r>
        <w:rPr>
          <w:rFonts w:hint="eastAsia"/>
          <w:lang w:val="en-US" w:eastAsia="zh-CN"/>
        </w:rPr>
        <w:t>5</w:t>
      </w:r>
      <w:r>
        <w:rPr>
          <w:rFonts w:hint="eastAsia"/>
        </w:rPr>
        <w:t>.6 现场应急措施</w:t>
      </w:r>
      <w:bookmarkEnd w:id="406"/>
      <w:bookmarkEnd w:id="407"/>
      <w:bookmarkEnd w:id="414"/>
      <w:bookmarkEnd w:id="415"/>
      <w:bookmarkEnd w:id="416"/>
      <w:bookmarkEnd w:id="417"/>
      <w:bookmarkEnd w:id="418"/>
      <w:bookmarkEnd w:id="419"/>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当发生突发环境事件时需及时进行事故源控制及处理，应急人员需在第一时间赶赴现场应急。在应急过程中，应急人员须做好个人防护措施，并根据应急指挥组的应急指令开展相应的应急停车、灭火及堵漏等工作，迅速切断污染源。</w:t>
      </w:r>
    </w:p>
    <w:p>
      <w:pPr>
        <w:pStyle w:val="46"/>
        <w:ind w:firstLine="480"/>
      </w:pPr>
      <w:r>
        <w:rPr>
          <w:rFonts w:hint="eastAsia"/>
        </w:rPr>
        <w:t>现场应急处置卡如下：</w:t>
      </w:r>
    </w:p>
    <w:p>
      <w:pPr>
        <w:widowControl/>
        <w:jc w:val="left"/>
        <w:rPr>
          <w:sz w:val="24"/>
        </w:rPr>
      </w:pPr>
      <w:r>
        <w:br w:type="page"/>
      </w:r>
    </w:p>
    <w:p>
      <w:pPr>
        <w:pStyle w:val="46"/>
        <w:ind w:firstLine="482"/>
        <w:jc w:val="center"/>
        <w:rPr>
          <w:b/>
        </w:rPr>
      </w:pPr>
      <w:r>
        <w:rPr>
          <w:rFonts w:hint="eastAsia"/>
          <w:b/>
        </w:rPr>
        <w:t>表</w:t>
      </w:r>
      <w:r>
        <w:rPr>
          <w:rFonts w:hint="eastAsia"/>
          <w:b/>
          <w:lang w:val="en-US" w:eastAsia="zh-CN"/>
        </w:rPr>
        <w:t>5</w:t>
      </w:r>
      <w:r>
        <w:rPr>
          <w:b/>
        </w:rPr>
        <w:t xml:space="preserve">.6-1 </w:t>
      </w:r>
      <w:r>
        <w:rPr>
          <w:rFonts w:hint="eastAsia"/>
          <w:b/>
        </w:rPr>
        <w:t>废气非正常排放应急处置卡</w:t>
      </w:r>
    </w:p>
    <w:tbl>
      <w:tblPr>
        <w:tblStyle w:val="4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事故类型</w:t>
            </w:r>
          </w:p>
        </w:tc>
        <w:tc>
          <w:tcPr>
            <w:tcW w:w="7335" w:type="dxa"/>
          </w:tcPr>
          <w:p>
            <w:pPr>
              <w:pStyle w:val="46"/>
              <w:keepNext w:val="0"/>
              <w:keepLines w:val="0"/>
              <w:suppressLineNumbers w:val="0"/>
              <w:spacing w:before="0" w:beforeAutospacing="0" w:afterAutospacing="0"/>
              <w:ind w:right="0" w:firstLine="0" w:firstLineChars="0"/>
              <w:rPr>
                <w:rFonts w:hint="default" w:ascii="宋体" w:hAnsi="宋体" w:eastAsia="宋体"/>
                <w:sz w:val="21"/>
                <w:szCs w:val="21"/>
                <w:lang w:val="en-US" w:eastAsia="zh-CN"/>
              </w:rPr>
            </w:pPr>
            <w:r>
              <w:rPr>
                <w:rFonts w:hint="eastAsia" w:ascii="宋体" w:hAnsi="宋体"/>
                <w:sz w:val="21"/>
                <w:szCs w:val="21"/>
              </w:rPr>
              <w:t>1.涉及的风险物质：</w:t>
            </w:r>
            <w:r>
              <w:rPr>
                <w:rFonts w:hint="eastAsia" w:ascii="宋体" w:hAnsi="宋体"/>
                <w:sz w:val="21"/>
                <w:szCs w:val="21"/>
                <w:lang w:val="en-US" w:eastAsia="zh-CN"/>
              </w:rPr>
              <w:t>非甲烷总烃</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2.事故可能发生的地点：生产车间</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3.事故类型：废气非正常排放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应急预警与相应程序</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1.发生事故后，根据事故现场情况，现场人员应立即自救或疏散撤离</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sz w:val="21"/>
                <w:szCs w:val="21"/>
                <w:lang w:eastAsia="zh-CN"/>
              </w:rPr>
              <w:t>宜春经济技术开发区管委会</w:t>
            </w:r>
            <w:r>
              <w:rPr>
                <w:rFonts w:hint="eastAsia" w:ascii="宋体" w:hAnsi="宋体"/>
                <w:sz w:val="21"/>
                <w:szCs w:val="21"/>
              </w:rPr>
              <w:t>、</w:t>
            </w:r>
            <w:r>
              <w:rPr>
                <w:rFonts w:hint="eastAsia" w:ascii="宋体" w:hAnsi="宋体"/>
                <w:sz w:val="21"/>
                <w:szCs w:val="21"/>
                <w:lang w:eastAsia="zh-CN"/>
              </w:rPr>
              <w:t>宜春市生态环境局宜春经济技术开发区分局</w:t>
            </w:r>
            <w:r>
              <w:rPr>
                <w:rFonts w:hint="eastAsia" w:ascii="宋体" w:hAnsi="宋体"/>
                <w:sz w:val="21"/>
                <w:szCs w:val="21"/>
              </w:rPr>
              <w:t>等应急办报告</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应急报告</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报告内容：事件类型、地点、时间、性质、周边环境等基本情况</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向公司领导报告，相关部门的领导联系方式：</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13116056581</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13951100219</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lang w:eastAsia="zh-CN"/>
              </w:rPr>
              <w:t>宜春市生态环境局宜春经济技术开发区分局</w:t>
            </w:r>
            <w:r>
              <w:rPr>
                <w:rFonts w:hint="eastAsia" w:ascii="宋体" w:hAnsi="宋体"/>
                <w:sz w:val="21"/>
                <w:szCs w:val="21"/>
              </w:rPr>
              <w:t>：</w:t>
            </w:r>
            <w:r>
              <w:rPr>
                <w:rFonts w:hint="eastAsia" w:ascii="宋体" w:hAnsi="宋体"/>
                <w:sz w:val="21"/>
                <w:szCs w:val="21"/>
                <w:lang w:eastAsia="zh-CN"/>
              </w:rPr>
              <w:t>0795-3653639</w:t>
            </w:r>
          </w:p>
          <w:p>
            <w:pPr>
              <w:pStyle w:val="46"/>
              <w:keepNext w:val="0"/>
              <w:keepLines w:val="0"/>
              <w:suppressLineNumbers w:val="0"/>
              <w:spacing w:before="0" w:beforeAutospacing="0" w:afterAutospacing="0"/>
              <w:ind w:right="0" w:firstLine="0" w:firstLineChars="0"/>
              <w:rPr>
                <w:rFonts w:ascii="宋体" w:hAnsi="宋体"/>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应急负责人</w:t>
            </w:r>
          </w:p>
        </w:tc>
        <w:tc>
          <w:tcPr>
            <w:tcW w:w="7335" w:type="dxa"/>
          </w:tcPr>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邢立勋</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贺立超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应急物资与装备</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防护口罩等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疏散与撤离</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不需疏散和撤离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应急处置措施</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ascii="宋体" w:hAnsi="宋体" w:cs="宋体"/>
                <w:color w:val="000000"/>
                <w:kern w:val="0"/>
                <w:sz w:val="21"/>
                <w:szCs w:val="21"/>
              </w:rPr>
              <w:t>1、停止生产：2、</w:t>
            </w:r>
            <w:r>
              <w:rPr>
                <w:rFonts w:hint="eastAsia" w:ascii="宋体" w:hAnsi="宋体" w:cs="宋体"/>
                <w:color w:val="000000"/>
                <w:kern w:val="0"/>
                <w:sz w:val="21"/>
                <w:szCs w:val="21"/>
              </w:rPr>
              <w:t>维修废气处理设施</w:t>
            </w:r>
            <w:r>
              <w:rPr>
                <w:rFonts w:ascii="宋体" w:hAnsi="宋体" w:cs="宋体"/>
                <w:color w:val="000000"/>
                <w:kern w:val="0"/>
                <w:sz w:val="21"/>
                <w:szCs w:val="21"/>
              </w:rPr>
              <w:t>：3、加强通风：4、个体防护（如佩戴防尘口罩）。</w:t>
            </w:r>
          </w:p>
        </w:tc>
      </w:tr>
    </w:tbl>
    <w:p>
      <w:pPr>
        <w:pStyle w:val="46"/>
        <w:ind w:firstLine="482"/>
        <w:jc w:val="center"/>
        <w:rPr>
          <w:b/>
        </w:rPr>
      </w:pPr>
    </w:p>
    <w:p>
      <w:pPr>
        <w:pStyle w:val="46"/>
        <w:ind w:firstLine="482"/>
        <w:jc w:val="center"/>
        <w:rPr>
          <w:b/>
        </w:rPr>
      </w:pPr>
      <w:r>
        <w:rPr>
          <w:rFonts w:hint="eastAsia"/>
          <w:b/>
        </w:rPr>
        <w:t>表</w:t>
      </w:r>
      <w:r>
        <w:rPr>
          <w:rFonts w:hint="eastAsia"/>
          <w:b/>
          <w:lang w:val="en-US" w:eastAsia="zh-CN"/>
        </w:rPr>
        <w:t>5</w:t>
      </w:r>
      <w:r>
        <w:rPr>
          <w:b/>
        </w:rPr>
        <w:t xml:space="preserve">.6-2 </w:t>
      </w:r>
      <w:r>
        <w:rPr>
          <w:rFonts w:hint="eastAsia"/>
          <w:b/>
        </w:rPr>
        <w:t>废水泄露应急处置卡</w:t>
      </w:r>
    </w:p>
    <w:tbl>
      <w:tblPr>
        <w:tblStyle w:val="4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事故类型</w:t>
            </w:r>
          </w:p>
        </w:tc>
        <w:tc>
          <w:tcPr>
            <w:tcW w:w="7335" w:type="dxa"/>
          </w:tcPr>
          <w:p>
            <w:pPr>
              <w:pStyle w:val="46"/>
              <w:keepNext w:val="0"/>
              <w:keepLines w:val="0"/>
              <w:suppressLineNumbers w:val="0"/>
              <w:spacing w:before="0" w:beforeAutospacing="0" w:afterAutospacing="0"/>
              <w:ind w:right="0" w:firstLine="0" w:firstLineChars="0"/>
              <w:rPr>
                <w:rFonts w:hint="default" w:ascii="宋体" w:hAnsi="宋体" w:eastAsia="宋体"/>
                <w:sz w:val="21"/>
                <w:szCs w:val="21"/>
                <w:lang w:val="en-US" w:eastAsia="zh-CN"/>
              </w:rPr>
            </w:pPr>
            <w:r>
              <w:rPr>
                <w:rFonts w:hint="eastAsia" w:ascii="宋体" w:hAnsi="宋体"/>
                <w:sz w:val="21"/>
                <w:szCs w:val="21"/>
              </w:rPr>
              <w:t>1.涉及的风险物质：</w:t>
            </w:r>
            <w:r>
              <w:rPr>
                <w:rFonts w:hint="eastAsia" w:ascii="宋体" w:hAnsi="宋体"/>
                <w:sz w:val="21"/>
                <w:szCs w:val="21"/>
                <w:lang w:val="en-US" w:eastAsia="zh-CN"/>
              </w:rPr>
              <w:t>生产废水</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2.事故可能发生的地点：废水处理站</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3.事故类型：事故排放废水超出接管标准、超出污水处理设施处理能力，对地表水造成不利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应急预警与相应程序</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1.发生事故后，根据事故现场情况，现场人员应立即自救或疏散撤离</w:t>
            </w:r>
          </w:p>
          <w:p>
            <w:pPr>
              <w:pStyle w:val="46"/>
              <w:keepNext w:val="0"/>
              <w:keepLines w:val="0"/>
              <w:suppressLineNumbers w:val="0"/>
              <w:spacing w:before="0" w:beforeAutospacing="0" w:afterAutospacing="0"/>
              <w:ind w:right="0" w:firstLine="0" w:firstLineChars="0"/>
              <w:rPr>
                <w:rFonts w:hint="eastAsia" w:ascii="宋体" w:hAnsi="宋体"/>
                <w:sz w:val="21"/>
                <w:szCs w:val="21"/>
              </w:rPr>
            </w:pPr>
            <w:r>
              <w:rPr>
                <w:rFonts w:hint="eastAsia" w:ascii="宋体" w:hAnsi="宋体"/>
                <w:sz w:val="21"/>
                <w:szCs w:val="21"/>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sz w:val="21"/>
                <w:szCs w:val="21"/>
                <w:lang w:eastAsia="zh-CN"/>
              </w:rPr>
              <w:t>宜春经济技术开发区管委会</w:t>
            </w:r>
            <w:r>
              <w:rPr>
                <w:rFonts w:hint="eastAsia" w:ascii="宋体" w:hAnsi="宋体"/>
                <w:sz w:val="21"/>
                <w:szCs w:val="21"/>
              </w:rPr>
              <w:t>、</w:t>
            </w:r>
            <w:r>
              <w:rPr>
                <w:rFonts w:hint="eastAsia" w:ascii="宋体" w:hAnsi="宋体"/>
                <w:sz w:val="21"/>
                <w:szCs w:val="21"/>
                <w:lang w:eastAsia="zh-CN"/>
              </w:rPr>
              <w:t>宜春市生态环境局宜春经济技术开发区分局</w:t>
            </w:r>
            <w:r>
              <w:rPr>
                <w:rFonts w:hint="eastAsia" w:ascii="宋体" w:hAnsi="宋体"/>
                <w:sz w:val="21"/>
                <w:szCs w:val="21"/>
              </w:rPr>
              <w:t>等应急办报告</w:t>
            </w:r>
          </w:p>
          <w:p>
            <w:pPr>
              <w:keepNext w:val="0"/>
              <w:keepLines w:val="0"/>
              <w:suppressLineNumbers w:val="0"/>
              <w:spacing w:before="0" w:beforeAutospacing="0" w:after="0" w:afterAutospacing="0"/>
              <w:ind w:left="0" w:right="0"/>
              <w:rPr>
                <w:rFonts w:hint="default" w:eastAsia="宋体"/>
                <w:lang w:val="en-US" w:eastAsia="zh-CN"/>
              </w:rPr>
            </w:pPr>
            <w:r>
              <w:rPr>
                <w:rFonts w:hint="eastAsia" w:ascii="宋体" w:hAnsi="宋体"/>
                <w:sz w:val="21"/>
                <w:szCs w:val="21"/>
                <w:lang w:val="en-US" w:eastAsia="zh-CN"/>
              </w:rPr>
              <w:t>3.立即将事故废水引入事故应急池，防止污染扩散。</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lang w:val="en-US" w:eastAsia="zh-CN"/>
              </w:rPr>
              <w:t>4</w:t>
            </w:r>
            <w:r>
              <w:rPr>
                <w:rFonts w:hint="eastAsia" w:ascii="宋体" w:hAnsi="宋体"/>
                <w:sz w:val="21"/>
                <w:szCs w:val="21"/>
              </w:rPr>
              <w:t>.及时请求外部支援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应急报告</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报告内容：事件类型、地点、时间、性质、周边环境等基本情况</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向公司领导报告，相关部门的领导联系方式：</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13116056581</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13951100219</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lang w:eastAsia="zh-CN"/>
              </w:rPr>
              <w:t>宜春市生态环境局宜春经济技术开发区分局</w:t>
            </w:r>
            <w:r>
              <w:rPr>
                <w:rFonts w:hint="eastAsia" w:ascii="宋体" w:hAnsi="宋体"/>
                <w:sz w:val="21"/>
                <w:szCs w:val="21"/>
              </w:rPr>
              <w:t>：</w:t>
            </w:r>
            <w:r>
              <w:rPr>
                <w:rFonts w:hint="eastAsia" w:ascii="宋体" w:hAnsi="宋体"/>
                <w:sz w:val="21"/>
                <w:szCs w:val="21"/>
                <w:lang w:eastAsia="zh-CN"/>
              </w:rPr>
              <w:t>0795-3653639</w:t>
            </w:r>
          </w:p>
          <w:p>
            <w:pPr>
              <w:pStyle w:val="46"/>
              <w:keepNext w:val="0"/>
              <w:keepLines w:val="0"/>
              <w:suppressLineNumbers w:val="0"/>
              <w:spacing w:before="0" w:beforeAutospacing="0" w:afterAutospacing="0"/>
              <w:ind w:right="0" w:firstLine="0" w:firstLineChars="0"/>
              <w:rPr>
                <w:rFonts w:ascii="宋体" w:hAnsi="宋体"/>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应急负责人</w:t>
            </w:r>
          </w:p>
        </w:tc>
        <w:tc>
          <w:tcPr>
            <w:tcW w:w="7335" w:type="dxa"/>
          </w:tcPr>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邢立勋</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贺立超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应急物资与装备</w:t>
            </w:r>
          </w:p>
        </w:tc>
        <w:tc>
          <w:tcPr>
            <w:tcW w:w="7335" w:type="dxa"/>
          </w:tcPr>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val="en-US" w:eastAsia="zh-CN"/>
              </w:rPr>
            </w:pPr>
            <w:r>
              <w:rPr>
                <w:rFonts w:hint="eastAsia" w:ascii="宋体" w:hAnsi="宋体"/>
                <w:sz w:val="21"/>
                <w:szCs w:val="21"/>
                <w:lang w:val="en-US" w:eastAsia="zh-CN"/>
              </w:rPr>
              <w:t>雨鞋、手套、</w:t>
            </w:r>
            <w:r>
              <w:rPr>
                <w:rFonts w:hint="eastAsia" w:ascii="宋体" w:hAnsi="宋体"/>
                <w:sz w:val="21"/>
                <w:szCs w:val="21"/>
              </w:rPr>
              <w:t>事故应急池</w:t>
            </w:r>
            <w:r>
              <w:rPr>
                <w:rFonts w:hint="eastAsia" w:ascii="宋体" w:hAnsi="宋体"/>
                <w:sz w:val="21"/>
                <w:szCs w:val="21"/>
                <w:lang w:val="en-US" w:eastAsia="zh-CN"/>
              </w:rPr>
              <w:t>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疏散与撤离</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不需疏散和撤离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应急处置措施</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ascii="宋体" w:hAnsi="宋体" w:cs="宋体"/>
                <w:color w:val="000000"/>
                <w:kern w:val="0"/>
                <w:sz w:val="21"/>
                <w:szCs w:val="21"/>
              </w:rPr>
              <w:t>1、停止排放：2、</w:t>
            </w:r>
            <w:r>
              <w:rPr>
                <w:rFonts w:hint="eastAsia" w:ascii="宋体" w:hAnsi="宋体" w:cs="宋体"/>
                <w:color w:val="000000"/>
                <w:kern w:val="0"/>
                <w:sz w:val="21"/>
                <w:szCs w:val="21"/>
                <w:lang w:val="en-US" w:eastAsia="zh-CN"/>
              </w:rPr>
              <w:t>将废水引入事故应急池</w:t>
            </w:r>
            <w:r>
              <w:rPr>
                <w:rFonts w:ascii="宋体" w:hAnsi="宋体" w:cs="宋体"/>
                <w:color w:val="000000"/>
                <w:kern w:val="0"/>
                <w:sz w:val="21"/>
                <w:szCs w:val="21"/>
              </w:rPr>
              <w:t>。</w:t>
            </w:r>
          </w:p>
        </w:tc>
      </w:tr>
    </w:tbl>
    <w:p>
      <w:pPr>
        <w:pStyle w:val="46"/>
        <w:ind w:firstLine="480"/>
      </w:pPr>
    </w:p>
    <w:p>
      <w:pPr>
        <w:pStyle w:val="46"/>
        <w:ind w:firstLine="482"/>
        <w:jc w:val="center"/>
        <w:rPr>
          <w:b/>
        </w:rPr>
      </w:pPr>
      <w:r>
        <w:rPr>
          <w:rFonts w:hint="eastAsia"/>
          <w:b/>
        </w:rPr>
        <w:t>表</w:t>
      </w:r>
      <w:r>
        <w:rPr>
          <w:rFonts w:hint="eastAsia"/>
          <w:b/>
          <w:lang w:val="en-US" w:eastAsia="zh-CN"/>
        </w:rPr>
        <w:t>5</w:t>
      </w:r>
      <w:r>
        <w:rPr>
          <w:b/>
        </w:rPr>
        <w:t>.6-</w:t>
      </w:r>
      <w:r>
        <w:rPr>
          <w:rFonts w:hint="eastAsia"/>
          <w:b/>
        </w:rPr>
        <w:t>3火灾事故应急处置卡</w:t>
      </w:r>
    </w:p>
    <w:tbl>
      <w:tblPr>
        <w:tblStyle w:val="4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事故类型</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ascii="宋体" w:hAnsi="宋体"/>
                <w:sz w:val="21"/>
                <w:szCs w:val="21"/>
              </w:rPr>
              <w:t>1.</w:t>
            </w:r>
            <w:r>
              <w:rPr>
                <w:rFonts w:hint="eastAsia" w:ascii="宋体" w:hAnsi="宋体"/>
                <w:sz w:val="21"/>
                <w:szCs w:val="21"/>
              </w:rPr>
              <w:t>涉及的风险物质：</w:t>
            </w:r>
            <w:r>
              <w:rPr>
                <w:rFonts w:hint="eastAsia" w:cs="Times New Roman"/>
                <w:kern w:val="2"/>
                <w:sz w:val="21"/>
                <w:szCs w:val="21"/>
                <w:lang w:val="en-US" w:eastAsia="zh-CN" w:bidi="ar"/>
              </w:rPr>
              <w:t>聚乙二醇</w:t>
            </w:r>
            <w:r>
              <w:rPr>
                <w:rFonts w:hint="eastAsia" w:ascii="宋体" w:hAnsi="宋体"/>
                <w:sz w:val="21"/>
                <w:szCs w:val="21"/>
              </w:rPr>
              <w:t>等</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ascii="宋体" w:hAnsi="宋体"/>
                <w:sz w:val="21"/>
                <w:szCs w:val="21"/>
              </w:rPr>
              <w:t>2.</w:t>
            </w:r>
            <w:r>
              <w:rPr>
                <w:rFonts w:hint="eastAsia" w:ascii="宋体" w:hAnsi="宋体"/>
                <w:sz w:val="21"/>
                <w:szCs w:val="21"/>
              </w:rPr>
              <w:t>事故可能发生的地点：仓库、办公室、生产车间等</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3.事故类型：火灾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应急预警与相应程序</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1.发生事故后，根据事故现场情况，现场人员应立即自救或疏散撤离</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sz w:val="21"/>
                <w:szCs w:val="21"/>
                <w:lang w:eastAsia="zh-CN"/>
              </w:rPr>
              <w:t>宜春经济技术开发区管委会</w:t>
            </w:r>
            <w:r>
              <w:rPr>
                <w:rFonts w:hint="eastAsia" w:ascii="宋体" w:hAnsi="宋体"/>
                <w:sz w:val="21"/>
                <w:szCs w:val="21"/>
              </w:rPr>
              <w:t>、</w:t>
            </w:r>
            <w:r>
              <w:rPr>
                <w:rFonts w:hint="eastAsia" w:ascii="宋体" w:hAnsi="宋体"/>
                <w:sz w:val="21"/>
                <w:szCs w:val="21"/>
                <w:lang w:eastAsia="zh-CN"/>
              </w:rPr>
              <w:t>宜春市生态环境局宜春经济技术开发区分局</w:t>
            </w:r>
            <w:r>
              <w:rPr>
                <w:rFonts w:hint="eastAsia" w:ascii="宋体" w:hAnsi="宋体"/>
                <w:sz w:val="21"/>
                <w:szCs w:val="21"/>
              </w:rPr>
              <w:t>等应急办报告</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应急报告</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报告内容：事件类型、地点、时间、性质、周边环境等基本情况</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向公司领导报告，相关部门的领导联系方式：</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13116056581</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13951100219</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lang w:eastAsia="zh-CN"/>
              </w:rPr>
              <w:t>宜春市生态环境局宜春经济技术开发区分局</w:t>
            </w:r>
            <w:r>
              <w:rPr>
                <w:rFonts w:hint="eastAsia" w:ascii="宋体" w:hAnsi="宋体"/>
                <w:sz w:val="21"/>
                <w:szCs w:val="21"/>
              </w:rPr>
              <w:t>：</w:t>
            </w:r>
            <w:r>
              <w:rPr>
                <w:rFonts w:hint="eastAsia" w:ascii="宋体" w:hAnsi="宋体"/>
                <w:sz w:val="21"/>
                <w:szCs w:val="21"/>
                <w:lang w:eastAsia="zh-CN"/>
              </w:rPr>
              <w:t>0795-3653639</w:t>
            </w:r>
          </w:p>
          <w:p>
            <w:pPr>
              <w:pStyle w:val="46"/>
              <w:keepNext w:val="0"/>
              <w:keepLines w:val="0"/>
              <w:suppressLineNumbers w:val="0"/>
              <w:spacing w:before="0" w:beforeAutospacing="0" w:afterAutospacing="0"/>
              <w:ind w:right="0" w:firstLine="0" w:firstLineChars="0"/>
              <w:rPr>
                <w:rFonts w:ascii="宋体" w:hAnsi="宋体"/>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应急负责人</w:t>
            </w:r>
          </w:p>
        </w:tc>
        <w:tc>
          <w:tcPr>
            <w:tcW w:w="7335" w:type="dxa"/>
          </w:tcPr>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邢立勋</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贺立超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应急物资与装备</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灭火器、消防泵、消防水枪、救护担架等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疏散与撤离</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按消防要求撤离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应急处置措施</w:t>
            </w:r>
          </w:p>
        </w:tc>
        <w:tc>
          <w:tcPr>
            <w:tcW w:w="7335" w:type="dxa"/>
          </w:tcPr>
          <w:p>
            <w:pPr>
              <w:pStyle w:val="46"/>
              <w:keepNext w:val="0"/>
              <w:keepLines w:val="0"/>
              <w:suppressLineNumbers w:val="0"/>
              <w:spacing w:before="0" w:beforeAutospacing="0" w:afterAutospacing="0"/>
              <w:ind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出现征兆时处置措施：A电力线路架设不符合标准、线路老化、用电设施损坏等，关闭电源，按照有关用电规范进行整改。B易燃易爆物品运输、贮存、使用、回收不符合相关规定,按规定整改。C对动火未经审批的作业，取得动火证以后方可施工。D消防设施未按规定配备或损坏、失效的应按规定及时进行配备维护。E人员未经教育培训的，对其进行教育培训。F在危化物品附近作业未加防护的，落实防护措施。</w:t>
            </w:r>
          </w:p>
          <w:p>
            <w:pPr>
              <w:pStyle w:val="46"/>
              <w:keepNext w:val="0"/>
              <w:keepLines w:val="0"/>
              <w:suppressLineNumbers w:val="0"/>
              <w:spacing w:before="0" w:beforeAutospacing="0" w:afterAutospacing="0"/>
              <w:ind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事故发生时处置措施：立即报警,迅速启动现场处置方案，实施应急处置，立足自救。确定起火部位，立即切断电源,充分利用既有消防设施进行灭火;对需要转移的危险物品迅速转移至安全地带;在保证自身安全的前提下，可接近着火点灭火。</w:t>
            </w:r>
          </w:p>
          <w:p>
            <w:pPr>
              <w:pStyle w:val="46"/>
              <w:keepNext w:val="0"/>
              <w:keepLines w:val="0"/>
              <w:suppressLineNumbers w:val="0"/>
              <w:spacing w:before="0" w:beforeAutospacing="0" w:afterAutospacing="0"/>
              <w:ind w:right="0"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被困人员时的处置措施：被困人员要积极自救，同时要想方设法通知救援人员自己所处的准确位置,以便得到及时救援;救援人员按规定穿戴好防护用品，在保证自身安全的前提下，携带相关救援机具、物资(根据储备物资装备确定),对遇险人员进行抢救、搜救，及时通知就近医疗机构救援。</w:t>
            </w:r>
          </w:p>
          <w:p>
            <w:pPr>
              <w:keepNext w:val="0"/>
              <w:keepLines w:val="0"/>
              <w:suppressLineNumbers w:val="0"/>
              <w:spacing w:before="0" w:beforeAutospacing="0" w:after="0" w:afterAutospacing="0"/>
              <w:ind w:left="0" w:right="0"/>
              <w:rPr>
                <w:rFonts w:hint="default" w:eastAsia="宋体"/>
                <w:lang w:val="en-US" w:eastAsia="zh-CN"/>
              </w:rPr>
            </w:pPr>
            <w:r>
              <w:rPr>
                <w:rFonts w:hint="eastAsia" w:asciiTheme="minorEastAsia" w:hAnsiTheme="minorEastAsia" w:eastAsiaTheme="minorEastAsia" w:cstheme="minorEastAsia"/>
                <w:sz w:val="21"/>
                <w:szCs w:val="21"/>
                <w:lang w:val="en-US" w:eastAsia="zh-CN"/>
              </w:rPr>
              <w:t>及时将消防废水引入事故应急池，防止废水污染外环境。</w:t>
            </w:r>
          </w:p>
        </w:tc>
      </w:tr>
    </w:tbl>
    <w:p>
      <w:pPr>
        <w:pStyle w:val="46"/>
        <w:ind w:firstLine="482"/>
        <w:jc w:val="center"/>
        <w:rPr>
          <w:b/>
        </w:rPr>
      </w:pPr>
      <w:r>
        <w:rPr>
          <w:rFonts w:hint="eastAsia"/>
          <w:b/>
        </w:rPr>
        <w:t>表</w:t>
      </w:r>
      <w:r>
        <w:rPr>
          <w:rFonts w:hint="eastAsia"/>
          <w:b/>
          <w:lang w:val="en-US" w:eastAsia="zh-CN"/>
        </w:rPr>
        <w:t>5</w:t>
      </w:r>
      <w:r>
        <w:rPr>
          <w:rFonts w:hint="eastAsia"/>
          <w:b/>
        </w:rPr>
        <w:t xml:space="preserve">.6-4 </w:t>
      </w:r>
      <w:r>
        <w:rPr>
          <w:rFonts w:hint="eastAsia"/>
          <w:b/>
          <w:lang w:eastAsia="zh-CN"/>
        </w:rPr>
        <w:t>氢氧化钠、聚乙二醇</w:t>
      </w:r>
      <w:r>
        <w:rPr>
          <w:rFonts w:hint="eastAsia"/>
          <w:b/>
        </w:rPr>
        <w:t>等化学品</w:t>
      </w:r>
      <w:r>
        <w:rPr>
          <w:rFonts w:hint="eastAsia"/>
          <w:b/>
          <w:lang w:val="en-US" w:eastAsia="zh-CN"/>
        </w:rPr>
        <w:t>泄露</w:t>
      </w:r>
      <w:r>
        <w:rPr>
          <w:rFonts w:hint="eastAsia"/>
          <w:b/>
        </w:rPr>
        <w:t>事故应急处置卡</w:t>
      </w:r>
    </w:p>
    <w:tbl>
      <w:tblPr>
        <w:tblStyle w:val="4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事故类型</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1.涉及的风险物质：</w:t>
            </w:r>
            <w:r>
              <w:rPr>
                <w:rFonts w:hint="eastAsia"/>
                <w:color w:val="000000"/>
                <w:szCs w:val="21"/>
                <w:lang w:eastAsia="zh-CN"/>
              </w:rPr>
              <w:t>氢氧化钠、聚乙二醇</w:t>
            </w:r>
            <w:r>
              <w:rPr>
                <w:rFonts w:hint="eastAsia" w:ascii="宋体" w:hAnsi="宋体"/>
                <w:sz w:val="21"/>
                <w:szCs w:val="21"/>
              </w:rPr>
              <w:t>等</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2.事故可能发生的地点：原料仓库</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3.事故类型：化学品泄漏</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应急预警与相应程序</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1.发生事故后，根据事故现场情况，现场人员应立即自救或疏散撤离</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sz w:val="21"/>
                <w:szCs w:val="21"/>
                <w:lang w:eastAsia="zh-CN"/>
              </w:rPr>
              <w:t>宜春经济技术开发区管委会</w:t>
            </w:r>
            <w:r>
              <w:rPr>
                <w:rFonts w:hint="eastAsia" w:ascii="宋体" w:hAnsi="宋体"/>
                <w:sz w:val="21"/>
                <w:szCs w:val="21"/>
              </w:rPr>
              <w:t>、</w:t>
            </w:r>
            <w:r>
              <w:rPr>
                <w:rFonts w:hint="eastAsia" w:ascii="宋体" w:hAnsi="宋体"/>
                <w:sz w:val="21"/>
                <w:szCs w:val="21"/>
                <w:lang w:eastAsia="zh-CN"/>
              </w:rPr>
              <w:t>宜春市生态环境局宜春经济技术开发区分局</w:t>
            </w:r>
            <w:r>
              <w:rPr>
                <w:rFonts w:hint="eastAsia" w:ascii="宋体" w:hAnsi="宋体"/>
                <w:sz w:val="21"/>
                <w:szCs w:val="21"/>
              </w:rPr>
              <w:t>等应急办报告</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应急报告</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报告内容：事件类型、地点、时间、性质、周边环境等基本情况</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向公司领导报告，相关部门的领导联系方式：</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13116056581</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13951100219</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lang w:eastAsia="zh-CN"/>
              </w:rPr>
              <w:t>宜春市生态环境局宜春经济技术开发区分局</w:t>
            </w:r>
            <w:r>
              <w:rPr>
                <w:rFonts w:hint="eastAsia" w:ascii="宋体" w:hAnsi="宋体"/>
                <w:sz w:val="21"/>
                <w:szCs w:val="21"/>
              </w:rPr>
              <w:t>：</w:t>
            </w:r>
            <w:r>
              <w:rPr>
                <w:rFonts w:hint="eastAsia" w:ascii="宋体" w:hAnsi="宋体"/>
                <w:sz w:val="21"/>
                <w:szCs w:val="21"/>
                <w:lang w:eastAsia="zh-CN"/>
              </w:rPr>
              <w:t>0795-3653639</w:t>
            </w:r>
          </w:p>
          <w:p>
            <w:pPr>
              <w:pStyle w:val="46"/>
              <w:keepNext w:val="0"/>
              <w:keepLines w:val="0"/>
              <w:suppressLineNumbers w:val="0"/>
              <w:spacing w:before="0" w:beforeAutospacing="0" w:afterAutospacing="0"/>
              <w:ind w:right="0" w:firstLine="0" w:firstLineChars="0"/>
              <w:rPr>
                <w:rFonts w:ascii="宋体" w:hAnsi="宋体"/>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应急负责人</w:t>
            </w:r>
          </w:p>
        </w:tc>
        <w:tc>
          <w:tcPr>
            <w:tcW w:w="7335" w:type="dxa"/>
          </w:tcPr>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邢立勋</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贺立超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应急物资与装备</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防护口罩、防护服、防护手套等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疏散与撤离</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按要求撤离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应急处置措施</w:t>
            </w:r>
          </w:p>
        </w:tc>
        <w:tc>
          <w:tcPr>
            <w:tcW w:w="7335" w:type="dxa"/>
          </w:tcPr>
          <w:p>
            <w:pPr>
              <w:pStyle w:val="16"/>
              <w:keepNext w:val="0"/>
              <w:keepLines w:val="0"/>
              <w:suppressLineNumbers w:val="0"/>
              <w:spacing w:before="0" w:beforeAutospacing="0" w:after="0" w:afterAutospacing="0" w:line="360" w:lineRule="auto"/>
              <w:ind w:left="0" w:right="0" w:firstLine="0" w:firstLineChars="0"/>
              <w:rPr>
                <w:rFonts w:ascii="宋体" w:hAnsi="宋体"/>
                <w:sz w:val="21"/>
                <w:szCs w:val="21"/>
              </w:rPr>
            </w:pPr>
            <w:r>
              <w:rPr>
                <w:rFonts w:ascii="宋体" w:hAnsi="宋体"/>
                <w:sz w:val="21"/>
                <w:szCs w:val="21"/>
              </w:rPr>
              <w:t>迅速撤离泄漏污染区人员至</w:t>
            </w:r>
            <w:r>
              <w:fldChar w:fldCharType="begin"/>
            </w:r>
            <w:r>
              <w:instrText xml:space="preserve"> HYPERLINK "https://baike.baidu.com/item/%E5%AE%89%E5%85%A8%E5%8C%BA" \t "https://baike.baidu.com/item/%E4%BA%8C%E7%94%B2%E8%8B%AF/_blank" </w:instrText>
            </w:r>
            <w:r>
              <w:fldChar w:fldCharType="separate"/>
            </w:r>
            <w:r>
              <w:rPr>
                <w:rFonts w:ascii="宋体" w:hAnsi="宋体"/>
                <w:sz w:val="21"/>
                <w:szCs w:val="21"/>
              </w:rPr>
              <w:t>安全区</w:t>
            </w:r>
            <w:r>
              <w:rPr>
                <w:rFonts w:ascii="宋体" w:hAnsi="宋体"/>
                <w:sz w:val="21"/>
                <w:szCs w:val="21"/>
              </w:rPr>
              <w:fldChar w:fldCharType="end"/>
            </w:r>
            <w:r>
              <w:rPr>
                <w:rFonts w:ascii="宋体" w:hAnsi="宋体"/>
                <w:sz w:val="21"/>
                <w:szCs w:val="21"/>
              </w:rPr>
              <w:t>，并进行隔离，严格限制出入。切断</w:t>
            </w:r>
            <w:r>
              <w:fldChar w:fldCharType="begin"/>
            </w:r>
            <w:r>
              <w:instrText xml:space="preserve"> HYPERLINK "https://baike.baidu.com/item/%E7%81%AB%E6%BA%90" \t "https://baike.baidu.com/item/%E4%BA%8C%E7%94%B2%E8%8B%AF/_blank" </w:instrText>
            </w:r>
            <w:r>
              <w:fldChar w:fldCharType="separate"/>
            </w:r>
            <w:r>
              <w:rPr>
                <w:rFonts w:ascii="宋体" w:hAnsi="宋体"/>
                <w:sz w:val="21"/>
                <w:szCs w:val="21"/>
              </w:rPr>
              <w:t>火源</w:t>
            </w:r>
            <w:r>
              <w:rPr>
                <w:rFonts w:ascii="宋体" w:hAnsi="宋体"/>
                <w:sz w:val="21"/>
                <w:szCs w:val="21"/>
              </w:rPr>
              <w:fldChar w:fldCharType="end"/>
            </w:r>
            <w:r>
              <w:rPr>
                <w:rFonts w:ascii="宋体" w:hAnsi="宋体"/>
                <w:sz w:val="21"/>
                <w:szCs w:val="21"/>
              </w:rPr>
              <w:t>。建议应急处理人员戴自给</w:t>
            </w:r>
            <w:r>
              <w:fldChar w:fldCharType="begin"/>
            </w:r>
            <w:r>
              <w:instrText xml:space="preserve"> HYPERLINK "https://baike.baidu.com/item/%E6%AD%A3%E5%8E%8B%E5%BC%8F%E5%91%BC%E5%90%B8%E5%99%A8" \t "https://baike.baidu.com/item/%E4%BA%8C%E7%94%B2%E8%8B%AF/_blank" </w:instrText>
            </w:r>
            <w:r>
              <w:fldChar w:fldCharType="separate"/>
            </w:r>
            <w:r>
              <w:rPr>
                <w:rFonts w:ascii="宋体" w:hAnsi="宋体"/>
                <w:sz w:val="21"/>
                <w:szCs w:val="21"/>
              </w:rPr>
              <w:t>正压式呼吸器</w:t>
            </w:r>
            <w:r>
              <w:rPr>
                <w:rFonts w:ascii="宋体" w:hAnsi="宋体"/>
                <w:sz w:val="21"/>
                <w:szCs w:val="21"/>
              </w:rPr>
              <w:fldChar w:fldCharType="end"/>
            </w:r>
            <w:r>
              <w:rPr>
                <w:rFonts w:ascii="宋体" w:hAnsi="宋体"/>
                <w:sz w:val="21"/>
                <w:szCs w:val="21"/>
              </w:rPr>
              <w:t>，穿消防防护服。切断泄漏源，防止进入</w:t>
            </w:r>
            <w:r>
              <w:fldChar w:fldCharType="begin"/>
            </w:r>
            <w:r>
              <w:instrText xml:space="preserve"> HYPERLINK "https://baike.baidu.com/item/%E4%B8%8B%E6%B0%B4%E9%81%93" \t "https://baike.baidu.com/item/%E4%BA%8C%E7%94%B2%E8%8B%AF/_blank" </w:instrText>
            </w:r>
            <w:r>
              <w:fldChar w:fldCharType="separate"/>
            </w:r>
            <w:r>
              <w:rPr>
                <w:rFonts w:ascii="宋体" w:hAnsi="宋体"/>
                <w:sz w:val="21"/>
                <w:szCs w:val="21"/>
              </w:rPr>
              <w:t>下水道</w:t>
            </w:r>
            <w:r>
              <w:rPr>
                <w:rFonts w:ascii="宋体" w:hAnsi="宋体"/>
                <w:sz w:val="21"/>
                <w:szCs w:val="21"/>
              </w:rPr>
              <w:fldChar w:fldCharType="end"/>
            </w:r>
            <w:r>
              <w:rPr>
                <w:rFonts w:ascii="宋体" w:hAnsi="宋体"/>
                <w:sz w:val="21"/>
                <w:szCs w:val="21"/>
              </w:rPr>
              <w:t>、排洪沟等限制性空间。小量泄漏：液体形式泄漏的情景下，需在厂区内构筑围堤，同时，将废液引入事故池，用</w:t>
            </w:r>
            <w:r>
              <w:rPr>
                <w:rFonts w:hint="eastAsia" w:ascii="宋体" w:hAnsi="宋体"/>
                <w:sz w:val="21"/>
                <w:szCs w:val="21"/>
              </w:rPr>
              <w:t>相应材料</w:t>
            </w:r>
            <w:r>
              <w:rPr>
                <w:rFonts w:ascii="宋体" w:hAnsi="宋体"/>
                <w:sz w:val="21"/>
                <w:szCs w:val="21"/>
              </w:rPr>
              <w:t>吸收。也可以用不燃性</w:t>
            </w:r>
            <w:r>
              <w:fldChar w:fldCharType="begin"/>
            </w:r>
            <w:r>
              <w:instrText xml:space="preserve"> HYPERLINK "https://baike.baidu.com/item/%E5%88%86%E6%95%A3%E5%89%82" \t "https://baike.baidu.com/item/%E4%BA%8C%E7%94%B2%E8%8B%AF/_blank" </w:instrText>
            </w:r>
            <w:r>
              <w:fldChar w:fldCharType="separate"/>
            </w:r>
            <w:r>
              <w:rPr>
                <w:rFonts w:ascii="宋体" w:hAnsi="宋体"/>
                <w:sz w:val="21"/>
                <w:szCs w:val="21"/>
              </w:rPr>
              <w:t>分散剂</w:t>
            </w:r>
            <w:r>
              <w:rPr>
                <w:rFonts w:ascii="宋体" w:hAnsi="宋体"/>
                <w:sz w:val="21"/>
                <w:szCs w:val="21"/>
              </w:rPr>
              <w:fldChar w:fldCharType="end"/>
            </w:r>
            <w:r>
              <w:rPr>
                <w:rFonts w:ascii="宋体" w:hAnsi="宋体"/>
                <w:sz w:val="21"/>
                <w:szCs w:val="21"/>
              </w:rPr>
              <w:t>制成的乳液刷洗，洗液稀释后放入废水系统。大量泄漏：如果外泄到厂区外围，就必须坚决堵住排污管网，杜绝进入地表水体污染地表水环境，构筑围堤或挖坑收容；用泡沫覆盖，抑制蒸发。用防爆泵转移至</w:t>
            </w:r>
            <w:r>
              <w:fldChar w:fldCharType="begin"/>
            </w:r>
            <w:r>
              <w:instrText xml:space="preserve"> HYPERLINK "https://baike.baidu.com/item/%E6%A7%BD%E8%BD%A6" \t "https://baike.baidu.com/item/%E4%BA%8C%E7%94%B2%E8%8B%AF/_blank" </w:instrText>
            </w:r>
            <w:r>
              <w:fldChar w:fldCharType="separate"/>
            </w:r>
            <w:r>
              <w:rPr>
                <w:rFonts w:ascii="宋体" w:hAnsi="宋体"/>
                <w:sz w:val="21"/>
                <w:szCs w:val="21"/>
              </w:rPr>
              <w:t>槽车</w:t>
            </w:r>
            <w:r>
              <w:rPr>
                <w:rFonts w:ascii="宋体" w:hAnsi="宋体"/>
                <w:sz w:val="21"/>
                <w:szCs w:val="21"/>
              </w:rPr>
              <w:fldChar w:fldCharType="end"/>
            </w:r>
            <w:r>
              <w:rPr>
                <w:rFonts w:ascii="宋体" w:hAnsi="宋体"/>
                <w:sz w:val="21"/>
                <w:szCs w:val="21"/>
              </w:rPr>
              <w:t>或专用收集器内，回收或运至废物处理场所处置。迅速将被</w:t>
            </w:r>
            <w:r>
              <w:rPr>
                <w:rFonts w:hint="eastAsia" w:ascii="宋体" w:hAnsi="宋体"/>
                <w:sz w:val="21"/>
                <w:szCs w:val="21"/>
              </w:rPr>
              <w:t>化学品</w:t>
            </w:r>
            <w:r>
              <w:rPr>
                <w:rFonts w:ascii="宋体" w:hAnsi="宋体"/>
                <w:sz w:val="21"/>
                <w:szCs w:val="21"/>
              </w:rPr>
              <w:t>污染的土壤收集起来，转移到安全地带。对污染地带沿地面加强通风，蒸发残液，排除蒸气。迅速筑坝，切断受污染水体的流动，并用围栏等限制水面</w:t>
            </w:r>
            <w:r>
              <w:rPr>
                <w:rFonts w:hint="eastAsia" w:ascii="宋体" w:hAnsi="宋体"/>
                <w:sz w:val="21"/>
                <w:szCs w:val="21"/>
                <w:lang w:val="en-US" w:eastAsia="zh-CN"/>
              </w:rPr>
              <w:t>污染物</w:t>
            </w:r>
            <w:r>
              <w:rPr>
                <w:rFonts w:ascii="宋体" w:hAnsi="宋体"/>
                <w:sz w:val="21"/>
                <w:szCs w:val="21"/>
              </w:rPr>
              <w:t>的扩散。</w:t>
            </w:r>
          </w:p>
        </w:tc>
      </w:tr>
    </w:tbl>
    <w:p>
      <w:pPr>
        <w:pStyle w:val="46"/>
        <w:ind w:firstLine="482"/>
        <w:jc w:val="center"/>
        <w:rPr>
          <w:b/>
        </w:rPr>
      </w:pPr>
      <w:r>
        <w:rPr>
          <w:rFonts w:hint="eastAsia"/>
          <w:b/>
        </w:rPr>
        <w:t>表</w:t>
      </w:r>
      <w:r>
        <w:rPr>
          <w:rFonts w:hint="eastAsia"/>
          <w:b/>
          <w:lang w:val="en-US" w:eastAsia="zh-CN"/>
        </w:rPr>
        <w:t>5</w:t>
      </w:r>
      <w:r>
        <w:rPr>
          <w:rFonts w:hint="eastAsia"/>
          <w:b/>
        </w:rPr>
        <w:t>.6-5运输泄漏、火灾事故应急处置卡</w:t>
      </w:r>
    </w:p>
    <w:tbl>
      <w:tblPr>
        <w:tblStyle w:val="4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事故类型</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1.涉及的风险物质：化学品</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2.事故可能发生的地点：运输途中</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3.事故类型：泄漏或火灾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应急预警与相应程序</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1.发生事故后，根据事故现场情况，现场人员应立即自救或疏散撤离</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sz w:val="21"/>
                <w:szCs w:val="21"/>
                <w:lang w:eastAsia="zh-CN"/>
              </w:rPr>
              <w:t>宜春经济技术开发区管委会</w:t>
            </w:r>
            <w:r>
              <w:rPr>
                <w:rFonts w:hint="eastAsia" w:ascii="宋体" w:hAnsi="宋体"/>
                <w:sz w:val="21"/>
                <w:szCs w:val="21"/>
              </w:rPr>
              <w:t>、</w:t>
            </w:r>
            <w:r>
              <w:rPr>
                <w:rFonts w:hint="eastAsia" w:ascii="宋体" w:hAnsi="宋体"/>
                <w:sz w:val="21"/>
                <w:szCs w:val="21"/>
                <w:lang w:eastAsia="zh-CN"/>
              </w:rPr>
              <w:t>宜春市生态环境局宜春经济技术开发区分局</w:t>
            </w:r>
            <w:r>
              <w:rPr>
                <w:rFonts w:hint="eastAsia" w:ascii="宋体" w:hAnsi="宋体"/>
                <w:sz w:val="21"/>
                <w:szCs w:val="21"/>
              </w:rPr>
              <w:t>等应急办报告</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应急报告</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报告内容：事件类型、地点、时间、性质、周边环境等基本情况</w:t>
            </w:r>
          </w:p>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向公司领导报告，相关部门的领导联系方式：</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13116056581</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13951100219</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lang w:eastAsia="zh-CN"/>
              </w:rPr>
              <w:t>宜春市生态环境局宜春经济技术开发区分局</w:t>
            </w:r>
            <w:r>
              <w:rPr>
                <w:rFonts w:hint="eastAsia" w:ascii="宋体" w:hAnsi="宋体"/>
                <w:sz w:val="21"/>
                <w:szCs w:val="21"/>
              </w:rPr>
              <w:t>：</w:t>
            </w:r>
            <w:r>
              <w:rPr>
                <w:rFonts w:hint="eastAsia" w:ascii="宋体" w:hAnsi="宋体"/>
                <w:sz w:val="21"/>
                <w:szCs w:val="21"/>
                <w:lang w:eastAsia="zh-CN"/>
              </w:rPr>
              <w:t>0795-3653639</w:t>
            </w:r>
          </w:p>
          <w:p>
            <w:pPr>
              <w:pStyle w:val="46"/>
              <w:keepNext w:val="0"/>
              <w:keepLines w:val="0"/>
              <w:suppressLineNumbers w:val="0"/>
              <w:spacing w:before="0" w:beforeAutospacing="0" w:afterAutospacing="0"/>
              <w:ind w:right="0" w:firstLine="0" w:firstLineChars="0"/>
              <w:rPr>
                <w:rFonts w:ascii="宋体" w:hAnsi="宋体"/>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应急负责人</w:t>
            </w:r>
          </w:p>
        </w:tc>
        <w:tc>
          <w:tcPr>
            <w:tcW w:w="7335" w:type="dxa"/>
          </w:tcPr>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总指挥：</w:t>
            </w:r>
            <w:r>
              <w:rPr>
                <w:rFonts w:hint="eastAsia" w:ascii="宋体" w:hAnsi="宋体"/>
                <w:sz w:val="21"/>
                <w:szCs w:val="21"/>
                <w:lang w:eastAsia="zh-CN"/>
              </w:rPr>
              <w:t>邢立勋</w:t>
            </w:r>
          </w:p>
          <w:p>
            <w:pPr>
              <w:pStyle w:val="46"/>
              <w:keepNext w:val="0"/>
              <w:keepLines w:val="0"/>
              <w:suppressLineNumbers w:val="0"/>
              <w:spacing w:before="0" w:beforeAutospacing="0" w:afterAutospacing="0"/>
              <w:ind w:right="0" w:firstLine="0" w:firstLineChars="0"/>
              <w:rPr>
                <w:rFonts w:hint="eastAsia" w:ascii="宋体" w:hAnsi="宋体" w:eastAsia="宋体"/>
                <w:sz w:val="21"/>
                <w:szCs w:val="21"/>
                <w:lang w:eastAsia="zh-CN"/>
              </w:rPr>
            </w:pPr>
            <w:r>
              <w:rPr>
                <w:rFonts w:hint="eastAsia" w:ascii="宋体" w:hAnsi="宋体"/>
                <w:sz w:val="21"/>
                <w:szCs w:val="21"/>
              </w:rPr>
              <w:t>副总指挥：</w:t>
            </w:r>
            <w:r>
              <w:rPr>
                <w:rFonts w:hint="eastAsia" w:ascii="宋体" w:hAnsi="宋体"/>
                <w:sz w:val="21"/>
                <w:szCs w:val="21"/>
                <w:lang w:eastAsia="zh-CN"/>
              </w:rPr>
              <w:t>贺立超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应急物资与装备</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防护服、防护口罩、防护眼罩等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疏散与撤离</w:t>
            </w:r>
          </w:p>
        </w:tc>
        <w:tc>
          <w:tcPr>
            <w:tcW w:w="7335"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按要求撤离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6"/>
              <w:keepNext w:val="0"/>
              <w:keepLines w:val="0"/>
              <w:suppressLineNumbers w:val="0"/>
              <w:spacing w:before="0" w:beforeAutospacing="0" w:afterAutospacing="0"/>
              <w:ind w:right="0" w:firstLine="0" w:firstLineChars="0"/>
              <w:rPr>
                <w:rFonts w:ascii="宋体" w:hAnsi="宋体"/>
                <w:sz w:val="21"/>
                <w:szCs w:val="21"/>
              </w:rPr>
            </w:pPr>
            <w:r>
              <w:rPr>
                <w:rFonts w:hint="eastAsia" w:ascii="宋体" w:hAnsi="宋体"/>
                <w:sz w:val="21"/>
                <w:szCs w:val="21"/>
              </w:rPr>
              <w:t>应急处置措施</w:t>
            </w:r>
          </w:p>
        </w:tc>
        <w:tc>
          <w:tcPr>
            <w:tcW w:w="7335" w:type="dxa"/>
          </w:tcPr>
          <w:p>
            <w:pPr>
              <w:pStyle w:val="46"/>
              <w:keepNext w:val="0"/>
              <w:keepLines w:val="0"/>
              <w:suppressLineNumbers w:val="0"/>
              <w:spacing w:before="0" w:beforeAutospacing="0" w:afterAutospacing="0"/>
              <w:ind w:right="0" w:firstLine="420"/>
              <w:rPr>
                <w:rFonts w:ascii="宋体" w:hAnsi="宋体"/>
                <w:sz w:val="21"/>
                <w:szCs w:val="21"/>
              </w:rPr>
            </w:pPr>
            <w:r>
              <w:rPr>
                <w:rFonts w:hint="eastAsia" w:ascii="宋体" w:hAnsi="宋体"/>
                <w:sz w:val="21"/>
                <w:szCs w:val="21"/>
              </w:rPr>
              <w:t>1.尽快报警、组织人员抢救</w:t>
            </w:r>
          </w:p>
          <w:p>
            <w:pPr>
              <w:pStyle w:val="46"/>
              <w:keepNext w:val="0"/>
              <w:keepLines w:val="0"/>
              <w:suppressLineNumbers w:val="0"/>
              <w:spacing w:before="0" w:beforeAutospacing="0" w:afterAutospacing="0"/>
              <w:ind w:right="0" w:firstLine="420"/>
              <w:rPr>
                <w:rFonts w:ascii="宋体" w:hAnsi="宋体"/>
                <w:sz w:val="21"/>
                <w:szCs w:val="21"/>
              </w:rPr>
            </w:pPr>
            <w:r>
              <w:rPr>
                <w:rFonts w:hint="eastAsia" w:ascii="宋体" w:hAnsi="宋体"/>
                <w:sz w:val="21"/>
                <w:szCs w:val="21"/>
              </w:rPr>
              <w:t>化学品因为交通事故或其他原因发生泄漏,驾驶员、押运员或周围的人要尽快设法报警,报告当地公安消防部门或地方公安机关,可能的情况下采取应急措施,或将危险情况告知周围群众,尽量减少损失。</w:t>
            </w:r>
          </w:p>
          <w:p>
            <w:pPr>
              <w:pStyle w:val="46"/>
              <w:keepNext w:val="0"/>
              <w:keepLines w:val="0"/>
              <w:suppressLineNumbers w:val="0"/>
              <w:spacing w:before="0" w:beforeAutospacing="0" w:afterAutospacing="0"/>
              <w:ind w:right="0" w:firstLine="420"/>
              <w:rPr>
                <w:rFonts w:ascii="宋体" w:hAnsi="宋体"/>
                <w:sz w:val="21"/>
                <w:szCs w:val="21"/>
              </w:rPr>
            </w:pPr>
            <w:r>
              <w:rPr>
                <w:rFonts w:hint="eastAsia" w:ascii="宋体" w:hAnsi="宋体"/>
                <w:sz w:val="21"/>
                <w:szCs w:val="21"/>
              </w:rPr>
              <w:t>2.杜绝火源防止燃爆</w:t>
            </w:r>
          </w:p>
          <w:p>
            <w:pPr>
              <w:pStyle w:val="46"/>
              <w:keepNext w:val="0"/>
              <w:keepLines w:val="0"/>
              <w:suppressLineNumbers w:val="0"/>
              <w:spacing w:before="0" w:beforeAutospacing="0" w:afterAutospacing="0"/>
              <w:ind w:right="0" w:firstLine="420"/>
              <w:rPr>
                <w:rFonts w:ascii="宋体" w:hAnsi="宋体"/>
                <w:sz w:val="21"/>
                <w:szCs w:val="21"/>
              </w:rPr>
            </w:pPr>
            <w:r>
              <w:rPr>
                <w:rFonts w:hint="eastAsia" w:ascii="宋体" w:hAnsi="宋体"/>
                <w:sz w:val="21"/>
                <w:szCs w:val="21"/>
              </w:rPr>
              <w:t>泄漏的危险化学品如果是易燃易爆物品,现场和周围一定范围内要杜绝一切火源。所有的电气设备都应关掉,一切车辆都要停下来,手机等通讯工具也得关闭,防止打出的电火花弓|燃引爆可燃气体、可燃液体的蒸汽或可燃粉尘。如果贮罐、容器、槽车破损,要尽快设法堵塞漏洞,切断事故源。</w:t>
            </w:r>
          </w:p>
          <w:p>
            <w:pPr>
              <w:pStyle w:val="46"/>
              <w:keepNext w:val="0"/>
              <w:keepLines w:val="0"/>
              <w:suppressLineNumbers w:val="0"/>
              <w:spacing w:before="0" w:beforeAutospacing="0" w:afterAutospacing="0"/>
              <w:ind w:right="0" w:firstLine="420"/>
              <w:rPr>
                <w:rFonts w:ascii="宋体" w:hAnsi="宋体"/>
                <w:sz w:val="21"/>
                <w:szCs w:val="21"/>
              </w:rPr>
            </w:pPr>
            <w:r>
              <w:rPr>
                <w:rFonts w:hint="eastAsia" w:ascii="宋体" w:hAnsi="宋体"/>
                <w:sz w:val="21"/>
                <w:szCs w:val="21"/>
              </w:rPr>
              <w:t>3.采取相应的消毒措施</w:t>
            </w:r>
          </w:p>
          <w:p>
            <w:pPr>
              <w:pStyle w:val="46"/>
              <w:keepNext w:val="0"/>
              <w:keepLines w:val="0"/>
              <w:suppressLineNumbers w:val="0"/>
              <w:spacing w:before="0" w:beforeAutospacing="0" w:afterAutospacing="0"/>
              <w:ind w:right="0" w:firstLine="420"/>
              <w:rPr>
                <w:rFonts w:ascii="宋体" w:hAnsi="宋体"/>
                <w:sz w:val="21"/>
                <w:szCs w:val="21"/>
              </w:rPr>
            </w:pPr>
            <w:r>
              <w:rPr>
                <w:rFonts w:hint="eastAsia" w:ascii="宋体" w:hAnsi="宋体"/>
                <w:sz w:val="21"/>
                <w:szCs w:val="21"/>
              </w:rPr>
              <w:t>运输的危险化学品若具有腐蚀性、毒害性,在处理事故过程中,运输人员一定要采取积极慎重的措施,尽可能降低腐蚀性、毒害性物品对人的伤害。现场施救人员还应根据有毒物品的特征,穿戴防毒衣、防毒面具、防毒手套、防毒靴,以防止有毒物品通过呼吸道、皮肤接触进入人体。穿戴好防护用具,可减少身体暴露部与有毒物质接触,减少伤害。</w:t>
            </w:r>
          </w:p>
          <w:p>
            <w:pPr>
              <w:pStyle w:val="46"/>
              <w:keepNext w:val="0"/>
              <w:keepLines w:val="0"/>
              <w:suppressLineNumbers w:val="0"/>
              <w:spacing w:before="0" w:beforeAutospacing="0" w:afterAutospacing="0"/>
              <w:ind w:right="0" w:firstLine="420"/>
              <w:rPr>
                <w:rFonts w:ascii="宋体" w:hAnsi="宋体"/>
                <w:sz w:val="21"/>
                <w:szCs w:val="21"/>
              </w:rPr>
            </w:pPr>
            <w:r>
              <w:rPr>
                <w:rFonts w:hint="eastAsia" w:ascii="宋体" w:hAnsi="宋体"/>
                <w:sz w:val="21"/>
                <w:szCs w:val="21"/>
              </w:rPr>
              <w:t>4.加强对现场外泄物品监测</w:t>
            </w:r>
          </w:p>
          <w:p>
            <w:pPr>
              <w:pStyle w:val="46"/>
              <w:keepNext w:val="0"/>
              <w:keepLines w:val="0"/>
              <w:suppressLineNumbers w:val="0"/>
              <w:spacing w:before="0" w:beforeAutospacing="0" w:afterAutospacing="0"/>
              <w:ind w:right="0" w:firstLine="420"/>
              <w:rPr>
                <w:rFonts w:ascii="宋体" w:hAnsi="宋体"/>
                <w:sz w:val="21"/>
                <w:szCs w:val="21"/>
              </w:rPr>
            </w:pPr>
            <w:r>
              <w:rPr>
                <w:rFonts w:hint="eastAsia" w:ascii="宋体" w:hAnsi="宋体"/>
                <w:sz w:val="21"/>
                <w:szCs w:val="21"/>
              </w:rPr>
              <w:t>化学品泄漏处置过程中,还应特别注意对现场物品泄漏情况进行监测,特别是剧毒或易燃易爆化学物品的泄漏更应加强监测。有关部门]应组织专业检测技术人员和检验设备到场进行迅速检测, 测定泄漏化学物料的性质、危害程度、危害范围, 有时还需要通过检测来判明是哪种化学物质泄漏。</w:t>
            </w:r>
          </w:p>
        </w:tc>
      </w:tr>
      <w:bookmarkEnd w:id="396"/>
      <w:bookmarkEnd w:id="397"/>
    </w:tbl>
    <w:p>
      <w:pPr>
        <w:pStyle w:val="5"/>
      </w:pPr>
      <w:bookmarkStart w:id="420" w:name="_Toc10949"/>
      <w:bookmarkStart w:id="421" w:name="_Toc43203003"/>
      <w:bookmarkStart w:id="422" w:name="_Toc408503128"/>
      <w:bookmarkStart w:id="423" w:name="_Toc46857528"/>
      <w:bookmarkStart w:id="424" w:name="_Toc342328518"/>
      <w:r>
        <w:rPr>
          <w:rFonts w:hint="eastAsia"/>
          <w:lang w:val="en-US" w:eastAsia="zh-CN"/>
        </w:rPr>
        <w:t>5</w:t>
      </w:r>
      <w:r>
        <w:rPr>
          <w:rFonts w:hint="eastAsia"/>
        </w:rPr>
        <w:t>.7 人员紧急撤离和疏散</w:t>
      </w:r>
      <w:bookmarkEnd w:id="420"/>
      <w:bookmarkEnd w:id="421"/>
      <w:bookmarkEnd w:id="422"/>
      <w:bookmarkEnd w:id="423"/>
      <w:bookmarkEnd w:id="424"/>
    </w:p>
    <w:p>
      <w:pPr>
        <w:adjustRightInd w:val="0"/>
        <w:snapToGrid w:val="0"/>
        <w:spacing w:line="360" w:lineRule="auto"/>
        <w:ind w:firstLine="482" w:firstLineChars="200"/>
        <w:rPr>
          <w:rFonts w:ascii="宋体" w:hAnsi="宋体" w:cs="宋体"/>
          <w:b/>
          <w:color w:val="000000"/>
          <w:sz w:val="24"/>
        </w:rPr>
      </w:pPr>
      <w:r>
        <w:rPr>
          <w:rFonts w:hint="eastAsia" w:ascii="宋体" w:hAnsi="宋体" w:cs="宋体"/>
          <w:b/>
          <w:color w:val="000000"/>
          <w:sz w:val="24"/>
        </w:rPr>
        <w:t>1、疏散、撤离组织负责人</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bCs/>
          <w:color w:val="000000"/>
          <w:sz w:val="24"/>
        </w:rPr>
        <w:t>Ⅰ级</w:t>
      </w:r>
      <w:r>
        <w:rPr>
          <w:rFonts w:hint="eastAsia" w:ascii="宋体" w:hAnsi="宋体" w:cs="宋体"/>
          <w:color w:val="000000"/>
          <w:sz w:val="24"/>
        </w:rPr>
        <w:t>突发环境事件发生后，由应急指挥部向环保、安监等上级部门汇报，根据上级政府部门指令要求，确定是否需要进行疏散。若明确疏散范围，则在上级政府部门领导下，应急指挥部配合参与人员疏散。企业内部由现场治安组负责人作为疏散、撤离组织负责人，若现场治安组负责人不在现场，则应由指挥部指定专人作为疏散、撤离组织负责人。</w:t>
      </w:r>
    </w:p>
    <w:p>
      <w:pPr>
        <w:spacing w:line="360" w:lineRule="auto"/>
        <w:ind w:firstLine="482" w:firstLineChars="200"/>
        <w:rPr>
          <w:rFonts w:ascii="宋体" w:hAnsi="宋体" w:cs="宋体"/>
          <w:b/>
          <w:color w:val="000000"/>
          <w:sz w:val="24"/>
        </w:rPr>
      </w:pPr>
      <w:bookmarkStart w:id="425" w:name="_Toc396237268"/>
      <w:bookmarkStart w:id="426" w:name="_Toc383072817"/>
      <w:bookmarkStart w:id="427" w:name="_Toc405384571"/>
      <w:bookmarkStart w:id="428" w:name="_Toc408503129"/>
      <w:bookmarkStart w:id="429" w:name="_Toc403659405"/>
      <w:bookmarkStart w:id="430" w:name="_Toc378105701"/>
      <w:bookmarkStart w:id="431" w:name="_Toc396934398"/>
      <w:bookmarkStart w:id="432" w:name="_Toc402875736"/>
      <w:bookmarkStart w:id="433" w:name="_Toc383173024"/>
      <w:bookmarkStart w:id="434" w:name="_Toc405881583"/>
      <w:bookmarkStart w:id="435" w:name="_Toc395805024"/>
      <w:bookmarkStart w:id="436" w:name="_Toc399352226"/>
      <w:r>
        <w:rPr>
          <w:rFonts w:hint="eastAsia" w:ascii="宋体" w:hAnsi="宋体" w:cs="宋体"/>
          <w:b/>
          <w:color w:val="000000"/>
          <w:sz w:val="24"/>
        </w:rPr>
        <w:t>2、撤离方式</w:t>
      </w:r>
      <w:bookmarkEnd w:id="425"/>
      <w:bookmarkEnd w:id="426"/>
      <w:bookmarkEnd w:id="427"/>
      <w:bookmarkEnd w:id="428"/>
      <w:bookmarkEnd w:id="429"/>
      <w:bookmarkEnd w:id="430"/>
      <w:bookmarkEnd w:id="431"/>
      <w:bookmarkEnd w:id="432"/>
      <w:bookmarkEnd w:id="433"/>
      <w:bookmarkEnd w:id="434"/>
      <w:bookmarkEnd w:id="435"/>
      <w:bookmarkEnd w:id="436"/>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事故现场人员向上风或侧向风方向转移，负责疏散、撤离的现场治安组人员引导和护送疏散人群到安全区，并逐一清点人数。</w:t>
      </w:r>
      <w:r>
        <w:rPr>
          <w:rFonts w:hint="eastAsia" w:ascii="宋体" w:hAnsi="宋体" w:cs="宋体"/>
          <w:bCs/>
          <w:color w:val="000000"/>
          <w:sz w:val="24"/>
        </w:rPr>
        <w:t>在一定范围内划出警戒线，并在各路口派保卫人员设岗执勤，实行交通管制，阻止无关人员及车辆进入，并保持急救道路畅通。</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在疏散和撤离的路线上可设立指示牌，指明方向，人员不要在低洼处滞留，要查清是否有人留在泄漏区或污染区。如发现有人未及时撤离，应由佩戴适宜防护装备的抢险队员两人进入现场搜寻，并实施救助。</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当事故威胁到周边地区的群众时，及时向上级环保部门、当地政府部门报告，由当地政府指导疏散工作。</w:t>
      </w:r>
    </w:p>
    <w:p>
      <w:pPr>
        <w:spacing w:line="360" w:lineRule="auto"/>
        <w:ind w:firstLine="482" w:firstLineChars="200"/>
        <w:rPr>
          <w:rFonts w:ascii="宋体" w:hAnsi="宋体" w:cs="宋体"/>
          <w:b/>
          <w:color w:val="000000"/>
          <w:sz w:val="24"/>
        </w:rPr>
      </w:pPr>
      <w:bookmarkStart w:id="437" w:name="_Toc462232975"/>
      <w:bookmarkStart w:id="438" w:name="_Toc341430182"/>
      <w:r>
        <w:rPr>
          <w:rFonts w:hint="eastAsia" w:ascii="宋体" w:hAnsi="宋体" w:cs="宋体"/>
          <w:b/>
          <w:color w:val="000000"/>
          <w:sz w:val="24"/>
        </w:rPr>
        <w:t>3、疏散和撤离措施</w:t>
      </w:r>
      <w:bookmarkEnd w:id="437"/>
    </w:p>
    <w:p>
      <w:pPr>
        <w:adjustRightInd w:val="0"/>
        <w:snapToGrid w:val="0"/>
        <w:spacing w:line="360" w:lineRule="auto"/>
        <w:ind w:firstLine="480"/>
        <w:rPr>
          <w:rFonts w:ascii="宋体" w:hAnsi="宋体" w:cs="宋体"/>
          <w:bCs/>
          <w:color w:val="000000"/>
          <w:sz w:val="24"/>
        </w:rPr>
      </w:pPr>
      <w:r>
        <w:rPr>
          <w:rFonts w:hint="eastAsia" w:ascii="宋体" w:hAnsi="宋体" w:cs="宋体"/>
          <w:bCs/>
          <w:color w:val="000000"/>
          <w:sz w:val="24"/>
        </w:rPr>
        <w:t>疏散引导小组到达事故现场后，听从现场指挥安排，对可能发生的危险化学品事故场所、设施及周围情况分析出结果，并依据分析结果引导和疏散现场无关人员至安全区域。在疏散撤离过程中小组成员根据预案要求的疏散、撤离方式方法，要做的工作有：</w:t>
      </w:r>
    </w:p>
    <w:p>
      <w:pPr>
        <w:adjustRightInd w:val="0"/>
        <w:snapToGrid w:val="0"/>
        <w:spacing w:line="360" w:lineRule="auto"/>
        <w:ind w:firstLine="480"/>
        <w:rPr>
          <w:rFonts w:ascii="宋体" w:hAnsi="宋体" w:cs="宋体"/>
          <w:bCs/>
          <w:color w:val="000000"/>
          <w:sz w:val="24"/>
        </w:rPr>
      </w:pPr>
      <w:r>
        <w:rPr>
          <w:rFonts w:hint="eastAsia" w:ascii="宋体" w:hAnsi="宋体" w:cs="宋体"/>
          <w:bCs/>
          <w:color w:val="000000"/>
          <w:sz w:val="24"/>
        </w:rPr>
        <w:t>（1）清点事故现场人员是否为事故发生前人数；</w:t>
      </w:r>
    </w:p>
    <w:p>
      <w:pPr>
        <w:adjustRightInd w:val="0"/>
        <w:snapToGrid w:val="0"/>
        <w:spacing w:line="360" w:lineRule="auto"/>
        <w:ind w:firstLine="480"/>
        <w:rPr>
          <w:rFonts w:ascii="宋体" w:hAnsi="宋体" w:cs="宋体"/>
          <w:bCs/>
          <w:color w:val="000000"/>
          <w:sz w:val="24"/>
        </w:rPr>
      </w:pPr>
      <w:r>
        <w:rPr>
          <w:rFonts w:hint="eastAsia" w:ascii="宋体" w:hAnsi="宋体" w:cs="宋体"/>
          <w:bCs/>
          <w:color w:val="000000"/>
          <w:sz w:val="24"/>
        </w:rPr>
        <w:t>（2）紧急疏散非事故现场人员至安全区；</w:t>
      </w:r>
    </w:p>
    <w:p>
      <w:pPr>
        <w:adjustRightInd w:val="0"/>
        <w:snapToGrid w:val="0"/>
        <w:spacing w:line="360" w:lineRule="auto"/>
        <w:ind w:firstLine="480"/>
        <w:rPr>
          <w:rFonts w:ascii="宋体" w:hAnsi="宋体" w:cs="宋体"/>
          <w:bCs/>
          <w:color w:val="000000"/>
          <w:sz w:val="24"/>
        </w:rPr>
      </w:pPr>
      <w:r>
        <w:rPr>
          <w:rFonts w:hint="eastAsia" w:ascii="宋体" w:hAnsi="宋体" w:cs="宋体"/>
          <w:bCs/>
          <w:color w:val="000000"/>
          <w:sz w:val="24"/>
        </w:rPr>
        <w:t>（3）做出抢救人员撤离前、撤离后的报告；</w:t>
      </w:r>
    </w:p>
    <w:p>
      <w:pPr>
        <w:adjustRightInd w:val="0"/>
        <w:snapToGrid w:val="0"/>
        <w:spacing w:line="360" w:lineRule="auto"/>
        <w:ind w:firstLine="480"/>
      </w:pPr>
      <w:r>
        <w:rPr>
          <w:rFonts w:hint="eastAsia" w:ascii="宋体" w:hAnsi="宋体" w:cs="宋体"/>
          <w:bCs/>
          <w:color w:val="000000"/>
          <w:sz w:val="24"/>
        </w:rPr>
        <w:t>（4）通知周边区域单位、社区人员疏散撤离并告知方式方法。</w:t>
      </w:r>
      <w:bookmarkEnd w:id="438"/>
    </w:p>
    <w:p>
      <w:pPr>
        <w:spacing w:line="360" w:lineRule="auto"/>
        <w:ind w:firstLine="482" w:firstLineChars="200"/>
        <w:rPr>
          <w:rFonts w:ascii="宋体" w:hAnsi="宋体" w:cs="宋体"/>
          <w:b/>
          <w:color w:val="000000"/>
          <w:sz w:val="24"/>
        </w:rPr>
      </w:pPr>
      <w:bookmarkStart w:id="439" w:name="_Toc408503130"/>
      <w:bookmarkStart w:id="440" w:name="_Toc396934399"/>
      <w:bookmarkStart w:id="441" w:name="_Toc399352227"/>
      <w:bookmarkStart w:id="442" w:name="_Toc395805025"/>
      <w:bookmarkStart w:id="443" w:name="_Toc383173025"/>
      <w:bookmarkStart w:id="444" w:name="_Toc383072818"/>
      <w:bookmarkStart w:id="445" w:name="_Toc396237269"/>
      <w:bookmarkStart w:id="446" w:name="_Toc405881584"/>
      <w:bookmarkStart w:id="447" w:name="_Toc403659406"/>
      <w:bookmarkStart w:id="448" w:name="_Toc405384572"/>
      <w:bookmarkStart w:id="449" w:name="_Toc402875737"/>
      <w:bookmarkStart w:id="450" w:name="_Toc378105702"/>
      <w:r>
        <w:rPr>
          <w:rFonts w:hint="eastAsia" w:ascii="宋体" w:hAnsi="宋体" w:cs="宋体"/>
          <w:b/>
          <w:color w:val="000000"/>
          <w:sz w:val="24"/>
        </w:rPr>
        <w:t>4、撤离路线确定</w:t>
      </w:r>
      <w:bookmarkEnd w:id="439"/>
      <w:bookmarkEnd w:id="440"/>
      <w:bookmarkEnd w:id="441"/>
      <w:bookmarkEnd w:id="442"/>
      <w:bookmarkEnd w:id="443"/>
      <w:bookmarkEnd w:id="444"/>
      <w:bookmarkEnd w:id="445"/>
      <w:bookmarkEnd w:id="446"/>
      <w:bookmarkEnd w:id="447"/>
      <w:bookmarkEnd w:id="448"/>
      <w:bookmarkEnd w:id="449"/>
      <w:bookmarkEnd w:id="450"/>
    </w:p>
    <w:p>
      <w:pPr>
        <w:spacing w:line="360" w:lineRule="auto"/>
        <w:ind w:firstLine="480" w:firstLineChars="200"/>
        <w:rPr>
          <w:rFonts w:ascii="宋体" w:hAnsi="宋体" w:cs="宋体"/>
          <w:color w:val="000000"/>
          <w:sz w:val="24"/>
        </w:rPr>
      </w:pPr>
      <w:bookmarkStart w:id="451" w:name="_Toc396934400"/>
      <w:bookmarkStart w:id="452" w:name="_Toc405881585"/>
      <w:bookmarkStart w:id="453" w:name="_Toc383173026"/>
      <w:bookmarkStart w:id="454" w:name="_Toc396237270"/>
      <w:bookmarkStart w:id="455" w:name="_Toc395805026"/>
      <w:bookmarkStart w:id="456" w:name="_Toc405384573"/>
      <w:bookmarkStart w:id="457" w:name="_Toc378105703"/>
      <w:bookmarkStart w:id="458" w:name="_Toc402875738"/>
      <w:bookmarkStart w:id="459" w:name="_Toc403659407"/>
      <w:bookmarkStart w:id="460" w:name="_Toc408503131"/>
      <w:bookmarkStart w:id="461" w:name="_Toc383072819"/>
      <w:bookmarkStart w:id="462" w:name="_Toc399352228"/>
      <w:r>
        <w:rPr>
          <w:rFonts w:hint="eastAsia" w:ascii="宋体" w:hAnsi="宋体" w:cs="宋体"/>
          <w:color w:val="000000"/>
          <w:sz w:val="24"/>
        </w:rPr>
        <w:t>项目应急逃生路线图见附图</w:t>
      </w:r>
      <w:r>
        <w:rPr>
          <w:rFonts w:hint="eastAsia" w:ascii="宋体" w:hAnsi="宋体" w:cs="宋体"/>
          <w:color w:val="000000"/>
          <w:sz w:val="24"/>
          <w:lang w:val="en-US" w:eastAsia="zh-CN"/>
        </w:rPr>
        <w:t>6</w:t>
      </w:r>
      <w:r>
        <w:rPr>
          <w:rFonts w:hint="eastAsia" w:ascii="宋体" w:hAnsi="宋体" w:cs="宋体"/>
          <w:color w:val="000000"/>
          <w:sz w:val="24"/>
        </w:rPr>
        <w:t>。</w:t>
      </w:r>
    </w:p>
    <w:p>
      <w:pPr>
        <w:spacing w:line="360" w:lineRule="auto"/>
        <w:ind w:firstLine="482" w:firstLineChars="200"/>
        <w:rPr>
          <w:rFonts w:ascii="宋体" w:hAnsi="宋体" w:cs="宋体"/>
          <w:b/>
          <w:color w:val="000000"/>
          <w:sz w:val="24"/>
        </w:rPr>
      </w:pPr>
      <w:r>
        <w:rPr>
          <w:rFonts w:hint="eastAsia" w:ascii="宋体" w:hAnsi="宋体" w:cs="宋体"/>
          <w:b/>
          <w:color w:val="000000"/>
          <w:sz w:val="24"/>
        </w:rPr>
        <w:t>5、周边企业人员的紧急疏散</w:t>
      </w:r>
      <w:bookmarkEnd w:id="451"/>
      <w:bookmarkEnd w:id="452"/>
      <w:bookmarkEnd w:id="453"/>
      <w:bookmarkEnd w:id="454"/>
      <w:bookmarkEnd w:id="455"/>
      <w:bookmarkEnd w:id="456"/>
      <w:bookmarkEnd w:id="457"/>
      <w:bookmarkEnd w:id="458"/>
      <w:bookmarkEnd w:id="459"/>
      <w:bookmarkEnd w:id="460"/>
      <w:bookmarkEnd w:id="461"/>
      <w:bookmarkEnd w:id="462"/>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根据危险化学品事故的危害特性和事故的涉及或影响范围，应急指挥部应及时将事故情况汇报当地政府及有关部门，指导周边区域的企业进行疏散工作。</w:t>
      </w:r>
    </w:p>
    <w:p>
      <w:pPr>
        <w:spacing w:line="360" w:lineRule="auto"/>
        <w:ind w:firstLine="482" w:firstLineChars="200"/>
        <w:rPr>
          <w:rFonts w:ascii="宋体" w:hAnsi="宋体" w:cs="宋体"/>
          <w:b/>
          <w:color w:val="000000"/>
          <w:sz w:val="24"/>
        </w:rPr>
      </w:pPr>
      <w:bookmarkStart w:id="463" w:name="_Toc378105704"/>
      <w:bookmarkStart w:id="464" w:name="_Toc395805027"/>
      <w:bookmarkStart w:id="465" w:name="_Toc383173027"/>
      <w:bookmarkStart w:id="466" w:name="_Toc396237271"/>
      <w:bookmarkStart w:id="467" w:name="_Toc396934401"/>
      <w:bookmarkStart w:id="468" w:name="_Toc399352229"/>
      <w:bookmarkStart w:id="469" w:name="_Toc405881586"/>
      <w:bookmarkStart w:id="470" w:name="_Toc402875739"/>
      <w:bookmarkStart w:id="471" w:name="_Toc408503132"/>
      <w:bookmarkStart w:id="472" w:name="_Toc405384574"/>
      <w:bookmarkStart w:id="473" w:name="_Toc383072820"/>
      <w:bookmarkStart w:id="474" w:name="_Toc403659408"/>
      <w:r>
        <w:rPr>
          <w:rFonts w:hint="eastAsia" w:ascii="宋体" w:hAnsi="宋体" w:cs="宋体"/>
          <w:b/>
          <w:color w:val="000000"/>
          <w:sz w:val="24"/>
        </w:rPr>
        <w:t>6、其他人员的疏散</w:t>
      </w:r>
      <w:bookmarkEnd w:id="463"/>
      <w:bookmarkEnd w:id="464"/>
      <w:bookmarkEnd w:id="465"/>
      <w:bookmarkEnd w:id="466"/>
      <w:bookmarkEnd w:id="467"/>
      <w:bookmarkEnd w:id="468"/>
      <w:bookmarkEnd w:id="469"/>
      <w:bookmarkEnd w:id="470"/>
      <w:bookmarkEnd w:id="471"/>
      <w:bookmarkEnd w:id="472"/>
      <w:bookmarkEnd w:id="473"/>
      <w:bookmarkEnd w:id="474"/>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根据危险化学品事故的危害特性和事故的涉及或影响范围，由应急指挥部决定是否需要向周边地区发布信息，并与当地政府有关部门联系，配合政府疏散的相关工作，确保周边区域的人员安全疏散。</w:t>
      </w:r>
    </w:p>
    <w:p>
      <w:pPr>
        <w:pStyle w:val="5"/>
      </w:pPr>
      <w:bookmarkStart w:id="475" w:name="_Toc4547"/>
      <w:bookmarkStart w:id="476" w:name="_Toc342165906"/>
      <w:bookmarkStart w:id="477" w:name="_Toc408503133"/>
      <w:bookmarkStart w:id="478" w:name="_Toc46857529"/>
      <w:bookmarkStart w:id="479" w:name="_Toc43203004"/>
      <w:r>
        <w:rPr>
          <w:rFonts w:hint="eastAsia"/>
          <w:lang w:val="en-US" w:eastAsia="zh-CN"/>
        </w:rPr>
        <w:t>5</w:t>
      </w:r>
      <w:r>
        <w:rPr>
          <w:rFonts w:hint="eastAsia"/>
        </w:rPr>
        <w:t>.8现场救援、防护措施</w:t>
      </w:r>
      <w:bookmarkEnd w:id="475"/>
      <w:bookmarkEnd w:id="476"/>
      <w:bookmarkEnd w:id="477"/>
      <w:bookmarkEnd w:id="478"/>
      <w:bookmarkEnd w:id="479"/>
    </w:p>
    <w:p>
      <w:pPr>
        <w:adjustRightInd w:val="0"/>
        <w:snapToGrid w:val="0"/>
        <w:spacing w:beforeLines="50" w:line="360" w:lineRule="auto"/>
        <w:ind w:firstLine="482" w:firstLineChars="200"/>
        <w:rPr>
          <w:rFonts w:ascii="宋体" w:hAnsi="宋体" w:cs="宋体"/>
          <w:b/>
          <w:color w:val="000000"/>
          <w:sz w:val="24"/>
        </w:rPr>
      </w:pPr>
      <w:r>
        <w:rPr>
          <w:rFonts w:hint="eastAsia" w:ascii="宋体" w:hAnsi="宋体" w:cs="宋体"/>
          <w:b/>
          <w:color w:val="000000"/>
          <w:sz w:val="24"/>
        </w:rPr>
        <w:t>1</w:t>
      </w:r>
      <w:r>
        <w:rPr>
          <w:rFonts w:ascii="宋体" w:hAnsi="宋体" w:cs="宋体"/>
          <w:b/>
          <w:color w:val="000000"/>
          <w:sz w:val="24"/>
        </w:rPr>
        <w:t>.</w:t>
      </w:r>
      <w:r>
        <w:rPr>
          <w:rFonts w:hint="eastAsia" w:ascii="宋体" w:hAnsi="宋体" w:cs="宋体"/>
          <w:b/>
          <w:color w:val="000000"/>
          <w:sz w:val="24"/>
        </w:rPr>
        <w:t>现场人员应急救援</w:t>
      </w:r>
    </w:p>
    <w:p>
      <w:pPr>
        <w:spacing w:line="360" w:lineRule="auto"/>
        <w:ind w:firstLine="480" w:firstLineChars="200"/>
        <w:rPr>
          <w:rFonts w:ascii="宋体" w:hAnsi="宋体" w:cs="宋体"/>
          <w:sz w:val="24"/>
        </w:rPr>
      </w:pPr>
      <w:r>
        <w:rPr>
          <w:rFonts w:hint="eastAsia" w:ascii="宋体" w:hAnsi="宋体" w:cs="宋体"/>
          <w:sz w:val="24"/>
        </w:rPr>
        <w:t>（1）当发生灾害后，在救护队和医生到达之前，事故地点及附近的职工应迅速组织自救和互救。利用现场一切器材和条件，及时采取救护措施，尽量减少人员伤亡。</w:t>
      </w:r>
    </w:p>
    <w:p>
      <w:pPr>
        <w:spacing w:line="360" w:lineRule="auto"/>
        <w:ind w:firstLine="480" w:firstLineChars="200"/>
        <w:rPr>
          <w:rFonts w:ascii="宋体" w:hAnsi="宋体" w:cs="宋体"/>
          <w:sz w:val="24"/>
        </w:rPr>
      </w:pPr>
      <w:r>
        <w:rPr>
          <w:rFonts w:hint="eastAsia" w:ascii="宋体" w:hAnsi="宋体" w:cs="宋体"/>
          <w:sz w:val="24"/>
        </w:rPr>
        <w:t>（2）因事故造成自己所在地点有毒有害气体含量增高，可能危及人员生命安全时，必须及时正确地佩戴自救器，并严格制止不佩戴自救器的人员进入灾区工作或通过窒息区撤离。</w:t>
      </w:r>
    </w:p>
    <w:p>
      <w:pPr>
        <w:spacing w:line="360" w:lineRule="auto"/>
        <w:ind w:firstLine="480" w:firstLineChars="200"/>
        <w:rPr>
          <w:rFonts w:ascii="宋体" w:hAnsi="宋体" w:cs="宋体"/>
          <w:sz w:val="24"/>
        </w:rPr>
      </w:pPr>
      <w:r>
        <w:rPr>
          <w:rFonts w:hint="eastAsia" w:ascii="宋体" w:hAnsi="宋体" w:cs="宋体"/>
          <w:sz w:val="24"/>
        </w:rPr>
        <w:t>（3）在受灾地点或撤退途中发现受伤的人员，只要他们一息尚存，就要积极组织人员进行抢救并迅速搬运到安全地点。</w:t>
      </w:r>
    </w:p>
    <w:p>
      <w:pPr>
        <w:spacing w:line="360" w:lineRule="auto"/>
        <w:ind w:firstLine="480" w:firstLineChars="200"/>
        <w:rPr>
          <w:rFonts w:ascii="宋体" w:hAnsi="宋体" w:cs="宋体"/>
          <w:sz w:val="24"/>
        </w:rPr>
      </w:pPr>
      <w:r>
        <w:rPr>
          <w:rFonts w:hint="eastAsia" w:ascii="宋体" w:hAnsi="宋体" w:cs="宋体"/>
          <w:sz w:val="24"/>
        </w:rPr>
        <w:t>（4）在现场急救和搬运伤员过程中，方法要得当，动作要轻巧，避免伤员伤势加重和承受不必要的痛苦。</w:t>
      </w:r>
    </w:p>
    <w:p>
      <w:pPr>
        <w:spacing w:line="360" w:lineRule="auto"/>
        <w:ind w:firstLine="480" w:firstLineChars="200"/>
        <w:rPr>
          <w:rFonts w:ascii="宋体" w:hAnsi="宋体" w:cs="宋体"/>
          <w:sz w:val="24"/>
        </w:rPr>
      </w:pPr>
      <w:r>
        <w:rPr>
          <w:rFonts w:hint="eastAsia" w:ascii="宋体" w:hAnsi="宋体" w:cs="宋体"/>
          <w:sz w:val="24"/>
        </w:rPr>
        <w:t>（5）对于从灾区内营救出来的伤员，应妥善安置到安全地点，并根据伤情，就地取材，及时进行止血，包扎、骨折固定、人工呼吸等应急处理。</w:t>
      </w:r>
    </w:p>
    <w:p>
      <w:pPr>
        <w:spacing w:line="360" w:lineRule="auto"/>
        <w:ind w:firstLine="480" w:firstLineChars="200"/>
        <w:rPr>
          <w:rFonts w:ascii="宋体" w:hAnsi="宋体" w:cs="宋体"/>
          <w:sz w:val="24"/>
        </w:rPr>
      </w:pPr>
      <w:r>
        <w:rPr>
          <w:rFonts w:hint="eastAsia" w:ascii="宋体" w:hAnsi="宋体" w:cs="宋体"/>
          <w:sz w:val="24"/>
        </w:rPr>
        <w:t xml:space="preserve">（6）毒性防护及现场救护：如果皮肤接触，脱去污染的衣物，立即用水冲洗至少 15 分钟或用 2%碳酸氢钠溶液冲洗，并立即就医。如是眼睛接触，立即提起眼睑，用大量流动清水或生理盐水冲洗至少15 分钟并立即就医。如发生毒性气体吸入，应迅速脱离现场至空气新鲜处，呼吸困难时给予输氧，立即就医。 </w:t>
      </w:r>
    </w:p>
    <w:p>
      <w:pPr>
        <w:spacing w:line="360" w:lineRule="auto"/>
        <w:ind w:firstLine="480" w:firstLineChars="200"/>
        <w:rPr>
          <w:rFonts w:ascii="宋体" w:hAnsi="宋体" w:cs="宋体"/>
          <w:color w:val="FF0000"/>
          <w:sz w:val="24"/>
        </w:rPr>
      </w:pPr>
      <w:r>
        <w:rPr>
          <w:rFonts w:hint="eastAsia" w:ascii="宋体" w:hAnsi="宋体" w:cs="宋体"/>
          <w:sz w:val="24"/>
        </w:rPr>
        <w:t>（7）医院救治：当人员发生重大伤害后，立即采取先期救治措施后，由人事行政部安排车辆立即送往</w:t>
      </w:r>
      <w:r>
        <w:rPr>
          <w:rFonts w:hint="eastAsia" w:ascii="宋体" w:hAnsi="宋体" w:cs="宋体"/>
          <w:sz w:val="24"/>
          <w:lang w:eastAsia="zh-CN"/>
        </w:rPr>
        <w:t>宜春市人民医院</w:t>
      </w:r>
      <w:r>
        <w:rPr>
          <w:rFonts w:hint="eastAsia" w:ascii="宋体" w:hAnsi="宋体" w:cs="宋体"/>
          <w:sz w:val="24"/>
        </w:rPr>
        <w:t>进行救治。</w:t>
      </w:r>
    </w:p>
    <w:p>
      <w:pPr>
        <w:adjustRightInd w:val="0"/>
        <w:snapToGrid w:val="0"/>
        <w:spacing w:beforeLines="50" w:line="360" w:lineRule="auto"/>
        <w:ind w:firstLine="482" w:firstLineChars="200"/>
        <w:rPr>
          <w:rFonts w:ascii="宋体" w:hAnsi="宋体" w:cs="宋体"/>
          <w:b/>
          <w:color w:val="000000"/>
          <w:sz w:val="24"/>
        </w:rPr>
      </w:pPr>
      <w:r>
        <w:rPr>
          <w:rFonts w:hint="eastAsia" w:ascii="宋体" w:hAnsi="宋体" w:cs="宋体"/>
          <w:b/>
          <w:color w:val="000000"/>
          <w:sz w:val="24"/>
        </w:rPr>
        <w:t>2</w:t>
      </w:r>
      <w:r>
        <w:rPr>
          <w:rFonts w:ascii="宋体" w:hAnsi="宋体" w:cs="宋体"/>
          <w:b/>
          <w:color w:val="000000"/>
          <w:sz w:val="24"/>
        </w:rPr>
        <w:t>.</w:t>
      </w:r>
      <w:r>
        <w:rPr>
          <w:rFonts w:hint="eastAsia" w:ascii="宋体" w:hAnsi="宋体" w:cs="宋体"/>
          <w:b/>
          <w:color w:val="000000"/>
          <w:sz w:val="24"/>
        </w:rPr>
        <w:t>受灾群众安全防护</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当地政府组织做好事故发生地群众的安全防护工作，要根据突发环境事件的性质、特点，告知群众应采取的安全防护措施，条件允许和必要时，应尽可能提供防护物品；并根据事发时当地的气象、地理环境、人员密集程度等情况，确定群众疏散方式和方向，乡镇（街道）组织群众安全疏散、撤离，必要时可在事发地安全边界之外设立紧急避难场所。</w:t>
      </w:r>
    </w:p>
    <w:p>
      <w:pPr>
        <w:pStyle w:val="5"/>
      </w:pPr>
      <w:bookmarkStart w:id="480" w:name="_Toc408503134"/>
      <w:bookmarkStart w:id="481" w:name="_Toc43203005"/>
      <w:bookmarkStart w:id="482" w:name="_Toc342165907"/>
      <w:bookmarkStart w:id="483" w:name="_Toc22182"/>
      <w:bookmarkStart w:id="484" w:name="_Toc46857530"/>
      <w:r>
        <w:rPr>
          <w:rFonts w:hint="eastAsia"/>
          <w:lang w:val="en-US" w:eastAsia="zh-CN"/>
        </w:rPr>
        <w:t>5</w:t>
      </w:r>
      <w:r>
        <w:rPr>
          <w:rFonts w:hint="eastAsia"/>
        </w:rPr>
        <w:t>.9应急监测</w:t>
      </w:r>
      <w:bookmarkEnd w:id="480"/>
      <w:bookmarkEnd w:id="481"/>
      <w:bookmarkEnd w:id="482"/>
      <w:bookmarkEnd w:id="483"/>
      <w:bookmarkEnd w:id="484"/>
    </w:p>
    <w:p>
      <w:pPr>
        <w:spacing w:line="360" w:lineRule="auto"/>
        <w:ind w:firstLine="480" w:firstLineChars="200"/>
        <w:rPr>
          <w:sz w:val="24"/>
        </w:rPr>
      </w:pPr>
      <w:r>
        <w:rPr>
          <w:sz w:val="24"/>
        </w:rPr>
        <w:t>企业应配备应急监测设备及人员，随时接受来自项目总调度室、各部门的污染事故信息，及时采取应急监测方案，出动应急监测人员和分析人员，配合环保部门进行环境事故污染源的调查与处置。</w:t>
      </w:r>
    </w:p>
    <w:p>
      <w:pPr>
        <w:spacing w:line="360" w:lineRule="auto"/>
        <w:ind w:firstLine="480" w:firstLineChars="200"/>
        <w:rPr>
          <w:sz w:val="24"/>
        </w:rPr>
      </w:pPr>
      <w:r>
        <w:rPr>
          <w:sz w:val="24"/>
        </w:rPr>
        <w:t>应急监测体系如下：</w:t>
      </w:r>
    </w:p>
    <w:p>
      <w:pPr>
        <w:spacing w:line="360" w:lineRule="auto"/>
        <w:ind w:firstLine="480" w:firstLineChars="200"/>
        <w:rPr>
          <w:sz w:val="24"/>
        </w:rPr>
      </w:pPr>
      <w:r>
        <w:rPr>
          <w:sz w:val="24"/>
        </w:rPr>
        <w:t>本项目应制定环境应急监测制度和计划，包括监测机构及职责、监测人员及装备配置、监测任务（危险源及环境要素、项目、布点、方法、频率等）、监测质量保证等内容，以适应环境应急监测工作的需要。事故应急监测也可委托地方监测部门进行。在发生事故时，应及时通知监测部门开展监测工作，并协助地方人民政府开展相关应急监测工作，编制应急监测快报和正式报告。</w:t>
      </w:r>
    </w:p>
    <w:p>
      <w:pPr>
        <w:spacing w:line="360" w:lineRule="auto"/>
        <w:ind w:firstLine="480" w:firstLineChars="200"/>
        <w:rPr>
          <w:sz w:val="24"/>
        </w:rPr>
      </w:pPr>
      <w:r>
        <w:rPr>
          <w:sz w:val="24"/>
        </w:rPr>
        <w:t>应急监测快报的主要内容应包括：事故发生的时间，接到通知的时间，到达现场监测的时间；事故发生的具体位置及主要污染物的名称；监测实施方案，包括采样点位、监测项目与频次、监测方法等；事故原因及伤亡损失情况的初步分析；主要污染物的流失量、浓度及影响范围的初步估算；简要说明污染物的有害特性、可能产生的危害及处理处置建议；附现场示意图及录像或照片（有条件的情况下）。</w:t>
      </w:r>
    </w:p>
    <w:p>
      <w:pPr>
        <w:spacing w:line="360" w:lineRule="auto"/>
        <w:ind w:firstLine="480" w:firstLineChars="200"/>
        <w:rPr>
          <w:sz w:val="24"/>
        </w:rPr>
      </w:pPr>
      <w:r>
        <w:rPr>
          <w:sz w:val="24"/>
        </w:rPr>
        <w:t>初步监测方案</w:t>
      </w:r>
      <w:r>
        <w:rPr>
          <w:rFonts w:hint="eastAsia"/>
          <w:sz w:val="24"/>
        </w:rPr>
        <w:t>具体见表：</w:t>
      </w:r>
    </w:p>
    <w:p>
      <w:pPr>
        <w:pStyle w:val="46"/>
        <w:ind w:firstLine="482"/>
        <w:jc w:val="center"/>
        <w:rPr>
          <w:b/>
        </w:rPr>
      </w:pPr>
      <w:r>
        <w:rPr>
          <w:rFonts w:hint="eastAsia"/>
          <w:b/>
        </w:rPr>
        <w:t>表</w:t>
      </w:r>
      <w:r>
        <w:rPr>
          <w:rFonts w:hint="eastAsia"/>
          <w:b/>
          <w:lang w:val="en-US" w:eastAsia="zh-CN"/>
        </w:rPr>
        <w:t>5</w:t>
      </w:r>
      <w:r>
        <w:rPr>
          <w:b/>
        </w:rPr>
        <w:t xml:space="preserve">.9-1 </w:t>
      </w:r>
      <w:r>
        <w:rPr>
          <w:rFonts w:hint="eastAsia"/>
          <w:b/>
        </w:rPr>
        <w:t>应急监测方案表</w:t>
      </w:r>
    </w:p>
    <w:tbl>
      <w:tblPr>
        <w:tblStyle w:val="48"/>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84"/>
        <w:gridCol w:w="2480"/>
        <w:gridCol w:w="3006"/>
        <w:gridCol w:w="1371"/>
        <w:gridCol w:w="112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184"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类型</w:t>
            </w:r>
          </w:p>
        </w:tc>
        <w:tc>
          <w:tcPr>
            <w:tcW w:w="2480"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布点采样</w:t>
            </w:r>
          </w:p>
        </w:tc>
        <w:tc>
          <w:tcPr>
            <w:tcW w:w="3006"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监测频次</w:t>
            </w:r>
          </w:p>
        </w:tc>
        <w:tc>
          <w:tcPr>
            <w:tcW w:w="1371"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监测因子</w:t>
            </w:r>
          </w:p>
        </w:tc>
        <w:tc>
          <w:tcPr>
            <w:tcW w:w="1121"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监测人员、设备及方法</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83" w:hRule="atLeast"/>
        </w:trPr>
        <w:tc>
          <w:tcPr>
            <w:tcW w:w="1184"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废气非正常排放</w:t>
            </w:r>
          </w:p>
        </w:tc>
        <w:tc>
          <w:tcPr>
            <w:tcW w:w="2480" w:type="dxa"/>
            <w:vAlign w:val="center"/>
          </w:tcPr>
          <w:p>
            <w:pPr>
              <w:keepNext w:val="0"/>
              <w:keepLines w:val="0"/>
              <w:suppressLineNumbers w:val="0"/>
              <w:spacing w:before="0" w:beforeAutospacing="0" w:after="0" w:afterAutospacing="0"/>
              <w:ind w:left="0" w:right="0"/>
              <w:jc w:val="center"/>
              <w:rPr>
                <w:rFonts w:hint="eastAsia" w:ascii="宋体" w:hAnsi="宋体" w:eastAsia="宋体"/>
                <w:szCs w:val="21"/>
                <w:lang w:val="en-US" w:eastAsia="zh-CN"/>
              </w:rPr>
            </w:pPr>
            <w:r>
              <w:rPr>
                <w:rFonts w:hint="eastAsia" w:ascii="宋体" w:hAnsi="宋体"/>
                <w:szCs w:val="21"/>
                <w:lang w:val="en-US" w:eastAsia="zh-CN"/>
              </w:rPr>
              <w:t>厂界</w:t>
            </w:r>
          </w:p>
        </w:tc>
        <w:tc>
          <w:tcPr>
            <w:tcW w:w="3006"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事发：次/</w:t>
            </w:r>
            <w:r>
              <w:rPr>
                <w:rFonts w:hint="eastAsia" w:ascii="宋体" w:hAnsi="宋体"/>
                <w:szCs w:val="21"/>
                <w:lang w:val="en-US" w:eastAsia="zh-CN"/>
              </w:rPr>
              <w:t>2</w:t>
            </w:r>
            <w:r>
              <w:rPr>
                <w:rFonts w:hint="eastAsia" w:ascii="宋体" w:hAnsi="宋体"/>
                <w:szCs w:val="21"/>
              </w:rPr>
              <w:t>h</w:t>
            </w:r>
          </w:p>
          <w:p>
            <w:pPr>
              <w:pStyle w:val="46"/>
              <w:keepNext w:val="0"/>
              <w:keepLines w:val="0"/>
              <w:suppressLineNumbers w:val="0"/>
              <w:spacing w:before="0" w:beforeAutospacing="0" w:afterAutospacing="0"/>
              <w:ind w:right="0" w:firstLine="0" w:firstLineChars="0"/>
              <w:jc w:val="center"/>
              <w:rPr>
                <w:rFonts w:ascii="宋体" w:hAnsi="宋体"/>
                <w:szCs w:val="21"/>
              </w:rPr>
            </w:pPr>
            <w:r>
              <w:rPr>
                <w:rFonts w:hint="eastAsia" w:ascii="宋体" w:hAnsi="宋体"/>
                <w:sz w:val="21"/>
                <w:szCs w:val="21"/>
              </w:rPr>
              <w:t>事中：次/天</w:t>
            </w:r>
          </w:p>
          <w:p>
            <w:pPr>
              <w:pStyle w:val="46"/>
              <w:keepNext w:val="0"/>
              <w:keepLines w:val="0"/>
              <w:suppressLineNumbers w:val="0"/>
              <w:spacing w:before="0" w:beforeAutospacing="0" w:afterAutospacing="0"/>
              <w:ind w:right="0" w:firstLine="0" w:firstLineChars="0"/>
              <w:jc w:val="center"/>
              <w:rPr>
                <w:rFonts w:ascii="宋体" w:hAnsi="宋体"/>
                <w:szCs w:val="21"/>
              </w:rPr>
            </w:pPr>
            <w:r>
              <w:rPr>
                <w:rFonts w:hint="eastAsia" w:ascii="宋体" w:hAnsi="宋体"/>
                <w:sz w:val="21"/>
                <w:szCs w:val="21"/>
              </w:rPr>
              <w:t>事后：次/年</w:t>
            </w:r>
          </w:p>
          <w:p>
            <w:pPr>
              <w:pStyle w:val="46"/>
              <w:keepNext w:val="0"/>
              <w:keepLines w:val="0"/>
              <w:suppressLineNumbers w:val="0"/>
              <w:spacing w:before="0" w:beforeAutospacing="0" w:afterAutospacing="0"/>
              <w:ind w:right="0" w:firstLine="480"/>
              <w:jc w:val="center"/>
              <w:rPr>
                <w:rFonts w:ascii="宋体" w:hAnsi="宋体"/>
                <w:szCs w:val="21"/>
              </w:rPr>
            </w:pPr>
          </w:p>
        </w:tc>
        <w:tc>
          <w:tcPr>
            <w:tcW w:w="1371" w:type="dxa"/>
            <w:vAlign w:val="center"/>
          </w:tcPr>
          <w:p>
            <w:pPr>
              <w:keepNext w:val="0"/>
              <w:keepLines w:val="0"/>
              <w:suppressLineNumbers w:val="0"/>
              <w:spacing w:before="0" w:beforeAutospacing="0" w:after="0" w:afterAutospacing="0"/>
              <w:ind w:left="0" w:right="0"/>
              <w:jc w:val="center"/>
              <w:rPr>
                <w:rFonts w:hint="default" w:ascii="宋体" w:hAnsi="宋体"/>
                <w:szCs w:val="21"/>
                <w:lang w:val="en-US"/>
              </w:rPr>
            </w:pPr>
            <w:r>
              <w:rPr>
                <w:rFonts w:hint="eastAsia" w:ascii="宋体" w:hAnsi="宋体"/>
                <w:szCs w:val="21"/>
                <w:lang w:val="en-US" w:eastAsia="zh-CN"/>
              </w:rPr>
              <w:t>非甲烷总烃、</w:t>
            </w:r>
            <w:r>
              <w:rPr>
                <w:rFonts w:hint="eastAsia" w:ascii="宋体" w:hAnsi="宋体" w:eastAsia="宋体" w:cs="Times New Roman"/>
                <w:b w:val="0"/>
                <w:bCs w:val="0"/>
                <w:sz w:val="21"/>
                <w:szCs w:val="21"/>
              </w:rPr>
              <w:t>VOCS</w:t>
            </w:r>
          </w:p>
        </w:tc>
        <w:tc>
          <w:tcPr>
            <w:tcW w:w="1121" w:type="dxa"/>
            <w:vMerge w:val="restart"/>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委托相关机构进行监测</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70" w:hRule="atLeast"/>
        </w:trPr>
        <w:tc>
          <w:tcPr>
            <w:tcW w:w="1184"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废水泄露</w:t>
            </w:r>
          </w:p>
        </w:tc>
        <w:tc>
          <w:tcPr>
            <w:tcW w:w="2480" w:type="dxa"/>
            <w:vAlign w:val="center"/>
          </w:tcPr>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在事故影响区域内饮用水和农灌区取水口必须设置采样断面(点)。根据污染物的特性，必要时，对水体应同时布设沉积物采样断面(点)。当采样断面水宽&lt;10m时，在主流中心采样;当断面水宽&gt;1</w:t>
            </w:r>
            <w:r>
              <w:rPr>
                <w:rFonts w:hint="eastAsia" w:ascii="宋体" w:hAnsi="宋体"/>
                <w:szCs w:val="21"/>
                <w:lang w:val="en-US" w:eastAsia="zh-CN"/>
              </w:rPr>
              <w:t>0</w:t>
            </w:r>
            <w:r>
              <w:rPr>
                <w:rFonts w:hint="eastAsia" w:ascii="宋体" w:hAnsi="宋体"/>
                <w:szCs w:val="21"/>
              </w:rPr>
              <w:t>m时，在左、中、右三点采样后混合。</w:t>
            </w:r>
          </w:p>
        </w:tc>
        <w:tc>
          <w:tcPr>
            <w:tcW w:w="3006"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事发：次/</w:t>
            </w:r>
            <w:r>
              <w:rPr>
                <w:rFonts w:hint="eastAsia" w:ascii="宋体" w:hAnsi="宋体"/>
                <w:szCs w:val="21"/>
                <w:lang w:val="en-US" w:eastAsia="zh-CN"/>
              </w:rPr>
              <w:t>2</w:t>
            </w:r>
            <w:r>
              <w:rPr>
                <w:rFonts w:hint="eastAsia" w:ascii="宋体" w:hAnsi="宋体"/>
                <w:szCs w:val="21"/>
              </w:rPr>
              <w:t>h</w:t>
            </w:r>
          </w:p>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事中：4次/天</w:t>
            </w:r>
          </w:p>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事后：次/半年</w:t>
            </w:r>
          </w:p>
        </w:tc>
        <w:tc>
          <w:tcPr>
            <w:tcW w:w="1371"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pH、CODcr、氨氮、总磷等</w:t>
            </w:r>
          </w:p>
        </w:tc>
        <w:tc>
          <w:tcPr>
            <w:tcW w:w="1121" w:type="dxa"/>
            <w:vMerge w:val="continue"/>
            <w:vAlign w:val="center"/>
          </w:tcPr>
          <w:p>
            <w:pPr>
              <w:keepNext w:val="0"/>
              <w:keepLines w:val="0"/>
              <w:suppressLineNumbers w:val="0"/>
              <w:spacing w:before="0" w:beforeAutospacing="0" w:after="0" w:afterAutospacing="0"/>
              <w:ind w:left="0" w:right="0"/>
              <w:jc w:val="center"/>
              <w:rPr>
                <w:rFonts w:ascii="宋体" w:hAnsi="宋体"/>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70" w:hRule="atLeast"/>
        </w:trPr>
        <w:tc>
          <w:tcPr>
            <w:tcW w:w="1184"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化学品泄露</w:t>
            </w:r>
          </w:p>
        </w:tc>
        <w:tc>
          <w:tcPr>
            <w:tcW w:w="2480" w:type="dxa"/>
            <w:vAlign w:val="center"/>
          </w:tcPr>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地表水：在事故影响区域内饮用水和农灌区取水口必须设置采样断面(点)。根据污染物的特性，必要时，对水体应同时布设沉积物采样断面(点)。当采样断面水宽&lt;1</w:t>
            </w:r>
            <w:r>
              <w:rPr>
                <w:rFonts w:hint="eastAsia" w:ascii="宋体" w:hAnsi="宋体"/>
                <w:szCs w:val="21"/>
                <w:lang w:val="en-US" w:eastAsia="zh-CN"/>
              </w:rPr>
              <w:t>0</w:t>
            </w:r>
            <w:r>
              <w:rPr>
                <w:rFonts w:hint="eastAsia" w:ascii="宋体" w:hAnsi="宋体"/>
                <w:szCs w:val="21"/>
              </w:rPr>
              <w:t>m时，在主流中心采样;当断面水宽&gt;10m时，在左、中、右三点采样后混合。</w:t>
            </w:r>
          </w:p>
        </w:tc>
        <w:tc>
          <w:tcPr>
            <w:tcW w:w="3006"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地表水：事发：次/</w:t>
            </w:r>
            <w:r>
              <w:rPr>
                <w:rFonts w:hint="eastAsia" w:ascii="宋体" w:hAnsi="宋体"/>
                <w:szCs w:val="21"/>
                <w:lang w:val="en-US" w:eastAsia="zh-CN"/>
              </w:rPr>
              <w:t>2</w:t>
            </w:r>
            <w:r>
              <w:rPr>
                <w:rFonts w:hint="eastAsia" w:ascii="宋体" w:hAnsi="宋体"/>
                <w:szCs w:val="21"/>
              </w:rPr>
              <w:t>h</w:t>
            </w:r>
          </w:p>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事中：4次/天</w:t>
            </w:r>
          </w:p>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事后：次/半年</w:t>
            </w:r>
          </w:p>
          <w:p>
            <w:pPr>
              <w:pStyle w:val="46"/>
              <w:keepNext w:val="0"/>
              <w:keepLines w:val="0"/>
              <w:suppressLineNumbers w:val="0"/>
              <w:spacing w:before="0" w:beforeAutospacing="0" w:afterAutospacing="0"/>
              <w:ind w:right="0" w:firstLine="480"/>
            </w:pPr>
          </w:p>
        </w:tc>
        <w:tc>
          <w:tcPr>
            <w:tcW w:w="1371"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pH、SS、CODcr、BOD、氨氮、总磷、泄露化学品成分等</w:t>
            </w:r>
          </w:p>
        </w:tc>
        <w:tc>
          <w:tcPr>
            <w:tcW w:w="1121" w:type="dxa"/>
            <w:vMerge w:val="continue"/>
            <w:vAlign w:val="center"/>
          </w:tcPr>
          <w:p>
            <w:pPr>
              <w:keepNext w:val="0"/>
              <w:keepLines w:val="0"/>
              <w:suppressLineNumbers w:val="0"/>
              <w:spacing w:before="0" w:beforeAutospacing="0" w:after="0" w:afterAutospacing="0"/>
              <w:ind w:left="0" w:right="0"/>
              <w:jc w:val="center"/>
              <w:rPr>
                <w:rFonts w:ascii="宋体" w:hAnsi="宋体"/>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14" w:hRule="atLeast"/>
        </w:trPr>
        <w:tc>
          <w:tcPr>
            <w:tcW w:w="1184"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火灾</w:t>
            </w:r>
          </w:p>
        </w:tc>
        <w:tc>
          <w:tcPr>
            <w:tcW w:w="2480" w:type="dxa"/>
            <w:vAlign w:val="center"/>
          </w:tcPr>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①首先应当尽可能在事故发生地就近采样，并以事故地点为中心，根据事故发</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生地的地理特点、风向及其它自然条件，在事故发生地当日的下风向影响区域</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等位置，按50~100米水平间隔布点采样，监控大气污染物的水平扩散情况。②在上风向设置对照点，- -般1~2个。</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③且采样过程中应注意风向的变化，及时调整采样点位置。</w:t>
            </w:r>
          </w:p>
          <w:p>
            <w:pPr>
              <w:keepNext w:val="0"/>
              <w:keepLines w:val="0"/>
              <w:suppressLineNumbers w:val="0"/>
              <w:spacing w:before="0" w:beforeAutospacing="0" w:after="0" w:afterAutospacing="0"/>
              <w:ind w:left="0" w:right="0"/>
              <w:rPr>
                <w:rFonts w:ascii="宋体" w:hAnsi="宋体"/>
                <w:szCs w:val="21"/>
              </w:rPr>
            </w:pPr>
          </w:p>
          <w:p>
            <w:pPr>
              <w:keepNext w:val="0"/>
              <w:keepLines w:val="0"/>
              <w:suppressLineNumbers w:val="0"/>
              <w:spacing w:before="0" w:beforeAutospacing="0" w:after="0" w:afterAutospacing="0"/>
              <w:ind w:left="0" w:right="0"/>
              <w:rPr>
                <w:rFonts w:ascii="宋体" w:hAnsi="宋体"/>
                <w:szCs w:val="21"/>
              </w:rPr>
            </w:pPr>
          </w:p>
        </w:tc>
        <w:tc>
          <w:tcPr>
            <w:tcW w:w="3006" w:type="dxa"/>
            <w:vAlign w:val="center"/>
          </w:tcPr>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初始加密监测，视污染物浓度递减，具体频次如下。</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事故发生地:初始加密(1次/时，事故发生后60分钟内连续监测)，随着污</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染物浓度下降逐渐降低频次;</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周边环境敏感点(1~4个) :</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事故发生地下风向(3~8个) : 4次/天或与事故发生地同频次；</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事故发生地上风向对照点(1~2个) : 1次/天。</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水污染监测要点如下:</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(1)若消防水进入雨水系统，则对消防水进行采样分析，监测指标主要是pH、</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COD、SS、氨氮、石油类、氟化物、总磷;</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(2)监测点位为厂区围堰处。初始加密(6次/天)监测，随着污染物浓度的</w:t>
            </w:r>
          </w:p>
          <w:p>
            <w:pPr>
              <w:keepNext w:val="0"/>
              <w:keepLines w:val="0"/>
              <w:suppressLineNumbers w:val="0"/>
              <w:spacing w:before="0" w:beforeAutospacing="0" w:after="0" w:afterAutospacing="0"/>
              <w:ind w:left="0" w:right="0"/>
              <w:rPr>
                <w:rFonts w:ascii="宋体" w:hAnsi="宋体"/>
                <w:szCs w:val="21"/>
              </w:rPr>
            </w:pPr>
            <w:r>
              <w:rPr>
                <w:rFonts w:hint="eastAsia" w:ascii="宋体" w:hAnsi="宋体"/>
                <w:szCs w:val="21"/>
              </w:rPr>
              <w:t>下降逐渐降低频次。</w:t>
            </w:r>
          </w:p>
        </w:tc>
        <w:tc>
          <w:tcPr>
            <w:tcW w:w="1371" w:type="dxa"/>
            <w:vAlign w:val="center"/>
          </w:tcPr>
          <w:p>
            <w:pPr>
              <w:keepNext w:val="0"/>
              <w:keepLines w:val="0"/>
              <w:suppressLineNumbers w:val="0"/>
              <w:spacing w:before="0" w:beforeAutospacing="0" w:after="0" w:afterAutospacing="0"/>
              <w:ind w:left="0" w:right="0"/>
              <w:jc w:val="center"/>
              <w:rPr>
                <w:rFonts w:ascii="宋体" w:hAnsi="宋体"/>
                <w:szCs w:val="21"/>
              </w:rPr>
            </w:pPr>
            <w:r>
              <w:rPr>
                <w:rFonts w:hint="eastAsia" w:ascii="宋体" w:hAnsi="宋体"/>
                <w:szCs w:val="21"/>
              </w:rPr>
              <w:t>一氧化碳、二氧化硫、二氧化氮、颗粒物等</w:t>
            </w:r>
          </w:p>
        </w:tc>
        <w:tc>
          <w:tcPr>
            <w:tcW w:w="1121" w:type="dxa"/>
            <w:vMerge w:val="continue"/>
            <w:vAlign w:val="center"/>
          </w:tcPr>
          <w:p>
            <w:pPr>
              <w:keepNext w:val="0"/>
              <w:keepLines w:val="0"/>
              <w:suppressLineNumbers w:val="0"/>
              <w:spacing w:before="0" w:beforeAutospacing="0" w:after="0" w:afterAutospacing="0"/>
              <w:ind w:left="0" w:right="0"/>
              <w:jc w:val="center"/>
              <w:rPr>
                <w:rFonts w:ascii="宋体" w:hAnsi="宋体"/>
                <w:szCs w:val="21"/>
              </w:rPr>
            </w:pPr>
          </w:p>
        </w:tc>
      </w:tr>
    </w:tbl>
    <w:p>
      <w:pPr>
        <w:adjustRightInd w:val="0"/>
        <w:snapToGrid w:val="0"/>
        <w:spacing w:line="360" w:lineRule="auto"/>
        <w:ind w:firstLine="482" w:firstLineChars="200"/>
        <w:rPr>
          <w:rFonts w:hint="eastAsia" w:ascii="宋体" w:hAnsi="宋体" w:cs="宋体"/>
          <w:b/>
          <w:color w:val="000000"/>
          <w:sz w:val="24"/>
        </w:rPr>
      </w:pPr>
    </w:p>
    <w:p>
      <w:pPr>
        <w:adjustRightInd w:val="0"/>
        <w:snapToGrid w:val="0"/>
        <w:spacing w:line="360" w:lineRule="auto"/>
        <w:ind w:firstLine="482" w:firstLineChars="200"/>
        <w:rPr>
          <w:rFonts w:ascii="宋体" w:hAnsi="宋体" w:cs="宋体"/>
          <w:b/>
          <w:color w:val="000000"/>
          <w:sz w:val="24"/>
        </w:rPr>
      </w:pPr>
      <w:r>
        <w:rPr>
          <w:rFonts w:hint="eastAsia" w:ascii="宋体" w:hAnsi="宋体" w:cs="宋体"/>
          <w:b/>
          <w:color w:val="000000"/>
          <w:sz w:val="24"/>
        </w:rPr>
        <w:t>监测结果公告</w:t>
      </w:r>
    </w:p>
    <w:p>
      <w:pPr>
        <w:adjustRightInd w:val="0"/>
        <w:snapToGrid w:val="0"/>
        <w:spacing w:line="360" w:lineRule="auto"/>
        <w:ind w:firstLine="480"/>
        <w:rPr>
          <w:rFonts w:ascii="宋体" w:hAnsi="宋体" w:cs="宋体"/>
          <w:color w:val="000000"/>
          <w:sz w:val="24"/>
        </w:rPr>
      </w:pPr>
      <w:r>
        <w:rPr>
          <w:rFonts w:hint="eastAsia" w:ascii="宋体" w:hAnsi="宋体" w:cs="宋体"/>
          <w:color w:val="000000"/>
          <w:sz w:val="24"/>
        </w:rPr>
        <w:t>发生事故性排放后，造成水体或大气污染，须进行废水、废气跟踪监测，并准确记录监测时间、监测天数等，直至废水处理站出水达到标准、地表水与原背景值接近，废气处理设施能够正常运行，公司厂界和周围敏感点大气环境满足相关质量标准要求。监测结果经</w:t>
      </w:r>
      <w:r>
        <w:rPr>
          <w:rFonts w:hint="eastAsia" w:ascii="宋体" w:hAnsi="宋体" w:cs="宋体"/>
          <w:bCs/>
          <w:color w:val="000000"/>
          <w:sz w:val="24"/>
          <w:lang w:eastAsia="zh-CN"/>
        </w:rPr>
        <w:t>宜春市生态环境局宜春经济技术开发区分局</w:t>
      </w:r>
      <w:r>
        <w:rPr>
          <w:rFonts w:hint="eastAsia" w:ascii="宋体" w:hAnsi="宋体" w:cs="宋体"/>
          <w:bCs/>
          <w:color w:val="000000"/>
          <w:sz w:val="24"/>
          <w:lang w:val="en-US" w:eastAsia="zh-CN"/>
        </w:rPr>
        <w:t>报</w:t>
      </w:r>
      <w:r>
        <w:rPr>
          <w:rFonts w:hint="eastAsia" w:ascii="宋体" w:hAnsi="宋体" w:cs="宋体"/>
          <w:color w:val="000000"/>
          <w:sz w:val="24"/>
          <w:lang w:eastAsia="zh-CN"/>
        </w:rPr>
        <w:t>宜春经济技术开发区管委会</w:t>
      </w:r>
      <w:r>
        <w:rPr>
          <w:rFonts w:hint="eastAsia" w:ascii="宋体" w:hAnsi="宋体" w:cs="宋体"/>
          <w:color w:val="000000"/>
          <w:sz w:val="24"/>
        </w:rPr>
        <w:t>批准后及时向公众发布，使公众能够及时、准确了解污染和处置情况。</w:t>
      </w:r>
    </w:p>
    <w:p>
      <w:pPr>
        <w:pStyle w:val="5"/>
      </w:pPr>
      <w:bookmarkStart w:id="485" w:name="_Toc408503139"/>
      <w:bookmarkStart w:id="486" w:name="_Toc383072827"/>
      <w:bookmarkStart w:id="487" w:name="_Toc30746"/>
      <w:bookmarkStart w:id="488" w:name="_Toc43203006"/>
      <w:bookmarkStart w:id="489" w:name="_Toc354489559"/>
      <w:bookmarkStart w:id="490" w:name="_Toc46857531"/>
      <w:r>
        <w:rPr>
          <w:rFonts w:hint="eastAsia"/>
          <w:lang w:val="en-US" w:eastAsia="zh-CN"/>
        </w:rPr>
        <w:t>5</w:t>
      </w:r>
      <w:r>
        <w:rPr>
          <w:rFonts w:hint="eastAsia"/>
        </w:rPr>
        <w:t>.10现场洗消</w:t>
      </w:r>
      <w:bookmarkEnd w:id="485"/>
      <w:bookmarkEnd w:id="486"/>
      <w:bookmarkEnd w:id="487"/>
      <w:bookmarkEnd w:id="488"/>
      <w:bookmarkEnd w:id="489"/>
      <w:bookmarkEnd w:id="490"/>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现场洗消是为了防止危险物质的传播，去除暴露于有毒、有害化学品环境场所的污染，对事故现场和受影响区域的个人、救援装备、现场设备和生态环境进行清洁净化和恢复的过程。</w:t>
      </w:r>
    </w:p>
    <w:p>
      <w:pPr>
        <w:adjustRightInd w:val="0"/>
        <w:snapToGrid w:val="0"/>
        <w:spacing w:line="360" w:lineRule="auto"/>
        <w:ind w:firstLine="480" w:firstLineChars="200"/>
        <w:rPr>
          <w:rFonts w:ascii="宋体" w:hAnsi="宋体" w:cs="宋体"/>
          <w:color w:val="000000"/>
          <w:sz w:val="24"/>
        </w:rPr>
      </w:pPr>
      <w:bookmarkStart w:id="491" w:name="_Toc383173035"/>
      <w:bookmarkStart w:id="492" w:name="_Toc396237279"/>
      <w:bookmarkStart w:id="493" w:name="_Toc378105713"/>
      <w:bookmarkStart w:id="494" w:name="_Toc405384582"/>
      <w:bookmarkStart w:id="495" w:name="_Toc405881594"/>
      <w:bookmarkStart w:id="496" w:name="_Toc403659416"/>
      <w:bookmarkStart w:id="497" w:name="_Toc383072828"/>
      <w:bookmarkStart w:id="498" w:name="_Toc396934409"/>
      <w:bookmarkStart w:id="499" w:name="_Toc408503140"/>
      <w:bookmarkStart w:id="500" w:name="_Toc399352237"/>
      <w:bookmarkStart w:id="501" w:name="_Toc395805035"/>
      <w:bookmarkStart w:id="502" w:name="_Toc402875747"/>
      <w:r>
        <w:rPr>
          <w:rFonts w:hint="eastAsia" w:ascii="宋体" w:hAnsi="宋体" w:cs="宋体"/>
          <w:color w:val="000000"/>
          <w:sz w:val="24"/>
        </w:rPr>
        <w:t>1、现场净化方式、方法</w:t>
      </w:r>
      <w:bookmarkEnd w:id="491"/>
      <w:bookmarkEnd w:id="492"/>
      <w:bookmarkEnd w:id="493"/>
      <w:bookmarkEnd w:id="494"/>
      <w:bookmarkEnd w:id="495"/>
      <w:bookmarkEnd w:id="496"/>
      <w:bookmarkEnd w:id="497"/>
      <w:bookmarkEnd w:id="498"/>
      <w:bookmarkEnd w:id="499"/>
      <w:bookmarkEnd w:id="500"/>
      <w:bookmarkEnd w:id="501"/>
      <w:bookmarkEnd w:id="502"/>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在应急基本行动即将终止前，应进行洗消和净化。洗消与净化包括人员的洗消和现场环境的净化。环境污染事故中可能涉及的危险物质泄漏使现场人员受到污染和伤害，洗消与净化是应急行动的一个环节。</w:t>
      </w:r>
    </w:p>
    <w:p>
      <w:pPr>
        <w:adjustRightInd w:val="0"/>
        <w:snapToGrid w:val="0"/>
        <w:spacing w:line="360" w:lineRule="auto"/>
        <w:ind w:firstLine="480" w:firstLineChars="200"/>
        <w:rPr>
          <w:rFonts w:ascii="宋体" w:hAnsi="宋体" w:cs="宋体"/>
          <w:color w:val="000000"/>
          <w:sz w:val="24"/>
        </w:rPr>
      </w:pPr>
      <w:bookmarkStart w:id="503" w:name="_Toc405881595"/>
      <w:bookmarkStart w:id="504" w:name="_Toc405384583"/>
      <w:bookmarkStart w:id="505" w:name="_Toc383173036"/>
      <w:bookmarkStart w:id="506" w:name="_Toc399352238"/>
      <w:bookmarkStart w:id="507" w:name="_Toc402875748"/>
      <w:bookmarkStart w:id="508" w:name="_Toc396934410"/>
      <w:bookmarkStart w:id="509" w:name="_Toc408503141"/>
      <w:bookmarkStart w:id="510" w:name="_Toc383072829"/>
      <w:bookmarkStart w:id="511" w:name="_Toc395805036"/>
      <w:bookmarkStart w:id="512" w:name="_Toc403659417"/>
      <w:bookmarkStart w:id="513" w:name="_Toc378105714"/>
      <w:bookmarkStart w:id="514" w:name="_Toc396237280"/>
      <w:r>
        <w:rPr>
          <w:rFonts w:hint="eastAsia" w:ascii="宋体" w:hAnsi="宋体" w:cs="宋体"/>
          <w:color w:val="000000"/>
          <w:sz w:val="24"/>
        </w:rPr>
        <w:t>(1)洗消的对象</w:t>
      </w:r>
      <w:bookmarkEnd w:id="503"/>
      <w:bookmarkEnd w:id="504"/>
      <w:bookmarkEnd w:id="505"/>
      <w:bookmarkEnd w:id="506"/>
      <w:bookmarkEnd w:id="507"/>
      <w:bookmarkEnd w:id="508"/>
      <w:bookmarkEnd w:id="509"/>
      <w:bookmarkEnd w:id="510"/>
      <w:bookmarkEnd w:id="511"/>
      <w:bookmarkEnd w:id="512"/>
      <w:bookmarkEnd w:id="513"/>
      <w:bookmarkEnd w:id="514"/>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在危险区（污染区边界处）与安全区交界处设立洗消站（通常每个出口处设一个），洗消的对象包括：①轻度中毒的人员；②重度中毒人员在送医院治疗之前；③现场医务人员；④环境监察、监测人员，消防和其他抢险人员以及群众互救人员；⑤抢救及染毒器具。洗消需使用相应的洗消药剂；洗消污水的排放必须经过环保部门的检测，以防造成二次污染。</w:t>
      </w:r>
    </w:p>
    <w:p>
      <w:pPr>
        <w:adjustRightInd w:val="0"/>
        <w:snapToGrid w:val="0"/>
        <w:spacing w:line="360" w:lineRule="auto"/>
        <w:ind w:firstLine="480" w:firstLineChars="200"/>
        <w:rPr>
          <w:rFonts w:ascii="宋体" w:hAnsi="宋体" w:cs="宋体"/>
          <w:color w:val="000000"/>
          <w:sz w:val="24"/>
        </w:rPr>
      </w:pPr>
      <w:bookmarkStart w:id="515" w:name="_Toc402875749"/>
      <w:bookmarkStart w:id="516" w:name="_Toc396934411"/>
      <w:bookmarkStart w:id="517" w:name="_Toc408503142"/>
      <w:bookmarkStart w:id="518" w:name="_Toc378105715"/>
      <w:bookmarkStart w:id="519" w:name="_Toc395805037"/>
      <w:bookmarkStart w:id="520" w:name="_Toc405384584"/>
      <w:bookmarkStart w:id="521" w:name="_Toc403659418"/>
      <w:bookmarkStart w:id="522" w:name="_Toc383173037"/>
      <w:bookmarkStart w:id="523" w:name="_Toc396237281"/>
      <w:bookmarkStart w:id="524" w:name="_Toc383072830"/>
      <w:bookmarkStart w:id="525" w:name="_Toc399352239"/>
      <w:bookmarkStart w:id="526" w:name="_Toc405881596"/>
      <w:r>
        <w:rPr>
          <w:rFonts w:hint="eastAsia" w:ascii="宋体" w:hAnsi="宋体" w:cs="宋体"/>
          <w:color w:val="000000"/>
          <w:sz w:val="24"/>
        </w:rPr>
        <w:t>(2)洗消的方法</w:t>
      </w:r>
      <w:bookmarkEnd w:id="515"/>
      <w:bookmarkEnd w:id="516"/>
      <w:bookmarkEnd w:id="517"/>
      <w:bookmarkEnd w:id="518"/>
      <w:bookmarkEnd w:id="519"/>
      <w:bookmarkEnd w:id="520"/>
      <w:bookmarkEnd w:id="521"/>
      <w:bookmarkEnd w:id="522"/>
      <w:bookmarkEnd w:id="523"/>
      <w:bookmarkEnd w:id="524"/>
      <w:bookmarkEnd w:id="525"/>
      <w:bookmarkEnd w:id="526"/>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人员洗消：用清水、肥皂水或其他洗消剂进行清洗或用毛巾擦拭等方法清除身体上的污染物；用水洗、拍打、抖拂等方法清除服装上的污染物。洗消时产生的废弃物要妥善处理，防止污染扩散。</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环境污染事故中，由于化学品污染、燃烧和其他的原因引起的伤害，受伤人员可能会出现危急情况，紧急医疗必须在快速、有效但安全的环境中进行。在进行医疗前的洗消时，应选择和辩识净化区域和分类区域的位置，考虑到不同的风向条件，所选择的位置应该在上风向以避免暴露于污染物扩散区而受到影响；在上坡以避免来自于消防和化学品的喷溅，并选择车辆易于到达的地方。</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在进一步的治疗和转移前，必要的最低程度上的初净化是对伤员的衣服和其他明显的污染的净化。伤员的彻底“净化”应该在伤员处于稳定状态时进行。在现场的应急医疗服务人员应负责这些操作。</w:t>
      </w:r>
    </w:p>
    <w:p>
      <w:pPr>
        <w:adjustRightInd w:val="0"/>
        <w:snapToGrid w:val="0"/>
        <w:spacing w:line="360" w:lineRule="auto"/>
        <w:ind w:firstLine="480" w:firstLineChars="200"/>
        <w:rPr>
          <w:rFonts w:ascii="宋体" w:hAnsi="宋体" w:cs="宋体"/>
          <w:color w:val="000000"/>
          <w:sz w:val="24"/>
        </w:rPr>
      </w:pPr>
      <w:bookmarkStart w:id="527" w:name="_Toc405384585"/>
      <w:bookmarkStart w:id="528" w:name="_Toc395805038"/>
      <w:bookmarkStart w:id="529" w:name="_Toc402875750"/>
      <w:bookmarkStart w:id="530" w:name="_Toc383072831"/>
      <w:bookmarkStart w:id="531" w:name="_Toc408503143"/>
      <w:bookmarkStart w:id="532" w:name="_Toc396237282"/>
      <w:bookmarkStart w:id="533" w:name="_Toc403659419"/>
      <w:bookmarkStart w:id="534" w:name="_Toc405881597"/>
      <w:bookmarkStart w:id="535" w:name="_Toc383173038"/>
      <w:bookmarkStart w:id="536" w:name="_Toc378105716"/>
      <w:bookmarkStart w:id="537" w:name="_Toc399352240"/>
      <w:bookmarkStart w:id="538" w:name="_Toc396934412"/>
      <w:r>
        <w:rPr>
          <w:rFonts w:hint="eastAsia" w:ascii="宋体" w:hAnsi="宋体" w:cs="宋体"/>
          <w:color w:val="000000"/>
          <w:sz w:val="24"/>
        </w:rPr>
        <w:t>(3)环境的净化</w:t>
      </w:r>
      <w:bookmarkEnd w:id="527"/>
      <w:bookmarkEnd w:id="528"/>
      <w:bookmarkEnd w:id="529"/>
      <w:bookmarkEnd w:id="530"/>
      <w:bookmarkEnd w:id="531"/>
      <w:bookmarkEnd w:id="532"/>
      <w:bookmarkEnd w:id="533"/>
      <w:bookmarkEnd w:id="534"/>
      <w:bookmarkEnd w:id="535"/>
      <w:bookmarkEnd w:id="536"/>
      <w:bookmarkEnd w:id="537"/>
      <w:bookmarkEnd w:id="538"/>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清洁净化的准备主要包括：废水的处理，需要的净化设备（如软管、水枪、喷雾器、淋浴器）等。环境的净化的主要方法包括：</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①稀释。用水、清洁剂、清洗溶液清洗和稀释污染物。洗涤溶液包括清洁剂、肥皂或其他的液体香皂。清洗液可能包括：稀释的磷酸盐、小苏打。</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②处理。在事故区域中使用的衣服、工具、设备应该考虑处理。当应急人员从受污染区域撤出时，他们的衣服或其他的物品应贮藏在合适的容器中并作为危险的废物来进一步处理。</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③物理法去除。使用刷子可以去除一些物质，吸尘器也可以吸收活性物质，较大的部分应该用大量的水和清洁剂清洗。</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④中和。中和通常不直接应用于人的身上，它的使用通常仅限于衣服和设备，如处理酸性物质应用碱性药剂；处理液碱等碱性物质应用酸性药剂。苏打粉、碳酸氢钠、碎的石灰石、醋、柠檬酸、家用漂白剂、次氯酸钙盐、矿物油都是一些获得广泛使用的中和材料。</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⑤吸附。利用活性炭吸附泄漏物品或过滤空气、水中的污染物，也可以利用棉花、纱布等吸去人体皮肤上的污染物液滴。</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⑥转移。通过铲除、切断或覆盖等手段将污染物移走或覆盖掉，减轻或消除污染物的危害。</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(4)设备的净化</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环境污染事故发生后被污染的仪器和设备清除及清洗不可忽视，在发生污染物已经泄漏到环境中的事故后，应注意在应急行动中受到污染的应急设备的污染清楚。决定恢复和清除效果的重要因素是时间。</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小范围的设备净化的基本方法是一样的，通常用清洗的方法来完成。大范围的设备净化一般是两个过程。第一个过程是去除或降低大面积上的污染；第二个过程是收集废液并处理污染物质。当发生酸性物质泄漏时，应用石灰等进行中和，但应该控制速度，不要一次投入过多石灰进行中和。可以利用活性炭进行大范围内的吸附处理。当污染物质是淤泥状时，应该先刮去淤泥，然后水进行冲洗。</w:t>
      </w:r>
    </w:p>
    <w:p>
      <w:pPr>
        <w:adjustRightInd w:val="0"/>
        <w:snapToGrid w:val="0"/>
        <w:spacing w:line="360" w:lineRule="auto"/>
        <w:ind w:firstLine="480" w:firstLineChars="200"/>
        <w:rPr>
          <w:rFonts w:ascii="宋体" w:hAnsi="宋体" w:cs="宋体"/>
          <w:color w:val="000000"/>
          <w:sz w:val="24"/>
        </w:rPr>
      </w:pPr>
      <w:bookmarkStart w:id="539" w:name="_Toc395805039"/>
      <w:bookmarkStart w:id="540" w:name="_Toc405384586"/>
      <w:bookmarkStart w:id="541" w:name="_Toc408503144"/>
      <w:bookmarkStart w:id="542" w:name="_Toc405881598"/>
      <w:bookmarkStart w:id="543" w:name="_Toc383173039"/>
      <w:bookmarkStart w:id="544" w:name="_Toc403659420"/>
      <w:bookmarkStart w:id="545" w:name="_Toc383072832"/>
      <w:bookmarkStart w:id="546" w:name="_Toc402875751"/>
      <w:bookmarkStart w:id="547" w:name="_Toc399352241"/>
      <w:bookmarkStart w:id="548" w:name="_Toc396237283"/>
      <w:bookmarkStart w:id="549" w:name="_Toc378105717"/>
      <w:bookmarkStart w:id="550" w:name="_Toc396934413"/>
      <w:r>
        <w:rPr>
          <w:rFonts w:hint="eastAsia" w:ascii="宋体" w:hAnsi="宋体" w:cs="宋体"/>
          <w:color w:val="000000"/>
          <w:sz w:val="24"/>
        </w:rPr>
        <w:t>2、明确事故现场洗消工作的负责人和专业队伍</w:t>
      </w:r>
      <w:bookmarkEnd w:id="539"/>
      <w:bookmarkEnd w:id="540"/>
      <w:bookmarkEnd w:id="541"/>
      <w:bookmarkEnd w:id="542"/>
      <w:bookmarkEnd w:id="543"/>
      <w:bookmarkEnd w:id="544"/>
      <w:bookmarkEnd w:id="545"/>
      <w:bookmarkEnd w:id="546"/>
      <w:bookmarkEnd w:id="547"/>
      <w:bookmarkEnd w:id="548"/>
      <w:bookmarkEnd w:id="549"/>
      <w:bookmarkEnd w:id="550"/>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由应急指挥部抽调前面的应急小分队成员，在专家或熟悉厂内危险化学品性质的人员指导。</w:t>
      </w:r>
    </w:p>
    <w:p>
      <w:pPr>
        <w:adjustRightInd w:val="0"/>
        <w:snapToGrid w:val="0"/>
        <w:spacing w:line="360" w:lineRule="auto"/>
        <w:ind w:firstLine="480" w:firstLineChars="200"/>
        <w:rPr>
          <w:rFonts w:ascii="宋体" w:hAnsi="宋体" w:cs="宋体"/>
          <w:color w:val="000000"/>
          <w:sz w:val="24"/>
        </w:rPr>
      </w:pPr>
      <w:bookmarkStart w:id="551" w:name="_Toc405881599"/>
      <w:bookmarkStart w:id="552" w:name="_Toc405384587"/>
      <w:bookmarkStart w:id="553" w:name="_Toc399352242"/>
      <w:bookmarkStart w:id="554" w:name="_Toc396934414"/>
      <w:bookmarkStart w:id="555" w:name="_Toc403659421"/>
      <w:bookmarkStart w:id="556" w:name="_Toc408503145"/>
      <w:bookmarkStart w:id="557" w:name="_Toc383173040"/>
      <w:bookmarkStart w:id="558" w:name="_Toc395805040"/>
      <w:bookmarkStart w:id="559" w:name="_Toc383072833"/>
      <w:bookmarkStart w:id="560" w:name="_Toc396237284"/>
      <w:bookmarkStart w:id="561" w:name="_Toc378105718"/>
      <w:bookmarkStart w:id="562" w:name="_Toc402875752"/>
      <w:r>
        <w:rPr>
          <w:rFonts w:hint="eastAsia" w:ascii="宋体" w:hAnsi="宋体" w:cs="宋体"/>
          <w:color w:val="000000"/>
          <w:sz w:val="24"/>
        </w:rPr>
        <w:t>3、洗消后的二次污染的防治方案</w:t>
      </w:r>
      <w:bookmarkEnd w:id="551"/>
      <w:bookmarkEnd w:id="552"/>
      <w:bookmarkEnd w:id="553"/>
      <w:bookmarkEnd w:id="554"/>
      <w:bookmarkEnd w:id="555"/>
      <w:bookmarkEnd w:id="556"/>
      <w:bookmarkEnd w:id="557"/>
      <w:bookmarkEnd w:id="558"/>
      <w:bookmarkEnd w:id="559"/>
      <w:bookmarkEnd w:id="560"/>
      <w:bookmarkEnd w:id="561"/>
      <w:bookmarkEnd w:id="562"/>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对于在事故区域洗消后的衣服、工具、设备应贮藏在合适的容器中作为危险废物进一步处理。洗消用活性炭吸附后的废渣应作为危险固废送固废处理中心进行处理；洗消稀释后的废水应收集至应急池，然后用泵抽入废水站处理达标后排放。</w:t>
      </w:r>
    </w:p>
    <w:p>
      <w:pPr>
        <w:pStyle w:val="5"/>
      </w:pPr>
      <w:bookmarkStart w:id="563" w:name="_Toc27223"/>
      <w:bookmarkStart w:id="564" w:name="_Toc20385_WPSOffice_Level2"/>
      <w:bookmarkStart w:id="565" w:name="_Toc21917_WPSOffice_Level2"/>
      <w:bookmarkStart w:id="566" w:name="_Toc43203007"/>
      <w:bookmarkStart w:id="567" w:name="_Toc408503146"/>
      <w:bookmarkStart w:id="568" w:name="_Toc46857532"/>
      <w:bookmarkStart w:id="569" w:name="_Toc354489560"/>
      <w:r>
        <w:rPr>
          <w:rFonts w:hint="eastAsia"/>
          <w:lang w:val="en-US" w:eastAsia="zh-CN"/>
        </w:rPr>
        <w:t>5</w:t>
      </w:r>
      <w:r>
        <w:rPr>
          <w:rFonts w:hint="eastAsia"/>
        </w:rPr>
        <w:t>.11</w:t>
      </w:r>
      <w:r>
        <w:t>次生灾害防范</w:t>
      </w:r>
      <w:bookmarkEnd w:id="563"/>
      <w:bookmarkEnd w:id="564"/>
      <w:bookmarkEnd w:id="565"/>
      <w:bookmarkEnd w:id="566"/>
      <w:bookmarkEnd w:id="567"/>
      <w:bookmarkEnd w:id="568"/>
      <w:bookmarkEnd w:id="569"/>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火灾事故发生后，在处置火灾时，要做好救护人员的人身安全，防止发生烧伤、CO中毒事故发生；事故消防水要全部进事故应急池待事故解除后进污水处理站处理，防止废水通过雨水管网进入周边水体，造成水体污染；此外，要监测达标后才能进污水处理厂处理，防止对污水处理厂造成影响。</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液态化学品发生泄露后要做好污染防治和环境修复，防止泄露残留物对土壤、地下水及地表水的污染。</w:t>
      </w:r>
    </w:p>
    <w:p>
      <w:pPr>
        <w:pStyle w:val="5"/>
        <w:rPr>
          <w:rFonts w:ascii="Times New Roman" w:hAnsi="Times New Roman" w:eastAsia="仿宋_GB2312"/>
          <w:color w:val="000000"/>
        </w:rPr>
      </w:pPr>
      <w:bookmarkStart w:id="570" w:name="_Toc43203008"/>
      <w:bookmarkStart w:id="571" w:name="_Toc23300"/>
      <w:bookmarkStart w:id="572" w:name="_Toc32700_WPSOffice_Level2"/>
      <w:bookmarkStart w:id="573" w:name="_Toc46857533"/>
      <w:bookmarkStart w:id="574" w:name="_Toc23353_WPSOffice_Level2"/>
      <w:bookmarkStart w:id="575" w:name="_Toc354489561"/>
      <w:bookmarkStart w:id="576" w:name="_Toc408503147"/>
      <w:r>
        <w:rPr>
          <w:rFonts w:hint="eastAsia" w:ascii="Times New Roman" w:hAnsi="Times New Roman" w:eastAsia="仿宋_GB2312"/>
          <w:color w:val="000000"/>
          <w:lang w:val="en-US" w:eastAsia="zh-CN"/>
        </w:rPr>
        <w:t>5</w:t>
      </w:r>
      <w:r>
        <w:rPr>
          <w:rFonts w:hint="eastAsia" w:ascii="Times New Roman" w:hAnsi="Times New Roman" w:eastAsia="仿宋_GB2312"/>
          <w:color w:val="000000"/>
        </w:rPr>
        <w:t>.12</w:t>
      </w:r>
      <w:r>
        <w:rPr>
          <w:rFonts w:ascii="Times New Roman" w:hAnsi="仿宋_GB2312" w:eastAsia="仿宋_GB2312"/>
          <w:color w:val="000000"/>
        </w:rPr>
        <w:t>事故应急终止</w:t>
      </w:r>
      <w:bookmarkEnd w:id="570"/>
      <w:bookmarkEnd w:id="571"/>
      <w:bookmarkEnd w:id="572"/>
      <w:bookmarkEnd w:id="573"/>
      <w:bookmarkEnd w:id="574"/>
      <w:bookmarkEnd w:id="575"/>
      <w:bookmarkEnd w:id="576"/>
    </w:p>
    <w:p>
      <w:pPr>
        <w:adjustRightInd w:val="0"/>
        <w:snapToGrid w:val="0"/>
        <w:spacing w:line="360" w:lineRule="auto"/>
        <w:ind w:firstLine="482" w:firstLineChars="200"/>
        <w:rPr>
          <w:rFonts w:ascii="宋体" w:hAnsi="宋体" w:cs="宋体"/>
          <w:b/>
          <w:color w:val="000000"/>
          <w:sz w:val="24"/>
        </w:rPr>
      </w:pPr>
      <w:r>
        <w:rPr>
          <w:rFonts w:hint="eastAsia" w:ascii="宋体" w:hAnsi="宋体" w:cs="宋体"/>
          <w:b/>
          <w:color w:val="000000"/>
          <w:sz w:val="24"/>
        </w:rPr>
        <w:t>1、应急终止条件</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突发环境事件经过处理后，符合下列条件后可宣布应急终止：</w:t>
      </w:r>
    </w:p>
    <w:p>
      <w:pPr>
        <w:adjustRightInd w:val="0"/>
        <w:snapToGrid w:val="0"/>
        <w:spacing w:line="360" w:lineRule="auto"/>
        <w:ind w:firstLine="480"/>
        <w:rPr>
          <w:rFonts w:ascii="宋体" w:hAnsi="宋体" w:cs="宋体"/>
          <w:color w:val="000000"/>
          <w:sz w:val="24"/>
        </w:rPr>
      </w:pPr>
      <w:r>
        <w:rPr>
          <w:rFonts w:hint="eastAsia" w:ascii="宋体" w:hAnsi="宋体" w:cs="宋体"/>
          <w:color w:val="000000"/>
          <w:sz w:val="24"/>
        </w:rPr>
        <w:t>⑴泄漏、火灾等得到控制，事故发生条件已经清除；</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⑵泄漏或火灾造成的危害得到清除；</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⑶应急救援行动已经完成，无继续行动的必要；</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⑷采取了必要的防护措施，周边人群的危害降至较低水平，并无二次危害可能。</w:t>
      </w:r>
    </w:p>
    <w:p>
      <w:pPr>
        <w:adjustRightInd w:val="0"/>
        <w:snapToGrid w:val="0"/>
        <w:spacing w:line="360" w:lineRule="auto"/>
        <w:ind w:firstLine="482" w:firstLineChars="200"/>
        <w:rPr>
          <w:rFonts w:ascii="宋体" w:hAnsi="宋体" w:cs="宋体"/>
          <w:b/>
          <w:color w:val="000000"/>
          <w:sz w:val="24"/>
        </w:rPr>
      </w:pPr>
      <w:r>
        <w:rPr>
          <w:rFonts w:hint="eastAsia" w:ascii="宋体" w:hAnsi="宋体" w:cs="宋体"/>
          <w:b/>
          <w:color w:val="000000"/>
          <w:sz w:val="24"/>
        </w:rPr>
        <w:t>2、应急终止程序</w:t>
      </w:r>
    </w:p>
    <w:p>
      <w:pPr>
        <w:adjustRightInd w:val="0"/>
        <w:snapToGrid w:val="0"/>
        <w:spacing w:line="360" w:lineRule="auto"/>
        <w:ind w:firstLine="426"/>
        <w:rPr>
          <w:rFonts w:ascii="宋体" w:hAnsi="宋体" w:cs="宋体"/>
          <w:color w:val="000000"/>
          <w:sz w:val="24"/>
        </w:rPr>
      </w:pPr>
      <w:r>
        <w:rPr>
          <w:rFonts w:hint="eastAsia" w:ascii="宋体" w:hAnsi="宋体" w:cs="宋体"/>
          <w:color w:val="000000"/>
          <w:sz w:val="24"/>
        </w:rPr>
        <w:t>⑴应急指挥部确定应急终止时机，由总指挥发布应急终止信息；</w:t>
      </w:r>
    </w:p>
    <w:p>
      <w:pPr>
        <w:adjustRightInd w:val="0"/>
        <w:snapToGrid w:val="0"/>
        <w:spacing w:line="360" w:lineRule="auto"/>
        <w:ind w:firstLine="426"/>
        <w:rPr>
          <w:rFonts w:ascii="宋体" w:hAnsi="宋体" w:cs="宋体"/>
          <w:color w:val="000000"/>
          <w:sz w:val="24"/>
        </w:rPr>
      </w:pPr>
      <w:r>
        <w:rPr>
          <w:rFonts w:hint="eastAsia" w:ascii="宋体" w:hAnsi="宋体" w:cs="宋体"/>
          <w:color w:val="000000"/>
          <w:sz w:val="24"/>
        </w:rPr>
        <w:t>⑵应急救援指挥部向应急救援队伍下达终止信息；</w:t>
      </w:r>
    </w:p>
    <w:p>
      <w:pPr>
        <w:adjustRightInd w:val="0"/>
        <w:snapToGrid w:val="0"/>
        <w:spacing w:line="360" w:lineRule="auto"/>
        <w:ind w:firstLine="426"/>
        <w:rPr>
          <w:rFonts w:ascii="宋体" w:hAnsi="宋体" w:cs="宋体"/>
          <w:color w:val="000000"/>
          <w:sz w:val="24"/>
        </w:rPr>
      </w:pPr>
      <w:r>
        <w:rPr>
          <w:rFonts w:hint="eastAsia" w:ascii="宋体" w:hAnsi="宋体" w:cs="宋体"/>
          <w:color w:val="000000"/>
          <w:sz w:val="24"/>
        </w:rPr>
        <w:t>⑶应急终止后，继续进行环境监测和事故调查、总结工作，直到所有污染物浓度降至规定水平。</w:t>
      </w:r>
    </w:p>
    <w:p>
      <w:pPr>
        <w:adjustRightInd w:val="0"/>
        <w:snapToGrid w:val="0"/>
        <w:spacing w:line="360" w:lineRule="auto"/>
        <w:ind w:firstLine="482" w:firstLineChars="200"/>
        <w:rPr>
          <w:rFonts w:ascii="宋体" w:hAnsi="宋体" w:cs="宋体"/>
          <w:b/>
          <w:color w:val="000000"/>
          <w:sz w:val="24"/>
        </w:rPr>
      </w:pPr>
      <w:r>
        <w:rPr>
          <w:rFonts w:hint="eastAsia" w:ascii="宋体" w:hAnsi="宋体" w:cs="宋体"/>
          <w:b/>
          <w:color w:val="000000"/>
          <w:sz w:val="24"/>
        </w:rPr>
        <w:t>3、应急终止后的行动</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⑴通知本单位相关部门、周边社区及人员事故危险已解除；</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⑵维护、保养应急仪器设备；⑶应急过程评价；</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⑷事故原因调查；</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⑸环境应急总结报告的编制；</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⑹环境事件应急预案的修订；</w:t>
      </w:r>
    </w:p>
    <w:p>
      <w:pPr>
        <w:adjustRightInd w:val="0"/>
        <w:snapToGrid w:val="0"/>
        <w:spacing w:line="360" w:lineRule="auto"/>
        <w:ind w:firstLine="480" w:firstLineChars="200"/>
        <w:rPr>
          <w:rFonts w:ascii="仿宋_GB2312" w:eastAsia="仿宋_GB2312"/>
          <w:color w:val="000000"/>
          <w:sz w:val="24"/>
        </w:rPr>
      </w:pPr>
      <w:r>
        <w:rPr>
          <w:rFonts w:hint="eastAsia" w:ascii="宋体" w:hAnsi="宋体" w:cs="宋体"/>
          <w:color w:val="000000"/>
          <w:sz w:val="24"/>
        </w:rPr>
        <w:t>⑺事故损失调查与责任认定。</w:t>
      </w:r>
    </w:p>
    <w:p>
      <w:pPr>
        <w:pStyle w:val="4"/>
        <w:jc w:val="center"/>
      </w:pPr>
      <w:bookmarkStart w:id="577" w:name="_Toc43203009"/>
      <w:bookmarkStart w:id="578" w:name="_Toc336166338"/>
      <w:bookmarkStart w:id="579" w:name="_Toc10507_WPSOffice_Level1"/>
      <w:bookmarkStart w:id="580" w:name="_Toc339203028"/>
      <w:bookmarkStart w:id="581" w:name="_Toc46857534"/>
      <w:bookmarkStart w:id="582" w:name="_Toc16034_WPSOffice_Level1"/>
      <w:bookmarkStart w:id="583" w:name="_Toc408503148"/>
      <w:bookmarkStart w:id="584" w:name="_Toc166424772"/>
      <w:bookmarkStart w:id="585" w:name="_Toc165165600"/>
      <w:bookmarkStart w:id="586" w:name="_Toc161808491"/>
      <w:r>
        <w:br w:type="page"/>
      </w:r>
    </w:p>
    <w:p>
      <w:pPr>
        <w:pStyle w:val="4"/>
        <w:jc w:val="center"/>
      </w:pPr>
      <w:bookmarkStart w:id="587" w:name="_Toc4416"/>
      <w:r>
        <w:rPr>
          <w:rFonts w:hint="eastAsia"/>
        </w:rPr>
        <w:t>第</w:t>
      </w:r>
      <w:r>
        <w:rPr>
          <w:rFonts w:hint="eastAsia"/>
          <w:lang w:val="en-US" w:eastAsia="zh-CN"/>
        </w:rPr>
        <w:t>六</w:t>
      </w:r>
      <w:r>
        <w:rPr>
          <w:rFonts w:hint="eastAsia"/>
        </w:rPr>
        <w:t>章</w:t>
      </w:r>
      <w:r>
        <w:rPr>
          <w:rFonts w:hint="eastAsia"/>
          <w:lang w:val="en-US" w:eastAsia="zh-CN"/>
        </w:rPr>
        <w:t xml:space="preserve"> </w:t>
      </w:r>
      <w:r>
        <w:rPr>
          <w:rFonts w:hint="eastAsia"/>
        </w:rPr>
        <w:t>后期处置</w:t>
      </w:r>
      <w:bookmarkEnd w:id="577"/>
      <w:bookmarkEnd w:id="578"/>
      <w:bookmarkEnd w:id="579"/>
      <w:bookmarkEnd w:id="580"/>
      <w:bookmarkEnd w:id="581"/>
      <w:bookmarkEnd w:id="582"/>
      <w:bookmarkEnd w:id="583"/>
      <w:bookmarkEnd w:id="587"/>
    </w:p>
    <w:p>
      <w:pPr>
        <w:pStyle w:val="5"/>
        <w:rPr>
          <w:rFonts w:ascii="Times New Roman" w:hAnsi="Times New Roman" w:eastAsia="仿宋_GB2312"/>
          <w:color w:val="000000"/>
        </w:rPr>
      </w:pPr>
      <w:bookmarkStart w:id="588" w:name="_Toc46857535"/>
      <w:bookmarkStart w:id="589" w:name="_Toc31351"/>
      <w:bookmarkStart w:id="590" w:name="_Toc43203010"/>
      <w:r>
        <w:rPr>
          <w:rFonts w:hint="eastAsia"/>
          <w:lang w:val="en-US" w:eastAsia="zh-CN"/>
        </w:rPr>
        <w:t>6</w:t>
      </w:r>
      <w:r>
        <w:rPr>
          <w:rFonts w:hint="eastAsia"/>
        </w:rPr>
        <w:t>.1  现场恢复</w:t>
      </w:r>
      <w:bookmarkEnd w:id="588"/>
      <w:bookmarkEnd w:id="589"/>
      <w:bookmarkEnd w:id="590"/>
    </w:p>
    <w:p>
      <w:pPr>
        <w:pStyle w:val="6"/>
      </w:pPr>
      <w:bookmarkStart w:id="591" w:name="_Toc43203011"/>
      <w:r>
        <w:rPr>
          <w:rFonts w:hint="eastAsia"/>
          <w:lang w:val="en-US" w:eastAsia="zh-CN"/>
        </w:rPr>
        <w:t>6</w:t>
      </w:r>
      <w:r>
        <w:rPr>
          <w:rFonts w:hint="eastAsia"/>
        </w:rPr>
        <w:t>.1.1  事件现场的保护措施</w:t>
      </w:r>
      <w:bookmarkEnd w:id="591"/>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突发事件发生后，现场救援的同时做好事件现场保护工作，迅速采取必要措施，抢救人员和财产。因抢救伤员、防止事件扩大以及疏通交通等原因需要移动现场物件时，尽可能做出标志、拍照、详细记录和绘制事件现场图，妥善保存现场重要痕迹、物证等。突发事件发生后，现场指挥人员应保持镇静，现场救援本着“先控制、后处置、救人第一、减少损失”的原则，果断处理，积极抢救，指导现场人员离开危险区域，维护好现场秩序，组织有序疏散，防止惊慌造成挤伤、踩伤等事件。疏散较为困难时，更应沉着冷静，不可采取莽撞措施。在现场救援的同时，尽可能保护好生产设备和贵重物品，维护现场秩序，做好事件现场保护工作，上报事件有关材料，做好善后处理工作。</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（1）室外现场保护方法</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① 在事件现场周围绕以隔离带或撒白灰等做警示标记，防止他人入内；</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② 通过现场的道路，必要时可临时中断交通，配专人指挥行人或车辆绕道而行。</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③ 现场重要部位及现场进出口，应当设岗看守或者设置屏障遮挡；</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④ 环境发生改变时（如天气），要对现场上易变的痕迹物证采取适当的保护措施。</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（2）室内现场的保护措施</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① 封锁现场的出入口和通道。封锁出入口，重点是现场中心所在的出入口；在门口、窗口和重要通道布设专人看守，如是双向通道须全部封锁，禁止一切无关人员进入现场；</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② 封锁现场周围地带。在现场周围划出一定的警戒范围，布置警戒，禁止人员进入现场，以防破坏现场外围的物证；</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③ 在实施封闭措施时，不能随便移动事件现场内的物品、物件。</w:t>
      </w:r>
    </w:p>
    <w:p>
      <w:pPr>
        <w:pStyle w:val="6"/>
      </w:pPr>
      <w:bookmarkStart w:id="592" w:name="_Toc43203012"/>
      <w:r>
        <w:rPr>
          <w:rFonts w:hint="eastAsia"/>
          <w:lang w:val="en-US" w:eastAsia="zh-CN"/>
        </w:rPr>
        <w:t>6</w:t>
      </w:r>
      <w:r>
        <w:rPr>
          <w:rFonts w:hint="eastAsia"/>
        </w:rPr>
        <w:t>.1.2  现场净化的方式、方法</w:t>
      </w:r>
      <w:bookmarkEnd w:id="592"/>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现场洗消工作由现场抢险组负责，现场抢险组人员在穿戴好防护用品的情况下对事件现场及救援车辆进行洗消处理，防止有毒有害物质扩散或被带出现场。洗消水引入污水处理站，以免污染宜水水质及厂区周边农田，造成二次环境污染事件。利用喷洒洗消液、抛洒粉状消毒剂等方式消除污染。一般在事件救援现场可采用三种洗消方式。</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（1）源头洗消。在事件发生初期，对事件发生点、设备或存放间进行洗消，将污染源严密控制在最小范围内；</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（2）隔离洗消。当污染蔓延时，对下风向暴露的设备、通道喷洒洗消液，抛撒粉状消毒剂，形成保护层，污染降落物流经时即可产生反应，减低甚至消除危害；</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（3）延伸洗消。在控制住污染源后，从事件发生地开始向下风方向对污染区逐次推进全面而彻底的洗消。</w:t>
      </w:r>
    </w:p>
    <w:p>
      <w:pPr>
        <w:pStyle w:val="6"/>
      </w:pPr>
      <w:bookmarkStart w:id="593" w:name="_Toc43203013"/>
      <w:r>
        <w:rPr>
          <w:rFonts w:hint="eastAsia"/>
          <w:lang w:val="en-US" w:eastAsia="zh-CN"/>
        </w:rPr>
        <w:t>6</w:t>
      </w:r>
      <w:r>
        <w:rPr>
          <w:rFonts w:hint="eastAsia"/>
        </w:rPr>
        <w:t>.1.3  洗消后的二次污染的防治方案</w:t>
      </w:r>
      <w:bookmarkEnd w:id="593"/>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污染事件现场洗消后，要防止二次污染，制定二次污染防治方案，确保无二次污染，并确认污染控制彻底。根据企业突发环境事件的实际情况，在消洗过程中用到的化学药品、消防用水采用合理的围堵设施通过管道收集后，进入厂区污水处理站统一处理达标后排放。</w:t>
      </w:r>
    </w:p>
    <w:p>
      <w:pPr>
        <w:pStyle w:val="6"/>
      </w:pPr>
      <w:bookmarkStart w:id="594" w:name="_Toc43203014"/>
      <w:r>
        <w:rPr>
          <w:rFonts w:hint="eastAsia"/>
          <w:lang w:val="en-US" w:eastAsia="zh-CN"/>
        </w:rPr>
        <w:t>6</w:t>
      </w:r>
      <w:r>
        <w:rPr>
          <w:rFonts w:hint="eastAsia"/>
        </w:rPr>
        <w:t>.1.4  环境恢复</w:t>
      </w:r>
      <w:bookmarkEnd w:id="594"/>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应急终止后，总指挥及其他主要负责人组织相关人员到现场勘查，对事件地的现场及厂区周围的环境等进行调查，会同外部专家制定对受影响的生态环境恢复的措施和方案恢复周边生态环境，加强生态环境治理措施，确保在一定期限内恢复生态环境平衡。</w:t>
      </w:r>
    </w:p>
    <w:p>
      <w:pPr>
        <w:pStyle w:val="5"/>
      </w:pPr>
      <w:bookmarkStart w:id="595" w:name="_Toc43203015"/>
      <w:bookmarkStart w:id="596" w:name="_Toc46857536"/>
      <w:bookmarkStart w:id="597" w:name="_Toc27902"/>
      <w:r>
        <w:rPr>
          <w:rFonts w:hint="eastAsia"/>
          <w:lang w:val="en-US" w:eastAsia="zh-CN"/>
        </w:rPr>
        <w:t>6</w:t>
      </w:r>
      <w:r>
        <w:rPr>
          <w:rFonts w:hint="eastAsia"/>
        </w:rPr>
        <w:t>.2  善后处置</w:t>
      </w:r>
      <w:bookmarkEnd w:id="595"/>
      <w:bookmarkEnd w:id="596"/>
      <w:bookmarkEnd w:id="597"/>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突发环境事件应急终止后，善后处置主要有以下几个方面：</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①做好受灾人员的安置工作，对全公司员工做好精神安抚工作；</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②对受伤严重人员继续治疗，并及时对环境应急工作人员办理意外伤害赔偿事宜，以保证公司人心稳定，快速恢复生产；</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③对投保资产损失进行统计，向投保的保险公司联系理赔事宜；</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④清查短缺物资或临时征用物资，根据国家政策予以补偿。</w:t>
      </w:r>
    </w:p>
    <w:p>
      <w:pPr>
        <w:pStyle w:val="5"/>
      </w:pPr>
      <w:bookmarkStart w:id="598" w:name="_Toc43203016"/>
      <w:bookmarkStart w:id="599" w:name="_Toc46857537"/>
      <w:bookmarkStart w:id="600" w:name="_Toc21778"/>
      <w:r>
        <w:rPr>
          <w:rFonts w:hint="eastAsia"/>
          <w:lang w:val="en-US" w:eastAsia="zh-CN"/>
        </w:rPr>
        <w:t>6</w:t>
      </w:r>
      <w:r>
        <w:rPr>
          <w:rFonts w:hint="eastAsia"/>
        </w:rPr>
        <w:t>.3  事件调查</w:t>
      </w:r>
      <w:bookmarkEnd w:id="598"/>
      <w:bookmarkEnd w:id="599"/>
      <w:bookmarkEnd w:id="600"/>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发生突发环境事件后，除按照上级管理部门要求配合进行事件调查外，本填埋场自身应组成事件调查组进行事件调查。事件调查处理应坚持实事求是、尊重科学的原则，客观、公正、准确、及时地查清事件原因，查明事件性质和责任，总结事件教训，提出防范措施和事件责任处理意见，做到“四不放过”。事件调查和处理按照国家有关规定执行。</w:t>
      </w:r>
    </w:p>
    <w:p>
      <w:pPr>
        <w:adjustRightInd w:val="0"/>
        <w:snapToGrid w:val="0"/>
        <w:spacing w:line="360" w:lineRule="auto"/>
        <w:ind w:firstLine="570"/>
        <w:rPr>
          <w:rFonts w:eastAsia="仿宋_GB2312"/>
          <w:color w:val="000000"/>
          <w:sz w:val="24"/>
        </w:rPr>
      </w:pPr>
    </w:p>
    <w:p>
      <w:pPr>
        <w:adjustRightInd w:val="0"/>
        <w:snapToGrid w:val="0"/>
        <w:spacing w:line="360" w:lineRule="auto"/>
        <w:ind w:firstLine="570"/>
        <w:rPr>
          <w:rFonts w:eastAsia="仿宋_GB2312"/>
          <w:color w:val="000000"/>
          <w:sz w:val="24"/>
        </w:rPr>
        <w:sectPr>
          <w:pgSz w:w="11906" w:h="16838"/>
          <w:pgMar w:top="1418" w:right="1418" w:bottom="1418" w:left="1418" w:header="851" w:footer="992" w:gutter="0"/>
          <w:cols w:space="720" w:num="1"/>
          <w:docGrid w:type="lines" w:linePitch="312" w:charSpace="0"/>
        </w:sectPr>
      </w:pPr>
    </w:p>
    <w:p>
      <w:pPr>
        <w:pStyle w:val="4"/>
        <w:jc w:val="center"/>
      </w:pPr>
      <w:bookmarkStart w:id="601" w:name="_Toc408503152"/>
      <w:bookmarkStart w:id="602" w:name="_Toc43203017"/>
      <w:bookmarkStart w:id="603" w:name="_Toc30088_WPSOffice_Level1"/>
      <w:bookmarkStart w:id="604" w:name="_Toc46857538"/>
      <w:bookmarkStart w:id="605" w:name="_Toc13854_WPSOffice_Level1"/>
      <w:bookmarkStart w:id="606" w:name="_Toc16202"/>
      <w:bookmarkStart w:id="607" w:name="_Toc305769798"/>
      <w:r>
        <w:rPr>
          <w:rFonts w:hint="eastAsia"/>
        </w:rPr>
        <w:t>第</w:t>
      </w:r>
      <w:r>
        <w:rPr>
          <w:rFonts w:hint="eastAsia"/>
          <w:lang w:val="en-US" w:eastAsia="zh-CN"/>
        </w:rPr>
        <w:t>七</w:t>
      </w:r>
      <w:r>
        <w:rPr>
          <w:rFonts w:hint="eastAsia"/>
        </w:rPr>
        <w:t>章</w:t>
      </w:r>
      <w:r>
        <w:rPr>
          <w:rFonts w:hint="eastAsia"/>
          <w:lang w:val="en-US" w:eastAsia="zh-CN"/>
        </w:rPr>
        <w:t xml:space="preserve"> </w:t>
      </w:r>
      <w:r>
        <w:rPr>
          <w:rFonts w:hint="eastAsia"/>
        </w:rPr>
        <w:t>应急保障措施</w:t>
      </w:r>
      <w:bookmarkEnd w:id="601"/>
      <w:bookmarkEnd w:id="602"/>
      <w:bookmarkEnd w:id="603"/>
      <w:bookmarkEnd w:id="604"/>
      <w:bookmarkEnd w:id="605"/>
      <w:bookmarkEnd w:id="606"/>
      <w:bookmarkEnd w:id="607"/>
    </w:p>
    <w:p>
      <w:pPr>
        <w:pStyle w:val="5"/>
      </w:pPr>
      <w:bookmarkStart w:id="608" w:name="_Toc30152_WPSOffice_Level2"/>
      <w:bookmarkStart w:id="609" w:name="_Toc408503153"/>
      <w:bookmarkStart w:id="610" w:name="_Toc6671_WPSOffice_Level2"/>
      <w:bookmarkStart w:id="611" w:name="_Toc43203018"/>
      <w:bookmarkStart w:id="612" w:name="_Toc342165916"/>
      <w:bookmarkStart w:id="613" w:name="_Toc46857539"/>
      <w:bookmarkStart w:id="614" w:name="_Toc13561"/>
      <w:bookmarkStart w:id="615" w:name="_Toc305937035"/>
      <w:bookmarkStart w:id="616" w:name="_Toc306975710"/>
      <w:bookmarkStart w:id="617" w:name="_Toc305769799"/>
      <w:r>
        <w:rPr>
          <w:rFonts w:hint="eastAsia"/>
          <w:lang w:val="en-US" w:eastAsia="zh-CN"/>
        </w:rPr>
        <w:t>7</w:t>
      </w:r>
      <w:r>
        <w:rPr>
          <w:rFonts w:hint="eastAsia"/>
        </w:rPr>
        <w:t>.1应急安全保障</w:t>
      </w:r>
      <w:bookmarkEnd w:id="608"/>
      <w:bookmarkEnd w:id="609"/>
      <w:bookmarkEnd w:id="610"/>
      <w:bookmarkEnd w:id="611"/>
      <w:bookmarkEnd w:id="612"/>
      <w:bookmarkEnd w:id="613"/>
      <w:bookmarkEnd w:id="614"/>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当发生人员受伤时，应遵循“先救人、后救物，先救命，后疗伤”的原则，企业医疗救护组人员应组织积极抢救，首先保护受害人员生命安全，将伤员救离事故现场，必须对伤员进行紧急救护减少伤害，并根据不同情况采取相应的救护措施。一方面要防止烧伤和中毒程度继续加深，另一方面要使患者维持呼吸、循环功能。</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伤员抢救出事故现场后紧急处理措施：</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皮肤受危险化学品污染时，救助者应协助伤员脱去被污染的衣裤、鞋袜等，继之用大量流动清水或肥皂水，冲洗创面20至30分钟(强烈的化学品要更长)，以稀释有毒物质，防止继续损伤和通过伤口吸收。皮肤灼伤处冲洗后可涂上烫伤药膏。对于皮肤上的水泡，不可随意弄破防止感染。头脸部皮肤污染时，要注意眼、耳、鼻、口腔的清洗。</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皮肤或眼睛被危化品化学灼伤，一是要在现场迅速用清水进行冲洗，应使用流动的清水，冲洗时将眼皮掰开，把裹在眼皮内的化学品彻底冲洗干净。现场若无冲洗设备，可将头埋入清洁盆水中，掰开眼皮，让眼球来回转动进行洗涤。</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伤员为急性中毒的，若经沾染皮肤中毒，应迅速脱去受污染的衣物，用大量流动的清水冲洗至少15分钟。头面部受污染时，要首先注意冲洗眼睛。若为吸入中毒，应迅速脱离中毒现场，向上风方向移至空气新鲜处，同时解开患者的衣领，放松裤带，使其保持呼吸道畅通，并要注意保暖，防止受凉。若为口服中毒，中毒物为非腐蚀性物质时，可用催吐方法使其将毒物吐出。误服强碱、强酸等腐蚀性强的物品时，催吐反使食道、咽喉再次受到严重损伤，可服牛奶、蛋清、豆浆、淀粉糊等，此时不能洗胃，也不能服碳酸氢钠，以防胃胀气引起穿孔。</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4、对现场中毒者发生心跳、呼吸骤停，应立即实施人工呼吸和体外心脏按压术，使其维持呼吸、循环功能。中毒昏迷或神志不清的伤员，应置伤员于侧卧位，保持呼吸道畅通，清除鼻腔、口腔分泌物等，如伤员呼吸困难，应给予氧气吸入（备用氧气袋或氧气呼吸器），呼吸停止时，进行人工呼吸抢救。人工呼吸忌用口对口，特殊情况下与病人隔数层水湿纱布。</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5、对于中、小面积火烧伤，特别是头、面、四肢等部位，可采取“创面冷却疗法”，用清洁水（自来水、河水、井水等）冷敷或浸泡创面，需持续0.5~1小时，以取出后不痛或稍痛为止。</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6、对皮肤、眼睛污染严重、中毒、灼伤、昏迷等严重情况，对伤员进行简单处理后，应立即转送救治，与救助医院联系后，马上用车辆送医院或等待医院救护车。护送者应向医院提供烧伤或中毒的原因、化学品的名称；如化学物不明，则要带该物料或呕吐物的样品，以供医院检测。</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7、现场参与救护者应重视自身防护，如时间不长，对水溶性毒物，可用浸湿的毛巾捂住口鼻进行简单防护，有条件的可佩戴防毒面具等防护器具。</w:t>
      </w:r>
    </w:p>
    <w:p>
      <w:pPr>
        <w:pStyle w:val="5"/>
      </w:pPr>
      <w:bookmarkStart w:id="618" w:name="_Toc25376_WPSOffice_Level2"/>
      <w:bookmarkStart w:id="619" w:name="_Toc46857540"/>
      <w:bookmarkStart w:id="620" w:name="_Toc9176"/>
      <w:bookmarkStart w:id="621" w:name="_Toc408503154"/>
      <w:bookmarkStart w:id="622" w:name="_Toc19772_WPSOffice_Level2"/>
      <w:bookmarkStart w:id="623" w:name="_Toc354489568"/>
      <w:bookmarkStart w:id="624" w:name="_Toc43203019"/>
      <w:r>
        <w:rPr>
          <w:rFonts w:hint="eastAsia"/>
          <w:lang w:val="en-US" w:eastAsia="zh-CN"/>
        </w:rPr>
        <w:t>7</w:t>
      </w:r>
      <w:r>
        <w:rPr>
          <w:rFonts w:hint="eastAsia"/>
        </w:rPr>
        <w:t>.2应急交通保障</w:t>
      </w:r>
      <w:bookmarkEnd w:id="618"/>
      <w:bookmarkEnd w:id="619"/>
      <w:bookmarkEnd w:id="620"/>
      <w:bookmarkEnd w:id="621"/>
      <w:bookmarkEnd w:id="622"/>
      <w:bookmarkEnd w:id="623"/>
      <w:bookmarkEnd w:id="624"/>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企业在火灾事故发生后，应第一时间联系消防、环保等部门，并联系相关部门，对企业周边交通进行管制，保证外部救灾、抢险等车辆通行无阻。另外，企业厂区内部制定的消防通行道路要保持无阻，其他车辆、物资不得堆放在消防应急通道、登高抢险平台等划定的区域。</w:t>
      </w:r>
    </w:p>
    <w:p>
      <w:pPr>
        <w:pStyle w:val="5"/>
      </w:pPr>
      <w:bookmarkStart w:id="625" w:name="_Toc408503155"/>
      <w:bookmarkStart w:id="626" w:name="_Toc43203020"/>
      <w:bookmarkStart w:id="627" w:name="_Toc2029_WPSOffice_Level2"/>
      <w:bookmarkStart w:id="628" w:name="_Toc342165917"/>
      <w:bookmarkStart w:id="629" w:name="_Toc24741"/>
      <w:bookmarkStart w:id="630" w:name="_Toc46857541"/>
      <w:bookmarkStart w:id="631" w:name="_Toc25305_WPSOffice_Level2"/>
      <w:r>
        <w:rPr>
          <w:rFonts w:hint="eastAsia"/>
          <w:lang w:val="en-US" w:eastAsia="zh-CN"/>
        </w:rPr>
        <w:t>7</w:t>
      </w:r>
      <w:r>
        <w:rPr>
          <w:rFonts w:hint="eastAsia"/>
        </w:rPr>
        <w:t>.3通信与信息保障</w:t>
      </w:r>
      <w:bookmarkEnd w:id="625"/>
      <w:bookmarkEnd w:id="626"/>
      <w:bookmarkEnd w:id="627"/>
      <w:bookmarkEnd w:id="628"/>
      <w:bookmarkEnd w:id="629"/>
      <w:bookmarkEnd w:id="630"/>
      <w:bookmarkEnd w:id="631"/>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企业应急总指挥、副指挥、各应急小组组长以及值班干部等人员在应急期间要确保24小时通信畅通。保证企业内部扩音喇叭、对讲机、广播等应急通讯设施的正常运行，并定期进行日常维护，确保本预案启动时应急行动指挥通信的畅通</w:t>
      </w:r>
    </w:p>
    <w:p>
      <w:pPr>
        <w:pStyle w:val="5"/>
      </w:pPr>
      <w:bookmarkStart w:id="632" w:name="_Toc342165918"/>
      <w:bookmarkStart w:id="633" w:name="_Toc32377_WPSOffice_Level2"/>
      <w:bookmarkStart w:id="634" w:name="_Toc46857542"/>
      <w:bookmarkStart w:id="635" w:name="_Toc25200"/>
      <w:bookmarkStart w:id="636" w:name="_Toc1991_WPSOffice_Level2"/>
      <w:bookmarkStart w:id="637" w:name="_Toc408503156"/>
      <w:bookmarkStart w:id="638" w:name="_Toc43203021"/>
      <w:r>
        <w:rPr>
          <w:rFonts w:hint="eastAsia"/>
          <w:lang w:val="en-US" w:eastAsia="zh-CN"/>
        </w:rPr>
        <w:t>7</w:t>
      </w:r>
      <w:r>
        <w:rPr>
          <w:rFonts w:hint="eastAsia"/>
        </w:rPr>
        <w:t>.4人力资源保障</w:t>
      </w:r>
      <w:bookmarkEnd w:id="615"/>
      <w:bookmarkEnd w:id="616"/>
      <w:bookmarkEnd w:id="632"/>
      <w:bookmarkEnd w:id="633"/>
      <w:bookmarkEnd w:id="634"/>
      <w:bookmarkEnd w:id="635"/>
      <w:bookmarkEnd w:id="636"/>
      <w:bookmarkEnd w:id="637"/>
      <w:bookmarkEnd w:id="638"/>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按照本预案的要求，完善应急指挥机构和</w:t>
      </w:r>
      <w:r>
        <w:rPr>
          <w:rFonts w:hint="eastAsia" w:ascii="宋体" w:hAnsi="宋体" w:cs="宋体"/>
          <w:bCs/>
          <w:color w:val="000000"/>
          <w:sz w:val="24"/>
        </w:rPr>
        <w:t>应急抢险组、应急消防组、现场治安组、物资保障组、应急监测组、医疗救护组</w:t>
      </w:r>
      <w:r>
        <w:rPr>
          <w:rFonts w:hint="eastAsia" w:ascii="宋体" w:hAnsi="宋体" w:cs="宋体"/>
          <w:color w:val="000000"/>
          <w:sz w:val="24"/>
        </w:rPr>
        <w:t>等。企业要加强突发环境污染事件应急队伍建设，加强应急救援队伍的业务培训和应急演练。重点培训建立一支常备不懈、熟悉环境应急知识、充分掌握各类突发环境事件处置措施的应急队伍，保证在突发环境事件发生后，能迅速参与并完成抢救、排险、消毒、监测等现场处置工作。企业内部各部门要建立联动协调机制，提高准备水平，提高其应对突发环境污染事件的素质和能力。在本单位应急救援能力有限的情况下，动员企业所在地社会团体、企事业单位以及志愿者等各种社会力量参与应急救援工作。</w:t>
      </w:r>
    </w:p>
    <w:p>
      <w:pPr>
        <w:tabs>
          <w:tab w:val="left" w:pos="2460"/>
        </w:tabs>
        <w:ind w:firstLine="411" w:firstLineChars="196"/>
        <w:outlineLvl w:val="3"/>
        <w:rPr>
          <w:rFonts w:ascii="宋体" w:hAnsi="宋体"/>
          <w:b/>
          <w:bCs/>
          <w:kern w:val="0"/>
        </w:rPr>
      </w:pPr>
      <w:r>
        <w:rPr>
          <w:rFonts w:hint="eastAsia" w:ascii="宋体" w:hAnsi="宋体" w:cs="宋体"/>
          <w:kern w:val="0"/>
        </w:rPr>
        <w:t>1、现有应急人员和外部应急队伍见下表：</w:t>
      </w:r>
    </w:p>
    <w:p>
      <w:pPr>
        <w:tabs>
          <w:tab w:val="left" w:pos="2460"/>
        </w:tabs>
        <w:jc w:val="center"/>
        <w:outlineLvl w:val="3"/>
        <w:rPr>
          <w:rFonts w:hint="eastAsia" w:ascii="宋体" w:hAnsi="宋体" w:eastAsia="宋体" w:cs="宋体"/>
          <w:color w:val="auto"/>
        </w:rPr>
      </w:pPr>
      <w:r>
        <w:rPr>
          <w:rFonts w:ascii="宋体" w:hAnsi="宋体"/>
          <w:b/>
          <w:bCs/>
          <w:kern w:val="0"/>
        </w:rPr>
        <w:t>表</w:t>
      </w:r>
      <w:r>
        <w:rPr>
          <w:rFonts w:hint="eastAsia" w:ascii="宋体" w:hAnsi="宋体"/>
          <w:b/>
          <w:bCs/>
          <w:kern w:val="0"/>
          <w:lang w:val="en-US" w:eastAsia="zh-CN"/>
        </w:rPr>
        <w:t>7</w:t>
      </w:r>
      <w:r>
        <w:rPr>
          <w:rFonts w:ascii="宋体" w:hAnsi="宋体"/>
          <w:b/>
          <w:bCs/>
          <w:kern w:val="0"/>
        </w:rPr>
        <w:t>.4-1突发环境事件应急联络表</w:t>
      </w:r>
    </w:p>
    <w:tbl>
      <w:tblPr>
        <w:tblStyle w:val="47"/>
        <w:tblW w:w="9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581"/>
        <w:gridCol w:w="2863"/>
        <w:gridCol w:w="2031"/>
        <w:gridCol w:w="2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58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姓名</w:t>
            </w:r>
          </w:p>
        </w:tc>
        <w:tc>
          <w:tcPr>
            <w:tcW w:w="286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指挥小组职务</w:t>
            </w:r>
          </w:p>
        </w:tc>
        <w:tc>
          <w:tcPr>
            <w:tcW w:w="20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所在岗位或职务</w:t>
            </w:r>
          </w:p>
        </w:tc>
        <w:tc>
          <w:tcPr>
            <w:tcW w:w="208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numPr>
                <w:ilvl w:val="0"/>
                <w:numId w:val="9"/>
              </w:numPr>
              <w:suppressLineNumbers w:val="0"/>
              <w:kinsoku/>
              <w:wordWrap/>
              <w:overflowPunct/>
              <w:topLinePunct w:val="0"/>
              <w:autoSpaceDE/>
              <w:autoSpaceDN/>
              <w:bidi w:val="0"/>
              <w:adjustRightInd/>
              <w:snapToGrid/>
              <w:spacing w:before="0" w:beforeAutospacing="0" w:after="0" w:afterAutospacing="0" w:line="320" w:lineRule="exact"/>
              <w:ind w:left="425" w:leftChars="0" w:right="0" w:hanging="425" w:firstLineChars="0"/>
              <w:jc w:val="left"/>
              <w:textAlignment w:val="auto"/>
              <w:rPr>
                <w:rFonts w:hint="eastAsia" w:ascii="宋体" w:hAnsi="宋体" w:eastAsia="宋体" w:cs="宋体"/>
                <w:b w:val="0"/>
                <w:bCs w:val="0"/>
                <w:color w:val="auto"/>
                <w:sz w:val="21"/>
                <w:szCs w:val="21"/>
              </w:rPr>
            </w:pP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邢立勋</w:t>
            </w:r>
          </w:p>
        </w:tc>
        <w:tc>
          <w:tcPr>
            <w:tcW w:w="286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总指挥</w:t>
            </w:r>
          </w:p>
        </w:tc>
        <w:tc>
          <w:tcPr>
            <w:tcW w:w="203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常务副总</w:t>
            </w:r>
          </w:p>
        </w:tc>
        <w:tc>
          <w:tcPr>
            <w:tcW w:w="208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13116056581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97"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numPr>
                <w:ilvl w:val="0"/>
                <w:numId w:val="9"/>
              </w:numPr>
              <w:suppressLineNumbers w:val="0"/>
              <w:kinsoku/>
              <w:wordWrap/>
              <w:overflowPunct/>
              <w:topLinePunct w:val="0"/>
              <w:autoSpaceDE/>
              <w:autoSpaceDN/>
              <w:bidi w:val="0"/>
              <w:adjustRightInd/>
              <w:snapToGrid/>
              <w:spacing w:before="0" w:beforeAutospacing="0" w:after="0" w:afterAutospacing="0" w:line="320" w:lineRule="exact"/>
              <w:ind w:left="425" w:leftChars="0" w:right="0" w:hanging="425" w:firstLineChars="0"/>
              <w:jc w:val="left"/>
              <w:textAlignment w:val="auto"/>
              <w:rPr>
                <w:rFonts w:hint="eastAsia" w:ascii="宋体" w:hAnsi="宋体" w:eastAsia="宋体" w:cs="宋体"/>
                <w:b w:val="0"/>
                <w:bCs w:val="0"/>
                <w:color w:val="auto"/>
                <w:sz w:val="21"/>
                <w:szCs w:val="21"/>
              </w:rPr>
            </w:pPr>
          </w:p>
        </w:tc>
        <w:tc>
          <w:tcPr>
            <w:tcW w:w="158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贺立超</w:t>
            </w:r>
          </w:p>
        </w:tc>
        <w:tc>
          <w:tcPr>
            <w:tcW w:w="286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副总指挥</w:t>
            </w:r>
          </w:p>
        </w:tc>
        <w:tc>
          <w:tcPr>
            <w:tcW w:w="203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质量环安部</w:t>
            </w:r>
          </w:p>
        </w:tc>
        <w:tc>
          <w:tcPr>
            <w:tcW w:w="208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13951100219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9"/>
              </w:numPr>
              <w:suppressLineNumbers w:val="0"/>
              <w:kinsoku/>
              <w:wordWrap/>
              <w:overflowPunct/>
              <w:topLinePunct w:val="0"/>
              <w:autoSpaceDE/>
              <w:autoSpaceDN/>
              <w:bidi w:val="0"/>
              <w:adjustRightInd/>
              <w:snapToGrid/>
              <w:spacing w:before="0" w:beforeAutospacing="0" w:after="0" w:afterAutospacing="0" w:line="320" w:lineRule="exact"/>
              <w:ind w:left="425" w:leftChars="0" w:right="0" w:hanging="425" w:firstLineChars="0"/>
              <w:jc w:val="left"/>
              <w:textAlignment w:val="auto"/>
              <w:rPr>
                <w:rFonts w:hint="eastAsia" w:ascii="宋体" w:hAnsi="宋体" w:eastAsia="宋体" w:cs="宋体"/>
                <w:b w:val="0"/>
                <w:bCs w:val="0"/>
                <w:color w:val="auto"/>
                <w:sz w:val="21"/>
                <w:szCs w:val="21"/>
                <w:lang w:val="en-US" w:eastAsia="zh-CN"/>
              </w:rPr>
            </w:pP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b w:val="0"/>
                <w:bCs/>
                <w:color w:val="auto"/>
                <w:sz w:val="21"/>
                <w:szCs w:val="21"/>
                <w:lang w:val="en-US" w:eastAsia="zh-CN"/>
              </w:rPr>
            </w:pPr>
            <w:r>
              <w:rPr>
                <w:rFonts w:hint="eastAsia" w:ascii="宋体" w:hAnsi="宋体" w:eastAsia="宋体" w:cs="宋体"/>
                <w:b/>
                <w:bCs w:val="0"/>
                <w:color w:val="auto"/>
                <w:sz w:val="21"/>
                <w:szCs w:val="21"/>
                <w:lang w:val="en-US" w:eastAsia="zh-CN"/>
              </w:rPr>
              <w:t>孙瑜</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通讯联络组组长</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人力资源部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default" w:ascii="宋体" w:hAnsi="宋体" w:eastAsia="宋体" w:cs="宋体"/>
                <w:b/>
                <w:bCs w:val="0"/>
                <w:color w:val="auto"/>
                <w:sz w:val="21"/>
                <w:szCs w:val="21"/>
                <w:lang w:val="en-US" w:eastAsia="zh-CN"/>
              </w:rPr>
              <w:t>18200986508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left"/>
              <w:textAlignment w:val="auto"/>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4</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黄静蕾</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人力资源部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15970575835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left"/>
              <w:textAlignment w:val="auto"/>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5</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彭伟根</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人力资源部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18926005591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bCs w:val="0"/>
                <w:color w:val="auto"/>
                <w:sz w:val="21"/>
                <w:szCs w:val="21"/>
                <w:lang w:val="en-US" w:eastAsia="zh-CN"/>
              </w:rPr>
              <w:t>曹国庆</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cs="宋体"/>
                <w:b/>
                <w:bCs w:val="0"/>
                <w:color w:val="auto"/>
                <w:sz w:val="21"/>
                <w:szCs w:val="21"/>
                <w:lang w:val="en-US" w:eastAsia="zh-CN"/>
              </w:rPr>
              <w:t>现场治安</w:t>
            </w:r>
            <w:r>
              <w:rPr>
                <w:rFonts w:hint="eastAsia" w:ascii="宋体" w:hAnsi="宋体" w:eastAsia="宋体" w:cs="宋体"/>
                <w:b/>
                <w:bCs w:val="0"/>
                <w:color w:val="auto"/>
                <w:sz w:val="21"/>
                <w:szCs w:val="21"/>
                <w:lang w:val="en-US" w:eastAsia="zh-CN"/>
              </w:rPr>
              <w:t>组组长</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kern w:val="2"/>
                <w:sz w:val="21"/>
                <w:szCs w:val="21"/>
                <w:lang w:val="en-US" w:eastAsia="zh-CN" w:bidi="ar-SA"/>
              </w:rPr>
            </w:pPr>
            <w:r>
              <w:rPr>
                <w:rFonts w:hint="eastAsia" w:ascii="宋体" w:hAnsi="宋体" w:eastAsia="宋体" w:cs="宋体"/>
                <w:b/>
                <w:bCs w:val="0"/>
                <w:color w:val="auto"/>
                <w:kern w:val="2"/>
                <w:sz w:val="21"/>
                <w:szCs w:val="21"/>
                <w:lang w:val="en-US" w:eastAsia="zh-CN" w:bidi="ar-SA"/>
              </w:rPr>
              <w:t>生产部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kern w:val="2"/>
                <w:sz w:val="24"/>
                <w:szCs w:val="24"/>
                <w:lang w:val="en-US" w:eastAsia="zh-CN" w:bidi="ar-SA"/>
              </w:rPr>
            </w:pPr>
            <w:r>
              <w:rPr>
                <w:rFonts w:hint="eastAsia" w:ascii="宋体" w:hAnsi="宋体" w:eastAsia="宋体" w:cs="宋体"/>
                <w:b/>
                <w:color w:val="auto"/>
                <w:sz w:val="24"/>
                <w:szCs w:val="24"/>
              </w:rPr>
              <w:t>18</w:t>
            </w:r>
            <w:r>
              <w:rPr>
                <w:rFonts w:hint="eastAsia" w:ascii="宋体" w:hAnsi="宋体" w:eastAsia="宋体" w:cs="宋体"/>
                <w:b/>
                <w:color w:val="auto"/>
                <w:sz w:val="24"/>
                <w:szCs w:val="24"/>
                <w:lang w:val="en-US" w:eastAsia="zh-CN"/>
              </w:rPr>
              <w:t>260511758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7</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胡凯</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设备</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18012713621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8</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刘亮</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行政</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17711660811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9</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黄志甫</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设备</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15262986923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10</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邓磊</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行政</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15800324645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11</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晏新聪</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应急抢险</w:t>
            </w:r>
            <w:r>
              <w:rPr>
                <w:rFonts w:hint="eastAsia" w:ascii="宋体" w:hAnsi="宋体" w:eastAsia="宋体" w:cs="宋体"/>
                <w:b/>
                <w:bCs/>
                <w:color w:val="auto"/>
                <w:sz w:val="21"/>
                <w:szCs w:val="21"/>
                <w:lang w:val="en-US" w:eastAsia="zh-CN"/>
              </w:rPr>
              <w:t>组组长</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设施部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sz w:val="24"/>
                <w:szCs w:val="24"/>
                <w:lang w:val="en-US" w:eastAsia="zh-CN"/>
              </w:rPr>
            </w:pPr>
            <w:r>
              <w:rPr>
                <w:rFonts w:hint="eastAsia" w:ascii="宋体" w:hAnsi="宋体" w:eastAsia="宋体" w:cs="宋体"/>
                <w:b/>
                <w:color w:val="auto"/>
                <w:sz w:val="24"/>
                <w:szCs w:val="24"/>
              </w:rPr>
              <w:t>19979509323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12</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黄材岗</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设施部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17779522613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13</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柳才竹</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设施部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13533283614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14</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彭晶</w:t>
            </w:r>
          </w:p>
        </w:tc>
        <w:tc>
          <w:tcPr>
            <w:tcW w:w="2863"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kern w:val="2"/>
                <w:sz w:val="21"/>
                <w:szCs w:val="21"/>
                <w:lang w:val="en-US" w:eastAsia="zh-CN" w:bidi="ar-SA"/>
              </w:rPr>
            </w:pPr>
            <w:r>
              <w:rPr>
                <w:rFonts w:hint="eastAsia" w:ascii="宋体" w:hAnsi="宋体" w:eastAsia="宋体" w:cs="Times New Roman"/>
                <w:color w:val="000000"/>
                <w:sz w:val="24"/>
                <w:lang w:val="en-US" w:eastAsia="zh-CN"/>
              </w:rPr>
              <w:t>人力资源部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18870510556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15</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邓 磊</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应急</w:t>
            </w:r>
            <w:r>
              <w:rPr>
                <w:rFonts w:hint="eastAsia" w:ascii="宋体" w:hAnsi="宋体" w:eastAsia="宋体" w:cs="宋体"/>
                <w:b/>
                <w:bCs/>
                <w:color w:val="auto"/>
                <w:sz w:val="21"/>
                <w:szCs w:val="21"/>
                <w:lang w:val="en-US" w:eastAsia="zh-CN"/>
              </w:rPr>
              <w:t>消防组组长</w:t>
            </w:r>
          </w:p>
        </w:tc>
        <w:tc>
          <w:tcPr>
            <w:tcW w:w="20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保安队长</w:t>
            </w:r>
          </w:p>
        </w:tc>
        <w:tc>
          <w:tcPr>
            <w:tcW w:w="208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18379101416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16</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袁定洪</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门卫保安室</w:t>
            </w:r>
          </w:p>
        </w:tc>
        <w:tc>
          <w:tcPr>
            <w:tcW w:w="208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13970534846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17</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袁杰</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保安</w:t>
            </w:r>
          </w:p>
        </w:tc>
        <w:tc>
          <w:tcPr>
            <w:tcW w:w="208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13766427146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18</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高文科</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保安</w:t>
            </w:r>
          </w:p>
        </w:tc>
        <w:tc>
          <w:tcPr>
            <w:tcW w:w="208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15807052857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19</w:t>
            </w:r>
          </w:p>
        </w:tc>
        <w:tc>
          <w:tcPr>
            <w:tcW w:w="1581" w:type="dxa"/>
            <w:shd w:val="clear" w:color="auto" w:fill="auto"/>
            <w:vAlign w:val="center"/>
          </w:tcPr>
          <w:p>
            <w:pPr>
              <w:keepNext w:val="0"/>
              <w:keepLines w:val="0"/>
              <w:suppressLineNumbers w:val="0"/>
              <w:spacing w:before="0" w:beforeAutospacing="0" w:after="0" w:afterAutospacing="0"/>
              <w:ind w:left="0" w:leftChars="0" w:right="0" w:firstLine="0" w:firstLineChars="0"/>
              <w:jc w:val="center"/>
              <w:rPr>
                <w:rFonts w:hint="default" w:ascii="宋体" w:hAnsi="宋体" w:eastAsia="宋体" w:cs="宋体"/>
                <w:b w:val="0"/>
                <w:bCs/>
                <w:color w:val="auto"/>
                <w:kern w:val="2"/>
                <w:sz w:val="21"/>
                <w:szCs w:val="21"/>
                <w:lang w:val="en-US" w:eastAsia="zh-CN" w:bidi="ar-SA"/>
              </w:rPr>
            </w:pPr>
            <w:r>
              <w:rPr>
                <w:rFonts w:hint="eastAsia" w:ascii="宋体" w:hAnsi="宋体" w:eastAsia="宋体" w:cs="宋体"/>
                <w:b w:val="0"/>
                <w:bCs/>
                <w:color w:val="auto"/>
                <w:kern w:val="2"/>
                <w:sz w:val="21"/>
                <w:szCs w:val="21"/>
                <w:lang w:val="en-US" w:eastAsia="zh-CN" w:bidi="ar-SA"/>
              </w:rPr>
              <w:t>袁明</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保安</w:t>
            </w:r>
          </w:p>
        </w:tc>
        <w:tc>
          <w:tcPr>
            <w:tcW w:w="208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15800324645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20</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冯计宜</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设施部</w:t>
            </w:r>
          </w:p>
        </w:tc>
        <w:tc>
          <w:tcPr>
            <w:tcW w:w="208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15770908882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21</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易初耀</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设施部</w:t>
            </w:r>
          </w:p>
        </w:tc>
        <w:tc>
          <w:tcPr>
            <w:tcW w:w="208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15016798783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22</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胡沛</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医疗救护组组长</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人力资源部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sz w:val="21"/>
                <w:szCs w:val="21"/>
                <w:lang w:val="en-US" w:eastAsia="zh-CN"/>
              </w:rPr>
            </w:pPr>
            <w:r>
              <w:rPr>
                <w:rFonts w:hint="default" w:ascii="宋体" w:hAnsi="宋体" w:eastAsia="宋体" w:cs="宋体"/>
                <w:b/>
                <w:bCs w:val="0"/>
                <w:color w:val="auto"/>
                <w:sz w:val="21"/>
                <w:szCs w:val="21"/>
                <w:lang w:val="en-US" w:eastAsia="zh-CN"/>
              </w:rPr>
              <w:t>17779553325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23</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易建娣</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人力资源部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18166037243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24</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吴松</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人力资源部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18770911838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left"/>
              <w:textAlignment w:val="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25</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胡才县</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bCs w:val="0"/>
                <w:color w:val="auto"/>
                <w:sz w:val="21"/>
                <w:szCs w:val="21"/>
                <w:lang w:val="en-US" w:eastAsia="zh-CN"/>
              </w:rPr>
            </w:pPr>
            <w:r>
              <w:rPr>
                <w:rFonts w:hint="eastAsia" w:ascii="宋体" w:hAnsi="宋体" w:cs="宋体"/>
                <w:b/>
                <w:bCs w:val="0"/>
                <w:color w:val="auto"/>
                <w:sz w:val="21"/>
                <w:szCs w:val="21"/>
                <w:lang w:val="en-US" w:eastAsia="zh-CN"/>
              </w:rPr>
              <w:t>物资</w:t>
            </w:r>
            <w:r>
              <w:rPr>
                <w:rFonts w:hint="eastAsia" w:ascii="宋体" w:hAnsi="宋体" w:eastAsia="宋体" w:cs="宋体"/>
                <w:b/>
                <w:bCs w:val="0"/>
                <w:color w:val="auto"/>
                <w:sz w:val="21"/>
                <w:szCs w:val="21"/>
                <w:lang w:val="en-US" w:eastAsia="zh-CN"/>
              </w:rPr>
              <w:t>保障组组长</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财务部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val="0"/>
                <w:color w:val="auto"/>
                <w:sz w:val="21"/>
                <w:szCs w:val="21"/>
                <w:lang w:val="en-US" w:eastAsia="zh-CN"/>
              </w:rPr>
            </w:pPr>
            <w:r>
              <w:rPr>
                <w:rFonts w:hint="default" w:ascii="宋体" w:hAnsi="宋体" w:eastAsia="宋体" w:cs="宋体"/>
                <w:b/>
                <w:bCs w:val="0"/>
                <w:color w:val="auto"/>
                <w:sz w:val="21"/>
                <w:szCs w:val="21"/>
                <w:lang w:val="en-US" w:eastAsia="zh-CN"/>
              </w:rPr>
              <w:t>17779551335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both"/>
              <w:textAlignment w:val="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26</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陈书亮</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计划运营部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17379555152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both"/>
              <w:textAlignment w:val="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27</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刘雪连</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财务部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default" w:ascii="宋体" w:hAnsi="宋体" w:eastAsia="宋体" w:cs="宋体"/>
                <w:b w:val="0"/>
                <w:bCs/>
                <w:color w:val="auto"/>
                <w:sz w:val="21"/>
                <w:szCs w:val="21"/>
                <w:lang w:val="en-US" w:eastAsia="zh-CN"/>
              </w:rPr>
              <w:t>18270637263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both"/>
              <w:textAlignment w:val="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28</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张海芳</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财务部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13979578365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both"/>
              <w:textAlignment w:val="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29</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金 鑫</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应急监测</w:t>
            </w:r>
            <w:r>
              <w:rPr>
                <w:rFonts w:hint="eastAsia" w:ascii="宋体" w:hAnsi="宋体" w:eastAsia="宋体" w:cs="宋体"/>
                <w:b/>
                <w:bCs/>
                <w:color w:val="auto"/>
                <w:sz w:val="21"/>
                <w:szCs w:val="21"/>
                <w:lang w:val="en-US" w:eastAsia="zh-CN"/>
              </w:rPr>
              <w:t>组组长</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质量环安部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15179501404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97" w:type="dxa"/>
            <w:shd w:val="clear" w:color="auto" w:fill="auto"/>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0" w:leftChars="0" w:right="0"/>
              <w:jc w:val="both"/>
              <w:textAlignment w:val="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30</w:t>
            </w:r>
          </w:p>
        </w:tc>
        <w:tc>
          <w:tcPr>
            <w:tcW w:w="1581" w:type="dxa"/>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周谱根</w:t>
            </w:r>
          </w:p>
        </w:tc>
        <w:tc>
          <w:tcPr>
            <w:tcW w:w="2863"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sz w:val="21"/>
                <w:szCs w:val="21"/>
                <w:lang w:val="en-US" w:eastAsia="zh-CN"/>
              </w:rPr>
              <w:t>成员</w:t>
            </w:r>
          </w:p>
        </w:tc>
        <w:tc>
          <w:tcPr>
            <w:tcW w:w="2031"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default" w:ascii="宋体" w:hAnsi="宋体" w:eastAsia="宋体" w:cs="宋体"/>
                <w:b w:val="0"/>
                <w:bCs w:val="0"/>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质量环安部</w:t>
            </w:r>
          </w:p>
        </w:tc>
        <w:tc>
          <w:tcPr>
            <w:tcW w:w="2085" w:type="dxa"/>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firstLine="0" w:firstLineChars="0"/>
              <w:jc w:val="center"/>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15279567031</w:t>
            </w:r>
          </w:p>
        </w:tc>
      </w:tr>
    </w:tbl>
    <w:p>
      <w:pPr>
        <w:tabs>
          <w:tab w:val="left" w:pos="2460"/>
        </w:tabs>
        <w:jc w:val="center"/>
        <w:outlineLvl w:val="3"/>
        <w:rPr>
          <w:rFonts w:ascii="宋体" w:hAnsi="宋体"/>
          <w:b/>
          <w:bCs/>
          <w:kern w:val="0"/>
        </w:rPr>
      </w:pPr>
    </w:p>
    <w:p>
      <w:pPr>
        <w:tabs>
          <w:tab w:val="left" w:pos="2460"/>
        </w:tabs>
        <w:jc w:val="center"/>
        <w:outlineLvl w:val="3"/>
        <w:rPr>
          <w:rFonts w:ascii="宋体" w:hAnsi="宋体"/>
          <w:b/>
          <w:bCs/>
          <w:kern w:val="0"/>
        </w:rPr>
      </w:pPr>
      <w:r>
        <w:rPr>
          <w:rFonts w:ascii="宋体" w:hAnsi="宋体"/>
          <w:b/>
          <w:bCs/>
          <w:kern w:val="0"/>
        </w:rPr>
        <w:t>表</w:t>
      </w:r>
      <w:r>
        <w:rPr>
          <w:rFonts w:hint="eastAsia" w:ascii="宋体" w:hAnsi="宋体"/>
          <w:b/>
          <w:bCs/>
          <w:kern w:val="0"/>
          <w:lang w:val="en-US" w:eastAsia="zh-CN"/>
        </w:rPr>
        <w:t>7</w:t>
      </w:r>
      <w:r>
        <w:rPr>
          <w:rFonts w:ascii="宋体" w:hAnsi="宋体"/>
          <w:b/>
          <w:bCs/>
          <w:kern w:val="0"/>
        </w:rPr>
        <w:t>.4-2外部应急队伍及联系方式</w:t>
      </w:r>
    </w:p>
    <w:tbl>
      <w:tblPr>
        <w:tblStyle w:val="47"/>
        <w:tblW w:w="8245" w:type="dxa"/>
        <w:jc w:val="center"/>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4537"/>
        <w:gridCol w:w="2933"/>
      </w:tblGrid>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1</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宜春市应急管理局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0795-3590918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2</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eastAsia="zh-CN"/>
              </w:rPr>
            </w:pPr>
            <w:r>
              <w:rPr>
                <w:rFonts w:hint="default" w:ascii="Times New Roman" w:hAnsi="Times New Roman" w:eastAsia="宋体" w:cs="Times New Roman"/>
                <w:kern w:val="2"/>
                <w:sz w:val="24"/>
                <w:szCs w:val="24"/>
              </w:rPr>
              <w:t>宜春市生态环境局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eastAsia="zh-CN"/>
              </w:rPr>
            </w:pPr>
            <w:r>
              <w:rPr>
                <w:rFonts w:hint="default" w:ascii="Times New Roman" w:hAnsi="Times New Roman" w:eastAsia="宋体" w:cs="Times New Roman"/>
                <w:kern w:val="2"/>
                <w:sz w:val="24"/>
                <w:szCs w:val="24"/>
              </w:rPr>
              <w:t>0795-3998865</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3</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宜春市安全生产应急救援</w:t>
            </w:r>
          </w:p>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指挥中心</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0795-3562731</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4</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lang w:eastAsia="zh-CN"/>
              </w:rPr>
              <w:t>宜春经济技术开发区应急管理局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0795-3668228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5</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lang w:eastAsia="zh-CN"/>
              </w:rPr>
              <w:t>宜春市生态环境局宜春经济技术开发区分局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lang w:eastAsia="zh-CN"/>
              </w:rPr>
              <w:t>0795-3653639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6</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宜春市公安局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110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7</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default" w:ascii="Times New Roman" w:hAnsi="Times New Roman" w:eastAsia="宋体" w:cs="Times New Roman"/>
                <w:kern w:val="2"/>
                <w:sz w:val="24"/>
                <w:szCs w:val="24"/>
              </w:rPr>
              <w:t>宜春市交警支队</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default" w:ascii="Times New Roman" w:hAnsi="Times New Roman" w:eastAsia="宋体" w:cs="Times New Roman"/>
                <w:kern w:val="2"/>
                <w:sz w:val="24"/>
                <w:szCs w:val="24"/>
              </w:rPr>
              <w:t>122</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8</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val="en-US" w:eastAsia="zh-CN"/>
              </w:rPr>
            </w:pPr>
            <w:r>
              <w:rPr>
                <w:rFonts w:hint="eastAsia" w:cs="Times New Roman"/>
                <w:kern w:val="2"/>
                <w:sz w:val="24"/>
                <w:szCs w:val="24"/>
                <w:lang w:eastAsia="zh-CN"/>
              </w:rPr>
              <w:t>宜春市消防救援支队</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default" w:ascii="Times New Roman" w:hAnsi="Times New Roman" w:eastAsia="宋体" w:cs="Times New Roman"/>
                <w:kern w:val="2"/>
                <w:sz w:val="24"/>
                <w:szCs w:val="24"/>
              </w:rPr>
              <w:t>119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9</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宜春市人民医院</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120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10</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宜春经济技术开发区管理委员会</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eastAsia="zh-CN"/>
              </w:rPr>
              <w:t>0795-3668066</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11</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val="en-US" w:eastAsia="zh-CN"/>
              </w:rPr>
            </w:pPr>
            <w:r>
              <w:rPr>
                <w:rFonts w:hint="eastAsia" w:cs="Times New Roman"/>
                <w:kern w:val="2"/>
                <w:sz w:val="24"/>
                <w:szCs w:val="24"/>
                <w:lang w:val="en-US" w:eastAsia="zh-CN"/>
              </w:rPr>
              <w:t>江西省宜春生态环境监测中心</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eastAsia="zh-CN"/>
              </w:rPr>
            </w:pPr>
            <w:r>
              <w:rPr>
                <w:rFonts w:hint="eastAsia" w:ascii="Times New Roman" w:hAnsi="Times New Roman" w:eastAsia="宋体" w:cs="Times New Roman"/>
                <w:kern w:val="2"/>
                <w:sz w:val="24"/>
                <w:szCs w:val="24"/>
                <w:lang w:val="en-US" w:eastAsia="zh-CN"/>
              </w:rPr>
              <w:t>0795-3998059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12</w:t>
            </w:r>
          </w:p>
        </w:tc>
        <w:tc>
          <w:tcPr>
            <w:tcW w:w="4537" w:type="dxa"/>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宜春经开区党工委党群工作部</w:t>
            </w:r>
          </w:p>
        </w:tc>
        <w:tc>
          <w:tcPr>
            <w:tcW w:w="2933" w:type="dxa"/>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0795-3918597</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13</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宜春经开区经济发展和科技创新局（建设局）</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0795-3666628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14</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宜春经开区供电服务中心</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0795-7307397</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15</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宜春经开区供水客服中心</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0795-3918126</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cs="Times New Roman"/>
                <w:color w:val="FF0000"/>
                <w:kern w:val="2"/>
                <w:sz w:val="24"/>
                <w:szCs w:val="24"/>
                <w:lang w:val="en-US" w:eastAsia="zh-CN"/>
              </w:rPr>
              <w:t>16</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宜春经开区综合行政执法分局</w:t>
            </w:r>
          </w:p>
        </w:tc>
        <w:tc>
          <w:tcPr>
            <w:tcW w:w="0" w:type="auto"/>
            <w:vAlign w:val="center"/>
          </w:tcPr>
          <w:p>
            <w:pPr>
              <w:keepNext w:val="0"/>
              <w:keepLines w:val="0"/>
              <w:suppressLineNumbers w:val="0"/>
              <w:bidi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FF0000"/>
                <w:kern w:val="2"/>
                <w:sz w:val="24"/>
                <w:szCs w:val="24"/>
                <w:lang w:val="en-US" w:eastAsia="zh-CN" w:bidi="ar-SA"/>
              </w:rPr>
            </w:pPr>
            <w:r>
              <w:rPr>
                <w:rFonts w:hint="eastAsia" w:ascii="Times New Roman" w:hAnsi="Times New Roman" w:eastAsia="宋体" w:cs="Times New Roman"/>
                <w:color w:val="FF0000"/>
                <w:kern w:val="2"/>
                <w:sz w:val="24"/>
                <w:szCs w:val="24"/>
                <w:lang w:val="en-US" w:eastAsia="zh-CN"/>
              </w:rPr>
              <w:t>0795-3668077</w:t>
            </w:r>
          </w:p>
        </w:tc>
      </w:tr>
    </w:tbl>
    <w:p>
      <w:pPr>
        <w:pStyle w:val="46"/>
        <w:ind w:left="0" w:leftChars="0" w:firstLine="0" w:firstLineChars="0"/>
      </w:pPr>
    </w:p>
    <w:p>
      <w:pPr>
        <w:pStyle w:val="5"/>
      </w:pPr>
      <w:bookmarkStart w:id="639" w:name="_Toc306975711"/>
      <w:bookmarkStart w:id="640" w:name="_Toc408503157"/>
      <w:bookmarkStart w:id="641" w:name="_Toc46857543"/>
      <w:bookmarkStart w:id="642" w:name="_Toc30508"/>
      <w:bookmarkStart w:id="643" w:name="_Toc305937036"/>
      <w:bookmarkStart w:id="644" w:name="_Toc10668_WPSOffice_Level2"/>
      <w:bookmarkStart w:id="645" w:name="_Toc342165919"/>
      <w:bookmarkStart w:id="646" w:name="_Toc19993_WPSOffice_Level2"/>
      <w:bookmarkStart w:id="647" w:name="_Toc43203022"/>
      <w:r>
        <w:rPr>
          <w:rFonts w:hint="eastAsia"/>
          <w:lang w:val="en-US" w:eastAsia="zh-CN"/>
        </w:rPr>
        <w:t>7</w:t>
      </w:r>
      <w:r>
        <w:rPr>
          <w:rFonts w:hint="eastAsia"/>
        </w:rPr>
        <w:t>.5资金保障</w:t>
      </w:r>
      <w:bookmarkEnd w:id="639"/>
      <w:bookmarkEnd w:id="640"/>
      <w:bookmarkEnd w:id="641"/>
      <w:bookmarkEnd w:id="642"/>
      <w:bookmarkEnd w:id="643"/>
      <w:bookmarkEnd w:id="644"/>
      <w:bookmarkEnd w:id="645"/>
      <w:bookmarkEnd w:id="646"/>
      <w:bookmarkEnd w:id="647"/>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企业要保证所需突发环境污染事件应急准备和救援工作资金，用于应急物资储备和应急设施的建设，以及保证应急状态时应急经费的及时到位。企业应急准备和救援工作资金除来自企业自身外，企业可办理相关责任险或其他险种，为突发环境污染事件应急处置人员办理意外伤害保险，突发环境污染事件发生后，各保险企业可快速介入，及时做好理赔工作，减少和弥补企业的损失。</w:t>
      </w:r>
    </w:p>
    <w:p>
      <w:pPr>
        <w:pStyle w:val="5"/>
      </w:pPr>
      <w:bookmarkStart w:id="648" w:name="_Toc43203023"/>
      <w:bookmarkStart w:id="649" w:name="_Toc305937037"/>
      <w:bookmarkStart w:id="650" w:name="_Toc408503158"/>
      <w:bookmarkStart w:id="651" w:name="_Toc342165920"/>
      <w:bookmarkStart w:id="652" w:name="_Toc26753_WPSOffice_Level2"/>
      <w:bookmarkStart w:id="653" w:name="_Toc644_WPSOffice_Level2"/>
      <w:bookmarkStart w:id="654" w:name="_Toc46857544"/>
      <w:bookmarkStart w:id="655" w:name="_Toc25232"/>
      <w:bookmarkStart w:id="656" w:name="_Toc306975712"/>
      <w:r>
        <w:rPr>
          <w:rFonts w:hint="eastAsia"/>
          <w:lang w:val="en-US" w:eastAsia="zh-CN"/>
        </w:rPr>
        <w:t>7</w:t>
      </w:r>
      <w:r>
        <w:rPr>
          <w:rFonts w:hint="eastAsia"/>
        </w:rPr>
        <w:t>.6物资装备保障</w:t>
      </w:r>
      <w:bookmarkEnd w:id="648"/>
      <w:bookmarkEnd w:id="649"/>
      <w:bookmarkEnd w:id="650"/>
      <w:bookmarkEnd w:id="651"/>
      <w:bookmarkEnd w:id="652"/>
      <w:bookmarkEnd w:id="653"/>
      <w:bookmarkEnd w:id="654"/>
      <w:bookmarkEnd w:id="655"/>
      <w:bookmarkEnd w:id="656"/>
    </w:p>
    <w:p>
      <w:pPr>
        <w:adjustRightInd w:val="0"/>
        <w:snapToGrid w:val="0"/>
        <w:spacing w:line="360" w:lineRule="auto"/>
        <w:ind w:firstLine="555"/>
        <w:rPr>
          <w:rFonts w:ascii="宋体" w:hAnsi="宋体" w:cs="宋体"/>
          <w:color w:val="000000"/>
          <w:sz w:val="24"/>
        </w:rPr>
      </w:pPr>
      <w:r>
        <w:rPr>
          <w:rFonts w:hint="eastAsia" w:ascii="宋体" w:hAnsi="宋体" w:cs="宋体"/>
          <w:sz w:val="24"/>
        </w:rPr>
        <w:t>根据本预案的要求，企业须及时配齐所需的消防物资、堵漏物资、医疗物资、监测物资、标识物资等其他物资。加强对物资储备的监督管理，委派专人对应急物资进行管理，应急物资按照规定存放在物资仓库</w:t>
      </w:r>
      <w:r>
        <w:rPr>
          <w:rFonts w:hint="eastAsia" w:ascii="宋体" w:hAnsi="宋体" w:cs="宋体"/>
          <w:color w:val="000000"/>
          <w:sz w:val="24"/>
        </w:rPr>
        <w:t>内，不得随意转移，此外，及时对应急物资予以补充和更新。发生重、特大突发环境事件时，积极配合当地政府和</w:t>
      </w:r>
      <w:r>
        <w:rPr>
          <w:rFonts w:hint="eastAsia" w:ascii="宋体" w:hAnsi="宋体" w:cs="宋体"/>
          <w:color w:val="000000"/>
          <w:sz w:val="24"/>
          <w:lang w:eastAsia="zh-CN"/>
        </w:rPr>
        <w:t>生态环境局</w:t>
      </w:r>
      <w:r>
        <w:rPr>
          <w:rFonts w:hint="eastAsia" w:ascii="宋体" w:hAnsi="宋体" w:cs="宋体"/>
          <w:color w:val="000000"/>
          <w:sz w:val="24"/>
        </w:rPr>
        <w:t>做好应急物资、装备的保障。</w:t>
      </w:r>
    </w:p>
    <w:bookmarkEnd w:id="617"/>
    <w:p>
      <w:pPr>
        <w:widowControl/>
        <w:spacing w:line="360" w:lineRule="auto"/>
        <w:ind w:firstLine="480" w:firstLineChars="200"/>
        <w:rPr>
          <w:rFonts w:ascii="宋体" w:hAnsi="宋体" w:cs="宋体"/>
          <w:sz w:val="24"/>
        </w:rPr>
      </w:pPr>
      <w:r>
        <w:rPr>
          <w:rFonts w:hint="eastAsia" w:ascii="宋体" w:hAnsi="宋体" w:cs="宋体"/>
          <w:sz w:val="24"/>
        </w:rPr>
        <w:t>企业突发环境事件应急处置设施（备）和应急处置物资由物资保障组负责管理，包括：应急设施、消防设施、堵漏器材、医疗救护仪器及药品、个人防护装备器材、应急交通工具等。用于应急处置的物资，特别是处理泄漏物、消解和吸收污染物的物资（如消防沙等），采用就近原则，备足、备齐，定置明确，能保证现场应急处理（置）人员在第一时间内启用。用于应急处置的物资，做到调用方便、迅速。相关应急物资如表6.6-1所示，常用的急救药品，需定期维护更新。</w:t>
      </w:r>
    </w:p>
    <w:p>
      <w:pPr>
        <w:ind w:left="0" w:right="0" w:firstLine="560"/>
        <w:jc w:val="center"/>
      </w:pPr>
      <w:r>
        <w:rPr>
          <w:rFonts w:hint="eastAsia" w:ascii="宋体" w:hAnsi="宋体" w:cs="宋体"/>
          <w:b/>
          <w:bCs/>
        </w:rPr>
        <w:t>表</w:t>
      </w:r>
      <w:r>
        <w:rPr>
          <w:rFonts w:hint="eastAsia" w:ascii="宋体" w:hAnsi="宋体" w:cs="宋体"/>
          <w:b/>
          <w:bCs/>
          <w:lang w:val="en-US" w:eastAsia="zh-CN"/>
        </w:rPr>
        <w:t>7</w:t>
      </w:r>
      <w:r>
        <w:rPr>
          <w:rFonts w:hint="eastAsia" w:ascii="宋体" w:hAnsi="宋体" w:cs="宋体"/>
          <w:b/>
          <w:bCs/>
        </w:rPr>
        <w:t>.6-1  厂区内应急物资情况一览表</w:t>
      </w:r>
    </w:p>
    <w:tbl>
      <w:tblPr>
        <w:tblStyle w:val="47"/>
        <w:tblW w:w="0" w:type="auto"/>
        <w:tblInd w:w="-5" w:type="dxa"/>
        <w:tblLayout w:type="fixed"/>
        <w:tblCellMar>
          <w:top w:w="0" w:type="dxa"/>
          <w:left w:w="108" w:type="dxa"/>
          <w:bottom w:w="0" w:type="dxa"/>
          <w:right w:w="108" w:type="dxa"/>
        </w:tblCellMar>
      </w:tblPr>
      <w:tblGrid>
        <w:gridCol w:w="792"/>
        <w:gridCol w:w="1417"/>
        <w:gridCol w:w="851"/>
        <w:gridCol w:w="851"/>
        <w:gridCol w:w="1417"/>
        <w:gridCol w:w="1701"/>
        <w:gridCol w:w="1480"/>
      </w:tblGrid>
      <w:tr>
        <w:tblPrEx>
          <w:tblCellMar>
            <w:top w:w="0" w:type="dxa"/>
            <w:left w:w="108" w:type="dxa"/>
            <w:bottom w:w="0" w:type="dxa"/>
            <w:right w:w="108" w:type="dxa"/>
          </w:tblCellMar>
        </w:tblPrEx>
        <w:trPr>
          <w:trHeight w:val="412"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ascii="宋体" w:hAnsi="宋体" w:cs="宋体"/>
                <w:sz w:val="21"/>
                <w:szCs w:val="21"/>
              </w:rPr>
              <w:t>序号</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ascii="宋体" w:hAnsi="宋体" w:cs="宋体"/>
                <w:sz w:val="21"/>
                <w:szCs w:val="21"/>
              </w:rPr>
              <w:t>名称</w:t>
            </w:r>
          </w:p>
        </w:tc>
        <w:tc>
          <w:tcPr>
            <w:tcW w:w="851"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firstLine="0"/>
              <w:jc w:val="center"/>
            </w:pPr>
            <w:r>
              <w:rPr>
                <w:rFonts w:hint="eastAsia" w:ascii="宋体" w:hAnsi="宋体" w:cs="宋体"/>
                <w:sz w:val="21"/>
                <w:szCs w:val="21"/>
              </w:rPr>
              <w:t>单位</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ascii="宋体" w:hAnsi="宋体" w:cs="宋体"/>
                <w:sz w:val="21"/>
                <w:szCs w:val="21"/>
              </w:rPr>
              <w:t>数量</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ascii="宋体" w:hAnsi="宋体" w:cs="宋体"/>
                <w:sz w:val="21"/>
                <w:szCs w:val="21"/>
              </w:rPr>
              <w:t>存放位置</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ascii="宋体" w:hAnsi="宋体" w:cs="宋体"/>
                <w:sz w:val="21"/>
                <w:szCs w:val="21"/>
              </w:rPr>
              <w:t>管理责任人</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ascii="宋体" w:hAnsi="宋体" w:cs="宋体"/>
                <w:sz w:val="21"/>
                <w:szCs w:val="21"/>
              </w:rPr>
              <w:t>联系电话</w:t>
            </w:r>
          </w:p>
        </w:tc>
      </w:tr>
      <w:tr>
        <w:tblPrEx>
          <w:tblCellMar>
            <w:top w:w="0" w:type="dxa"/>
            <w:left w:w="108" w:type="dxa"/>
            <w:bottom w:w="0" w:type="dxa"/>
            <w:right w:w="108" w:type="dxa"/>
          </w:tblCellMar>
        </w:tblPrEx>
        <w:trPr>
          <w:trHeight w:val="340"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1</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安全帽</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顶</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20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spacing w:after="0" w:afterAutospacing="0" w:line="240" w:lineRule="auto"/>
              <w:ind w:left="0" w:right="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2</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体温计</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只</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3</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pStyle w:val="322"/>
              <w:keepNext w:val="0"/>
              <w:keepLines w:val="0"/>
              <w:widowControl/>
              <w:suppressLineNumbers w:val="0"/>
              <w:spacing w:before="100" w:beforeAutospacing="1" w:after="0" w:afterAutospacing="0" w:line="240" w:lineRule="auto"/>
              <w:ind w:left="0" w:leftChars="0" w:right="0" w:firstLine="0" w:firstLineChars="0"/>
              <w:jc w:val="both"/>
              <w:rPr>
                <w:sz w:val="21"/>
                <w:szCs w:val="21"/>
              </w:rPr>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3</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药箱</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套</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1</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手电筒</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只</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灭火器</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只</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60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6</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消防栓</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套</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rPr>
                <w:rFonts w:hint="default" w:eastAsia="宋体"/>
                <w:lang w:val="en-US" w:eastAsia="zh-CN"/>
              </w:rPr>
            </w:pPr>
            <w:r>
              <w:rPr>
                <w:rFonts w:hint="eastAsia"/>
                <w:lang w:val="en-US" w:eastAsia="zh-CN"/>
              </w:rPr>
              <w:t>14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7</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防护服</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套</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8</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绝缘手套</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双</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配电房</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邓 磊</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spacing w:after="0" w:afterAutospacing="0" w:line="240" w:lineRule="auto"/>
              <w:ind w:left="0" w:leftChars="0" w:right="0" w:firstLine="0" w:firstLineChars="0"/>
            </w:pPr>
            <w:r>
              <w:rPr>
                <w:rFonts w:hint="eastAsia" w:ascii="宋体" w:hAnsi="宋体" w:eastAsia="宋体" w:cs="宋体"/>
                <w:color w:val="000000"/>
                <w:sz w:val="21"/>
                <w:szCs w:val="21"/>
                <w:lang w:val="en-US"/>
              </w:rPr>
              <w:t>15979507031</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9</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绝缘靴</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双</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配电房</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rPr>
                <w:rFonts w:hint="eastAsia"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邓 磊</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color w:val="000000"/>
                <w:sz w:val="21"/>
                <w:szCs w:val="21"/>
                <w:lang w:val="en-US"/>
              </w:rPr>
              <w:t>15979507031</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10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抽水泵</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台</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11</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rPr>
                <w:rFonts w:hint="eastAsia" w:eastAsia="宋体"/>
                <w:lang w:val="en-US" w:eastAsia="zh-CN"/>
              </w:rPr>
            </w:pPr>
            <w:r>
              <w:rPr>
                <w:rFonts w:hint="eastAsia" w:ascii="宋体" w:hAnsi="宋体" w:cs="宋体"/>
                <w:color w:val="000000"/>
                <w:sz w:val="21"/>
                <w:szCs w:val="21"/>
              </w:rPr>
              <w:t>防毒</w:t>
            </w:r>
            <w:r>
              <w:rPr>
                <w:rFonts w:hint="eastAsia" w:ascii="宋体" w:hAnsi="宋体" w:cs="宋体"/>
                <w:color w:val="000000"/>
                <w:sz w:val="21"/>
                <w:szCs w:val="21"/>
                <w:lang w:val="en-US" w:eastAsia="zh-CN"/>
              </w:rPr>
              <w:t>面具</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只</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12</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cs="宋体"/>
                <w:sz w:val="21"/>
                <w:szCs w:val="21"/>
              </w:rPr>
              <w:t>12</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担架</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副</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pPr>
            <w:r>
              <w:rPr>
                <w:rFonts w:hint="eastAsia" w:ascii="宋体" w:hAnsi="宋体" w:eastAsia="宋体" w:cs="宋体"/>
                <w:color w:val="000000"/>
                <w:sz w:val="20"/>
                <w:szCs w:val="20"/>
                <w:lang w:val="en-US"/>
              </w:rPr>
              <w:t>1</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pPr>
            <w:r>
              <w:rPr>
                <w:rFonts w:hint="eastAsia" w:ascii="宋体" w:hAnsi="宋体" w:eastAsia="宋体" w:cs="宋体"/>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rPr>
                <w:rFonts w:hint="default" w:ascii="宋体" w:hAnsi="宋体" w:eastAsia="宋体" w:cs="宋体"/>
                <w:sz w:val="21"/>
                <w:szCs w:val="21"/>
                <w:lang w:val="en-US" w:eastAsia="zh-CN"/>
              </w:rPr>
            </w:pPr>
            <w:r>
              <w:rPr>
                <w:rFonts w:hint="eastAsia" w:ascii="宋体" w:hAnsi="宋体" w:cs="宋体"/>
                <w:sz w:val="21"/>
                <w:szCs w:val="21"/>
                <w:lang w:val="en-US" w:eastAsia="zh-CN"/>
              </w:rPr>
              <w:t>13</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吸附棉</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0"/>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包</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rPr>
                <w:rFonts w:hint="default" w:ascii="宋体" w:hAnsi="宋体" w:eastAsia="宋体" w:cs="宋体"/>
                <w:color w:val="000000"/>
                <w:sz w:val="20"/>
                <w:szCs w:val="20"/>
                <w:lang w:val="en-US" w:eastAsia="zh-CN"/>
              </w:rPr>
            </w:pPr>
            <w:r>
              <w:rPr>
                <w:rFonts w:hint="eastAsia" w:cs="宋体"/>
                <w:color w:val="000000"/>
                <w:sz w:val="20"/>
                <w:szCs w:val="20"/>
                <w:lang w:val="en-US" w:eastAsia="zh-CN"/>
              </w:rPr>
              <w:t>10</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Times New Roman" w:hAnsi="Times New Roman" w:eastAsia="宋体" w:cs="Times New Roman"/>
                <w:kern w:val="2"/>
                <w:sz w:val="21"/>
                <w:szCs w:val="24"/>
                <w:lang w:val="en-US" w:eastAsia="zh-CN" w:bidi="ar-SA"/>
              </w:rPr>
            </w:pPr>
            <w:r>
              <w:rPr>
                <w:rFonts w:hint="eastAsia" w:ascii="宋体" w:hAnsi="宋体" w:cs="宋体"/>
                <w:color w:val="000000"/>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rPr>
                <w:rFonts w:hint="eastAsia" w:ascii="Times New Roman" w:hAnsi="Times New Roman" w:eastAsia="宋体" w:cs="Times New Roman"/>
                <w:kern w:val="2"/>
                <w:sz w:val="21"/>
                <w:szCs w:val="24"/>
                <w:lang w:val="en-US" w:eastAsia="zh-CN" w:bidi="ar-SA"/>
              </w:rPr>
            </w:pPr>
            <w:r>
              <w:rPr>
                <w:rFonts w:hint="eastAsia" w:ascii="宋体" w:hAnsi="宋体" w:eastAsia="宋体" w:cs="宋体"/>
                <w:color w:val="00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rPr>
                <w:rFonts w:hint="eastAsia" w:ascii="Times New Roman" w:hAnsi="Times New Roman" w:eastAsia="宋体" w:cs="Times New Roman"/>
                <w:kern w:val="2"/>
                <w:sz w:val="21"/>
                <w:szCs w:val="24"/>
                <w:lang w:val="en-US" w:eastAsia="zh-CN" w:bidi="ar-SA"/>
              </w:rPr>
            </w:pPr>
            <w:r>
              <w:rPr>
                <w:rFonts w:hint="eastAsia" w:ascii="宋体" w:hAnsi="宋体" w:eastAsia="宋体" w:cs="宋体"/>
                <w:sz w:val="21"/>
                <w:szCs w:val="21"/>
                <w:lang w:val="en-US"/>
              </w:rPr>
              <w:t>13925736019</w:t>
            </w:r>
            <w:bookmarkStart w:id="803" w:name="_GoBack"/>
            <w:bookmarkEnd w:id="803"/>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rPr>
                <w:rFonts w:hint="eastAsia" w:ascii="宋体" w:hAnsi="宋体" w:eastAsia="宋体" w:cs="宋体"/>
                <w:color w:val="FF0000"/>
                <w:kern w:val="2"/>
                <w:sz w:val="21"/>
                <w:szCs w:val="21"/>
                <w:lang w:val="en-US" w:eastAsia="zh-CN" w:bidi="ar-SA"/>
              </w:rPr>
            </w:pPr>
            <w:r>
              <w:rPr>
                <w:rFonts w:hint="eastAsia" w:cs="宋体"/>
                <w:color w:val="FF0000"/>
                <w:kern w:val="2"/>
                <w:sz w:val="21"/>
                <w:szCs w:val="21"/>
                <w:lang w:val="en-US" w:eastAsia="zh-CN"/>
              </w:rPr>
              <w:t>14</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FF0000"/>
                <w:kern w:val="2"/>
                <w:sz w:val="21"/>
                <w:szCs w:val="21"/>
                <w:lang w:val="en-US" w:eastAsia="zh-CN" w:bidi="ar-SA"/>
              </w:rPr>
            </w:pPr>
            <w:r>
              <w:rPr>
                <w:rFonts w:hint="eastAsia" w:ascii="Times New Roman" w:hAnsi="Times New Roman" w:cs="Times New Roman" w:eastAsiaTheme="minorEastAsia"/>
                <w:color w:val="FF0000"/>
                <w:kern w:val="2"/>
                <w:sz w:val="24"/>
                <w:szCs w:val="24"/>
                <w:lang w:val="en-US" w:eastAsia="zh-CN"/>
              </w:rPr>
              <w:t>管道封堵气囊</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FF0000"/>
                <w:kern w:val="2"/>
                <w:sz w:val="21"/>
                <w:szCs w:val="21"/>
                <w:lang w:val="en-US" w:eastAsia="zh-CN" w:bidi="ar-SA"/>
              </w:rPr>
            </w:pPr>
            <w:r>
              <w:rPr>
                <w:rFonts w:hint="eastAsia" w:cs="宋体"/>
                <w:color w:val="FF0000"/>
                <w:kern w:val="2"/>
                <w:sz w:val="21"/>
                <w:szCs w:val="21"/>
                <w:lang w:val="en-US" w:eastAsia="zh-CN"/>
              </w:rPr>
              <w:t>个</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rPr>
                <w:rFonts w:hint="eastAsia" w:ascii="宋体" w:hAnsi="宋体" w:eastAsia="宋体" w:cs="宋体"/>
                <w:color w:val="FF0000"/>
                <w:kern w:val="0"/>
                <w:sz w:val="20"/>
                <w:szCs w:val="20"/>
                <w:lang w:val="en-US" w:eastAsia="zh-CN" w:bidi="ar-SA"/>
              </w:rPr>
            </w:pPr>
            <w:r>
              <w:rPr>
                <w:rFonts w:hint="eastAsia" w:cs="宋体"/>
                <w:color w:val="FF0000"/>
                <w:sz w:val="20"/>
                <w:szCs w:val="20"/>
                <w:lang w:val="en-US" w:eastAsia="zh-CN"/>
              </w:rPr>
              <w:t>2</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Times New Roman" w:hAnsi="Times New Roman" w:eastAsia="宋体" w:cs="Times New Roman"/>
                <w:color w:val="FF0000"/>
                <w:kern w:val="2"/>
                <w:sz w:val="21"/>
                <w:szCs w:val="24"/>
                <w:lang w:val="en-US" w:eastAsia="zh-CN" w:bidi="ar-SA"/>
              </w:rPr>
            </w:pPr>
            <w:r>
              <w:rPr>
                <w:rFonts w:hint="eastAsia" w:ascii="宋体" w:hAnsi="宋体" w:cs="宋体"/>
                <w:color w:val="FF0000"/>
                <w:kern w:val="2"/>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rPr>
                <w:rFonts w:hint="eastAsia" w:ascii="Times New Roman" w:hAnsi="Times New Roman" w:eastAsia="宋体" w:cs="Times New Roman"/>
                <w:color w:val="FF0000"/>
                <w:kern w:val="2"/>
                <w:sz w:val="21"/>
                <w:szCs w:val="24"/>
                <w:lang w:val="en-US" w:eastAsia="zh-CN" w:bidi="ar-SA"/>
              </w:rPr>
            </w:pPr>
            <w:r>
              <w:rPr>
                <w:rFonts w:hint="eastAsia" w:ascii="宋体" w:hAnsi="宋体" w:eastAsia="宋体" w:cs="宋体"/>
                <w:color w:val="FF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rPr>
                <w:rFonts w:hint="eastAsia" w:ascii="Times New Roman" w:hAnsi="Times New Roman" w:eastAsia="宋体" w:cs="Times New Roman"/>
                <w:color w:val="FF0000"/>
                <w:kern w:val="2"/>
                <w:sz w:val="21"/>
                <w:szCs w:val="24"/>
                <w:lang w:val="en-US" w:eastAsia="zh-CN" w:bidi="ar-SA"/>
              </w:rPr>
            </w:pPr>
            <w:r>
              <w:rPr>
                <w:rFonts w:hint="eastAsia" w:ascii="宋体" w:hAnsi="宋体" w:eastAsia="宋体" w:cs="宋体"/>
                <w:color w:val="FF0000"/>
                <w:kern w:val="2"/>
                <w:sz w:val="21"/>
                <w:szCs w:val="21"/>
                <w:lang w:val="en-US"/>
              </w:rPr>
              <w:t>13925736019</w:t>
            </w:r>
          </w:p>
        </w:tc>
      </w:tr>
      <w:tr>
        <w:tblPrEx>
          <w:tblCellMar>
            <w:top w:w="0" w:type="dxa"/>
            <w:left w:w="108" w:type="dxa"/>
            <w:bottom w:w="0" w:type="dxa"/>
            <w:right w:w="108" w:type="dxa"/>
          </w:tblCellMar>
        </w:tblPrEx>
        <w:trPr>
          <w:trHeight w:val="405"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rPr>
                <w:rFonts w:hint="eastAsia" w:ascii="宋体" w:hAnsi="宋体" w:eastAsia="宋体" w:cs="宋体"/>
                <w:color w:val="FF0000"/>
                <w:kern w:val="2"/>
                <w:sz w:val="21"/>
                <w:szCs w:val="21"/>
                <w:lang w:val="en-US" w:eastAsia="zh-CN" w:bidi="ar-SA"/>
              </w:rPr>
            </w:pPr>
            <w:r>
              <w:rPr>
                <w:rFonts w:hint="eastAsia" w:cs="宋体"/>
                <w:color w:val="FF0000"/>
                <w:kern w:val="2"/>
                <w:sz w:val="21"/>
                <w:szCs w:val="21"/>
                <w:lang w:val="en-US" w:eastAsia="zh-CN"/>
              </w:rPr>
              <w:t>15</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FF0000"/>
                <w:kern w:val="2"/>
                <w:sz w:val="21"/>
                <w:szCs w:val="21"/>
                <w:lang w:val="en-US" w:eastAsia="zh-CN" w:bidi="ar-SA"/>
              </w:rPr>
            </w:pPr>
            <w:r>
              <w:rPr>
                <w:rFonts w:hint="eastAsia" w:ascii="Times New Roman" w:hAnsi="Times New Roman" w:cs="Times New Roman" w:eastAsiaTheme="minorEastAsia"/>
                <w:color w:val="FF0000"/>
                <w:kern w:val="2"/>
                <w:sz w:val="24"/>
                <w:szCs w:val="24"/>
                <w:lang w:val="en-US" w:eastAsia="zh-CN"/>
              </w:rPr>
              <w:t>解毒剂</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宋体" w:hAnsi="宋体" w:eastAsia="宋体" w:cs="宋体"/>
                <w:color w:val="FF0000"/>
                <w:kern w:val="2"/>
                <w:sz w:val="21"/>
                <w:szCs w:val="21"/>
                <w:lang w:val="en-US" w:eastAsia="zh-CN" w:bidi="ar-SA"/>
              </w:rPr>
            </w:pPr>
            <w:r>
              <w:rPr>
                <w:rFonts w:hint="eastAsia" w:cs="宋体"/>
                <w:color w:val="FF0000"/>
                <w:kern w:val="2"/>
                <w:sz w:val="21"/>
                <w:szCs w:val="21"/>
                <w:lang w:val="en-US" w:eastAsia="zh-CN"/>
              </w:rPr>
              <w:t>包</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pStyle w:val="42"/>
              <w:keepNext w:val="0"/>
              <w:keepLines w:val="0"/>
              <w:widowControl/>
              <w:suppressLineNumbers w:val="0"/>
              <w:ind w:left="0" w:leftChars="0" w:right="0" w:rightChars="0" w:firstLine="200" w:firstLineChars="0"/>
              <w:rPr>
                <w:rFonts w:hint="eastAsia" w:ascii="宋体" w:hAnsi="宋体" w:eastAsia="宋体" w:cs="宋体"/>
                <w:color w:val="FF0000"/>
                <w:kern w:val="0"/>
                <w:sz w:val="20"/>
                <w:szCs w:val="20"/>
                <w:lang w:val="en-US" w:eastAsia="zh-CN" w:bidi="ar-SA"/>
              </w:rPr>
            </w:pPr>
            <w:r>
              <w:rPr>
                <w:rFonts w:hint="eastAsia" w:cs="宋体"/>
                <w:color w:val="FF0000"/>
                <w:sz w:val="20"/>
                <w:szCs w:val="20"/>
                <w:lang w:val="en-US" w:eastAsia="zh-CN"/>
              </w:rPr>
              <w:t>2</w:t>
            </w:r>
          </w:p>
        </w:tc>
        <w:tc>
          <w:tcPr>
            <w:tcW w:w="141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jc w:val="center"/>
              <w:rPr>
                <w:rFonts w:hint="eastAsia" w:ascii="Times New Roman" w:hAnsi="Times New Roman" w:eastAsia="宋体" w:cs="Times New Roman"/>
                <w:color w:val="FF0000"/>
                <w:kern w:val="2"/>
                <w:sz w:val="21"/>
                <w:szCs w:val="24"/>
                <w:lang w:val="en-US" w:eastAsia="zh-CN" w:bidi="ar-SA"/>
              </w:rPr>
            </w:pPr>
            <w:r>
              <w:rPr>
                <w:rFonts w:hint="eastAsia" w:ascii="宋体" w:hAnsi="宋体" w:cs="宋体"/>
                <w:color w:val="FF0000"/>
                <w:kern w:val="2"/>
                <w:sz w:val="21"/>
                <w:szCs w:val="21"/>
              </w:rPr>
              <w:t>仓库</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200" w:firstLineChars="0"/>
              <w:rPr>
                <w:rFonts w:hint="eastAsia" w:ascii="Times New Roman" w:hAnsi="Times New Roman" w:eastAsia="宋体" w:cs="Times New Roman"/>
                <w:color w:val="FF0000"/>
                <w:kern w:val="2"/>
                <w:sz w:val="21"/>
                <w:szCs w:val="24"/>
                <w:lang w:val="en-US" w:eastAsia="zh-CN" w:bidi="ar-SA"/>
              </w:rPr>
            </w:pPr>
            <w:r>
              <w:rPr>
                <w:rFonts w:hint="eastAsia" w:ascii="宋体" w:hAnsi="宋体" w:eastAsia="宋体" w:cs="宋体"/>
                <w:color w:val="FF0000"/>
                <w:kern w:val="2"/>
                <w:sz w:val="21"/>
                <w:szCs w:val="21"/>
                <w:lang w:val="en-US" w:eastAsia="zh-CN" w:bidi="ar-SA"/>
              </w:rPr>
              <w:t>于昆仑</w:t>
            </w:r>
          </w:p>
        </w:tc>
        <w:tc>
          <w:tcPr>
            <w:tcW w:w="14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leftChars="0" w:right="0" w:rightChars="0" w:firstLine="0" w:firstLineChars="0"/>
              <w:rPr>
                <w:rFonts w:hint="eastAsia" w:ascii="Times New Roman" w:hAnsi="Times New Roman" w:eastAsia="宋体" w:cs="Times New Roman"/>
                <w:color w:val="FF0000"/>
                <w:kern w:val="2"/>
                <w:sz w:val="21"/>
                <w:szCs w:val="24"/>
                <w:lang w:val="en-US" w:eastAsia="zh-CN" w:bidi="ar-SA"/>
              </w:rPr>
            </w:pPr>
            <w:r>
              <w:rPr>
                <w:rFonts w:hint="eastAsia" w:ascii="宋体" w:hAnsi="宋体" w:eastAsia="宋体" w:cs="宋体"/>
                <w:color w:val="FF0000"/>
                <w:kern w:val="2"/>
                <w:sz w:val="21"/>
                <w:szCs w:val="21"/>
                <w:lang w:val="en-US"/>
              </w:rPr>
              <w:t>13925736019</w:t>
            </w:r>
          </w:p>
        </w:tc>
      </w:tr>
    </w:tbl>
    <w:p>
      <w:pPr>
        <w:pStyle w:val="46"/>
        <w:ind w:firstLine="0" w:firstLineChars="0"/>
        <w:rPr>
          <w:rFonts w:ascii="宋体" w:hAnsi="宋体" w:cs="宋体"/>
          <w:color w:val="000000"/>
        </w:rPr>
      </w:pPr>
      <w:r>
        <w:rPr>
          <w:rFonts w:hint="eastAsia" w:ascii="宋体" w:hAnsi="宋体" w:cs="宋体"/>
          <w:color w:val="000000"/>
        </w:rPr>
        <w:t>应急物资情况图如下：</w:t>
      </w:r>
    </w:p>
    <w:p>
      <w:pPr>
        <w:pStyle w:val="46"/>
        <w:spacing w:line="360" w:lineRule="auto"/>
        <w:ind w:firstLine="0" w:firstLineChars="0"/>
        <w:rPr>
          <w:rFonts w:ascii="宋体" w:hAnsi="宋体" w:cs="宋体"/>
          <w:color w:val="000000"/>
        </w:rPr>
      </w:pPr>
      <w:r>
        <w:rPr>
          <w:rFonts w:hint="eastAsia" w:ascii="宋体" w:hAnsi="宋体" w:cs="宋体"/>
          <w:color w:val="000000"/>
        </w:rPr>
        <w:drawing>
          <wp:inline distT="0" distB="0" distL="0" distR="0">
            <wp:extent cx="2708275" cy="2320290"/>
            <wp:effectExtent l="19050" t="0" r="0" b="0"/>
            <wp:docPr id="5" name="图片 1" descr="C:\Users\ADMINI~1.PC-\AppData\Local\Temp\WeChat Files\dbf08c5c6c2a13511073c1ee7821f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C:\Users\ADMINI~1.PC-\AppData\Local\Temp\WeChat Files\dbf08c5c6c2a13511073c1ee7821f03.jpg"/>
                    <pic:cNvPicPr>
                      <a:picLocks noChangeAspect="1" noChangeArrowheads="1"/>
                    </pic:cNvPicPr>
                  </pic:nvPicPr>
                  <pic:blipFill>
                    <a:blip r:embed="rId25"/>
                    <a:srcRect/>
                    <a:stretch>
                      <a:fillRect/>
                    </a:stretch>
                  </pic:blipFill>
                  <pic:spPr>
                    <a:xfrm>
                      <a:off x="0" y="0"/>
                      <a:ext cx="2713010" cy="2324432"/>
                    </a:xfrm>
                    <a:prstGeom prst="rect">
                      <a:avLst/>
                    </a:prstGeom>
                    <a:noFill/>
                    <a:ln w="9525">
                      <a:noFill/>
                      <a:miter lim="800000"/>
                      <a:headEnd/>
                      <a:tailEnd/>
                    </a:ln>
                  </pic:spPr>
                </pic:pic>
              </a:graphicData>
            </a:graphic>
          </wp:inline>
        </w:drawing>
      </w:r>
      <w:r>
        <w:rPr>
          <w:rFonts w:hint="eastAsia" w:ascii="宋体" w:hAnsi="宋体" w:cs="宋体"/>
          <w:color w:val="000000"/>
        </w:rPr>
        <w:t xml:space="preserve"> </w:t>
      </w:r>
      <w:r>
        <w:rPr>
          <w:rFonts w:hint="eastAsia" w:ascii="宋体" w:hAnsi="宋体" w:cs="宋体"/>
          <w:color w:val="000000"/>
        </w:rPr>
        <w:drawing>
          <wp:inline distT="0" distB="0" distL="0" distR="0">
            <wp:extent cx="2724150" cy="2324735"/>
            <wp:effectExtent l="19050" t="0" r="0" b="0"/>
            <wp:docPr id="6" name="图片 2" descr="C:\Users\ADMINI~1.PC-\AppData\Local\Temp\WeChat Files\e165a29915d14d4a49f7d88e3a38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1.PC-\AppData\Local\Temp\WeChat Files\e165a29915d14d4a49f7d88e3a38027.jpg"/>
                    <pic:cNvPicPr>
                      <a:picLocks noChangeAspect="1" noChangeArrowheads="1"/>
                    </pic:cNvPicPr>
                  </pic:nvPicPr>
                  <pic:blipFill>
                    <a:blip r:embed="rId26"/>
                    <a:srcRect/>
                    <a:stretch>
                      <a:fillRect/>
                    </a:stretch>
                  </pic:blipFill>
                  <pic:spPr>
                    <a:xfrm>
                      <a:off x="0" y="0"/>
                      <a:ext cx="2734853" cy="2334472"/>
                    </a:xfrm>
                    <a:prstGeom prst="rect">
                      <a:avLst/>
                    </a:prstGeom>
                    <a:noFill/>
                    <a:ln w="9525">
                      <a:noFill/>
                      <a:miter lim="800000"/>
                      <a:headEnd/>
                      <a:tailEnd/>
                    </a:ln>
                  </pic:spPr>
                </pic:pic>
              </a:graphicData>
            </a:graphic>
          </wp:inline>
        </w:drawing>
      </w:r>
    </w:p>
    <w:p>
      <w:pPr>
        <w:pStyle w:val="46"/>
        <w:spacing w:line="360" w:lineRule="auto"/>
        <w:ind w:firstLine="0" w:firstLineChars="0"/>
        <w:rPr>
          <w:rFonts w:ascii="宋体" w:hAnsi="宋体" w:cs="宋体"/>
          <w:color w:val="000000"/>
        </w:rPr>
      </w:pPr>
      <w:r>
        <w:rPr>
          <w:rFonts w:ascii="宋体" w:hAnsi="宋体" w:cs="宋体"/>
          <w:color w:val="000000"/>
        </w:rPr>
        <w:drawing>
          <wp:inline distT="0" distB="0" distL="0" distR="0">
            <wp:extent cx="5631180" cy="4228465"/>
            <wp:effectExtent l="19050" t="0" r="7548" b="0"/>
            <wp:docPr id="8" name="图片 3" descr="C:\Users\ADMINI~1.PC-\AppData\Local\Temp\WeChat Files\2626ddaf2f1bec172a6bc56532397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C:\Users\ADMINI~1.PC-\AppData\Local\Temp\WeChat Files\2626ddaf2f1bec172a6bc56532397be.jpg"/>
                    <pic:cNvPicPr>
                      <a:picLocks noChangeAspect="1" noChangeArrowheads="1"/>
                    </pic:cNvPicPr>
                  </pic:nvPicPr>
                  <pic:blipFill>
                    <a:blip r:embed="rId27"/>
                    <a:srcRect/>
                    <a:stretch>
                      <a:fillRect/>
                    </a:stretch>
                  </pic:blipFill>
                  <pic:spPr>
                    <a:xfrm>
                      <a:off x="0" y="0"/>
                      <a:ext cx="5638215" cy="4233713"/>
                    </a:xfrm>
                    <a:prstGeom prst="rect">
                      <a:avLst/>
                    </a:prstGeom>
                    <a:noFill/>
                    <a:ln w="9525">
                      <a:noFill/>
                      <a:miter lim="800000"/>
                      <a:headEnd/>
                      <a:tailEnd/>
                    </a:ln>
                  </pic:spPr>
                </pic:pic>
              </a:graphicData>
            </a:graphic>
          </wp:inline>
        </w:drawing>
      </w:r>
    </w:p>
    <w:p>
      <w:pPr>
        <w:pStyle w:val="46"/>
        <w:ind w:firstLine="480"/>
        <w:rPr>
          <w:rFonts w:ascii="宋体" w:hAnsi="宋体" w:cs="宋体"/>
          <w:color w:val="000000"/>
        </w:rPr>
      </w:pPr>
    </w:p>
    <w:p>
      <w:pPr>
        <w:pStyle w:val="46"/>
        <w:spacing w:line="360" w:lineRule="auto"/>
        <w:ind w:firstLine="480"/>
        <w:rPr>
          <w:rFonts w:ascii="宋体" w:hAnsi="宋体" w:cs="宋体"/>
          <w:color w:val="000000"/>
        </w:rPr>
        <w:sectPr>
          <w:pgSz w:w="11906" w:h="16838"/>
          <w:pgMar w:top="1440" w:right="1418" w:bottom="1440" w:left="1418" w:header="851" w:footer="992" w:gutter="0"/>
          <w:cols w:space="425" w:num="1"/>
          <w:docGrid w:type="lines" w:linePitch="312" w:charSpace="0"/>
        </w:sectPr>
      </w:pPr>
    </w:p>
    <w:bookmarkEnd w:id="584"/>
    <w:bookmarkEnd w:id="585"/>
    <w:bookmarkEnd w:id="586"/>
    <w:p>
      <w:pPr>
        <w:pStyle w:val="4"/>
        <w:jc w:val="center"/>
      </w:pPr>
      <w:bookmarkStart w:id="657" w:name="_Toc408503159"/>
      <w:bookmarkStart w:id="658" w:name="_Toc5357_WPSOffice_Level1"/>
      <w:bookmarkStart w:id="659" w:name="_Toc23660_WPSOffice_Level1"/>
      <w:bookmarkStart w:id="660" w:name="_Toc31691"/>
      <w:bookmarkStart w:id="661" w:name="_Toc46857545"/>
      <w:bookmarkStart w:id="662" w:name="_Toc43203024"/>
      <w:r>
        <w:rPr>
          <w:rFonts w:hint="eastAsia"/>
        </w:rPr>
        <w:t>第</w:t>
      </w:r>
      <w:r>
        <w:rPr>
          <w:rFonts w:hint="eastAsia"/>
          <w:lang w:val="en-US" w:eastAsia="zh-CN"/>
        </w:rPr>
        <w:t>八</w:t>
      </w:r>
      <w:r>
        <w:rPr>
          <w:rFonts w:hint="eastAsia"/>
        </w:rPr>
        <w:t>章</w:t>
      </w:r>
      <w:bookmarkEnd w:id="657"/>
      <w:bookmarkEnd w:id="658"/>
      <w:bookmarkEnd w:id="659"/>
      <w:r>
        <w:rPr>
          <w:rFonts w:hint="eastAsia"/>
          <w:lang w:val="en-US" w:eastAsia="zh-CN"/>
        </w:rPr>
        <w:t xml:space="preserve"> </w:t>
      </w:r>
      <w:r>
        <w:rPr>
          <w:rFonts w:hint="eastAsia"/>
        </w:rPr>
        <w:t>应急培训与演练</w:t>
      </w:r>
      <w:bookmarkEnd w:id="660"/>
      <w:bookmarkEnd w:id="661"/>
      <w:bookmarkEnd w:id="662"/>
    </w:p>
    <w:p>
      <w:pPr>
        <w:pStyle w:val="5"/>
      </w:pPr>
      <w:bookmarkStart w:id="663" w:name="_Toc21845"/>
      <w:bookmarkStart w:id="664" w:name="_Toc301798275"/>
      <w:bookmarkStart w:id="665" w:name="_Toc43203025"/>
      <w:bookmarkStart w:id="666" w:name="_Toc304956870"/>
      <w:bookmarkStart w:id="667" w:name="_Toc46857546"/>
      <w:bookmarkStart w:id="668" w:name="_Toc462232994"/>
      <w:bookmarkStart w:id="669" w:name="_Toc387260910"/>
      <w:bookmarkStart w:id="670" w:name="_Toc225244073"/>
      <w:bookmarkStart w:id="671" w:name="_Toc224965895"/>
      <w:bookmarkStart w:id="672" w:name="_Toc300841415"/>
      <w:bookmarkStart w:id="673" w:name="_Toc171561519"/>
      <w:bookmarkStart w:id="674" w:name="_Toc5080_WPSOffice_Level2"/>
      <w:bookmarkStart w:id="675" w:name="_Toc342165922"/>
      <w:bookmarkStart w:id="676" w:name="_Toc408503160"/>
      <w:bookmarkStart w:id="677" w:name="_Toc170632623"/>
      <w:bookmarkStart w:id="678" w:name="_Toc27424_WPSOffice_Level2"/>
      <w:bookmarkStart w:id="679" w:name="_Toc165165604"/>
      <w:bookmarkStart w:id="680" w:name="_Toc166424776"/>
      <w:bookmarkStart w:id="681" w:name="_Toc161808495"/>
      <w:r>
        <w:rPr>
          <w:rFonts w:hint="eastAsia"/>
          <w:lang w:val="en-US" w:eastAsia="zh-CN"/>
        </w:rPr>
        <w:t>8</w:t>
      </w:r>
      <w:r>
        <w:t>.1培训</w:t>
      </w:r>
      <w:bookmarkEnd w:id="663"/>
      <w:bookmarkEnd w:id="664"/>
      <w:bookmarkEnd w:id="665"/>
      <w:bookmarkEnd w:id="666"/>
      <w:bookmarkEnd w:id="667"/>
      <w:bookmarkEnd w:id="668"/>
      <w:bookmarkEnd w:id="669"/>
      <w:bookmarkEnd w:id="670"/>
      <w:bookmarkEnd w:id="671"/>
      <w:bookmarkEnd w:id="672"/>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公司安全部门负责组织应急抢险队伍成员每年3次以上培训，培训方式可送外部消防机构或外部消防机构来厂现场培训。</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依据对本公司单位员工、周边工厂企业、人员情况的分析结果，明确培训如下内容：本公司事故应急救援和突发环境污染事故处理的人员培训分二个层次开展。</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1、现场班组级</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现场班组级是及时处理事故、紧急避险、自救互救的重要环节，同时也是事故及早发现、及时上报的关键，一般危险化学品事故在这一层次上能够及时处理而避免，对班组职工开展事故急救处理培训非常重要。每季开展一次，培训内容：</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（1）针对各岗位可能发生的事故，在紧急情况下如何进行紧急停车、避险、报警的方法；</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（2）针对各岗位可能导致人员伤害类别，现场进行紧急救护方法；</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（3）针对各岗位可能发生的事故，如何采取有效措施控制事故和避免事故扩大化；</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（4）针对可能发生的事故应急救援必须使用的防护装备以及相关环境应急设施，学会使用方法；</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（5）针对可能发生的事故学习消防器材和各类设备的使用方法；</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（6）掌握车间存在危险化学品特性、健康危害、危险性、急救方法。</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2、公司级</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由经理、安管员及义务消防队员组成，成员能够熟练使用现场装备、设施等对事故进行可靠控制。它是应急救援的指挥部与操作者之间的联系，同时也是事故得到及时可靠处理的关键。每年进行二次，培训内容：</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（1）包括班组级培训所有内容。</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（2）掌握应急救援预案，事故时按照预案有条不紊地组织应急救援。</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（3）针对车间生产实际情况，熟悉如何有效控制事故，避免事故失控和扩大化。</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（4）各部门依据应急救援的职责和分工开展工作。</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（5）组织应急物资的调运。</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（6）申请外部救援力量的报警方法，以及发布事故消息，组织周边社区、政府部门的疏散方法等；</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（7）事故现场的警戒和隔离，以及事故现场的洗消方法。</w:t>
      </w:r>
    </w:p>
    <w:p>
      <w:pPr>
        <w:pStyle w:val="5"/>
      </w:pPr>
      <w:bookmarkStart w:id="682" w:name="_Toc225244074"/>
      <w:bookmarkStart w:id="683" w:name="_Toc29367"/>
      <w:bookmarkStart w:id="684" w:name="_Toc46857547"/>
      <w:bookmarkStart w:id="685" w:name="_Toc387260911"/>
      <w:bookmarkStart w:id="686" w:name="_Toc224965896"/>
      <w:bookmarkStart w:id="687" w:name="_Toc43203026"/>
      <w:bookmarkStart w:id="688" w:name="_Toc301798276"/>
      <w:bookmarkStart w:id="689" w:name="_Toc462232995"/>
      <w:bookmarkStart w:id="690" w:name="_Toc300841416"/>
      <w:bookmarkStart w:id="691" w:name="_Toc304956871"/>
      <w:r>
        <w:rPr>
          <w:rFonts w:hint="eastAsia"/>
          <w:lang w:val="en-US" w:eastAsia="zh-CN"/>
        </w:rPr>
        <w:t>8</w:t>
      </w:r>
      <w:r>
        <w:t>.2演练</w:t>
      </w:r>
      <w:bookmarkEnd w:id="682"/>
      <w:bookmarkEnd w:id="683"/>
      <w:bookmarkEnd w:id="684"/>
      <w:bookmarkEnd w:id="685"/>
      <w:bookmarkEnd w:id="686"/>
      <w:bookmarkEnd w:id="687"/>
      <w:bookmarkEnd w:id="688"/>
      <w:bookmarkEnd w:id="689"/>
      <w:bookmarkEnd w:id="690"/>
      <w:bookmarkEnd w:id="691"/>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公司应急指挥领导小组从实际出发，针对危险目标可能发生的事故，每年组织1次逃生演习和1次事故应急救援综合演练。把指挥机构和救援队伍训练成一支思想好、技术精、作风硬的指挥班子和抢救队伍。一旦发生事故，指挥机构能正确指挥，各救援队伍能根据各自任务及时有效地排除险情、控制并消灭事故、抢救伤员，做好应急救援工作。每年年底根据实际情况编制下年的演练计划。计划包括：</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（1）演练组织与准备；</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（2）演练范围与频次；</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（3）演练组织等。</w:t>
      </w:r>
    </w:p>
    <w:p>
      <w:pPr>
        <w:pStyle w:val="6"/>
      </w:pPr>
      <w:bookmarkStart w:id="692" w:name="_Toc43203027"/>
      <w:bookmarkStart w:id="693" w:name="_Toc462232996"/>
      <w:bookmarkStart w:id="694" w:name="_Toc300841417"/>
      <w:bookmarkStart w:id="695" w:name="_Toc304956872"/>
      <w:bookmarkStart w:id="696" w:name="_Toc301798277"/>
      <w:r>
        <w:rPr>
          <w:rFonts w:hint="eastAsia"/>
          <w:lang w:val="en-US" w:eastAsia="zh-CN"/>
        </w:rPr>
        <w:t>8</w:t>
      </w:r>
      <w:r>
        <w:t>.2.1演练组织与级别</w:t>
      </w:r>
      <w:bookmarkEnd w:id="692"/>
      <w:bookmarkEnd w:id="693"/>
      <w:bookmarkEnd w:id="694"/>
      <w:bookmarkEnd w:id="695"/>
      <w:bookmarkEnd w:id="696"/>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应急演练分为部门、公司级演练和配合政府部门演练三级；部门级的演练由部门负责人（现场指挥）组织进行，公司安全、环保、技术及相关部门派员观摩指导；公司级演练由公司应急指挥小组组织进行，各相关部门参加；与政府有关部门的联合演练，由政府有关部门组织进行，公司应急领导小组成员参加，相关部门人员参加配合。</w:t>
      </w:r>
    </w:p>
    <w:p>
      <w:pPr>
        <w:pStyle w:val="6"/>
      </w:pPr>
      <w:bookmarkStart w:id="697" w:name="_Toc301798278"/>
      <w:bookmarkStart w:id="698" w:name="_Toc462232997"/>
      <w:bookmarkStart w:id="699" w:name="_Toc300841418"/>
      <w:bookmarkStart w:id="700" w:name="_Toc304956873"/>
      <w:bookmarkStart w:id="701" w:name="_Toc43203028"/>
      <w:r>
        <w:rPr>
          <w:rFonts w:hint="eastAsia"/>
          <w:lang w:val="en-US" w:eastAsia="zh-CN"/>
        </w:rPr>
        <w:t>8</w:t>
      </w:r>
      <w:r>
        <w:t>.2.2演练准备</w:t>
      </w:r>
      <w:bookmarkEnd w:id="697"/>
      <w:bookmarkEnd w:id="698"/>
      <w:bookmarkEnd w:id="699"/>
      <w:bookmarkEnd w:id="700"/>
      <w:bookmarkEnd w:id="701"/>
    </w:p>
    <w:p>
      <w:pPr>
        <w:autoSpaceDE w:val="0"/>
        <w:autoSpaceDN w:val="0"/>
        <w:adjustRightInd w:val="0"/>
        <w:spacing w:line="360" w:lineRule="auto"/>
        <w:ind w:firstLine="480" w:firstLineChars="200"/>
        <w:jc w:val="left"/>
        <w:rPr>
          <w:rFonts w:eastAsia="仿宋_GB2312"/>
          <w:bCs/>
          <w:color w:val="000000"/>
          <w:sz w:val="28"/>
          <w:szCs w:val="28"/>
        </w:rPr>
      </w:pPr>
      <w:r>
        <w:rPr>
          <w:rFonts w:hint="eastAsia" w:ascii="宋体" w:hAnsi="宋体" w:cs="宋体"/>
          <w:color w:val="000000"/>
          <w:sz w:val="24"/>
        </w:rPr>
        <w:t>演练应制订演练方案，按演练级别报应急指挥负责人审批；演练前应落实所需的各种器材装备与物资、交通车辆、防护器材的准备，以确保演练顺利进行；演练前应通知周边社区、企业人员，必要时与新闻媒体沟通，以避免造成不必要的影响。</w:t>
      </w:r>
    </w:p>
    <w:p>
      <w:pPr>
        <w:pStyle w:val="6"/>
      </w:pPr>
      <w:bookmarkStart w:id="702" w:name="_Toc462232998"/>
      <w:bookmarkStart w:id="703" w:name="_Toc43203029"/>
      <w:r>
        <w:rPr>
          <w:rFonts w:hint="eastAsia"/>
          <w:lang w:val="en-US" w:eastAsia="zh-CN"/>
        </w:rPr>
        <w:t>8</w:t>
      </w:r>
      <w:r>
        <w:t>.2.3演练科目与内容</w:t>
      </w:r>
      <w:bookmarkEnd w:id="702"/>
      <w:bookmarkEnd w:id="703"/>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根据公司环境风险情况，针对性的设定演练科目及演练内容：</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①废水设施故障导致废水超标排放处理演练；</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②废水、化学品泄漏处理演练；</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③废气处理设施故障事故演练；</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④其他环保处理设施故障应急救援演练；</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⑤火灾爆炸的应急救援演练；</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以上演练科目每年最少进行一次。每年对演练次数、内容、效果进行考核。确保演练能达到预期目的。</w:t>
      </w:r>
    </w:p>
    <w:p>
      <w:pPr>
        <w:pStyle w:val="6"/>
      </w:pPr>
      <w:bookmarkStart w:id="704" w:name="_Toc304956874"/>
      <w:bookmarkStart w:id="705" w:name="_Toc43203030"/>
      <w:bookmarkStart w:id="706" w:name="_Toc462232999"/>
      <w:bookmarkStart w:id="707" w:name="_Toc301798279"/>
      <w:bookmarkStart w:id="708" w:name="_Toc300841419"/>
      <w:r>
        <w:rPr>
          <w:rFonts w:hint="eastAsia"/>
          <w:lang w:val="en-US" w:eastAsia="zh-CN"/>
        </w:rPr>
        <w:t>8</w:t>
      </w:r>
      <w:r>
        <w:t>.</w:t>
      </w:r>
      <w:r>
        <w:rPr>
          <w:rFonts w:hint="eastAsia"/>
        </w:rPr>
        <w:t>2.</w:t>
      </w:r>
      <w:r>
        <w:t>4演练频次与范围</w:t>
      </w:r>
      <w:bookmarkEnd w:id="704"/>
      <w:bookmarkEnd w:id="705"/>
      <w:bookmarkEnd w:id="706"/>
      <w:bookmarkEnd w:id="707"/>
      <w:bookmarkEnd w:id="708"/>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部门演练（或训练）以报警、报告程序、现场应急处置、紧急疏散等熟悉应急响应和某项应急功能的单项演练，演练频次每年5次以上；公司级演练以多个应急小组之间或某些外部应急组织之间相互协调进行的演练与公司级预案全部或部分功能的综合演练，演练频次每年2次以上。与政府有关部门的演练，视政府组织频次情况确定，亦可结合公司级组织的演练进行。</w:t>
      </w:r>
    </w:p>
    <w:p>
      <w:pPr>
        <w:pStyle w:val="5"/>
      </w:pPr>
    </w:p>
    <w:bookmarkEnd w:id="673"/>
    <w:bookmarkEnd w:id="674"/>
    <w:bookmarkEnd w:id="675"/>
    <w:bookmarkEnd w:id="676"/>
    <w:bookmarkEnd w:id="677"/>
    <w:bookmarkEnd w:id="678"/>
    <w:p>
      <w:pPr>
        <w:pStyle w:val="4"/>
        <w:jc w:val="center"/>
      </w:pPr>
      <w:bookmarkStart w:id="709" w:name="_Toc342165924"/>
      <w:bookmarkStart w:id="710" w:name="_Toc305937030"/>
      <w:bookmarkStart w:id="711" w:name="_Toc24412_WPSOffice_Level2"/>
      <w:bookmarkStart w:id="712" w:name="_Toc306975705"/>
      <w:bookmarkStart w:id="713" w:name="_Toc28959_WPSOffice_Level2"/>
      <w:bookmarkStart w:id="714" w:name="_Toc408503172"/>
      <w:r>
        <w:rPr>
          <w:rFonts w:hint="eastAsia"/>
        </w:rPr>
        <w:br w:type="page"/>
      </w:r>
    </w:p>
    <w:p>
      <w:pPr>
        <w:pStyle w:val="4"/>
        <w:jc w:val="center"/>
      </w:pPr>
      <w:bookmarkStart w:id="715" w:name="_Toc46857548"/>
      <w:bookmarkStart w:id="716" w:name="_Toc43203031"/>
      <w:bookmarkStart w:id="717" w:name="_Toc3970"/>
      <w:r>
        <w:rPr>
          <w:rFonts w:hint="eastAsia"/>
        </w:rPr>
        <w:t>第</w:t>
      </w:r>
      <w:r>
        <w:rPr>
          <w:rFonts w:hint="eastAsia"/>
          <w:lang w:val="en-US" w:eastAsia="zh-CN"/>
        </w:rPr>
        <w:t>九</w:t>
      </w:r>
      <w:r>
        <w:rPr>
          <w:rFonts w:hint="eastAsia"/>
        </w:rPr>
        <w:t>章</w:t>
      </w:r>
      <w:r>
        <w:rPr>
          <w:rFonts w:hint="eastAsia"/>
          <w:lang w:val="en-US" w:eastAsia="zh-CN"/>
        </w:rPr>
        <w:t xml:space="preserve"> </w:t>
      </w:r>
      <w:r>
        <w:rPr>
          <w:rFonts w:hint="eastAsia"/>
        </w:rPr>
        <w:t>奖惩</w:t>
      </w:r>
      <w:bookmarkEnd w:id="709"/>
      <w:bookmarkEnd w:id="710"/>
      <w:bookmarkEnd w:id="711"/>
      <w:bookmarkEnd w:id="712"/>
      <w:bookmarkEnd w:id="713"/>
      <w:bookmarkEnd w:id="714"/>
      <w:bookmarkEnd w:id="715"/>
      <w:bookmarkEnd w:id="716"/>
      <w:bookmarkEnd w:id="717"/>
    </w:p>
    <w:p>
      <w:pPr>
        <w:pStyle w:val="5"/>
      </w:pPr>
      <w:bookmarkStart w:id="718" w:name="_Toc305937031"/>
      <w:bookmarkStart w:id="719" w:name="_Toc43203032"/>
      <w:bookmarkStart w:id="720" w:name="_Toc306975706"/>
      <w:bookmarkStart w:id="721" w:name="_Toc342165925"/>
      <w:bookmarkStart w:id="722" w:name="_Toc46857549"/>
      <w:bookmarkStart w:id="723" w:name="_Toc408503173"/>
      <w:bookmarkStart w:id="724" w:name="_Toc16767"/>
      <w:r>
        <w:rPr>
          <w:rFonts w:hint="eastAsia"/>
          <w:lang w:val="en-US" w:eastAsia="zh-CN"/>
        </w:rPr>
        <w:t>9</w:t>
      </w:r>
      <w:r>
        <w:t>.1奖励</w:t>
      </w:r>
      <w:bookmarkEnd w:id="718"/>
      <w:bookmarkEnd w:id="719"/>
      <w:bookmarkEnd w:id="720"/>
      <w:bookmarkEnd w:id="721"/>
      <w:bookmarkEnd w:id="722"/>
      <w:bookmarkEnd w:id="723"/>
      <w:bookmarkEnd w:id="724"/>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企业在突发环境事件应急救援行动中，对有下列事迹之一的部门和个人，依据有关规定给予奖励。</w:t>
      </w:r>
    </w:p>
    <w:p>
      <w:pPr>
        <w:adjustRightInd w:val="0"/>
        <w:snapToGrid w:val="0"/>
        <w:spacing w:line="360" w:lineRule="auto"/>
        <w:ind w:firstLine="480" w:firstLineChars="200"/>
        <w:rPr>
          <w:rFonts w:ascii="宋体" w:hAnsi="宋体" w:cs="宋体"/>
          <w:color w:val="000000"/>
          <w:sz w:val="24"/>
        </w:rPr>
      </w:pPr>
      <w:bookmarkStart w:id="725" w:name="_Toc405881628"/>
      <w:bookmarkStart w:id="726" w:name="_Toc408503174"/>
      <w:bookmarkStart w:id="727" w:name="_Toc396934443"/>
      <w:bookmarkStart w:id="728" w:name="_Toc383173069"/>
      <w:bookmarkStart w:id="729" w:name="_Toc402875781"/>
      <w:bookmarkStart w:id="730" w:name="_Toc405384616"/>
      <w:bookmarkStart w:id="731" w:name="_Toc403659450"/>
      <w:bookmarkStart w:id="732" w:name="_Toc378105747"/>
      <w:bookmarkStart w:id="733" w:name="_Toc395805069"/>
      <w:bookmarkStart w:id="734" w:name="_Toc383072862"/>
      <w:bookmarkStart w:id="735" w:name="_Toc399352271"/>
      <w:bookmarkStart w:id="736" w:name="_Toc396237313"/>
      <w:r>
        <w:rPr>
          <w:rFonts w:hint="eastAsia" w:ascii="宋体" w:hAnsi="宋体" w:cs="宋体"/>
          <w:color w:val="000000"/>
          <w:sz w:val="24"/>
        </w:rPr>
        <w:t>1、出色完成应急处理任务，成绩显著的；</w:t>
      </w:r>
      <w:bookmarkEnd w:id="725"/>
      <w:bookmarkEnd w:id="726"/>
      <w:bookmarkEnd w:id="727"/>
      <w:bookmarkEnd w:id="728"/>
      <w:bookmarkEnd w:id="729"/>
      <w:bookmarkEnd w:id="730"/>
      <w:bookmarkEnd w:id="731"/>
      <w:bookmarkEnd w:id="732"/>
      <w:bookmarkEnd w:id="733"/>
      <w:bookmarkEnd w:id="734"/>
      <w:bookmarkEnd w:id="735"/>
      <w:bookmarkEnd w:id="736"/>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2、防范和处理突发环境事件有功，使国家、集体和人民群众的生命财产免受或减少损失的；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3、对突发环境事件应急准备与响应提出重大建议，实施效果显著的；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4、有其它特殊贡献的。</w:t>
      </w:r>
    </w:p>
    <w:p>
      <w:pPr>
        <w:pStyle w:val="5"/>
      </w:pPr>
      <w:bookmarkStart w:id="737" w:name="_Toc342165926"/>
      <w:bookmarkStart w:id="738" w:name="_Toc43203033"/>
      <w:bookmarkStart w:id="739" w:name="_Toc408503175"/>
      <w:bookmarkStart w:id="740" w:name="_Toc306975707"/>
      <w:bookmarkStart w:id="741" w:name="_Toc46857550"/>
      <w:bookmarkStart w:id="742" w:name="_Toc7384"/>
      <w:bookmarkStart w:id="743" w:name="_Toc305937032"/>
      <w:r>
        <w:rPr>
          <w:rFonts w:hint="eastAsia"/>
          <w:lang w:val="en-US" w:eastAsia="zh-CN"/>
        </w:rPr>
        <w:t>9</w:t>
      </w:r>
      <w:r>
        <w:rPr>
          <w:rFonts w:hint="eastAsia"/>
        </w:rPr>
        <w:t>.2责任追究</w:t>
      </w:r>
      <w:bookmarkEnd w:id="737"/>
      <w:bookmarkEnd w:id="738"/>
      <w:bookmarkEnd w:id="739"/>
      <w:bookmarkEnd w:id="740"/>
      <w:bookmarkEnd w:id="741"/>
      <w:bookmarkEnd w:id="742"/>
      <w:bookmarkEnd w:id="743"/>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造成突发环境事件的部门和个人，应根据有关法律规定排除危害，并对直接受到损失的其他单位或个人进行赔偿；构成犯罪的，追究刑事责任。</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在突发环境事件应急处置行动中，有下列行为之一的，按照法律和规定，对有关责任人员视情节严重程度和危害后果，给予相应行政处分；构成犯罪的，由司法机关依法追究刑事责任。</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1、不认真履行环保法律、法规，引发突发环境事件的；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2、不按照突发环境事件应急预案，拒绝承担应急准备义务的；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3、不按规定报告、通报突发环境事件真实情况的；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4、盗窃、贪污、挪用应急资金、准备和物资的；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5、拒不执行应急预案，不服从命令和指挥或在事件应急响应时临阵脱逃的；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6、阻碍应急工作人员依法履行职责或进行破坏活动的；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7、散布谣言，扰乱社会秩序的；</w:t>
      </w:r>
    </w:p>
    <w:p>
      <w:pPr>
        <w:adjustRightInd w:val="0"/>
        <w:snapToGrid w:val="0"/>
        <w:spacing w:line="360" w:lineRule="auto"/>
        <w:ind w:firstLine="480" w:firstLineChars="200"/>
        <w:rPr>
          <w:rFonts w:ascii="宋体" w:hAnsi="宋体" w:cs="宋体"/>
          <w:color w:val="000000"/>
          <w:sz w:val="24"/>
        </w:rPr>
      </w:pPr>
      <w:r>
        <w:rPr>
          <w:rFonts w:hint="eastAsia" w:ascii="宋体" w:hAnsi="宋体" w:cs="宋体"/>
          <w:color w:val="000000"/>
          <w:sz w:val="24"/>
        </w:rPr>
        <w:t>8、其他对突发环境事件应急工作造成危害的；</w:t>
      </w:r>
    </w:p>
    <w:p>
      <w:pPr>
        <w:pStyle w:val="5"/>
        <w:adjustRightInd w:val="0"/>
        <w:snapToGrid w:val="0"/>
        <w:spacing w:before="0" w:after="0" w:line="360" w:lineRule="auto"/>
        <w:rPr>
          <w:rFonts w:ascii="Times New Roman" w:hAnsi="Times New Roman" w:eastAsia="仿宋_GB2312"/>
          <w:color w:val="000000"/>
        </w:rPr>
      </w:pPr>
      <w:bookmarkStart w:id="744" w:name="_Toc22057_WPSOffice_Level2"/>
      <w:bookmarkStart w:id="745" w:name="_Toc408503176"/>
      <w:bookmarkStart w:id="746" w:name="_Toc22726_WPSOffice_Level2"/>
      <w:bookmarkStart w:id="747" w:name="_Toc166424779"/>
      <w:bookmarkStart w:id="748" w:name="_Toc342165927"/>
      <w:bookmarkStart w:id="749" w:name="_Toc306975708"/>
      <w:r>
        <w:rPr>
          <w:rFonts w:hint="eastAsia" w:ascii="Times New Roman" w:hAnsi="Times New Roman" w:eastAsia="仿宋_GB2312"/>
          <w:color w:val="000000"/>
        </w:rPr>
        <w:br w:type="page"/>
      </w:r>
    </w:p>
    <w:p>
      <w:pPr>
        <w:pStyle w:val="4"/>
        <w:jc w:val="center"/>
      </w:pPr>
      <w:bookmarkStart w:id="750" w:name="_Toc43203034"/>
      <w:bookmarkStart w:id="751" w:name="_Toc46857551"/>
      <w:bookmarkStart w:id="752" w:name="_Toc22414"/>
      <w:r>
        <w:rPr>
          <w:rFonts w:hint="eastAsia"/>
        </w:rPr>
        <w:t>第</w:t>
      </w:r>
      <w:r>
        <w:rPr>
          <w:rFonts w:hint="eastAsia"/>
          <w:lang w:val="en-US" w:eastAsia="zh-CN"/>
        </w:rPr>
        <w:t>十</w:t>
      </w:r>
      <w:r>
        <w:rPr>
          <w:rFonts w:hint="eastAsia"/>
        </w:rPr>
        <w:t>章</w:t>
      </w:r>
      <w:r>
        <w:rPr>
          <w:rFonts w:hint="eastAsia"/>
          <w:lang w:val="en-US" w:eastAsia="zh-CN"/>
        </w:rPr>
        <w:t xml:space="preserve"> </w:t>
      </w:r>
      <w:r>
        <w:t>预案评审、发布和更新</w:t>
      </w:r>
      <w:bookmarkEnd w:id="744"/>
      <w:bookmarkEnd w:id="745"/>
      <w:bookmarkEnd w:id="746"/>
      <w:bookmarkEnd w:id="747"/>
      <w:bookmarkEnd w:id="748"/>
      <w:bookmarkEnd w:id="749"/>
      <w:bookmarkEnd w:id="750"/>
      <w:bookmarkEnd w:id="751"/>
      <w:bookmarkEnd w:id="752"/>
    </w:p>
    <w:p>
      <w:pPr>
        <w:pStyle w:val="5"/>
      </w:pPr>
      <w:bookmarkStart w:id="753" w:name="_Toc43203035"/>
      <w:bookmarkStart w:id="754" w:name="_Toc46857552"/>
      <w:bookmarkStart w:id="755" w:name="_Toc354489590"/>
      <w:bookmarkStart w:id="756" w:name="_Toc7968"/>
      <w:bookmarkStart w:id="757" w:name="_Toc408503177"/>
      <w:r>
        <w:rPr>
          <w:rFonts w:hint="eastAsia"/>
          <w:lang w:val="en-US" w:eastAsia="zh-CN"/>
        </w:rPr>
        <w:t>10</w:t>
      </w:r>
      <w:r>
        <w:rPr>
          <w:rFonts w:hint="eastAsia"/>
        </w:rPr>
        <w:t>.1</w:t>
      </w:r>
      <w:r>
        <w:t>预案评审</w:t>
      </w:r>
      <w:bookmarkEnd w:id="753"/>
      <w:bookmarkEnd w:id="754"/>
      <w:bookmarkEnd w:id="755"/>
      <w:bookmarkEnd w:id="756"/>
      <w:bookmarkEnd w:id="757"/>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1、内部评审：企业每年至少对预案进行一次评审，由总指挥主持，评审内容有：应急机构是否完善、应急资源是否充分、应急措施是否得当等。</w:t>
      </w:r>
    </w:p>
    <w:p>
      <w:pPr>
        <w:adjustRightInd w:val="0"/>
        <w:snapToGrid w:val="0"/>
        <w:spacing w:line="360" w:lineRule="auto"/>
        <w:ind w:firstLine="570"/>
        <w:rPr>
          <w:rFonts w:ascii="宋体" w:hAnsi="宋体" w:cs="宋体"/>
          <w:color w:val="000000"/>
          <w:sz w:val="24"/>
        </w:rPr>
      </w:pPr>
      <w:r>
        <w:rPr>
          <w:rFonts w:hint="eastAsia" w:ascii="宋体" w:hAnsi="宋体" w:cs="宋体"/>
          <w:color w:val="000000"/>
          <w:sz w:val="24"/>
        </w:rPr>
        <w:t>2、外部评审：本次预案发布前，应先组织评估，报送</w:t>
      </w:r>
      <w:r>
        <w:rPr>
          <w:rFonts w:hint="eastAsia" w:ascii="宋体" w:hAnsi="宋体" w:cs="宋体"/>
          <w:color w:val="000000"/>
          <w:sz w:val="24"/>
          <w:lang w:eastAsia="zh-CN"/>
        </w:rPr>
        <w:t>生态环境局</w:t>
      </w:r>
      <w:r>
        <w:rPr>
          <w:rFonts w:hint="eastAsia" w:ascii="宋体" w:hAnsi="宋体" w:cs="宋体"/>
          <w:color w:val="000000"/>
          <w:sz w:val="24"/>
        </w:rPr>
        <w:t>进行备案，经通过后发布。</w:t>
      </w:r>
    </w:p>
    <w:p>
      <w:pPr>
        <w:pStyle w:val="5"/>
      </w:pPr>
      <w:bookmarkStart w:id="758" w:name="_Toc1918"/>
      <w:bookmarkStart w:id="759" w:name="_Toc354489591"/>
      <w:bookmarkStart w:id="760" w:name="_Toc46857553"/>
      <w:bookmarkStart w:id="761" w:name="_Toc43203036"/>
      <w:bookmarkStart w:id="762" w:name="_Toc408503178"/>
      <w:r>
        <w:rPr>
          <w:rFonts w:hint="eastAsia"/>
          <w:lang w:val="en-US" w:eastAsia="zh-CN"/>
        </w:rPr>
        <w:t>10</w:t>
      </w:r>
      <w:r>
        <w:rPr>
          <w:rFonts w:hint="eastAsia"/>
        </w:rPr>
        <w:t>.2</w:t>
      </w:r>
      <w:r>
        <w:t>预案备案</w:t>
      </w:r>
      <w:bookmarkEnd w:id="758"/>
      <w:bookmarkEnd w:id="759"/>
      <w:bookmarkEnd w:id="760"/>
      <w:bookmarkEnd w:id="761"/>
      <w:bookmarkEnd w:id="762"/>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本预案由总经理签署后发布，发布时应在文本封面注明生效日期及发布人签名。</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生效预案应及时抄送至宜春市</w:t>
      </w:r>
      <w:r>
        <w:rPr>
          <w:rFonts w:hint="eastAsia" w:ascii="宋体" w:hAnsi="宋体" w:cs="宋体"/>
          <w:color w:val="000000"/>
          <w:sz w:val="24"/>
          <w:lang w:eastAsia="zh-CN"/>
        </w:rPr>
        <w:t>宜春市生态环境局宜春经济技术开发区分局</w:t>
      </w:r>
      <w:r>
        <w:rPr>
          <w:rFonts w:hint="eastAsia" w:ascii="宋体" w:hAnsi="宋体" w:cs="宋体"/>
          <w:color w:val="000000"/>
          <w:sz w:val="24"/>
        </w:rPr>
        <w:t>。</w:t>
      </w:r>
    </w:p>
    <w:p>
      <w:pPr>
        <w:adjustRightInd w:val="0"/>
        <w:snapToGrid w:val="0"/>
        <w:spacing w:line="360" w:lineRule="auto"/>
        <w:ind w:firstLine="555"/>
        <w:rPr>
          <w:rFonts w:eastAsia="仿宋_GB2312"/>
          <w:color w:val="000000"/>
          <w:sz w:val="24"/>
        </w:rPr>
      </w:pPr>
      <w:r>
        <w:rPr>
          <w:rFonts w:hint="eastAsia" w:ascii="宋体" w:hAnsi="宋体" w:cs="宋体"/>
          <w:color w:val="000000"/>
          <w:sz w:val="24"/>
        </w:rPr>
        <w:t>本预案应当在主要负责人签署实施之日起30日内报</w:t>
      </w:r>
      <w:r>
        <w:rPr>
          <w:rFonts w:hint="eastAsia" w:ascii="宋体" w:hAnsi="宋体" w:cs="宋体"/>
          <w:color w:val="000000"/>
          <w:sz w:val="24"/>
          <w:lang w:eastAsia="zh-CN"/>
        </w:rPr>
        <w:t>宜春市生态环境局宜春经济技术开发区分局</w:t>
      </w:r>
      <w:r>
        <w:rPr>
          <w:rFonts w:hint="eastAsia" w:ascii="宋体" w:hAnsi="宋体" w:cs="宋体"/>
          <w:color w:val="000000"/>
          <w:sz w:val="24"/>
        </w:rPr>
        <w:t>备案。</w:t>
      </w:r>
    </w:p>
    <w:p>
      <w:pPr>
        <w:pStyle w:val="5"/>
      </w:pPr>
      <w:bookmarkStart w:id="763" w:name="_Toc24214"/>
      <w:bookmarkStart w:id="764" w:name="_Toc43203037"/>
      <w:bookmarkStart w:id="765" w:name="_Toc408503179"/>
      <w:bookmarkStart w:id="766" w:name="_Toc354489592"/>
      <w:bookmarkStart w:id="767" w:name="_Toc46857554"/>
      <w:r>
        <w:rPr>
          <w:rFonts w:hint="eastAsia"/>
        </w:rPr>
        <w:t>9.3</w:t>
      </w:r>
      <w:r>
        <w:t>预案更新</w:t>
      </w:r>
      <w:bookmarkEnd w:id="763"/>
      <w:bookmarkEnd w:id="764"/>
      <w:bookmarkEnd w:id="765"/>
      <w:bookmarkEnd w:id="766"/>
      <w:bookmarkEnd w:id="767"/>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环境应急预案每三年至少修订一次；有下列情形之一的，企业应当及时组织进行修订评审，然后重新发布。并抄送至相关部门。</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1、本单位生产工艺和技术发生变化的；</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2、相关单位和人员发生变化或者应急组织指挥体系或职责调整的；</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3、周围环境或者环境敏感点发生变化的；</w:t>
      </w:r>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4、环境应急预案依据的法律、法规、规章等发生变化的；环境保护主管部门或者企业认为应当适时修订的其他情形。</w:t>
      </w:r>
    </w:p>
    <w:bookmarkEnd w:id="679"/>
    <w:bookmarkEnd w:id="680"/>
    <w:bookmarkEnd w:id="681"/>
    <w:p>
      <w:pPr>
        <w:adjustRightInd w:val="0"/>
        <w:snapToGrid w:val="0"/>
        <w:spacing w:line="360" w:lineRule="auto"/>
        <w:rPr>
          <w:rFonts w:eastAsia="仿宋_GB2312"/>
          <w:color w:val="000000"/>
          <w:sz w:val="24"/>
        </w:rPr>
      </w:pPr>
    </w:p>
    <w:p>
      <w:pPr>
        <w:adjustRightInd w:val="0"/>
        <w:snapToGrid w:val="0"/>
        <w:spacing w:line="360" w:lineRule="auto"/>
        <w:ind w:firstLine="555"/>
        <w:rPr>
          <w:rFonts w:eastAsia="仿宋_GB2312"/>
          <w:color w:val="000000"/>
          <w:sz w:val="24"/>
        </w:rPr>
        <w:sectPr>
          <w:pgSz w:w="11906" w:h="16838"/>
          <w:pgMar w:top="1440" w:right="1418" w:bottom="1440" w:left="1418" w:header="851" w:footer="992" w:gutter="0"/>
          <w:cols w:space="425" w:num="1"/>
          <w:docGrid w:type="lines" w:linePitch="312" w:charSpace="0"/>
        </w:sectPr>
      </w:pPr>
    </w:p>
    <w:p>
      <w:pPr>
        <w:pStyle w:val="4"/>
        <w:adjustRightInd w:val="0"/>
        <w:snapToGrid w:val="0"/>
        <w:spacing w:line="360" w:lineRule="auto"/>
        <w:rPr>
          <w:rFonts w:ascii="仿宋_GB2312" w:eastAsia="仿宋_GB2312"/>
          <w:color w:val="000000"/>
          <w:sz w:val="36"/>
          <w:szCs w:val="36"/>
        </w:rPr>
      </w:pPr>
      <w:bookmarkStart w:id="768" w:name="_Toc9771_WPSOffice_Level1"/>
      <w:bookmarkStart w:id="769" w:name="_Toc339203046"/>
      <w:bookmarkStart w:id="770" w:name="_Toc334558370"/>
      <w:bookmarkStart w:id="771" w:name="_Toc336166356"/>
      <w:bookmarkStart w:id="772" w:name="_Toc8343_WPSOffice_Level1"/>
      <w:bookmarkStart w:id="773" w:name="_Toc104"/>
      <w:bookmarkStart w:id="774" w:name="_Toc43203038"/>
      <w:bookmarkStart w:id="775" w:name="_Toc408503180"/>
      <w:bookmarkStart w:id="776" w:name="_Toc46857555"/>
      <w:r>
        <w:rPr>
          <w:rFonts w:hint="eastAsia" w:ascii="仿宋_GB2312" w:eastAsia="仿宋_GB2312"/>
          <w:color w:val="000000"/>
          <w:sz w:val="36"/>
          <w:szCs w:val="36"/>
        </w:rPr>
        <w:t>附  则</w:t>
      </w:r>
      <w:bookmarkEnd w:id="768"/>
      <w:bookmarkEnd w:id="769"/>
      <w:bookmarkEnd w:id="770"/>
      <w:bookmarkEnd w:id="771"/>
      <w:bookmarkEnd w:id="772"/>
      <w:bookmarkEnd w:id="773"/>
      <w:bookmarkEnd w:id="774"/>
      <w:bookmarkEnd w:id="775"/>
      <w:bookmarkEnd w:id="776"/>
    </w:p>
    <w:p>
      <w:pPr>
        <w:adjustRightInd w:val="0"/>
        <w:snapToGrid w:val="0"/>
        <w:spacing w:beforeLines="50" w:afterLines="50" w:line="360" w:lineRule="auto"/>
        <w:outlineLvl w:val="0"/>
        <w:rPr>
          <w:rFonts w:ascii="宋体" w:hAnsi="宋体" w:cs="宋体"/>
          <w:b/>
          <w:bCs/>
          <w:color w:val="000000"/>
          <w:kern w:val="0"/>
          <w:sz w:val="24"/>
        </w:rPr>
      </w:pPr>
      <w:bookmarkStart w:id="777" w:name="_Toc24212"/>
      <w:bookmarkStart w:id="778" w:name="_Toc46857556"/>
      <w:bookmarkStart w:id="779" w:name="_Toc1973"/>
      <w:bookmarkStart w:id="780" w:name="_Toc43203039"/>
      <w:bookmarkStart w:id="781" w:name="_Toc5832_WPSOffice_Level1"/>
      <w:bookmarkStart w:id="782" w:name="_Toc250"/>
      <w:bookmarkStart w:id="783" w:name="_Toc383072869"/>
      <w:bookmarkStart w:id="784" w:name="_Toc10778_WPSOffice_Level1"/>
      <w:bookmarkStart w:id="785" w:name="_Toc383173076"/>
      <w:bookmarkStart w:id="786" w:name="_Toc408503181"/>
      <w:bookmarkStart w:id="787" w:name="_Toc6241"/>
      <w:r>
        <w:rPr>
          <w:rFonts w:hint="eastAsia" w:ascii="宋体" w:hAnsi="宋体" w:cs="宋体"/>
          <w:b/>
          <w:bCs/>
          <w:color w:val="000000"/>
          <w:kern w:val="0"/>
          <w:sz w:val="24"/>
        </w:rPr>
        <w:t>一、预案的签署和解释</w:t>
      </w:r>
      <w:bookmarkEnd w:id="777"/>
      <w:bookmarkEnd w:id="778"/>
      <w:bookmarkEnd w:id="779"/>
      <w:bookmarkEnd w:id="780"/>
      <w:bookmarkEnd w:id="781"/>
      <w:bookmarkEnd w:id="782"/>
      <w:bookmarkEnd w:id="783"/>
      <w:bookmarkEnd w:id="784"/>
      <w:bookmarkEnd w:id="785"/>
      <w:bookmarkEnd w:id="786"/>
      <w:bookmarkEnd w:id="787"/>
    </w:p>
    <w:p>
      <w:pPr>
        <w:adjustRightInd w:val="0"/>
        <w:snapToGrid w:val="0"/>
        <w:spacing w:line="360" w:lineRule="auto"/>
        <w:rPr>
          <w:rFonts w:ascii="宋体" w:hAnsi="宋体" w:cs="宋体"/>
          <w:b/>
          <w:bCs/>
          <w:color w:val="000000"/>
          <w:kern w:val="0"/>
          <w:sz w:val="24"/>
        </w:rPr>
      </w:pPr>
      <w:bookmarkStart w:id="788" w:name="_Toc31640_WPSOffice_Level2"/>
      <w:bookmarkStart w:id="789" w:name="_Toc25492_WPSOffice_Level2"/>
      <w:r>
        <w:rPr>
          <w:rFonts w:hint="eastAsia" w:ascii="宋体" w:hAnsi="宋体" w:cs="宋体"/>
          <w:b/>
          <w:bCs/>
          <w:color w:val="000000"/>
          <w:kern w:val="0"/>
          <w:sz w:val="24"/>
        </w:rPr>
        <w:t>1、预案的签署</w:t>
      </w:r>
      <w:bookmarkEnd w:id="788"/>
      <w:bookmarkEnd w:id="789"/>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本应急预案由企业总经理签署后发布，发布时应在文本封面注明生效日期及发布人签名。</w:t>
      </w:r>
    </w:p>
    <w:p>
      <w:pPr>
        <w:adjustRightInd w:val="0"/>
        <w:snapToGrid w:val="0"/>
        <w:spacing w:line="360" w:lineRule="auto"/>
        <w:rPr>
          <w:rFonts w:ascii="宋体" w:hAnsi="宋体" w:cs="宋体"/>
          <w:b/>
          <w:bCs/>
          <w:color w:val="000000"/>
          <w:kern w:val="0"/>
          <w:sz w:val="24"/>
        </w:rPr>
      </w:pPr>
      <w:bookmarkStart w:id="790" w:name="_Toc14966_WPSOffice_Level2"/>
      <w:bookmarkStart w:id="791" w:name="_Toc2394_WPSOffice_Level2"/>
      <w:r>
        <w:rPr>
          <w:rFonts w:hint="eastAsia" w:ascii="宋体" w:hAnsi="宋体" w:cs="宋体"/>
          <w:b/>
          <w:bCs/>
          <w:color w:val="000000"/>
          <w:kern w:val="0"/>
          <w:sz w:val="24"/>
        </w:rPr>
        <w:t>2、预案的解释</w:t>
      </w:r>
      <w:bookmarkEnd w:id="790"/>
      <w:bookmarkEnd w:id="791"/>
    </w:p>
    <w:p>
      <w:pPr>
        <w:adjustRightInd w:val="0"/>
        <w:snapToGrid w:val="0"/>
        <w:spacing w:line="360" w:lineRule="auto"/>
        <w:ind w:firstLine="555"/>
        <w:rPr>
          <w:rFonts w:ascii="宋体" w:hAnsi="宋体" w:cs="宋体"/>
          <w:color w:val="000000"/>
          <w:sz w:val="24"/>
        </w:rPr>
      </w:pPr>
      <w:r>
        <w:rPr>
          <w:rFonts w:hint="eastAsia" w:ascii="宋体" w:hAnsi="宋体" w:cs="宋体"/>
          <w:color w:val="000000"/>
          <w:sz w:val="24"/>
        </w:rPr>
        <w:t>本应急预案解释权归总指挥部。</w:t>
      </w:r>
    </w:p>
    <w:p>
      <w:pPr>
        <w:adjustRightInd w:val="0"/>
        <w:snapToGrid w:val="0"/>
        <w:spacing w:beforeLines="50" w:afterLines="50" w:line="360" w:lineRule="auto"/>
        <w:outlineLvl w:val="0"/>
        <w:rPr>
          <w:rFonts w:ascii="宋体" w:hAnsi="宋体" w:cs="宋体"/>
          <w:color w:val="000000"/>
          <w:sz w:val="24"/>
        </w:rPr>
      </w:pPr>
      <w:bookmarkStart w:id="792" w:name="_Toc43203040"/>
      <w:bookmarkStart w:id="793" w:name="_Toc30919"/>
      <w:bookmarkStart w:id="794" w:name="_Toc9596_WPSOffice_Level1"/>
      <w:bookmarkStart w:id="795" w:name="_Toc29785_WPSOffice_Level1"/>
      <w:bookmarkStart w:id="796" w:name="_Toc383173077"/>
      <w:bookmarkStart w:id="797" w:name="_Toc16889"/>
      <w:bookmarkStart w:id="798" w:name="_Toc9962"/>
      <w:bookmarkStart w:id="799" w:name="_Toc408503182"/>
      <w:bookmarkStart w:id="800" w:name="_Toc383072870"/>
      <w:bookmarkStart w:id="801" w:name="_Toc46857557"/>
      <w:bookmarkStart w:id="802" w:name="_Toc3670"/>
      <w:r>
        <w:rPr>
          <w:rFonts w:hint="eastAsia" w:ascii="宋体" w:hAnsi="宋体" w:cs="宋体"/>
          <w:color w:val="000000"/>
          <w:sz w:val="24"/>
        </w:rPr>
        <w:t>二、</w:t>
      </w:r>
      <w:r>
        <w:rPr>
          <w:rFonts w:hint="eastAsia" w:ascii="宋体" w:hAnsi="宋体" w:cs="宋体"/>
          <w:b/>
          <w:bCs/>
          <w:color w:val="000000"/>
          <w:kern w:val="0"/>
          <w:sz w:val="24"/>
        </w:rPr>
        <w:t>预案的实施</w:t>
      </w:r>
      <w:bookmarkEnd w:id="792"/>
      <w:bookmarkEnd w:id="793"/>
      <w:bookmarkEnd w:id="794"/>
      <w:bookmarkEnd w:id="795"/>
      <w:bookmarkEnd w:id="796"/>
      <w:bookmarkEnd w:id="797"/>
      <w:bookmarkEnd w:id="798"/>
      <w:bookmarkEnd w:id="799"/>
      <w:bookmarkEnd w:id="800"/>
      <w:bookmarkEnd w:id="801"/>
      <w:bookmarkEnd w:id="802"/>
    </w:p>
    <w:p>
      <w:pPr>
        <w:adjustRightInd w:val="0"/>
        <w:snapToGrid w:val="0"/>
        <w:spacing w:line="360" w:lineRule="auto"/>
        <w:ind w:firstLine="480" w:firstLineChars="200"/>
        <w:rPr>
          <w:rFonts w:ascii="宋体" w:hAnsi="宋体" w:cs="宋体"/>
          <w:color w:val="000000"/>
          <w:sz w:val="24"/>
        </w:rPr>
        <w:sectPr>
          <w:footerReference r:id="rId13" w:type="default"/>
          <w:pgSz w:w="11906" w:h="16838"/>
          <w:pgMar w:top="1418" w:right="1418" w:bottom="1418" w:left="1418" w:header="851" w:footer="992" w:gutter="0"/>
          <w:cols w:space="425" w:num="1"/>
          <w:docGrid w:type="linesAndChars" w:linePitch="312" w:charSpace="0"/>
        </w:sectPr>
      </w:pPr>
      <w:r>
        <w:rPr>
          <w:rFonts w:hint="eastAsia" w:ascii="宋体" w:hAnsi="宋体" w:cs="宋体"/>
          <w:color w:val="000000"/>
          <w:sz w:val="24"/>
        </w:rPr>
        <w:t>本应急预案由企业总经理签署后发布实施。</w:t>
      </w:r>
    </w:p>
    <w:bookmarkEnd w:id="199"/>
    <w:p>
      <w:pPr>
        <w:pStyle w:val="46"/>
        <w:ind w:firstLine="0" w:firstLineChars="0"/>
      </w:pPr>
    </w:p>
    <w:sectPr>
      <w:pgSz w:w="11906" w:h="16838"/>
      <w:pgMar w:top="1418" w:right="1418" w:bottom="1418" w:left="141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ST Song">
    <w:altName w:val="宋体"/>
    <w:panose1 w:val="00000000000000000000"/>
    <w:charset w:val="86"/>
    <w:family w:val="roma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体">
    <w:altName w:val="宋体"/>
    <w:panose1 w:val="00000000000000000000"/>
    <w:charset w:val="86"/>
    <w:family w:val="roman"/>
    <w:pitch w:val="default"/>
    <w:sig w:usb0="00000000" w:usb1="00000000" w:usb2="00000010" w:usb3="00000000" w:csb0="00040000" w:csb1="00000000"/>
  </w:font>
  <w:font w:name="Osaka">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top w:val="single" w:color="auto" w:sz="4" w:space="1"/>
      </w:pBdr>
      <w:ind w:right="32"/>
      <w:rPr>
        <w:rFonts w:eastAsia="仿宋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top w:val="single" w:color="auto" w:sz="4" w:space="1"/>
      </w:pBdr>
      <w:ind w:right="32"/>
      <w:rPr>
        <w:rFonts w:eastAsia="仿宋_GB23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center" w:pos="4535"/>
        <w:tab w:val="clear" w:pos="4153"/>
        <w:tab w:val="clear" w:pos="8306"/>
      </w:tabs>
      <w:jc w:val="both"/>
    </w:pP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g2+aU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L21jW7&#10;un+AObQsbPS95TFNlMrb5T5A2qR4FKhXBZ2KB0xi6tl5a+Ko/3lOUY//F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Mg2+aU5AgAAcQQAAA4AAAAAAAAAAQAgAAAAHwEAAGRycy9lMm9Eb2Mu&#10;eG1sUEsFBgAAAAAGAAYAWQEAAMoFA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top w:val="single" w:color="auto" w:sz="4" w:space="0"/>
      </w:pBdr>
      <w:ind w:right="32" w:firstLine="42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1"/>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W1u+M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R2tqw9V&#10;9wBzaFnY6p3lMU2UytvVMUDapHgUqFMFnYoHTGLqWb81cdT/PKeox3+K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pbW74zgCAABxBAAADgAAAAAAAAABACAAAAAfAQAAZHJzL2Uyb0RvYy54&#10;bWxQSwUGAAAAAAYABgBZAQAAyQUAAAAA&#10;">
              <v:fill on="f" focussize="0,0"/>
              <v:stroke on="f" weight="0.5pt"/>
              <v:imagedata o:title=""/>
              <o:lock v:ext="edit" aspectratio="f"/>
              <v:textbox inset="0mm,0mm,0mm,0mm" style="mso-fit-shape-to-text:t;">
                <w:txbxContent>
                  <w:p>
                    <w:pPr>
                      <w:pStyle w:val="31"/>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1"/>
      </w:pBdr>
      <w:rPr>
        <w:rFonts w:ascii="仿宋_GB2312" w:eastAsia="仿宋_GB2312"/>
      </w:rPr>
    </w:pPr>
    <w:r>
      <w:rPr>
        <w:rFonts w:hint="eastAsia" w:ascii="仿宋_GB2312" w:eastAsia="仿宋_GB2312"/>
        <w:lang w:eastAsia="zh-CN"/>
      </w:rPr>
      <w:t>宜春宇泽新能源有限公司</w:t>
    </w:r>
    <w:r>
      <w:rPr>
        <w:rFonts w:hint="eastAsia" w:ascii="仿宋_GB2312" w:eastAsia="仿宋_GB2312"/>
      </w:rPr>
      <w:t>突发环境事件应急预案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A42744"/>
    <w:multiLevelType w:val="singleLevel"/>
    <w:tmpl w:val="8DA42744"/>
    <w:lvl w:ilvl="0" w:tentative="0">
      <w:start w:val="1"/>
      <w:numFmt w:val="decimal"/>
      <w:suff w:val="nothing"/>
      <w:lvlText w:val="%1、"/>
      <w:lvlJc w:val="left"/>
    </w:lvl>
  </w:abstractNum>
  <w:abstractNum w:abstractNumId="1">
    <w:nsid w:val="B9B56515"/>
    <w:multiLevelType w:val="singleLevel"/>
    <w:tmpl w:val="B9B56515"/>
    <w:lvl w:ilvl="0" w:tentative="0">
      <w:start w:val="2"/>
      <w:numFmt w:val="decimal"/>
      <w:suff w:val="nothing"/>
      <w:lvlText w:val="（%1）"/>
      <w:lvlJc w:val="left"/>
    </w:lvl>
  </w:abstractNum>
  <w:abstractNum w:abstractNumId="2">
    <w:nsid w:val="157A70A4"/>
    <w:multiLevelType w:val="singleLevel"/>
    <w:tmpl w:val="157A70A4"/>
    <w:lvl w:ilvl="0" w:tentative="0">
      <w:start w:val="2"/>
      <w:numFmt w:val="decimal"/>
      <w:suff w:val="space"/>
      <w:lvlText w:val="(%1)"/>
      <w:lvlJc w:val="left"/>
    </w:lvl>
  </w:abstractNum>
  <w:abstractNum w:abstractNumId="3">
    <w:nsid w:val="34707C73"/>
    <w:multiLevelType w:val="multilevel"/>
    <w:tmpl w:val="34707C73"/>
    <w:lvl w:ilvl="0" w:tentative="0">
      <w:start w:val="1"/>
      <w:numFmt w:val="bullet"/>
      <w:lvlText w:val=""/>
      <w:lvlJc w:val="left"/>
      <w:pPr>
        <w:tabs>
          <w:tab w:val="left" w:pos="284"/>
        </w:tabs>
        <w:ind w:left="284" w:hanging="284"/>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4ADD366D"/>
    <w:multiLevelType w:val="multilevel"/>
    <w:tmpl w:val="4ADD366D"/>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pStyle w:val="11"/>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pStyle w:val="13"/>
      <w:lvlText w:val="%1.%2.%3.%4.%5.%6.%7.%8.%9"/>
      <w:lvlJc w:val="left"/>
      <w:pPr>
        <w:tabs>
          <w:tab w:val="left" w:pos="1584"/>
        </w:tabs>
        <w:ind w:left="1584" w:hanging="1584"/>
      </w:pPr>
    </w:lvl>
  </w:abstractNum>
  <w:abstractNum w:abstractNumId="5">
    <w:nsid w:val="59AD2654"/>
    <w:multiLevelType w:val="singleLevel"/>
    <w:tmpl w:val="59AD2654"/>
    <w:lvl w:ilvl="0" w:tentative="0">
      <w:start w:val="1"/>
      <w:numFmt w:val="decimal"/>
      <w:lvlText w:val="%1"/>
      <w:lvlJc w:val="left"/>
      <w:pPr>
        <w:tabs>
          <w:tab w:val="left" w:pos="420"/>
        </w:tabs>
        <w:ind w:left="425" w:hanging="425"/>
      </w:pPr>
      <w:rPr>
        <w:rFonts w:hint="default"/>
      </w:rPr>
    </w:lvl>
  </w:abstractNum>
  <w:abstractNum w:abstractNumId="6">
    <w:nsid w:val="6930F335"/>
    <w:multiLevelType w:val="singleLevel"/>
    <w:tmpl w:val="6930F335"/>
    <w:lvl w:ilvl="0" w:tentative="0">
      <w:start w:val="7"/>
      <w:numFmt w:val="decimal"/>
      <w:suff w:val="nothing"/>
      <w:lvlText w:val="（%1）"/>
      <w:lvlJc w:val="left"/>
    </w:lvl>
  </w:abstractNum>
  <w:abstractNum w:abstractNumId="7">
    <w:nsid w:val="71D65BF1"/>
    <w:multiLevelType w:val="multilevel"/>
    <w:tmpl w:val="71D65BF1"/>
    <w:lvl w:ilvl="0" w:tentative="0">
      <w:start w:val="1"/>
      <w:numFmt w:val="decimal"/>
      <w:lvlText w:val="（%1）"/>
      <w:lvlJc w:val="left"/>
      <w:pPr>
        <w:tabs>
          <w:tab w:val="left" w:pos="1275"/>
        </w:tabs>
        <w:ind w:left="1275" w:hanging="720"/>
      </w:pPr>
      <w:rPr>
        <w:rFonts w:hint="default"/>
      </w:rPr>
    </w:lvl>
    <w:lvl w:ilvl="1" w:tentative="0">
      <w:start w:val="1"/>
      <w:numFmt w:val="lowerLetter"/>
      <w:lvlText w:val="%2)"/>
      <w:lvlJc w:val="left"/>
      <w:pPr>
        <w:tabs>
          <w:tab w:val="left" w:pos="1395"/>
        </w:tabs>
        <w:ind w:left="1395" w:hanging="420"/>
      </w:pPr>
    </w:lvl>
    <w:lvl w:ilvl="2" w:tentative="0">
      <w:start w:val="1"/>
      <w:numFmt w:val="lowerRoman"/>
      <w:lvlText w:val="%3."/>
      <w:lvlJc w:val="right"/>
      <w:pPr>
        <w:tabs>
          <w:tab w:val="left" w:pos="1815"/>
        </w:tabs>
        <w:ind w:left="1815" w:hanging="420"/>
      </w:pPr>
    </w:lvl>
    <w:lvl w:ilvl="3" w:tentative="0">
      <w:start w:val="1"/>
      <w:numFmt w:val="decimal"/>
      <w:lvlText w:val="%4."/>
      <w:lvlJc w:val="left"/>
      <w:pPr>
        <w:tabs>
          <w:tab w:val="left" w:pos="2235"/>
        </w:tabs>
        <w:ind w:left="2235" w:hanging="420"/>
      </w:pPr>
    </w:lvl>
    <w:lvl w:ilvl="4" w:tentative="0">
      <w:start w:val="1"/>
      <w:numFmt w:val="lowerLetter"/>
      <w:lvlText w:val="%5)"/>
      <w:lvlJc w:val="left"/>
      <w:pPr>
        <w:tabs>
          <w:tab w:val="left" w:pos="2655"/>
        </w:tabs>
        <w:ind w:left="2655" w:hanging="420"/>
      </w:pPr>
    </w:lvl>
    <w:lvl w:ilvl="5" w:tentative="0">
      <w:start w:val="1"/>
      <w:numFmt w:val="lowerRoman"/>
      <w:lvlText w:val="%6."/>
      <w:lvlJc w:val="right"/>
      <w:pPr>
        <w:tabs>
          <w:tab w:val="left" w:pos="3075"/>
        </w:tabs>
        <w:ind w:left="3075" w:hanging="420"/>
      </w:pPr>
    </w:lvl>
    <w:lvl w:ilvl="6" w:tentative="0">
      <w:start w:val="1"/>
      <w:numFmt w:val="decimal"/>
      <w:lvlText w:val="%7."/>
      <w:lvlJc w:val="left"/>
      <w:pPr>
        <w:tabs>
          <w:tab w:val="left" w:pos="3495"/>
        </w:tabs>
        <w:ind w:left="3495" w:hanging="420"/>
      </w:pPr>
    </w:lvl>
    <w:lvl w:ilvl="7" w:tentative="0">
      <w:start w:val="1"/>
      <w:numFmt w:val="lowerLetter"/>
      <w:lvlText w:val="%8)"/>
      <w:lvlJc w:val="left"/>
      <w:pPr>
        <w:tabs>
          <w:tab w:val="left" w:pos="3915"/>
        </w:tabs>
        <w:ind w:left="3915" w:hanging="420"/>
      </w:pPr>
    </w:lvl>
    <w:lvl w:ilvl="8" w:tentative="0">
      <w:start w:val="1"/>
      <w:numFmt w:val="lowerRoman"/>
      <w:lvlText w:val="%9."/>
      <w:lvlJc w:val="right"/>
      <w:pPr>
        <w:tabs>
          <w:tab w:val="left" w:pos="4335"/>
        </w:tabs>
        <w:ind w:left="4335" w:hanging="420"/>
      </w:pPr>
    </w:lvl>
  </w:abstractNum>
  <w:abstractNum w:abstractNumId="8">
    <w:nsid w:val="750B4B53"/>
    <w:multiLevelType w:val="singleLevel"/>
    <w:tmpl w:val="750B4B53"/>
    <w:lvl w:ilvl="0" w:tentative="0">
      <w:start w:val="2"/>
      <w:numFmt w:val="decimal"/>
      <w:suff w:val="nothing"/>
      <w:lvlText w:val="（%1）"/>
      <w:lvlJc w:val="left"/>
    </w:lvl>
  </w:abstractNum>
  <w:num w:numId="1">
    <w:abstractNumId w:val="4"/>
  </w:num>
  <w:num w:numId="2">
    <w:abstractNumId w:val="6"/>
  </w:num>
  <w:num w:numId="3">
    <w:abstractNumId w:val="8"/>
  </w:num>
  <w:num w:numId="4">
    <w:abstractNumId w:val="1"/>
  </w:num>
  <w:num w:numId="5">
    <w:abstractNumId w:val="0"/>
  </w:num>
  <w:num w:numId="6">
    <w:abstractNumId w:val="7"/>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lYmY4OThlNWM3MTk5NTMzODQyZjg0YTg4OTdmYTQifQ=="/>
  </w:docVars>
  <w:rsids>
    <w:rsidRoot w:val="007E0FEC"/>
    <w:rsid w:val="0000002F"/>
    <w:rsid w:val="000025B3"/>
    <w:rsid w:val="00003B03"/>
    <w:rsid w:val="00005B43"/>
    <w:rsid w:val="000162DC"/>
    <w:rsid w:val="000205D3"/>
    <w:rsid w:val="00027240"/>
    <w:rsid w:val="0003226B"/>
    <w:rsid w:val="00035BAC"/>
    <w:rsid w:val="0004614C"/>
    <w:rsid w:val="00060E2A"/>
    <w:rsid w:val="00063F98"/>
    <w:rsid w:val="0006677F"/>
    <w:rsid w:val="0007195B"/>
    <w:rsid w:val="00083F91"/>
    <w:rsid w:val="00085A8E"/>
    <w:rsid w:val="00090652"/>
    <w:rsid w:val="00097C35"/>
    <w:rsid w:val="000A5133"/>
    <w:rsid w:val="000A79BE"/>
    <w:rsid w:val="000C4EA2"/>
    <w:rsid w:val="000D0FE4"/>
    <w:rsid w:val="000D4DF5"/>
    <w:rsid w:val="000F674C"/>
    <w:rsid w:val="001001B9"/>
    <w:rsid w:val="00104E99"/>
    <w:rsid w:val="001107A3"/>
    <w:rsid w:val="001313FD"/>
    <w:rsid w:val="00136E07"/>
    <w:rsid w:val="00137B0C"/>
    <w:rsid w:val="00141CEE"/>
    <w:rsid w:val="0014454E"/>
    <w:rsid w:val="001459ED"/>
    <w:rsid w:val="00147124"/>
    <w:rsid w:val="00147929"/>
    <w:rsid w:val="0015678B"/>
    <w:rsid w:val="00166247"/>
    <w:rsid w:val="00170FF1"/>
    <w:rsid w:val="001715C7"/>
    <w:rsid w:val="00182348"/>
    <w:rsid w:val="001925BB"/>
    <w:rsid w:val="00197C84"/>
    <w:rsid w:val="001A087F"/>
    <w:rsid w:val="001A2A08"/>
    <w:rsid w:val="001B43ED"/>
    <w:rsid w:val="001B611E"/>
    <w:rsid w:val="001B7B27"/>
    <w:rsid w:val="001C1F7B"/>
    <w:rsid w:val="001C57C8"/>
    <w:rsid w:val="001C6B5D"/>
    <w:rsid w:val="001D6599"/>
    <w:rsid w:val="001E0742"/>
    <w:rsid w:val="001F40E2"/>
    <w:rsid w:val="00236E2C"/>
    <w:rsid w:val="00263E3C"/>
    <w:rsid w:val="0026411F"/>
    <w:rsid w:val="002645A5"/>
    <w:rsid w:val="002649E5"/>
    <w:rsid w:val="00265F68"/>
    <w:rsid w:val="00281FD6"/>
    <w:rsid w:val="00291681"/>
    <w:rsid w:val="0029717F"/>
    <w:rsid w:val="002B0941"/>
    <w:rsid w:val="002B4487"/>
    <w:rsid w:val="002B4F3D"/>
    <w:rsid w:val="002B5904"/>
    <w:rsid w:val="002B75D3"/>
    <w:rsid w:val="002C1165"/>
    <w:rsid w:val="002C4A21"/>
    <w:rsid w:val="002D0BB9"/>
    <w:rsid w:val="002D1678"/>
    <w:rsid w:val="002D3C71"/>
    <w:rsid w:val="002D48C7"/>
    <w:rsid w:val="002D5481"/>
    <w:rsid w:val="002E527B"/>
    <w:rsid w:val="002E64BE"/>
    <w:rsid w:val="002F1BAB"/>
    <w:rsid w:val="00305F46"/>
    <w:rsid w:val="00310BD8"/>
    <w:rsid w:val="00310D6B"/>
    <w:rsid w:val="00310F4D"/>
    <w:rsid w:val="00314762"/>
    <w:rsid w:val="00315E70"/>
    <w:rsid w:val="003249E5"/>
    <w:rsid w:val="0032669B"/>
    <w:rsid w:val="003357FC"/>
    <w:rsid w:val="003612F4"/>
    <w:rsid w:val="00363FBB"/>
    <w:rsid w:val="00364D78"/>
    <w:rsid w:val="00370C0A"/>
    <w:rsid w:val="003732AA"/>
    <w:rsid w:val="00374A27"/>
    <w:rsid w:val="00374F9B"/>
    <w:rsid w:val="003816DA"/>
    <w:rsid w:val="00397BE3"/>
    <w:rsid w:val="003B16D1"/>
    <w:rsid w:val="003B6DBB"/>
    <w:rsid w:val="003C202D"/>
    <w:rsid w:val="003C37A2"/>
    <w:rsid w:val="003C53E4"/>
    <w:rsid w:val="003C5FF7"/>
    <w:rsid w:val="003C6916"/>
    <w:rsid w:val="003D2704"/>
    <w:rsid w:val="003D431C"/>
    <w:rsid w:val="003E006D"/>
    <w:rsid w:val="003E2AF3"/>
    <w:rsid w:val="003E47CC"/>
    <w:rsid w:val="003F2D6A"/>
    <w:rsid w:val="0042093A"/>
    <w:rsid w:val="004220D3"/>
    <w:rsid w:val="004360AE"/>
    <w:rsid w:val="00442A83"/>
    <w:rsid w:val="00444C47"/>
    <w:rsid w:val="00454816"/>
    <w:rsid w:val="00462BFD"/>
    <w:rsid w:val="00462F47"/>
    <w:rsid w:val="00463198"/>
    <w:rsid w:val="00471A83"/>
    <w:rsid w:val="00476B60"/>
    <w:rsid w:val="004837D0"/>
    <w:rsid w:val="00490DBA"/>
    <w:rsid w:val="004A1EBD"/>
    <w:rsid w:val="004A672D"/>
    <w:rsid w:val="004B3C28"/>
    <w:rsid w:val="004C5C40"/>
    <w:rsid w:val="004D09C8"/>
    <w:rsid w:val="004D141B"/>
    <w:rsid w:val="004D3644"/>
    <w:rsid w:val="004D4F11"/>
    <w:rsid w:val="004D6A70"/>
    <w:rsid w:val="004D7BD4"/>
    <w:rsid w:val="004E62C9"/>
    <w:rsid w:val="004F228E"/>
    <w:rsid w:val="0051252A"/>
    <w:rsid w:val="0051491C"/>
    <w:rsid w:val="005218D7"/>
    <w:rsid w:val="005238EC"/>
    <w:rsid w:val="00524676"/>
    <w:rsid w:val="005251C9"/>
    <w:rsid w:val="005252DC"/>
    <w:rsid w:val="005258CA"/>
    <w:rsid w:val="005263B4"/>
    <w:rsid w:val="00531150"/>
    <w:rsid w:val="00536319"/>
    <w:rsid w:val="00547ABE"/>
    <w:rsid w:val="005523C9"/>
    <w:rsid w:val="00552F4A"/>
    <w:rsid w:val="00553F7E"/>
    <w:rsid w:val="0056119A"/>
    <w:rsid w:val="00562A46"/>
    <w:rsid w:val="00564D3A"/>
    <w:rsid w:val="00580BB3"/>
    <w:rsid w:val="00581067"/>
    <w:rsid w:val="00582853"/>
    <w:rsid w:val="0059459D"/>
    <w:rsid w:val="00596609"/>
    <w:rsid w:val="00596E34"/>
    <w:rsid w:val="005A61D4"/>
    <w:rsid w:val="005A741F"/>
    <w:rsid w:val="005B33DB"/>
    <w:rsid w:val="005B4F54"/>
    <w:rsid w:val="005C1862"/>
    <w:rsid w:val="005C2663"/>
    <w:rsid w:val="005C2A3E"/>
    <w:rsid w:val="005C389C"/>
    <w:rsid w:val="005C40DE"/>
    <w:rsid w:val="005D072D"/>
    <w:rsid w:val="005D13CA"/>
    <w:rsid w:val="005E048A"/>
    <w:rsid w:val="005E3F8F"/>
    <w:rsid w:val="005F3395"/>
    <w:rsid w:val="005F393F"/>
    <w:rsid w:val="00631171"/>
    <w:rsid w:val="00632BE9"/>
    <w:rsid w:val="006335BE"/>
    <w:rsid w:val="006359D2"/>
    <w:rsid w:val="00635F9D"/>
    <w:rsid w:val="00642CDB"/>
    <w:rsid w:val="00645ACB"/>
    <w:rsid w:val="00647BCC"/>
    <w:rsid w:val="00661649"/>
    <w:rsid w:val="00663544"/>
    <w:rsid w:val="00675887"/>
    <w:rsid w:val="00686BA5"/>
    <w:rsid w:val="00693FEB"/>
    <w:rsid w:val="00697A52"/>
    <w:rsid w:val="006A3CD7"/>
    <w:rsid w:val="006A6159"/>
    <w:rsid w:val="006B4AE4"/>
    <w:rsid w:val="006C1EE7"/>
    <w:rsid w:val="006C4BEF"/>
    <w:rsid w:val="006C4D56"/>
    <w:rsid w:val="006C5CC9"/>
    <w:rsid w:val="006D22B1"/>
    <w:rsid w:val="006D34F3"/>
    <w:rsid w:val="006D5629"/>
    <w:rsid w:val="006E3681"/>
    <w:rsid w:val="006F50B8"/>
    <w:rsid w:val="006F652C"/>
    <w:rsid w:val="007165F2"/>
    <w:rsid w:val="00716AA8"/>
    <w:rsid w:val="00722B18"/>
    <w:rsid w:val="00734657"/>
    <w:rsid w:val="00740FE3"/>
    <w:rsid w:val="00741539"/>
    <w:rsid w:val="00744A6B"/>
    <w:rsid w:val="0074607C"/>
    <w:rsid w:val="007521F4"/>
    <w:rsid w:val="00753701"/>
    <w:rsid w:val="007654EB"/>
    <w:rsid w:val="00765E17"/>
    <w:rsid w:val="00766747"/>
    <w:rsid w:val="00783F2F"/>
    <w:rsid w:val="007A18D8"/>
    <w:rsid w:val="007A4720"/>
    <w:rsid w:val="007A4F2E"/>
    <w:rsid w:val="007A69D3"/>
    <w:rsid w:val="007B0D0C"/>
    <w:rsid w:val="007B1BF4"/>
    <w:rsid w:val="007B234C"/>
    <w:rsid w:val="007B4E5A"/>
    <w:rsid w:val="007B5372"/>
    <w:rsid w:val="007C000A"/>
    <w:rsid w:val="007C1BD7"/>
    <w:rsid w:val="007D1AA0"/>
    <w:rsid w:val="007D572A"/>
    <w:rsid w:val="007E076C"/>
    <w:rsid w:val="007E0FEC"/>
    <w:rsid w:val="007E4C6B"/>
    <w:rsid w:val="007F287D"/>
    <w:rsid w:val="007F3798"/>
    <w:rsid w:val="007F453B"/>
    <w:rsid w:val="007F5C03"/>
    <w:rsid w:val="007F7EF3"/>
    <w:rsid w:val="008004C8"/>
    <w:rsid w:val="00802033"/>
    <w:rsid w:val="00803589"/>
    <w:rsid w:val="00803B8B"/>
    <w:rsid w:val="00812637"/>
    <w:rsid w:val="00827DAD"/>
    <w:rsid w:val="00832E0E"/>
    <w:rsid w:val="008412A0"/>
    <w:rsid w:val="00841516"/>
    <w:rsid w:val="00843DD5"/>
    <w:rsid w:val="008508C8"/>
    <w:rsid w:val="0086664B"/>
    <w:rsid w:val="00872437"/>
    <w:rsid w:val="00876048"/>
    <w:rsid w:val="00876E7A"/>
    <w:rsid w:val="0088166D"/>
    <w:rsid w:val="008872B2"/>
    <w:rsid w:val="008911F3"/>
    <w:rsid w:val="008A34F8"/>
    <w:rsid w:val="008A3727"/>
    <w:rsid w:val="008A3849"/>
    <w:rsid w:val="008A45CD"/>
    <w:rsid w:val="008A5000"/>
    <w:rsid w:val="008B06D0"/>
    <w:rsid w:val="008B16B5"/>
    <w:rsid w:val="008B762B"/>
    <w:rsid w:val="008D4D4C"/>
    <w:rsid w:val="008D518B"/>
    <w:rsid w:val="008E72DC"/>
    <w:rsid w:val="008F3F4A"/>
    <w:rsid w:val="008F7451"/>
    <w:rsid w:val="00903FA9"/>
    <w:rsid w:val="00905877"/>
    <w:rsid w:val="00905C59"/>
    <w:rsid w:val="00931FE9"/>
    <w:rsid w:val="00935FAD"/>
    <w:rsid w:val="009369CD"/>
    <w:rsid w:val="0094522F"/>
    <w:rsid w:val="00947961"/>
    <w:rsid w:val="0096439B"/>
    <w:rsid w:val="00974B73"/>
    <w:rsid w:val="00976708"/>
    <w:rsid w:val="0098746A"/>
    <w:rsid w:val="00992619"/>
    <w:rsid w:val="009A5331"/>
    <w:rsid w:val="009B2D5E"/>
    <w:rsid w:val="009C1EDE"/>
    <w:rsid w:val="009C61AD"/>
    <w:rsid w:val="009D4355"/>
    <w:rsid w:val="009D536E"/>
    <w:rsid w:val="009E53D6"/>
    <w:rsid w:val="009E6DA9"/>
    <w:rsid w:val="009F3666"/>
    <w:rsid w:val="00A01CF5"/>
    <w:rsid w:val="00A1410A"/>
    <w:rsid w:val="00A2093C"/>
    <w:rsid w:val="00A321E6"/>
    <w:rsid w:val="00A36C51"/>
    <w:rsid w:val="00A41162"/>
    <w:rsid w:val="00A454DD"/>
    <w:rsid w:val="00A57F2A"/>
    <w:rsid w:val="00A6590C"/>
    <w:rsid w:val="00A717AB"/>
    <w:rsid w:val="00A7757A"/>
    <w:rsid w:val="00A778C9"/>
    <w:rsid w:val="00A8449C"/>
    <w:rsid w:val="00A918B5"/>
    <w:rsid w:val="00A93099"/>
    <w:rsid w:val="00AA3611"/>
    <w:rsid w:val="00AA3A33"/>
    <w:rsid w:val="00AA630A"/>
    <w:rsid w:val="00AA76F1"/>
    <w:rsid w:val="00AB1185"/>
    <w:rsid w:val="00AB2092"/>
    <w:rsid w:val="00AC1DCC"/>
    <w:rsid w:val="00AD023A"/>
    <w:rsid w:val="00AD0C35"/>
    <w:rsid w:val="00AF2379"/>
    <w:rsid w:val="00AF3EE7"/>
    <w:rsid w:val="00AF5025"/>
    <w:rsid w:val="00AF7AF8"/>
    <w:rsid w:val="00B06211"/>
    <w:rsid w:val="00B073E2"/>
    <w:rsid w:val="00B265DB"/>
    <w:rsid w:val="00B37D7B"/>
    <w:rsid w:val="00B60464"/>
    <w:rsid w:val="00B64084"/>
    <w:rsid w:val="00B65054"/>
    <w:rsid w:val="00B66FB7"/>
    <w:rsid w:val="00B67273"/>
    <w:rsid w:val="00B71087"/>
    <w:rsid w:val="00B716F8"/>
    <w:rsid w:val="00B866D2"/>
    <w:rsid w:val="00B93C4D"/>
    <w:rsid w:val="00B94AB2"/>
    <w:rsid w:val="00BC4248"/>
    <w:rsid w:val="00BD03ED"/>
    <w:rsid w:val="00BD1EEF"/>
    <w:rsid w:val="00BD223F"/>
    <w:rsid w:val="00BD2CB8"/>
    <w:rsid w:val="00BD36C5"/>
    <w:rsid w:val="00BD5D26"/>
    <w:rsid w:val="00BE0971"/>
    <w:rsid w:val="00BE16CC"/>
    <w:rsid w:val="00BE3591"/>
    <w:rsid w:val="00BE7144"/>
    <w:rsid w:val="00BF24D0"/>
    <w:rsid w:val="00BF3FF3"/>
    <w:rsid w:val="00C04FBF"/>
    <w:rsid w:val="00C07651"/>
    <w:rsid w:val="00C12C2F"/>
    <w:rsid w:val="00C153AB"/>
    <w:rsid w:val="00C16894"/>
    <w:rsid w:val="00C215A6"/>
    <w:rsid w:val="00C2443E"/>
    <w:rsid w:val="00C27454"/>
    <w:rsid w:val="00C30E06"/>
    <w:rsid w:val="00C31DFF"/>
    <w:rsid w:val="00C327F1"/>
    <w:rsid w:val="00C466CE"/>
    <w:rsid w:val="00C5485E"/>
    <w:rsid w:val="00C56F18"/>
    <w:rsid w:val="00C63087"/>
    <w:rsid w:val="00C71A30"/>
    <w:rsid w:val="00C840D1"/>
    <w:rsid w:val="00CB6195"/>
    <w:rsid w:val="00CD4426"/>
    <w:rsid w:val="00D0492F"/>
    <w:rsid w:val="00D0595C"/>
    <w:rsid w:val="00D1436B"/>
    <w:rsid w:val="00D14A47"/>
    <w:rsid w:val="00D23A9F"/>
    <w:rsid w:val="00D336A7"/>
    <w:rsid w:val="00D33708"/>
    <w:rsid w:val="00D367DE"/>
    <w:rsid w:val="00D42158"/>
    <w:rsid w:val="00D424EE"/>
    <w:rsid w:val="00D4250B"/>
    <w:rsid w:val="00D4641B"/>
    <w:rsid w:val="00D51B9C"/>
    <w:rsid w:val="00D52810"/>
    <w:rsid w:val="00D63D66"/>
    <w:rsid w:val="00D82528"/>
    <w:rsid w:val="00D835FD"/>
    <w:rsid w:val="00D94426"/>
    <w:rsid w:val="00DA5E09"/>
    <w:rsid w:val="00DB65A9"/>
    <w:rsid w:val="00DC55EC"/>
    <w:rsid w:val="00DD05B2"/>
    <w:rsid w:val="00DE2FBF"/>
    <w:rsid w:val="00DE3813"/>
    <w:rsid w:val="00DE6EBB"/>
    <w:rsid w:val="00DE7076"/>
    <w:rsid w:val="00DE7E7E"/>
    <w:rsid w:val="00DF3B60"/>
    <w:rsid w:val="00E05266"/>
    <w:rsid w:val="00E14906"/>
    <w:rsid w:val="00E21698"/>
    <w:rsid w:val="00E25656"/>
    <w:rsid w:val="00E3365F"/>
    <w:rsid w:val="00E46B3F"/>
    <w:rsid w:val="00E54210"/>
    <w:rsid w:val="00E63302"/>
    <w:rsid w:val="00E73E90"/>
    <w:rsid w:val="00E750E2"/>
    <w:rsid w:val="00E771F5"/>
    <w:rsid w:val="00E84FC7"/>
    <w:rsid w:val="00E85362"/>
    <w:rsid w:val="00E87FF0"/>
    <w:rsid w:val="00E94F66"/>
    <w:rsid w:val="00EA12F5"/>
    <w:rsid w:val="00EA33DE"/>
    <w:rsid w:val="00EA5450"/>
    <w:rsid w:val="00EA59A6"/>
    <w:rsid w:val="00EA686D"/>
    <w:rsid w:val="00EB16A1"/>
    <w:rsid w:val="00EB46F5"/>
    <w:rsid w:val="00EB7AE6"/>
    <w:rsid w:val="00EC3BA4"/>
    <w:rsid w:val="00EE2153"/>
    <w:rsid w:val="00EF17DC"/>
    <w:rsid w:val="00EF3B75"/>
    <w:rsid w:val="00F02C10"/>
    <w:rsid w:val="00F06F85"/>
    <w:rsid w:val="00F17BAB"/>
    <w:rsid w:val="00F27E99"/>
    <w:rsid w:val="00F310C9"/>
    <w:rsid w:val="00F40206"/>
    <w:rsid w:val="00F73844"/>
    <w:rsid w:val="00F73E8E"/>
    <w:rsid w:val="00F901F3"/>
    <w:rsid w:val="00FA2DFD"/>
    <w:rsid w:val="00FB7D8E"/>
    <w:rsid w:val="00FB7FE4"/>
    <w:rsid w:val="00FC7E61"/>
    <w:rsid w:val="00FD3A63"/>
    <w:rsid w:val="00FE24E1"/>
    <w:rsid w:val="00FF0F3B"/>
    <w:rsid w:val="018B4B2C"/>
    <w:rsid w:val="02163418"/>
    <w:rsid w:val="02370C0E"/>
    <w:rsid w:val="02C25D72"/>
    <w:rsid w:val="04047296"/>
    <w:rsid w:val="0422293A"/>
    <w:rsid w:val="04256D0F"/>
    <w:rsid w:val="04291523"/>
    <w:rsid w:val="053B54F3"/>
    <w:rsid w:val="053F5EA6"/>
    <w:rsid w:val="059871C9"/>
    <w:rsid w:val="062E73B2"/>
    <w:rsid w:val="06B86042"/>
    <w:rsid w:val="07243327"/>
    <w:rsid w:val="07AA03FB"/>
    <w:rsid w:val="08196192"/>
    <w:rsid w:val="08646BF5"/>
    <w:rsid w:val="08B52F00"/>
    <w:rsid w:val="08E56501"/>
    <w:rsid w:val="09A74EB3"/>
    <w:rsid w:val="09DB4C2B"/>
    <w:rsid w:val="09F300AC"/>
    <w:rsid w:val="0A206A99"/>
    <w:rsid w:val="0A280887"/>
    <w:rsid w:val="0AB43DC3"/>
    <w:rsid w:val="0AB52002"/>
    <w:rsid w:val="0AB84A6F"/>
    <w:rsid w:val="0AF51730"/>
    <w:rsid w:val="0B115472"/>
    <w:rsid w:val="0BD645DA"/>
    <w:rsid w:val="0C101A99"/>
    <w:rsid w:val="0D6D43FA"/>
    <w:rsid w:val="0DA47544"/>
    <w:rsid w:val="0DBD1E61"/>
    <w:rsid w:val="0E070A86"/>
    <w:rsid w:val="0E865A29"/>
    <w:rsid w:val="0EAA2197"/>
    <w:rsid w:val="0EB90079"/>
    <w:rsid w:val="0EC56195"/>
    <w:rsid w:val="0FA2285D"/>
    <w:rsid w:val="100A148C"/>
    <w:rsid w:val="110964A2"/>
    <w:rsid w:val="11406DC0"/>
    <w:rsid w:val="11815847"/>
    <w:rsid w:val="11816E7F"/>
    <w:rsid w:val="121C0676"/>
    <w:rsid w:val="123A39B1"/>
    <w:rsid w:val="12437227"/>
    <w:rsid w:val="125709C8"/>
    <w:rsid w:val="12D37EDC"/>
    <w:rsid w:val="12ED6757"/>
    <w:rsid w:val="13FF5182"/>
    <w:rsid w:val="149C5B5B"/>
    <w:rsid w:val="156E17C3"/>
    <w:rsid w:val="15A97706"/>
    <w:rsid w:val="15C72376"/>
    <w:rsid w:val="15E8115E"/>
    <w:rsid w:val="15FC1FCB"/>
    <w:rsid w:val="161E2570"/>
    <w:rsid w:val="16313519"/>
    <w:rsid w:val="1667050A"/>
    <w:rsid w:val="167A32A8"/>
    <w:rsid w:val="172756EA"/>
    <w:rsid w:val="177E370A"/>
    <w:rsid w:val="17811B1E"/>
    <w:rsid w:val="181E0753"/>
    <w:rsid w:val="18545476"/>
    <w:rsid w:val="185E4B3C"/>
    <w:rsid w:val="188F539B"/>
    <w:rsid w:val="19F821B0"/>
    <w:rsid w:val="1A37686C"/>
    <w:rsid w:val="1A6C60EE"/>
    <w:rsid w:val="1AE71752"/>
    <w:rsid w:val="1B9C2BF6"/>
    <w:rsid w:val="1C957E1C"/>
    <w:rsid w:val="1CA05EC5"/>
    <w:rsid w:val="1DFC2CDE"/>
    <w:rsid w:val="1DFC5C6A"/>
    <w:rsid w:val="1EBB5BE0"/>
    <w:rsid w:val="1F0760E4"/>
    <w:rsid w:val="1F276D6A"/>
    <w:rsid w:val="1F4C590F"/>
    <w:rsid w:val="1F4C61C1"/>
    <w:rsid w:val="1F55218C"/>
    <w:rsid w:val="1FC64170"/>
    <w:rsid w:val="20E530E1"/>
    <w:rsid w:val="20EE5E8A"/>
    <w:rsid w:val="21916BCD"/>
    <w:rsid w:val="21E20058"/>
    <w:rsid w:val="21FD173B"/>
    <w:rsid w:val="221654DC"/>
    <w:rsid w:val="22AE6425"/>
    <w:rsid w:val="22C83D97"/>
    <w:rsid w:val="22D14749"/>
    <w:rsid w:val="22F34604"/>
    <w:rsid w:val="23031BAC"/>
    <w:rsid w:val="23A93DC6"/>
    <w:rsid w:val="23BA6366"/>
    <w:rsid w:val="23EA2FCF"/>
    <w:rsid w:val="243472A5"/>
    <w:rsid w:val="24D90C98"/>
    <w:rsid w:val="25665FAC"/>
    <w:rsid w:val="258735F1"/>
    <w:rsid w:val="25C23CC0"/>
    <w:rsid w:val="25C25291"/>
    <w:rsid w:val="25F845F8"/>
    <w:rsid w:val="263529FB"/>
    <w:rsid w:val="265215C7"/>
    <w:rsid w:val="271A6899"/>
    <w:rsid w:val="275B3646"/>
    <w:rsid w:val="27623D48"/>
    <w:rsid w:val="2775270B"/>
    <w:rsid w:val="278028A1"/>
    <w:rsid w:val="279B4B58"/>
    <w:rsid w:val="27D66757"/>
    <w:rsid w:val="281116C9"/>
    <w:rsid w:val="28800CA3"/>
    <w:rsid w:val="28856150"/>
    <w:rsid w:val="28983AF3"/>
    <w:rsid w:val="299366AA"/>
    <w:rsid w:val="29D37F16"/>
    <w:rsid w:val="2A0860A9"/>
    <w:rsid w:val="2A5654EA"/>
    <w:rsid w:val="2A5F0D13"/>
    <w:rsid w:val="2AA067C7"/>
    <w:rsid w:val="2AA331ED"/>
    <w:rsid w:val="2AD824AC"/>
    <w:rsid w:val="2B023F2E"/>
    <w:rsid w:val="2B39332C"/>
    <w:rsid w:val="2B5760E8"/>
    <w:rsid w:val="2C233830"/>
    <w:rsid w:val="2C455E0C"/>
    <w:rsid w:val="2D0F3AFC"/>
    <w:rsid w:val="2DA57F15"/>
    <w:rsid w:val="2DE95F29"/>
    <w:rsid w:val="2DE961C8"/>
    <w:rsid w:val="2E6E1F6F"/>
    <w:rsid w:val="30641998"/>
    <w:rsid w:val="30662977"/>
    <w:rsid w:val="30E5268E"/>
    <w:rsid w:val="30EC7FEF"/>
    <w:rsid w:val="31673B98"/>
    <w:rsid w:val="31982073"/>
    <w:rsid w:val="31A30ECD"/>
    <w:rsid w:val="32A93A5C"/>
    <w:rsid w:val="32BC419D"/>
    <w:rsid w:val="32C27E26"/>
    <w:rsid w:val="33487638"/>
    <w:rsid w:val="33941461"/>
    <w:rsid w:val="33E054C3"/>
    <w:rsid w:val="344F6E0F"/>
    <w:rsid w:val="34615718"/>
    <w:rsid w:val="34CA5660"/>
    <w:rsid w:val="34DE1C60"/>
    <w:rsid w:val="34F902CA"/>
    <w:rsid w:val="35001552"/>
    <w:rsid w:val="354145ED"/>
    <w:rsid w:val="35917B98"/>
    <w:rsid w:val="35A5009A"/>
    <w:rsid w:val="35BF40C0"/>
    <w:rsid w:val="35FC5052"/>
    <w:rsid w:val="360D0FC9"/>
    <w:rsid w:val="36327808"/>
    <w:rsid w:val="36683DF6"/>
    <w:rsid w:val="3779053B"/>
    <w:rsid w:val="381327E4"/>
    <w:rsid w:val="38211E14"/>
    <w:rsid w:val="390D5118"/>
    <w:rsid w:val="39461FA6"/>
    <w:rsid w:val="39AB3E47"/>
    <w:rsid w:val="39FE0332"/>
    <w:rsid w:val="3A295C69"/>
    <w:rsid w:val="3A3568A9"/>
    <w:rsid w:val="3A603D25"/>
    <w:rsid w:val="3B024BBD"/>
    <w:rsid w:val="3D15698A"/>
    <w:rsid w:val="3D522116"/>
    <w:rsid w:val="3E8C44BB"/>
    <w:rsid w:val="3EC37446"/>
    <w:rsid w:val="3EE64241"/>
    <w:rsid w:val="3F9A1043"/>
    <w:rsid w:val="3FE339E8"/>
    <w:rsid w:val="4020552F"/>
    <w:rsid w:val="4031683D"/>
    <w:rsid w:val="403C6E1F"/>
    <w:rsid w:val="404A3868"/>
    <w:rsid w:val="40656A59"/>
    <w:rsid w:val="414E4400"/>
    <w:rsid w:val="41C7200A"/>
    <w:rsid w:val="426C6739"/>
    <w:rsid w:val="44807BEA"/>
    <w:rsid w:val="44C8354C"/>
    <w:rsid w:val="45D30EB6"/>
    <w:rsid w:val="46004326"/>
    <w:rsid w:val="461530C6"/>
    <w:rsid w:val="46A7241B"/>
    <w:rsid w:val="477E263D"/>
    <w:rsid w:val="48064FF3"/>
    <w:rsid w:val="4850541E"/>
    <w:rsid w:val="485A4C23"/>
    <w:rsid w:val="48CE71FD"/>
    <w:rsid w:val="490A4F17"/>
    <w:rsid w:val="49305704"/>
    <w:rsid w:val="4A2C33F3"/>
    <w:rsid w:val="4A9B14C9"/>
    <w:rsid w:val="4A9E5827"/>
    <w:rsid w:val="4AB740A3"/>
    <w:rsid w:val="4B1F2F62"/>
    <w:rsid w:val="4BB17A70"/>
    <w:rsid w:val="4BBB3663"/>
    <w:rsid w:val="4C0C61E3"/>
    <w:rsid w:val="4C5C1E27"/>
    <w:rsid w:val="4D2744D5"/>
    <w:rsid w:val="4D314999"/>
    <w:rsid w:val="4EDE0BAF"/>
    <w:rsid w:val="4F417E4A"/>
    <w:rsid w:val="4F4C29D7"/>
    <w:rsid w:val="50E819FD"/>
    <w:rsid w:val="51065181"/>
    <w:rsid w:val="513067F7"/>
    <w:rsid w:val="51453CD1"/>
    <w:rsid w:val="517147F7"/>
    <w:rsid w:val="51E55943"/>
    <w:rsid w:val="52094B50"/>
    <w:rsid w:val="525540F7"/>
    <w:rsid w:val="52914551"/>
    <w:rsid w:val="52E953B1"/>
    <w:rsid w:val="535116CF"/>
    <w:rsid w:val="53DF1CF5"/>
    <w:rsid w:val="549D0A6C"/>
    <w:rsid w:val="54A87272"/>
    <w:rsid w:val="55256BF7"/>
    <w:rsid w:val="55413D48"/>
    <w:rsid w:val="55706C02"/>
    <w:rsid w:val="558F1CDD"/>
    <w:rsid w:val="55D01FDE"/>
    <w:rsid w:val="55E3110B"/>
    <w:rsid w:val="561A2932"/>
    <w:rsid w:val="565A25AB"/>
    <w:rsid w:val="568A0BD9"/>
    <w:rsid w:val="569E74F0"/>
    <w:rsid w:val="56A6731C"/>
    <w:rsid w:val="56B648B3"/>
    <w:rsid w:val="56D65512"/>
    <w:rsid w:val="56E31740"/>
    <w:rsid w:val="57213975"/>
    <w:rsid w:val="57395D22"/>
    <w:rsid w:val="58615FC7"/>
    <w:rsid w:val="58F257BB"/>
    <w:rsid w:val="58FD762B"/>
    <w:rsid w:val="599546BE"/>
    <w:rsid w:val="5A664B1D"/>
    <w:rsid w:val="5ABD0F18"/>
    <w:rsid w:val="5B4C7EBE"/>
    <w:rsid w:val="5B865799"/>
    <w:rsid w:val="5B9D16E7"/>
    <w:rsid w:val="5BFE5295"/>
    <w:rsid w:val="5D267FC2"/>
    <w:rsid w:val="5D653C8F"/>
    <w:rsid w:val="5DD629C8"/>
    <w:rsid w:val="5E0024B2"/>
    <w:rsid w:val="5EA53420"/>
    <w:rsid w:val="5ED40EE5"/>
    <w:rsid w:val="5EDD14EB"/>
    <w:rsid w:val="5FA944AF"/>
    <w:rsid w:val="5FDB6CC9"/>
    <w:rsid w:val="60407404"/>
    <w:rsid w:val="60D72EAD"/>
    <w:rsid w:val="613306E6"/>
    <w:rsid w:val="613E4D86"/>
    <w:rsid w:val="616732DA"/>
    <w:rsid w:val="61A950B6"/>
    <w:rsid w:val="61BC7C3D"/>
    <w:rsid w:val="61DB0AEF"/>
    <w:rsid w:val="62425690"/>
    <w:rsid w:val="624F4209"/>
    <w:rsid w:val="62C24660"/>
    <w:rsid w:val="63881A8D"/>
    <w:rsid w:val="63BF528D"/>
    <w:rsid w:val="63FA3CAA"/>
    <w:rsid w:val="647A1162"/>
    <w:rsid w:val="64EF409F"/>
    <w:rsid w:val="6564670D"/>
    <w:rsid w:val="656E7F8D"/>
    <w:rsid w:val="66441DAE"/>
    <w:rsid w:val="66463ADF"/>
    <w:rsid w:val="66480C5E"/>
    <w:rsid w:val="66A8416A"/>
    <w:rsid w:val="66E83BFD"/>
    <w:rsid w:val="6759303F"/>
    <w:rsid w:val="67A41B29"/>
    <w:rsid w:val="6809606A"/>
    <w:rsid w:val="686F7775"/>
    <w:rsid w:val="69081999"/>
    <w:rsid w:val="69142152"/>
    <w:rsid w:val="691F241C"/>
    <w:rsid w:val="69215ED5"/>
    <w:rsid w:val="6926453B"/>
    <w:rsid w:val="695A0196"/>
    <w:rsid w:val="69D60477"/>
    <w:rsid w:val="6A1A5DE8"/>
    <w:rsid w:val="6ACB2E21"/>
    <w:rsid w:val="6ADE6279"/>
    <w:rsid w:val="6B4E2418"/>
    <w:rsid w:val="6C116314"/>
    <w:rsid w:val="6C584B0B"/>
    <w:rsid w:val="6C6E0659"/>
    <w:rsid w:val="6C7B1171"/>
    <w:rsid w:val="6CBE6E9D"/>
    <w:rsid w:val="6CCA6743"/>
    <w:rsid w:val="6D3D273F"/>
    <w:rsid w:val="6D4A5E1C"/>
    <w:rsid w:val="6DBF3A9F"/>
    <w:rsid w:val="6E496530"/>
    <w:rsid w:val="6F6118FF"/>
    <w:rsid w:val="6F6942E3"/>
    <w:rsid w:val="6FA444FA"/>
    <w:rsid w:val="6FE54FA3"/>
    <w:rsid w:val="711E3BB1"/>
    <w:rsid w:val="71432C96"/>
    <w:rsid w:val="71516AD7"/>
    <w:rsid w:val="71CD0B80"/>
    <w:rsid w:val="720C15A0"/>
    <w:rsid w:val="72500AB4"/>
    <w:rsid w:val="729261D2"/>
    <w:rsid w:val="730464E8"/>
    <w:rsid w:val="73B222C2"/>
    <w:rsid w:val="74573725"/>
    <w:rsid w:val="74DA0773"/>
    <w:rsid w:val="7563050D"/>
    <w:rsid w:val="761A7B5B"/>
    <w:rsid w:val="76732EAE"/>
    <w:rsid w:val="767C7152"/>
    <w:rsid w:val="77426946"/>
    <w:rsid w:val="77A71CAD"/>
    <w:rsid w:val="785E141E"/>
    <w:rsid w:val="78862464"/>
    <w:rsid w:val="788C28AF"/>
    <w:rsid w:val="78AB3649"/>
    <w:rsid w:val="7953413B"/>
    <w:rsid w:val="79727D02"/>
    <w:rsid w:val="7A4F5710"/>
    <w:rsid w:val="7B510445"/>
    <w:rsid w:val="7BB44808"/>
    <w:rsid w:val="7C3C1C57"/>
    <w:rsid w:val="7C6C6C3E"/>
    <w:rsid w:val="7C901DDB"/>
    <w:rsid w:val="7CB022A7"/>
    <w:rsid w:val="7E24727B"/>
    <w:rsid w:val="7E3E7E17"/>
    <w:rsid w:val="7E5C1C6E"/>
    <w:rsid w:val="7E8536BC"/>
    <w:rsid w:val="7EB956CD"/>
    <w:rsid w:val="7F1932C6"/>
    <w:rsid w:val="7F62524F"/>
    <w:rsid w:val="7F774A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4"/>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75"/>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76"/>
    <w:qFormat/>
    <w:uiPriority w:val="0"/>
    <w:pPr>
      <w:keepNext/>
      <w:keepLines/>
      <w:spacing w:before="260" w:after="260" w:line="416" w:lineRule="auto"/>
      <w:outlineLvl w:val="2"/>
    </w:pPr>
    <w:rPr>
      <w:b/>
      <w:bCs/>
      <w:sz w:val="32"/>
      <w:szCs w:val="32"/>
    </w:rPr>
  </w:style>
  <w:style w:type="paragraph" w:styleId="7">
    <w:name w:val="heading 4"/>
    <w:basedOn w:val="1"/>
    <w:next w:val="1"/>
    <w:link w:val="69"/>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70"/>
    <w:qFormat/>
    <w:uiPriority w:val="0"/>
    <w:pPr>
      <w:keepNext/>
      <w:outlineLvl w:val="4"/>
    </w:pPr>
    <w:rPr>
      <w:b/>
      <w:bCs/>
      <w:sz w:val="24"/>
    </w:rPr>
  </w:style>
  <w:style w:type="paragraph" w:styleId="9">
    <w:name w:val="heading 6"/>
    <w:basedOn w:val="10"/>
    <w:next w:val="10"/>
    <w:link w:val="71"/>
    <w:qFormat/>
    <w:uiPriority w:val="0"/>
    <w:pPr>
      <w:keepNext/>
      <w:keepLines/>
      <w:spacing w:before="240" w:after="64" w:line="320" w:lineRule="auto"/>
      <w:outlineLvl w:val="5"/>
    </w:pPr>
    <w:rPr>
      <w:bCs/>
      <w:sz w:val="24"/>
    </w:rPr>
  </w:style>
  <w:style w:type="paragraph" w:styleId="11">
    <w:name w:val="heading 7"/>
    <w:basedOn w:val="1"/>
    <w:next w:val="1"/>
    <w:link w:val="72"/>
    <w:qFormat/>
    <w:uiPriority w:val="0"/>
    <w:pPr>
      <w:keepNext/>
      <w:keepLines/>
      <w:numPr>
        <w:ilvl w:val="6"/>
        <w:numId w:val="1"/>
      </w:numPr>
      <w:spacing w:before="240" w:after="64" w:line="320" w:lineRule="auto"/>
      <w:outlineLvl w:val="6"/>
    </w:pPr>
    <w:rPr>
      <w:b/>
      <w:bCs/>
      <w:sz w:val="24"/>
    </w:rPr>
  </w:style>
  <w:style w:type="paragraph" w:styleId="12">
    <w:name w:val="heading 8"/>
    <w:basedOn w:val="1"/>
    <w:next w:val="1"/>
    <w:link w:val="73"/>
    <w:qFormat/>
    <w:uiPriority w:val="0"/>
    <w:pPr>
      <w:keepNext/>
      <w:keepLines/>
      <w:spacing w:before="240" w:after="64" w:line="320" w:lineRule="auto"/>
      <w:outlineLvl w:val="7"/>
    </w:pPr>
    <w:rPr>
      <w:rFonts w:ascii="Arial" w:hAnsi="Arial" w:eastAsia="黑体"/>
      <w:sz w:val="24"/>
    </w:rPr>
  </w:style>
  <w:style w:type="paragraph" w:styleId="13">
    <w:name w:val="heading 9"/>
    <w:basedOn w:val="1"/>
    <w:next w:val="1"/>
    <w:link w:val="74"/>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next w:val="3"/>
    <w:link w:val="86"/>
    <w:qFormat/>
    <w:uiPriority w:val="0"/>
    <w:pPr>
      <w:spacing w:after="120"/>
    </w:pPr>
  </w:style>
  <w:style w:type="paragraph" w:customStyle="1" w:styleId="3">
    <w:name w:val="xl27"/>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kern w:val="0"/>
      <w:szCs w:val="21"/>
    </w:rPr>
  </w:style>
  <w:style w:type="paragraph" w:customStyle="1" w:styleId="10">
    <w:name w:val="表头"/>
    <w:basedOn w:val="1"/>
    <w:link w:val="306"/>
    <w:qFormat/>
    <w:uiPriority w:val="0"/>
    <w:pPr>
      <w:spacing w:line="360" w:lineRule="auto"/>
      <w:jc w:val="center"/>
    </w:pPr>
    <w:rPr>
      <w:rFonts w:ascii="Arial" w:hAnsi="Arial" w:eastAsia="黑体"/>
      <w:b/>
      <w:szCs w:val="21"/>
    </w:rPr>
  </w:style>
  <w:style w:type="paragraph" w:styleId="14">
    <w:name w:val="toc 7"/>
    <w:basedOn w:val="1"/>
    <w:next w:val="1"/>
    <w:qFormat/>
    <w:uiPriority w:val="39"/>
    <w:pPr>
      <w:ind w:left="2520" w:leftChars="1200"/>
    </w:pPr>
  </w:style>
  <w:style w:type="paragraph" w:styleId="15">
    <w:name w:val="Note Heading"/>
    <w:basedOn w:val="1"/>
    <w:next w:val="1"/>
    <w:link w:val="213"/>
    <w:qFormat/>
    <w:uiPriority w:val="0"/>
    <w:pPr>
      <w:jc w:val="center"/>
    </w:pPr>
  </w:style>
  <w:style w:type="paragraph" w:styleId="16">
    <w:name w:val="Normal Indent"/>
    <w:basedOn w:val="1"/>
    <w:next w:val="1"/>
    <w:link w:val="80"/>
    <w:qFormat/>
    <w:uiPriority w:val="0"/>
    <w:pPr>
      <w:ind w:firstLine="420" w:firstLineChars="200"/>
    </w:pPr>
    <w:rPr>
      <w:sz w:val="28"/>
      <w:szCs w:val="20"/>
    </w:rPr>
  </w:style>
  <w:style w:type="paragraph" w:styleId="17">
    <w:name w:val="caption"/>
    <w:basedOn w:val="1"/>
    <w:next w:val="1"/>
    <w:unhideWhenUsed/>
    <w:qFormat/>
    <w:uiPriority w:val="35"/>
    <w:rPr>
      <w:rFonts w:eastAsia="黑体" w:asciiTheme="majorHAnsi" w:hAnsiTheme="majorHAnsi" w:cstheme="majorBidi"/>
      <w:sz w:val="20"/>
      <w:szCs w:val="20"/>
    </w:rPr>
  </w:style>
  <w:style w:type="paragraph" w:styleId="18">
    <w:name w:val="Document Map"/>
    <w:basedOn w:val="1"/>
    <w:link w:val="79"/>
    <w:semiHidden/>
    <w:qFormat/>
    <w:uiPriority w:val="0"/>
    <w:pPr>
      <w:shd w:val="clear" w:color="auto" w:fill="000080"/>
    </w:pPr>
  </w:style>
  <w:style w:type="paragraph" w:styleId="19">
    <w:name w:val="annotation text"/>
    <w:basedOn w:val="1"/>
    <w:link w:val="266"/>
    <w:qFormat/>
    <w:uiPriority w:val="0"/>
    <w:pPr>
      <w:spacing w:line="360" w:lineRule="auto"/>
      <w:jc w:val="left"/>
    </w:pPr>
    <w:rPr>
      <w:rFonts w:ascii="Arial" w:hAnsi="Arial" w:eastAsiaTheme="minorEastAsia" w:cstheme="minorBidi"/>
      <w:sz w:val="24"/>
    </w:rPr>
  </w:style>
  <w:style w:type="paragraph" w:styleId="20">
    <w:name w:val="Salutation"/>
    <w:basedOn w:val="1"/>
    <w:next w:val="1"/>
    <w:link w:val="212"/>
    <w:qFormat/>
    <w:uiPriority w:val="0"/>
  </w:style>
  <w:style w:type="paragraph" w:styleId="21">
    <w:name w:val="Body Text 3"/>
    <w:basedOn w:val="1"/>
    <w:link w:val="105"/>
    <w:qFormat/>
    <w:uiPriority w:val="0"/>
    <w:pPr>
      <w:spacing w:after="120"/>
    </w:pPr>
    <w:rPr>
      <w:sz w:val="16"/>
      <w:szCs w:val="16"/>
    </w:rPr>
  </w:style>
  <w:style w:type="paragraph" w:styleId="22">
    <w:name w:val="Body Text Indent"/>
    <w:basedOn w:val="1"/>
    <w:link w:val="82"/>
    <w:qFormat/>
    <w:uiPriority w:val="0"/>
    <w:pPr>
      <w:spacing w:after="120"/>
      <w:ind w:left="420"/>
    </w:pPr>
  </w:style>
  <w:style w:type="paragraph" w:styleId="23">
    <w:name w:val="Block Text"/>
    <w:basedOn w:val="1"/>
    <w:qFormat/>
    <w:uiPriority w:val="0"/>
    <w:pPr>
      <w:spacing w:line="20" w:lineRule="atLeast"/>
      <w:ind w:left="-178" w:leftChars="-85" w:right="-393" w:rightChars="-187" w:firstLine="560" w:firstLineChars="200"/>
    </w:pPr>
    <w:rPr>
      <w:bCs/>
      <w:sz w:val="28"/>
    </w:rPr>
  </w:style>
  <w:style w:type="paragraph" w:styleId="24">
    <w:name w:val="toc 5"/>
    <w:basedOn w:val="1"/>
    <w:next w:val="1"/>
    <w:qFormat/>
    <w:uiPriority w:val="39"/>
    <w:pPr>
      <w:adjustRightInd w:val="0"/>
      <w:snapToGrid w:val="0"/>
      <w:spacing w:line="360" w:lineRule="auto"/>
      <w:ind w:firstLine="482" w:firstLineChars="200"/>
    </w:pPr>
  </w:style>
  <w:style w:type="paragraph" w:styleId="25">
    <w:name w:val="toc 3"/>
    <w:basedOn w:val="1"/>
    <w:next w:val="1"/>
    <w:qFormat/>
    <w:uiPriority w:val="39"/>
    <w:pPr>
      <w:tabs>
        <w:tab w:val="right" w:leader="dot" w:pos="9000"/>
      </w:tabs>
      <w:ind w:left="840" w:leftChars="400"/>
    </w:pPr>
    <w:rPr>
      <w:rFonts w:eastAsia="仿宋_GB2312"/>
    </w:rPr>
  </w:style>
  <w:style w:type="paragraph" w:styleId="26">
    <w:name w:val="Plain Text"/>
    <w:basedOn w:val="1"/>
    <w:link w:val="83"/>
    <w:qFormat/>
    <w:uiPriority w:val="0"/>
    <w:pPr>
      <w:ind w:firstLine="482"/>
    </w:pPr>
    <w:rPr>
      <w:rFonts w:ascii="宋体" w:hAnsi="Courier New"/>
      <w:szCs w:val="20"/>
    </w:rPr>
  </w:style>
  <w:style w:type="paragraph" w:styleId="27">
    <w:name w:val="toc 8"/>
    <w:basedOn w:val="1"/>
    <w:next w:val="1"/>
    <w:qFormat/>
    <w:uiPriority w:val="39"/>
    <w:pPr>
      <w:ind w:left="2940"/>
    </w:pPr>
  </w:style>
  <w:style w:type="paragraph" w:styleId="28">
    <w:name w:val="Date"/>
    <w:basedOn w:val="1"/>
    <w:next w:val="1"/>
    <w:link w:val="78"/>
    <w:qFormat/>
    <w:uiPriority w:val="0"/>
    <w:pPr>
      <w:ind w:left="100" w:leftChars="2500"/>
    </w:pPr>
  </w:style>
  <w:style w:type="paragraph" w:styleId="29">
    <w:name w:val="Body Text Indent 2"/>
    <w:basedOn w:val="1"/>
    <w:link w:val="117"/>
    <w:qFormat/>
    <w:uiPriority w:val="0"/>
    <w:pPr>
      <w:spacing w:after="120" w:line="480" w:lineRule="auto"/>
      <w:ind w:left="420"/>
    </w:pPr>
  </w:style>
  <w:style w:type="paragraph" w:styleId="30">
    <w:name w:val="Balloon Text"/>
    <w:basedOn w:val="1"/>
    <w:link w:val="268"/>
    <w:semiHidden/>
    <w:unhideWhenUsed/>
    <w:qFormat/>
    <w:uiPriority w:val="99"/>
    <w:rPr>
      <w:sz w:val="18"/>
      <w:szCs w:val="18"/>
    </w:rPr>
  </w:style>
  <w:style w:type="paragraph" w:styleId="31">
    <w:name w:val="footer"/>
    <w:basedOn w:val="1"/>
    <w:link w:val="68"/>
    <w:unhideWhenUsed/>
    <w:qFormat/>
    <w:uiPriority w:val="0"/>
    <w:pPr>
      <w:tabs>
        <w:tab w:val="center" w:pos="4153"/>
        <w:tab w:val="right" w:pos="8306"/>
      </w:tabs>
      <w:snapToGrid w:val="0"/>
      <w:jc w:val="left"/>
    </w:pPr>
    <w:rPr>
      <w:sz w:val="18"/>
      <w:szCs w:val="18"/>
    </w:rPr>
  </w:style>
  <w:style w:type="paragraph" w:styleId="32">
    <w:name w:val="header"/>
    <w:basedOn w:val="1"/>
    <w:link w:val="67"/>
    <w:unhideWhenUsed/>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right" w:leader="dot" w:pos="9000"/>
      </w:tabs>
      <w:spacing w:line="300" w:lineRule="exact"/>
      <w:jc w:val="right"/>
    </w:pPr>
    <w:rPr>
      <w:rFonts w:eastAsia="仿宋_GB2312"/>
      <w:b/>
      <w:sz w:val="28"/>
    </w:rPr>
  </w:style>
  <w:style w:type="paragraph" w:styleId="34">
    <w:name w:val="toc 4"/>
    <w:basedOn w:val="1"/>
    <w:next w:val="1"/>
    <w:qFormat/>
    <w:uiPriority w:val="39"/>
    <w:pPr>
      <w:ind w:left="1260" w:leftChars="600"/>
    </w:pPr>
  </w:style>
  <w:style w:type="paragraph" w:styleId="35">
    <w:name w:val="toc 6"/>
    <w:basedOn w:val="1"/>
    <w:next w:val="1"/>
    <w:qFormat/>
    <w:uiPriority w:val="39"/>
    <w:pPr>
      <w:ind w:left="2100"/>
    </w:pPr>
  </w:style>
  <w:style w:type="paragraph" w:styleId="36">
    <w:name w:val="Body Text Indent 3"/>
    <w:basedOn w:val="1"/>
    <w:link w:val="120"/>
    <w:qFormat/>
    <w:uiPriority w:val="0"/>
    <w:pPr>
      <w:spacing w:after="120"/>
      <w:ind w:left="420"/>
    </w:pPr>
    <w:rPr>
      <w:sz w:val="16"/>
      <w:szCs w:val="16"/>
    </w:rPr>
  </w:style>
  <w:style w:type="paragraph" w:styleId="37">
    <w:name w:val="index 9"/>
    <w:basedOn w:val="1"/>
    <w:next w:val="1"/>
    <w:semiHidden/>
    <w:qFormat/>
    <w:uiPriority w:val="0"/>
    <w:pPr>
      <w:ind w:left="1600" w:leftChars="1600"/>
    </w:pPr>
  </w:style>
  <w:style w:type="paragraph" w:styleId="38">
    <w:name w:val="toc 2"/>
    <w:basedOn w:val="1"/>
    <w:next w:val="1"/>
    <w:qFormat/>
    <w:uiPriority w:val="39"/>
    <w:pPr>
      <w:ind w:left="420" w:leftChars="200"/>
    </w:pPr>
    <w:rPr>
      <w:rFonts w:eastAsia="仿宋_GB2312"/>
      <w:sz w:val="24"/>
    </w:rPr>
  </w:style>
  <w:style w:type="paragraph" w:styleId="39">
    <w:name w:val="toc 9"/>
    <w:basedOn w:val="1"/>
    <w:next w:val="1"/>
    <w:qFormat/>
    <w:uiPriority w:val="39"/>
    <w:pPr>
      <w:ind w:left="3360"/>
    </w:pPr>
  </w:style>
  <w:style w:type="paragraph" w:styleId="40">
    <w:name w:val="Body Text 2"/>
    <w:basedOn w:val="1"/>
    <w:link w:val="122"/>
    <w:qFormat/>
    <w:uiPriority w:val="0"/>
    <w:pPr>
      <w:spacing w:after="120" w:line="480" w:lineRule="auto"/>
    </w:pPr>
  </w:style>
  <w:style w:type="paragraph" w:styleId="41">
    <w:name w:val="HTML Preformatted"/>
    <w:basedOn w:val="1"/>
    <w:link w:val="13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next w:val="43"/>
    <w:link w:val="308"/>
    <w:qFormat/>
    <w:uiPriority w:val="0"/>
    <w:pPr>
      <w:widowControl/>
      <w:spacing w:before="100" w:beforeAutospacing="1" w:after="100" w:afterAutospacing="1"/>
      <w:jc w:val="left"/>
    </w:pPr>
    <w:rPr>
      <w:rFonts w:ascii="宋体" w:hAnsi="宋体" w:cs="宋体"/>
      <w:kern w:val="0"/>
      <w:sz w:val="24"/>
    </w:rPr>
  </w:style>
  <w:style w:type="paragraph" w:customStyle="1" w:styleId="43">
    <w:name w:val="toc 84"/>
    <w:next w:val="1"/>
    <w:qFormat/>
    <w:uiPriority w:val="0"/>
    <w:pPr>
      <w:wordWrap w:val="0"/>
      <w:ind w:left="2975"/>
      <w:jc w:val="both"/>
    </w:pPr>
    <w:rPr>
      <w:rFonts w:ascii="宋体" w:hAnsi="宋体" w:eastAsia="Calibri" w:cs="Times New Roman"/>
      <w:sz w:val="21"/>
      <w:szCs w:val="22"/>
      <w:lang w:val="en-US" w:eastAsia="zh-CN" w:bidi="ar-SA"/>
    </w:rPr>
  </w:style>
  <w:style w:type="paragraph" w:styleId="44">
    <w:name w:val="annotation subject"/>
    <w:basedOn w:val="19"/>
    <w:next w:val="19"/>
    <w:link w:val="269"/>
    <w:semiHidden/>
    <w:unhideWhenUsed/>
    <w:qFormat/>
    <w:uiPriority w:val="99"/>
    <w:pPr>
      <w:spacing w:line="240" w:lineRule="auto"/>
    </w:pPr>
    <w:rPr>
      <w:rFonts w:ascii="Times New Roman" w:hAnsi="Times New Roman" w:eastAsia="宋体" w:cs="Times New Roman"/>
      <w:b/>
      <w:bCs/>
      <w:sz w:val="21"/>
    </w:rPr>
  </w:style>
  <w:style w:type="paragraph" w:styleId="45">
    <w:name w:val="Body Text First Indent"/>
    <w:basedOn w:val="2"/>
    <w:link w:val="87"/>
    <w:qFormat/>
    <w:uiPriority w:val="0"/>
    <w:pPr>
      <w:ind w:firstLine="420"/>
    </w:pPr>
  </w:style>
  <w:style w:type="paragraph" w:styleId="46">
    <w:name w:val="Body Text First Indent 2"/>
    <w:basedOn w:val="22"/>
    <w:link w:val="116"/>
    <w:qFormat/>
    <w:uiPriority w:val="0"/>
    <w:pPr>
      <w:spacing w:after="0" w:line="460" w:lineRule="exact"/>
      <w:ind w:left="0" w:firstLine="200" w:firstLineChars="200"/>
    </w:pPr>
    <w:rPr>
      <w:sz w:val="24"/>
    </w:r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20"/>
    <w:rPr>
      <w:color w:val="CC0000"/>
    </w:rPr>
  </w:style>
  <w:style w:type="character" w:styleId="54">
    <w:name w:val="HTML Typewriter"/>
    <w:qFormat/>
    <w:uiPriority w:val="0"/>
    <w:rPr>
      <w:rFonts w:hint="default" w:ascii="Courier New" w:hAnsi="Courier New" w:eastAsia="宋体" w:cs="Courier New"/>
      <w:sz w:val="24"/>
      <w:szCs w:val="24"/>
    </w:rPr>
  </w:style>
  <w:style w:type="character" w:styleId="55">
    <w:name w:val="Hyperlink"/>
    <w:qFormat/>
    <w:uiPriority w:val="99"/>
    <w:rPr>
      <w:color w:val="0000FF"/>
      <w:u w:val="single"/>
    </w:rPr>
  </w:style>
  <w:style w:type="character" w:styleId="56">
    <w:name w:val="annotation reference"/>
    <w:qFormat/>
    <w:uiPriority w:val="0"/>
    <w:rPr>
      <w:sz w:val="21"/>
      <w:szCs w:val="21"/>
    </w:rPr>
  </w:style>
  <w:style w:type="paragraph" w:customStyle="1" w:styleId="57">
    <w:name w:val="样式 标题 2"/>
    <w:basedOn w:val="5"/>
    <w:qFormat/>
    <w:uiPriority w:val="0"/>
    <w:pPr>
      <w:spacing w:before="50" w:after="50"/>
      <w:jc w:val="both"/>
    </w:pPr>
    <w:rPr>
      <w:szCs w:val="28"/>
    </w:rPr>
  </w:style>
  <w:style w:type="paragraph" w:customStyle="1" w:styleId="58">
    <w:name w:val="Default"/>
    <w:basedOn w:val="59"/>
    <w:next w:val="46"/>
    <w:qFormat/>
    <w:uiPriority w:val="0"/>
    <w:pPr>
      <w:widowControl w:val="0"/>
      <w:autoSpaceDE w:val="0"/>
      <w:autoSpaceDN w:val="0"/>
      <w:adjustRightInd w:val="0"/>
    </w:pPr>
    <w:rPr>
      <w:rFonts w:ascii="ST Song" w:hAnsi="Times New Roman" w:eastAsia="ST Song" w:cs="ST Song"/>
      <w:color w:val="000000"/>
      <w:sz w:val="24"/>
      <w:szCs w:val="24"/>
      <w:lang w:val="en-US" w:eastAsia="zh-CN" w:bidi="ar-SA"/>
    </w:rPr>
  </w:style>
  <w:style w:type="paragraph" w:customStyle="1" w:styleId="59">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60">
    <w:name w:val="样式 正文文本缩进 + 行距: 1.5 倍行距"/>
    <w:basedOn w:val="1"/>
    <w:qFormat/>
    <w:uiPriority w:val="0"/>
    <w:pPr>
      <w:spacing w:after="120" w:line="360" w:lineRule="auto"/>
      <w:ind w:left="90" w:leftChars="32" w:firstLine="560" w:firstLineChars="200"/>
    </w:pPr>
    <w:rPr>
      <w:rFonts w:cs="宋体"/>
      <w:sz w:val="24"/>
    </w:rPr>
  </w:style>
  <w:style w:type="paragraph" w:customStyle="1" w:styleId="61">
    <w:name w:val="正文首行缩进 21"/>
    <w:qFormat/>
    <w:uiPriority w:val="2457"/>
    <w:pPr>
      <w:widowControl/>
      <w:suppressAutoHyphens w:val="0"/>
      <w:bidi w:val="0"/>
      <w:ind w:left="0" w:right="0" w:firstLine="420"/>
    </w:pPr>
    <w:rPr>
      <w:rFonts w:ascii="Times New Roman" w:hAnsi="Times New Roman" w:eastAsia="Times New Roman" w:cs="Times New Roman"/>
      <w:color w:val="auto"/>
      <w:sz w:val="20"/>
      <w:szCs w:val="20"/>
      <w:lang w:val="en-US" w:eastAsia="zh-CN" w:bidi="hi-IN"/>
    </w:rPr>
  </w:style>
  <w:style w:type="paragraph" w:customStyle="1" w:styleId="62">
    <w:name w:val="Default1"/>
    <w:basedOn w:val="63"/>
    <w:next w:val="1"/>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63">
    <w:name w:val="Normal_14_0"/>
    <w:qFormat/>
    <w:uiPriority w:val="0"/>
    <w:pPr>
      <w:spacing w:before="120" w:after="240"/>
      <w:jc w:val="both"/>
    </w:pPr>
    <w:rPr>
      <w:rFonts w:ascii="Calibri" w:hAnsi="Calibri" w:eastAsia="Calibri" w:cs="Times New Roman"/>
      <w:sz w:val="22"/>
      <w:szCs w:val="22"/>
      <w:lang w:val="ru-RU" w:eastAsia="en-US" w:bidi="ar-SA"/>
    </w:rPr>
  </w:style>
  <w:style w:type="character" w:customStyle="1" w:styleId="64">
    <w:name w:val="标题 1 Char"/>
    <w:basedOn w:val="49"/>
    <w:link w:val="4"/>
    <w:qFormat/>
    <w:uiPriority w:val="0"/>
    <w:rPr>
      <w:rFonts w:ascii="Times New Roman" w:hAnsi="Times New Roman" w:eastAsia="宋体" w:cs="Times New Roman"/>
      <w:b/>
      <w:bCs/>
      <w:kern w:val="44"/>
      <w:sz w:val="44"/>
      <w:szCs w:val="44"/>
    </w:rPr>
  </w:style>
  <w:style w:type="character" w:customStyle="1" w:styleId="65">
    <w:name w:val="标题 3 Char"/>
    <w:basedOn w:val="49"/>
    <w:semiHidden/>
    <w:qFormat/>
    <w:uiPriority w:val="9"/>
    <w:rPr>
      <w:rFonts w:ascii="Times New Roman" w:hAnsi="Times New Roman" w:eastAsia="宋体" w:cs="Times New Roman"/>
      <w:b/>
      <w:bCs/>
      <w:sz w:val="32"/>
      <w:szCs w:val="32"/>
    </w:rPr>
  </w:style>
  <w:style w:type="character" w:customStyle="1" w:styleId="66">
    <w:name w:val="标题 2 Char"/>
    <w:basedOn w:val="49"/>
    <w:semiHidden/>
    <w:qFormat/>
    <w:uiPriority w:val="9"/>
    <w:rPr>
      <w:rFonts w:asciiTheme="majorHAnsi" w:hAnsiTheme="majorHAnsi" w:eastAsiaTheme="majorEastAsia" w:cstheme="majorBidi"/>
      <w:b/>
      <w:bCs/>
      <w:sz w:val="32"/>
      <w:szCs w:val="32"/>
    </w:rPr>
  </w:style>
  <w:style w:type="character" w:customStyle="1" w:styleId="67">
    <w:name w:val="页眉 Char"/>
    <w:basedOn w:val="49"/>
    <w:link w:val="32"/>
    <w:qFormat/>
    <w:uiPriority w:val="0"/>
    <w:rPr>
      <w:sz w:val="18"/>
      <w:szCs w:val="18"/>
    </w:rPr>
  </w:style>
  <w:style w:type="character" w:customStyle="1" w:styleId="68">
    <w:name w:val="页脚 Char"/>
    <w:basedOn w:val="49"/>
    <w:link w:val="31"/>
    <w:semiHidden/>
    <w:qFormat/>
    <w:uiPriority w:val="99"/>
    <w:rPr>
      <w:sz w:val="18"/>
      <w:szCs w:val="18"/>
    </w:rPr>
  </w:style>
  <w:style w:type="character" w:customStyle="1" w:styleId="69">
    <w:name w:val="标题 4 Char"/>
    <w:basedOn w:val="49"/>
    <w:link w:val="7"/>
    <w:qFormat/>
    <w:uiPriority w:val="0"/>
    <w:rPr>
      <w:rFonts w:ascii="Arial" w:hAnsi="Arial" w:eastAsia="黑体" w:cs="Times New Roman"/>
      <w:b/>
      <w:bCs/>
      <w:sz w:val="28"/>
      <w:szCs w:val="28"/>
    </w:rPr>
  </w:style>
  <w:style w:type="character" w:customStyle="1" w:styleId="70">
    <w:name w:val="标题 5 Char"/>
    <w:basedOn w:val="49"/>
    <w:link w:val="8"/>
    <w:qFormat/>
    <w:uiPriority w:val="0"/>
    <w:rPr>
      <w:rFonts w:ascii="Times New Roman" w:hAnsi="Times New Roman" w:eastAsia="宋体" w:cs="Times New Roman"/>
      <w:b/>
      <w:bCs/>
      <w:sz w:val="24"/>
      <w:szCs w:val="24"/>
    </w:rPr>
  </w:style>
  <w:style w:type="character" w:customStyle="1" w:styleId="71">
    <w:name w:val="标题 6 Char"/>
    <w:basedOn w:val="49"/>
    <w:link w:val="9"/>
    <w:qFormat/>
    <w:uiPriority w:val="0"/>
    <w:rPr>
      <w:rFonts w:ascii="Arial" w:hAnsi="Arial" w:eastAsia="黑体" w:cs="Times New Roman"/>
      <w:b/>
      <w:bCs/>
      <w:sz w:val="24"/>
      <w:szCs w:val="24"/>
    </w:rPr>
  </w:style>
  <w:style w:type="character" w:customStyle="1" w:styleId="72">
    <w:name w:val="标题 7 Char"/>
    <w:basedOn w:val="49"/>
    <w:link w:val="11"/>
    <w:qFormat/>
    <w:uiPriority w:val="0"/>
    <w:rPr>
      <w:rFonts w:ascii="Times New Roman" w:hAnsi="Times New Roman" w:eastAsia="宋体" w:cs="Times New Roman"/>
      <w:b/>
      <w:bCs/>
      <w:sz w:val="24"/>
      <w:szCs w:val="24"/>
    </w:rPr>
  </w:style>
  <w:style w:type="character" w:customStyle="1" w:styleId="73">
    <w:name w:val="标题 8 Char"/>
    <w:basedOn w:val="49"/>
    <w:link w:val="12"/>
    <w:qFormat/>
    <w:uiPriority w:val="0"/>
    <w:rPr>
      <w:rFonts w:ascii="Arial" w:hAnsi="Arial" w:eastAsia="黑体" w:cs="Times New Roman"/>
      <w:sz w:val="24"/>
      <w:szCs w:val="24"/>
    </w:rPr>
  </w:style>
  <w:style w:type="character" w:customStyle="1" w:styleId="74">
    <w:name w:val="标题 9 Char"/>
    <w:basedOn w:val="49"/>
    <w:link w:val="13"/>
    <w:qFormat/>
    <w:uiPriority w:val="0"/>
    <w:rPr>
      <w:rFonts w:ascii="Arial" w:hAnsi="Arial" w:eastAsia="黑体" w:cs="Times New Roman"/>
      <w:szCs w:val="21"/>
    </w:rPr>
  </w:style>
  <w:style w:type="character" w:customStyle="1" w:styleId="75">
    <w:name w:val="标题 2 Char1"/>
    <w:link w:val="5"/>
    <w:qFormat/>
    <w:uiPriority w:val="0"/>
    <w:rPr>
      <w:rFonts w:ascii="Arial" w:hAnsi="Arial" w:eastAsia="黑体" w:cs="Times New Roman"/>
      <w:b/>
      <w:bCs/>
      <w:sz w:val="32"/>
      <w:szCs w:val="32"/>
    </w:rPr>
  </w:style>
  <w:style w:type="character" w:customStyle="1" w:styleId="76">
    <w:name w:val="标题 3 Char1"/>
    <w:link w:val="6"/>
    <w:qFormat/>
    <w:uiPriority w:val="0"/>
    <w:rPr>
      <w:rFonts w:ascii="Times New Roman" w:hAnsi="Times New Roman" w:eastAsia="宋体" w:cs="Times New Roman"/>
      <w:b/>
      <w:bCs/>
      <w:sz w:val="32"/>
      <w:szCs w:val="32"/>
    </w:rPr>
  </w:style>
  <w:style w:type="paragraph" w:customStyle="1" w:styleId="77">
    <w:name w:val="Char"/>
    <w:basedOn w:val="1"/>
    <w:qFormat/>
    <w:uiPriority w:val="0"/>
    <w:pPr>
      <w:spacing w:line="360" w:lineRule="auto"/>
      <w:ind w:firstLine="200" w:firstLineChars="200"/>
    </w:pPr>
  </w:style>
  <w:style w:type="character" w:customStyle="1" w:styleId="78">
    <w:name w:val="日期 Char"/>
    <w:basedOn w:val="49"/>
    <w:link w:val="28"/>
    <w:qFormat/>
    <w:uiPriority w:val="0"/>
    <w:rPr>
      <w:rFonts w:ascii="Times New Roman" w:hAnsi="Times New Roman" w:eastAsia="宋体" w:cs="Times New Roman"/>
      <w:szCs w:val="24"/>
    </w:rPr>
  </w:style>
  <w:style w:type="character" w:customStyle="1" w:styleId="79">
    <w:name w:val="文档结构图 Char"/>
    <w:basedOn w:val="49"/>
    <w:link w:val="18"/>
    <w:semiHidden/>
    <w:qFormat/>
    <w:uiPriority w:val="0"/>
    <w:rPr>
      <w:rFonts w:ascii="Times New Roman" w:hAnsi="Times New Roman" w:eastAsia="宋体" w:cs="Times New Roman"/>
      <w:szCs w:val="24"/>
      <w:shd w:val="clear" w:color="auto" w:fill="000080"/>
    </w:rPr>
  </w:style>
  <w:style w:type="character" w:customStyle="1" w:styleId="80">
    <w:name w:val="正文缩进 Char"/>
    <w:link w:val="16"/>
    <w:qFormat/>
    <w:uiPriority w:val="0"/>
    <w:rPr>
      <w:rFonts w:ascii="Times New Roman" w:hAnsi="Times New Roman" w:eastAsia="宋体" w:cs="Times New Roman"/>
      <w:sz w:val="28"/>
      <w:szCs w:val="20"/>
    </w:rPr>
  </w:style>
  <w:style w:type="character" w:customStyle="1" w:styleId="81">
    <w:name w:val="zhenwen141"/>
    <w:qFormat/>
    <w:uiPriority w:val="0"/>
    <w:rPr>
      <w:rFonts w:hint="default" w:ascii="ˎ̥" w:hAnsi="ˎ̥"/>
      <w:sz w:val="21"/>
      <w:szCs w:val="21"/>
    </w:rPr>
  </w:style>
  <w:style w:type="character" w:customStyle="1" w:styleId="82">
    <w:name w:val="正文文本缩进 Char"/>
    <w:basedOn w:val="49"/>
    <w:link w:val="22"/>
    <w:qFormat/>
    <w:uiPriority w:val="0"/>
    <w:rPr>
      <w:rFonts w:ascii="Times New Roman" w:hAnsi="Times New Roman" w:eastAsia="宋体" w:cs="Times New Roman"/>
      <w:szCs w:val="24"/>
    </w:rPr>
  </w:style>
  <w:style w:type="character" w:customStyle="1" w:styleId="83">
    <w:name w:val="纯文本 Char"/>
    <w:basedOn w:val="49"/>
    <w:link w:val="26"/>
    <w:qFormat/>
    <w:uiPriority w:val="0"/>
    <w:rPr>
      <w:rFonts w:ascii="宋体" w:hAnsi="Courier New" w:eastAsia="宋体" w:cs="Times New Roman"/>
      <w:szCs w:val="20"/>
    </w:rPr>
  </w:style>
  <w:style w:type="character" w:customStyle="1" w:styleId="84">
    <w:name w:val="px141"/>
    <w:qFormat/>
    <w:uiPriority w:val="0"/>
    <w:rPr>
      <w:sz w:val="21"/>
      <w:szCs w:val="21"/>
    </w:rPr>
  </w:style>
  <w:style w:type="paragraph" w:customStyle="1" w:styleId="85">
    <w:name w:val="二级无标题条"/>
    <w:basedOn w:val="1"/>
    <w:qFormat/>
    <w:uiPriority w:val="0"/>
  </w:style>
  <w:style w:type="character" w:customStyle="1" w:styleId="86">
    <w:name w:val="正文文本 Char"/>
    <w:basedOn w:val="49"/>
    <w:link w:val="2"/>
    <w:qFormat/>
    <w:uiPriority w:val="0"/>
    <w:rPr>
      <w:rFonts w:ascii="Times New Roman" w:hAnsi="Times New Roman" w:eastAsia="宋体" w:cs="Times New Roman"/>
      <w:szCs w:val="24"/>
    </w:rPr>
  </w:style>
  <w:style w:type="character" w:customStyle="1" w:styleId="87">
    <w:name w:val="正文首行缩进 Char"/>
    <w:basedOn w:val="86"/>
    <w:link w:val="45"/>
    <w:qFormat/>
    <w:uiPriority w:val="0"/>
    <w:rPr>
      <w:rFonts w:ascii="Times New Roman" w:hAnsi="Times New Roman" w:eastAsia="宋体" w:cs="Times New Roman"/>
      <w:szCs w:val="24"/>
    </w:rPr>
  </w:style>
  <w:style w:type="character" w:customStyle="1" w:styleId="88">
    <w:name w:val="title41"/>
    <w:qFormat/>
    <w:uiPriority w:val="0"/>
    <w:rPr>
      <w:rFonts w:hint="eastAsia" w:ascii="宋体" w:hAnsi="宋体" w:eastAsia="宋体"/>
      <w:color w:val="FF6600"/>
      <w:sz w:val="36"/>
      <w:szCs w:val="36"/>
    </w:rPr>
  </w:style>
  <w:style w:type="character" w:customStyle="1" w:styleId="89">
    <w:name w:val="title31"/>
    <w:qFormat/>
    <w:uiPriority w:val="0"/>
    <w:rPr>
      <w:rFonts w:hint="eastAsia" w:ascii="黑体" w:eastAsia="黑体"/>
      <w:sz w:val="36"/>
      <w:szCs w:val="36"/>
    </w:rPr>
  </w:style>
  <w:style w:type="character" w:customStyle="1" w:styleId="90">
    <w:name w:val="title21"/>
    <w:qFormat/>
    <w:uiPriority w:val="0"/>
    <w:rPr>
      <w:rFonts w:hint="eastAsia" w:ascii="黑体" w:eastAsia="黑体"/>
      <w:b/>
      <w:bCs/>
      <w:sz w:val="45"/>
      <w:szCs w:val="45"/>
    </w:rPr>
  </w:style>
  <w:style w:type="paragraph" w:customStyle="1" w:styleId="91">
    <w:name w:val="表格正文"/>
    <w:basedOn w:val="1"/>
    <w:next w:val="1"/>
    <w:qFormat/>
    <w:uiPriority w:val="0"/>
    <w:pPr>
      <w:spacing w:line="360" w:lineRule="exact"/>
      <w:jc w:val="center"/>
    </w:pPr>
    <w:rPr>
      <w:rFonts w:ascii="Arial" w:hAnsi="Arial"/>
    </w:rPr>
  </w:style>
  <w:style w:type="character" w:customStyle="1" w:styleId="92">
    <w:name w:val="abstract_page_text1"/>
    <w:qFormat/>
    <w:uiPriority w:val="0"/>
    <w:rPr>
      <w:rFonts w:hint="default" w:ascii="Arial" w:hAnsi="Arial" w:cs="Arial"/>
      <w:color w:val="000000"/>
      <w:sz w:val="20"/>
      <w:szCs w:val="20"/>
    </w:rPr>
  </w:style>
  <w:style w:type="paragraph" w:customStyle="1" w:styleId="93">
    <w:name w:val="样式1"/>
    <w:basedOn w:val="7"/>
    <w:qFormat/>
    <w:uiPriority w:val="0"/>
    <w:pPr>
      <w:spacing w:line="360" w:lineRule="auto"/>
    </w:pPr>
    <w:rPr>
      <w:rFonts w:eastAsia="仿宋_GB2312"/>
      <w:sz w:val="24"/>
    </w:rPr>
  </w:style>
  <w:style w:type="character" w:customStyle="1" w:styleId="94">
    <w:name w:val="Char Char"/>
    <w:qFormat/>
    <w:uiPriority w:val="0"/>
    <w:rPr>
      <w:rFonts w:eastAsia="宋体"/>
      <w:b/>
      <w:bCs/>
      <w:kern w:val="2"/>
      <w:sz w:val="32"/>
      <w:szCs w:val="32"/>
      <w:lang w:val="en-US" w:eastAsia="zh-CN" w:bidi="ar-SA"/>
    </w:rPr>
  </w:style>
  <w:style w:type="paragraph" w:customStyle="1" w:styleId="95">
    <w:name w:val="表格居中"/>
    <w:basedOn w:val="1"/>
    <w:link w:val="96"/>
    <w:qFormat/>
    <w:uiPriority w:val="0"/>
    <w:pPr>
      <w:jc w:val="center"/>
    </w:pPr>
  </w:style>
  <w:style w:type="character" w:customStyle="1" w:styleId="96">
    <w:name w:val="表格居中 Char"/>
    <w:link w:val="95"/>
    <w:qFormat/>
    <w:uiPriority w:val="0"/>
    <w:rPr>
      <w:rFonts w:ascii="Times New Roman" w:hAnsi="Times New Roman" w:eastAsia="宋体" w:cs="Times New Roman"/>
      <w:szCs w:val="24"/>
    </w:rPr>
  </w:style>
  <w:style w:type="paragraph" w:customStyle="1" w:styleId="97">
    <w:name w:val="1"/>
    <w:basedOn w:val="1"/>
    <w:next w:val="16"/>
    <w:qFormat/>
    <w:uiPriority w:val="0"/>
    <w:pPr>
      <w:ind w:firstLine="420" w:firstLineChars="200"/>
    </w:pPr>
    <w:rPr>
      <w:sz w:val="28"/>
      <w:szCs w:val="20"/>
    </w:rPr>
  </w:style>
  <w:style w:type="paragraph" w:customStyle="1" w:styleId="98">
    <w:name w:val="Char1 Char Char Char"/>
    <w:basedOn w:val="1"/>
    <w:qFormat/>
    <w:uiPriority w:val="0"/>
  </w:style>
  <w:style w:type="paragraph" w:customStyle="1" w:styleId="99">
    <w:name w:val="表格"/>
    <w:basedOn w:val="1"/>
    <w:next w:val="1"/>
    <w:qFormat/>
    <w:uiPriority w:val="0"/>
    <w:pPr>
      <w:keepNext/>
      <w:adjustRightInd w:val="0"/>
      <w:spacing w:line="312" w:lineRule="atLeast"/>
      <w:jc w:val="center"/>
      <w:textAlignment w:val="baseline"/>
    </w:pPr>
    <w:rPr>
      <w:kern w:val="0"/>
      <w:szCs w:val="20"/>
    </w:rPr>
  </w:style>
  <w:style w:type="paragraph" w:customStyle="1" w:styleId="100">
    <w:name w:val="Char Char Char Char"/>
    <w:basedOn w:val="1"/>
    <w:qFormat/>
    <w:uiPriority w:val="0"/>
    <w:pPr>
      <w:spacing w:line="360" w:lineRule="auto"/>
      <w:ind w:firstLine="200" w:firstLineChars="200"/>
    </w:pPr>
    <w:rPr>
      <w:rFonts w:ascii="宋体" w:hAnsi="宋体" w:cs="宋体"/>
      <w:sz w:val="24"/>
    </w:rPr>
  </w:style>
  <w:style w:type="paragraph" w:customStyle="1" w:styleId="101">
    <w:name w:val="Char Char1 Char Char Char Char Char Char Char Char Char Char Char Char Char Char Char Char Char Char Char Char1 Char"/>
    <w:basedOn w:val="1"/>
    <w:qFormat/>
    <w:uiPriority w:val="0"/>
    <w:pPr>
      <w:spacing w:before="60" w:line="360" w:lineRule="auto"/>
      <w:ind w:firstLine="200" w:firstLineChars="200"/>
    </w:pPr>
    <w:rPr>
      <w:rFonts w:ascii="宋体" w:hAnsi="宋体" w:cs="宋体"/>
      <w:sz w:val="24"/>
    </w:rPr>
  </w:style>
  <w:style w:type="character" w:customStyle="1" w:styleId="102">
    <w:name w:val="title2"/>
    <w:basedOn w:val="49"/>
    <w:qFormat/>
    <w:uiPriority w:val="0"/>
  </w:style>
  <w:style w:type="paragraph" w:customStyle="1" w:styleId="103">
    <w:name w:val="Char Char Char Char Char Char Char Char Char1 Char Char Char Char"/>
    <w:basedOn w:val="1"/>
    <w:qFormat/>
    <w:uiPriority w:val="0"/>
    <w:pPr>
      <w:spacing w:line="360" w:lineRule="auto"/>
      <w:ind w:firstLine="200" w:firstLineChars="200"/>
    </w:pPr>
    <w:rPr>
      <w:rFonts w:ascii="宋体" w:hAnsi="宋体" w:cs="宋体"/>
      <w:sz w:val="24"/>
    </w:rPr>
  </w:style>
  <w:style w:type="character" w:customStyle="1" w:styleId="104">
    <w:name w:val="正文1"/>
    <w:qFormat/>
    <w:uiPriority w:val="0"/>
    <w:rPr>
      <w:rFonts w:hint="eastAsia" w:ascii="宋体" w:hAnsi="宋体" w:eastAsia="宋体"/>
      <w:spacing w:val="400"/>
      <w:sz w:val="22"/>
      <w:szCs w:val="22"/>
    </w:rPr>
  </w:style>
  <w:style w:type="character" w:customStyle="1" w:styleId="105">
    <w:name w:val="正文文本 3 Char"/>
    <w:basedOn w:val="49"/>
    <w:link w:val="21"/>
    <w:qFormat/>
    <w:uiPriority w:val="0"/>
    <w:rPr>
      <w:rFonts w:ascii="Times New Roman" w:hAnsi="Times New Roman" w:eastAsia="宋体" w:cs="Times New Roman"/>
      <w:sz w:val="16"/>
      <w:szCs w:val="16"/>
    </w:rPr>
  </w:style>
  <w:style w:type="paragraph" w:customStyle="1" w:styleId="106">
    <w:name w:val="Char Char Char Char Char Char3 Char Char Char Char Char Char Char"/>
    <w:basedOn w:val="1"/>
    <w:next w:val="1"/>
    <w:qFormat/>
    <w:uiPriority w:val="0"/>
    <w:rPr>
      <w:rFonts w:eastAsia="黑体"/>
      <w:sz w:val="28"/>
    </w:rPr>
  </w:style>
  <w:style w:type="character" w:customStyle="1" w:styleId="107">
    <w:name w:val="Char Char1"/>
    <w:qFormat/>
    <w:uiPriority w:val="0"/>
    <w:rPr>
      <w:rFonts w:eastAsia="宋体"/>
      <w:b/>
      <w:bCs/>
      <w:kern w:val="44"/>
      <w:sz w:val="44"/>
      <w:szCs w:val="44"/>
      <w:lang w:val="en-US" w:eastAsia="zh-CN" w:bidi="ar-SA"/>
    </w:rPr>
  </w:style>
  <w:style w:type="paragraph" w:customStyle="1" w:styleId="108">
    <w:name w:val="正文01"/>
    <w:basedOn w:val="1"/>
    <w:link w:val="109"/>
    <w:qFormat/>
    <w:uiPriority w:val="0"/>
    <w:pPr>
      <w:adjustRightInd w:val="0"/>
      <w:snapToGrid w:val="0"/>
      <w:spacing w:before="60" w:line="460" w:lineRule="exact"/>
      <w:ind w:firstLine="200" w:firstLineChars="200"/>
    </w:pPr>
    <w:rPr>
      <w:snapToGrid w:val="0"/>
      <w:color w:val="000000"/>
      <w:kern w:val="0"/>
      <w:sz w:val="24"/>
    </w:rPr>
  </w:style>
  <w:style w:type="character" w:customStyle="1" w:styleId="109">
    <w:name w:val="正文01 Char"/>
    <w:link w:val="108"/>
    <w:qFormat/>
    <w:locked/>
    <w:uiPriority w:val="0"/>
    <w:rPr>
      <w:rFonts w:ascii="Times New Roman" w:hAnsi="Times New Roman" w:eastAsia="宋体" w:cs="Times New Roman"/>
      <w:snapToGrid w:val="0"/>
      <w:color w:val="000000"/>
      <w:kern w:val="0"/>
      <w:sz w:val="24"/>
      <w:szCs w:val="24"/>
    </w:rPr>
  </w:style>
  <w:style w:type="paragraph" w:customStyle="1" w:styleId="110">
    <w:name w:val="正文001"/>
    <w:basedOn w:val="1"/>
    <w:link w:val="111"/>
    <w:qFormat/>
    <w:uiPriority w:val="0"/>
    <w:pPr>
      <w:spacing w:before="60" w:line="420" w:lineRule="exact"/>
      <w:ind w:firstLine="482"/>
    </w:pPr>
    <w:rPr>
      <w:sz w:val="24"/>
      <w:szCs w:val="20"/>
    </w:rPr>
  </w:style>
  <w:style w:type="character" w:customStyle="1" w:styleId="111">
    <w:name w:val="正文001 Char"/>
    <w:link w:val="110"/>
    <w:qFormat/>
    <w:uiPriority w:val="0"/>
    <w:rPr>
      <w:rFonts w:ascii="Times New Roman" w:hAnsi="Times New Roman" w:eastAsia="宋体" w:cs="Times New Roman"/>
      <w:sz w:val="24"/>
      <w:szCs w:val="20"/>
    </w:rPr>
  </w:style>
  <w:style w:type="character" w:customStyle="1" w:styleId="112">
    <w:name w:val="ddd"/>
    <w:basedOn w:val="49"/>
    <w:qFormat/>
    <w:uiPriority w:val="0"/>
  </w:style>
  <w:style w:type="character" w:customStyle="1" w:styleId="113">
    <w:name w:val="name1"/>
    <w:qFormat/>
    <w:uiPriority w:val="0"/>
    <w:rPr>
      <w:sz w:val="24"/>
      <w:szCs w:val="24"/>
    </w:rPr>
  </w:style>
  <w:style w:type="paragraph" w:customStyle="1" w:styleId="114">
    <w:name w:val="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5">
    <w:name w:val="表格1"/>
    <w:basedOn w:val="1"/>
    <w:qFormat/>
    <w:uiPriority w:val="0"/>
    <w:pPr>
      <w:adjustRightInd w:val="0"/>
      <w:spacing w:line="20" w:lineRule="atLeast"/>
      <w:ind w:firstLine="482"/>
      <w:jc w:val="center"/>
      <w:textAlignment w:val="baseline"/>
    </w:pPr>
    <w:rPr>
      <w:rFonts w:ascii="仿宋体"/>
      <w:kern w:val="0"/>
      <w:sz w:val="10"/>
      <w:szCs w:val="20"/>
    </w:rPr>
  </w:style>
  <w:style w:type="character" w:customStyle="1" w:styleId="116">
    <w:name w:val="正文首行缩进 2 Char"/>
    <w:basedOn w:val="82"/>
    <w:link w:val="46"/>
    <w:qFormat/>
    <w:uiPriority w:val="0"/>
    <w:rPr>
      <w:rFonts w:ascii="Times New Roman" w:hAnsi="Times New Roman" w:eastAsia="宋体" w:cs="Times New Roman"/>
      <w:sz w:val="24"/>
      <w:szCs w:val="24"/>
    </w:rPr>
  </w:style>
  <w:style w:type="character" w:customStyle="1" w:styleId="117">
    <w:name w:val="正文文本缩进 2 Char"/>
    <w:basedOn w:val="49"/>
    <w:link w:val="29"/>
    <w:qFormat/>
    <w:uiPriority w:val="0"/>
    <w:rPr>
      <w:rFonts w:ascii="Times New Roman" w:hAnsi="Times New Roman" w:eastAsia="宋体" w:cs="Times New Roman"/>
      <w:szCs w:val="24"/>
    </w:rPr>
  </w:style>
  <w:style w:type="paragraph" w:customStyle="1" w:styleId="118">
    <w:name w:val="8"/>
    <w:basedOn w:val="1"/>
    <w:next w:val="16"/>
    <w:qFormat/>
    <w:uiPriority w:val="0"/>
    <w:pPr>
      <w:ind w:firstLine="420" w:firstLineChars="200"/>
    </w:pPr>
  </w:style>
  <w:style w:type="paragraph" w:customStyle="1" w:styleId="119">
    <w:name w:val="7"/>
    <w:basedOn w:val="1"/>
    <w:next w:val="16"/>
    <w:qFormat/>
    <w:uiPriority w:val="0"/>
    <w:pPr>
      <w:ind w:firstLine="420" w:firstLineChars="200"/>
    </w:pPr>
  </w:style>
  <w:style w:type="character" w:customStyle="1" w:styleId="120">
    <w:name w:val="正文文本缩进 3 Char"/>
    <w:basedOn w:val="49"/>
    <w:link w:val="36"/>
    <w:qFormat/>
    <w:uiPriority w:val="0"/>
    <w:rPr>
      <w:rFonts w:ascii="Times New Roman" w:hAnsi="Times New Roman" w:eastAsia="宋体" w:cs="Times New Roman"/>
      <w:sz w:val="16"/>
      <w:szCs w:val="16"/>
    </w:rPr>
  </w:style>
  <w:style w:type="paragraph" w:customStyle="1" w:styleId="121">
    <w:name w:val="6"/>
    <w:basedOn w:val="1"/>
    <w:next w:val="16"/>
    <w:qFormat/>
    <w:uiPriority w:val="0"/>
    <w:pPr>
      <w:ind w:firstLine="420" w:firstLineChars="200"/>
    </w:pPr>
  </w:style>
  <w:style w:type="character" w:customStyle="1" w:styleId="122">
    <w:name w:val="正文文本 2 Char"/>
    <w:basedOn w:val="49"/>
    <w:link w:val="40"/>
    <w:qFormat/>
    <w:uiPriority w:val="0"/>
    <w:rPr>
      <w:rFonts w:ascii="Times New Roman" w:hAnsi="Times New Roman" w:eastAsia="宋体" w:cs="Times New Roman"/>
      <w:szCs w:val="24"/>
    </w:rPr>
  </w:style>
  <w:style w:type="paragraph" w:customStyle="1" w:styleId="123">
    <w:name w:val="5"/>
    <w:basedOn w:val="1"/>
    <w:next w:val="16"/>
    <w:qFormat/>
    <w:uiPriority w:val="0"/>
    <w:pPr>
      <w:ind w:firstLine="420" w:firstLineChars="200"/>
    </w:pPr>
  </w:style>
  <w:style w:type="paragraph" w:customStyle="1" w:styleId="124">
    <w:name w:val="4"/>
    <w:basedOn w:val="1"/>
    <w:next w:val="22"/>
    <w:qFormat/>
    <w:uiPriority w:val="0"/>
    <w:pPr>
      <w:spacing w:after="120"/>
      <w:ind w:left="420"/>
    </w:pPr>
  </w:style>
  <w:style w:type="paragraph" w:customStyle="1" w:styleId="125">
    <w:name w:val="2"/>
    <w:basedOn w:val="1"/>
    <w:next w:val="16"/>
    <w:qFormat/>
    <w:uiPriority w:val="0"/>
    <w:pPr>
      <w:spacing w:line="440" w:lineRule="exact"/>
      <w:ind w:firstLine="560" w:firstLineChars="200"/>
    </w:pPr>
    <w:rPr>
      <w:sz w:val="28"/>
      <w:szCs w:val="20"/>
    </w:rPr>
  </w:style>
  <w:style w:type="character" w:customStyle="1" w:styleId="126">
    <w:name w:val="small"/>
    <w:basedOn w:val="49"/>
    <w:qFormat/>
    <w:uiPriority w:val="0"/>
  </w:style>
  <w:style w:type="paragraph" w:customStyle="1" w:styleId="127">
    <w:name w:val="3"/>
    <w:basedOn w:val="1"/>
    <w:next w:val="22"/>
    <w:qFormat/>
    <w:uiPriority w:val="0"/>
    <w:pPr>
      <w:spacing w:line="500" w:lineRule="exact"/>
      <w:ind w:firstLine="576" w:firstLineChars="192"/>
    </w:pPr>
    <w:rPr>
      <w:rFonts w:ascii="仿宋_GB2312" w:eastAsia="仿宋_GB2312"/>
      <w:sz w:val="30"/>
    </w:rPr>
  </w:style>
  <w:style w:type="character" w:customStyle="1" w:styleId="128">
    <w:name w:val="f41"/>
    <w:qFormat/>
    <w:uiPriority w:val="0"/>
    <w:rPr>
      <w:color w:val="333333"/>
      <w:sz w:val="21"/>
      <w:szCs w:val="21"/>
    </w:rPr>
  </w:style>
  <w:style w:type="character" w:customStyle="1" w:styleId="129">
    <w:name w:val="style21"/>
    <w:qFormat/>
    <w:uiPriority w:val="0"/>
    <w:rPr>
      <w:sz w:val="21"/>
      <w:szCs w:val="21"/>
    </w:rPr>
  </w:style>
  <w:style w:type="character" w:customStyle="1" w:styleId="130">
    <w:name w:val="zw"/>
    <w:basedOn w:val="49"/>
    <w:qFormat/>
    <w:uiPriority w:val="0"/>
  </w:style>
  <w:style w:type="character" w:customStyle="1" w:styleId="131">
    <w:name w:val="tdword"/>
    <w:basedOn w:val="49"/>
    <w:qFormat/>
    <w:uiPriority w:val="0"/>
  </w:style>
  <w:style w:type="paragraph" w:customStyle="1" w:styleId="132">
    <w:name w:val="1item"/>
    <w:basedOn w:val="1"/>
    <w:qFormat/>
    <w:uiPriority w:val="0"/>
    <w:pPr>
      <w:widowControl/>
      <w:spacing w:before="100" w:beforeAutospacing="1" w:after="100" w:afterAutospacing="1"/>
      <w:ind w:firstLine="440"/>
      <w:jc w:val="left"/>
    </w:pPr>
    <w:rPr>
      <w:rFonts w:ascii="Arial Unicode MS" w:hAnsi="Arial Unicode MS"/>
      <w:kern w:val="0"/>
      <w:sz w:val="24"/>
    </w:rPr>
  </w:style>
  <w:style w:type="paragraph" w:customStyle="1" w:styleId="133">
    <w:name w:val="text_1"/>
    <w:basedOn w:val="1"/>
    <w:qFormat/>
    <w:uiPriority w:val="0"/>
    <w:pPr>
      <w:widowControl/>
      <w:spacing w:before="100" w:beforeAutospacing="1" w:after="100" w:afterAutospacing="1"/>
      <w:jc w:val="left"/>
    </w:pPr>
    <w:rPr>
      <w:rFonts w:ascii="宋体" w:hAnsi="宋体"/>
      <w:color w:val="000000"/>
      <w:kern w:val="0"/>
      <w:sz w:val="24"/>
    </w:rPr>
  </w:style>
  <w:style w:type="character" w:customStyle="1" w:styleId="134">
    <w:name w:val="HTML 预设格式 Char"/>
    <w:basedOn w:val="49"/>
    <w:link w:val="41"/>
    <w:qFormat/>
    <w:uiPriority w:val="0"/>
    <w:rPr>
      <w:rFonts w:ascii="宋体" w:hAnsi="宋体" w:eastAsia="宋体" w:cs="宋体"/>
      <w:kern w:val="0"/>
      <w:sz w:val="24"/>
      <w:szCs w:val="24"/>
    </w:rPr>
  </w:style>
  <w:style w:type="character" w:customStyle="1" w:styleId="135">
    <w:name w:val="text-black-131"/>
    <w:qFormat/>
    <w:uiPriority w:val="0"/>
    <w:rPr>
      <w:rFonts w:hint="default"/>
      <w:color w:val="000000"/>
      <w:spacing w:val="312"/>
      <w:sz w:val="22"/>
      <w:szCs w:val="22"/>
    </w:rPr>
  </w:style>
  <w:style w:type="character" w:customStyle="1" w:styleId="136">
    <w:name w:val="hangju"/>
    <w:basedOn w:val="49"/>
    <w:qFormat/>
    <w:uiPriority w:val="0"/>
  </w:style>
  <w:style w:type="character" w:customStyle="1" w:styleId="137">
    <w:name w:val="121"/>
    <w:qFormat/>
    <w:uiPriority w:val="0"/>
    <w:rPr>
      <w:color w:val="000000"/>
      <w:spacing w:val="368"/>
      <w:sz w:val="20"/>
      <w:szCs w:val="20"/>
    </w:rPr>
  </w:style>
  <w:style w:type="paragraph" w:customStyle="1" w:styleId="138">
    <w:name w:val="font5"/>
    <w:basedOn w:val="1"/>
    <w:qFormat/>
    <w:uiPriority w:val="0"/>
    <w:pPr>
      <w:widowControl/>
      <w:spacing w:before="100" w:beforeAutospacing="1" w:after="100" w:afterAutospacing="1"/>
      <w:jc w:val="left"/>
    </w:pPr>
    <w:rPr>
      <w:rFonts w:eastAsia="Arial Unicode MS"/>
      <w:kern w:val="0"/>
      <w:sz w:val="24"/>
    </w:rPr>
  </w:style>
  <w:style w:type="paragraph" w:customStyle="1" w:styleId="139">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仿宋_GB2312" w:hAnsi="Arial Unicode MS" w:eastAsia="仿宋_GB2312" w:cs="Arial Unicode MS"/>
      <w:kern w:val="0"/>
      <w:sz w:val="24"/>
    </w:rPr>
  </w:style>
  <w:style w:type="paragraph" w:customStyle="1" w:styleId="140">
    <w:name w:val="xl2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14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仿宋_GB2312" w:hAnsi="Arial Unicode MS" w:eastAsia="仿宋_GB2312" w:cs="Arial Unicode MS"/>
      <w:kern w:val="0"/>
      <w:sz w:val="24"/>
    </w:rPr>
  </w:style>
  <w:style w:type="paragraph" w:customStyle="1" w:styleId="142">
    <w:name w:val="xl25"/>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143">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144">
    <w:name w:val="10"/>
    <w:basedOn w:val="1"/>
    <w:next w:val="2"/>
    <w:qFormat/>
    <w:uiPriority w:val="0"/>
    <w:pPr>
      <w:jc w:val="center"/>
    </w:pPr>
    <w:rPr>
      <w:sz w:val="24"/>
    </w:rPr>
  </w:style>
  <w:style w:type="paragraph" w:customStyle="1" w:styleId="145">
    <w:name w:val="xl30"/>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 w:val="18"/>
      <w:szCs w:val="18"/>
    </w:rPr>
  </w:style>
  <w:style w:type="paragraph" w:customStyle="1" w:styleId="146">
    <w:name w:val="表格标题"/>
    <w:basedOn w:val="1"/>
    <w:link w:val="147"/>
    <w:qFormat/>
    <w:uiPriority w:val="0"/>
    <w:pPr>
      <w:spacing w:before="60" w:line="460" w:lineRule="exact"/>
      <w:jc w:val="center"/>
    </w:pPr>
    <w:rPr>
      <w:rFonts w:ascii="Arial" w:hAnsi="Arial"/>
      <w:sz w:val="24"/>
    </w:rPr>
  </w:style>
  <w:style w:type="character" w:customStyle="1" w:styleId="147">
    <w:name w:val="表格标题 Char"/>
    <w:basedOn w:val="49"/>
    <w:link w:val="146"/>
    <w:qFormat/>
    <w:uiPriority w:val="0"/>
    <w:rPr>
      <w:rFonts w:ascii="Arial" w:hAnsi="Arial" w:eastAsia="宋体" w:cs="Times New Roman"/>
      <w:sz w:val="24"/>
      <w:szCs w:val="24"/>
    </w:rPr>
  </w:style>
  <w:style w:type="paragraph" w:customStyle="1" w:styleId="148">
    <w:name w:val="17"/>
    <w:basedOn w:val="1"/>
    <w:next w:val="16"/>
    <w:qFormat/>
    <w:uiPriority w:val="0"/>
    <w:pPr>
      <w:ind w:firstLine="420" w:firstLineChars="200"/>
    </w:pPr>
  </w:style>
  <w:style w:type="paragraph" w:customStyle="1" w:styleId="149">
    <w:name w:val="16"/>
    <w:basedOn w:val="1"/>
    <w:next w:val="16"/>
    <w:qFormat/>
    <w:uiPriority w:val="0"/>
    <w:pPr>
      <w:ind w:firstLine="420" w:firstLineChars="200"/>
    </w:pPr>
  </w:style>
  <w:style w:type="paragraph" w:customStyle="1" w:styleId="150">
    <w:name w:val="15"/>
    <w:basedOn w:val="1"/>
    <w:next w:val="16"/>
    <w:qFormat/>
    <w:uiPriority w:val="0"/>
    <w:pPr>
      <w:ind w:firstLine="420" w:firstLineChars="200"/>
    </w:pPr>
  </w:style>
  <w:style w:type="paragraph" w:customStyle="1" w:styleId="151">
    <w:name w:val="14"/>
    <w:basedOn w:val="1"/>
    <w:next w:val="16"/>
    <w:qFormat/>
    <w:uiPriority w:val="0"/>
    <w:pPr>
      <w:ind w:firstLine="420" w:firstLineChars="200"/>
    </w:pPr>
  </w:style>
  <w:style w:type="paragraph" w:customStyle="1" w:styleId="152">
    <w:name w:val="13"/>
    <w:basedOn w:val="1"/>
    <w:next w:val="22"/>
    <w:qFormat/>
    <w:uiPriority w:val="0"/>
    <w:pPr>
      <w:spacing w:after="120"/>
      <w:ind w:left="420"/>
    </w:pPr>
  </w:style>
  <w:style w:type="paragraph" w:customStyle="1" w:styleId="153">
    <w:name w:val="12"/>
    <w:basedOn w:val="1"/>
    <w:next w:val="22"/>
    <w:qFormat/>
    <w:uiPriority w:val="0"/>
    <w:pPr>
      <w:spacing w:line="500" w:lineRule="exact"/>
      <w:ind w:firstLine="576" w:firstLineChars="192"/>
    </w:pPr>
    <w:rPr>
      <w:rFonts w:ascii="仿宋_GB2312" w:eastAsia="仿宋_GB2312"/>
      <w:sz w:val="30"/>
    </w:rPr>
  </w:style>
  <w:style w:type="paragraph" w:customStyle="1" w:styleId="154">
    <w:name w:val="表格001"/>
    <w:basedOn w:val="1"/>
    <w:qFormat/>
    <w:uiPriority w:val="0"/>
    <w:pPr>
      <w:jc w:val="center"/>
    </w:pPr>
    <w:rPr>
      <w:szCs w:val="20"/>
    </w:rPr>
  </w:style>
  <w:style w:type="paragraph" w:customStyle="1" w:styleId="155">
    <w:name w:val="表"/>
    <w:basedOn w:val="1"/>
    <w:qFormat/>
    <w:uiPriority w:val="0"/>
    <w:pPr>
      <w:snapToGrid w:val="0"/>
      <w:jc w:val="center"/>
    </w:pPr>
    <w:rPr>
      <w:spacing w:val="2"/>
      <w:szCs w:val="20"/>
    </w:rPr>
  </w:style>
  <w:style w:type="paragraph" w:customStyle="1" w:styleId="156">
    <w:name w:val="11"/>
    <w:basedOn w:val="1"/>
    <w:next w:val="22"/>
    <w:qFormat/>
    <w:uiPriority w:val="0"/>
    <w:pPr>
      <w:spacing w:after="120"/>
      <w:ind w:left="420"/>
    </w:pPr>
  </w:style>
  <w:style w:type="character" w:customStyle="1" w:styleId="157">
    <w:name w:val="标题1"/>
    <w:basedOn w:val="49"/>
    <w:qFormat/>
    <w:uiPriority w:val="0"/>
  </w:style>
  <w:style w:type="character" w:customStyle="1" w:styleId="158">
    <w:name w:val="zity31"/>
    <w:qFormat/>
    <w:uiPriority w:val="0"/>
    <w:rPr>
      <w:rFonts w:hint="default"/>
      <w:color w:val="000000"/>
      <w:sz w:val="15"/>
      <w:szCs w:val="15"/>
    </w:rPr>
  </w:style>
  <w:style w:type="paragraph" w:customStyle="1" w:styleId="159">
    <w:name w:val="font_mid"/>
    <w:basedOn w:val="1"/>
    <w:qFormat/>
    <w:uiPriority w:val="0"/>
    <w:pPr>
      <w:widowControl/>
      <w:spacing w:before="100" w:beforeAutospacing="1" w:after="100" w:afterAutospacing="1" w:line="335" w:lineRule="atLeast"/>
      <w:jc w:val="left"/>
    </w:pPr>
    <w:rPr>
      <w:rFonts w:ascii="Arial" w:hAnsi="Arial" w:eastAsia="Arial Unicode MS" w:cs="Arial"/>
      <w:kern w:val="0"/>
      <w:sz w:val="20"/>
      <w:szCs w:val="20"/>
    </w:rPr>
  </w:style>
  <w:style w:type="paragraph" w:customStyle="1" w:styleId="160">
    <w:name w:val="fcolor"/>
    <w:basedOn w:val="1"/>
    <w:qFormat/>
    <w:uiPriority w:val="0"/>
    <w:pPr>
      <w:widowControl/>
      <w:spacing w:before="100" w:beforeAutospacing="1" w:after="100" w:afterAutospacing="1"/>
      <w:jc w:val="left"/>
    </w:pPr>
    <w:rPr>
      <w:rFonts w:ascii="Arial Unicode MS" w:hAnsi="Arial Unicode MS" w:eastAsia="Arial Unicode MS" w:cs="Arial Unicode MS"/>
      <w:color w:val="071785"/>
      <w:kern w:val="0"/>
      <w:sz w:val="24"/>
    </w:rPr>
  </w:style>
  <w:style w:type="character" w:customStyle="1" w:styleId="161">
    <w:name w:val="style71"/>
    <w:qFormat/>
    <w:uiPriority w:val="0"/>
    <w:rPr>
      <w:sz w:val="18"/>
      <w:szCs w:val="18"/>
    </w:rPr>
  </w:style>
  <w:style w:type="character" w:customStyle="1" w:styleId="162">
    <w:name w:val="p01"/>
    <w:qFormat/>
    <w:uiPriority w:val="0"/>
    <w:rPr>
      <w:rFonts w:hint="default" w:ascii="Osaka" w:hAnsi="Osaka"/>
      <w:spacing w:val="300"/>
      <w:sz w:val="21"/>
      <w:szCs w:val="21"/>
    </w:rPr>
  </w:style>
  <w:style w:type="character" w:customStyle="1" w:styleId="163">
    <w:name w:val="nine-11"/>
    <w:qFormat/>
    <w:uiPriority w:val="0"/>
    <w:rPr>
      <w:rFonts w:hint="default"/>
      <w:spacing w:val="320"/>
      <w:sz w:val="18"/>
      <w:szCs w:val="18"/>
    </w:rPr>
  </w:style>
  <w:style w:type="character" w:customStyle="1" w:styleId="164">
    <w:name w:val="part-con"/>
    <w:basedOn w:val="49"/>
    <w:qFormat/>
    <w:uiPriority w:val="0"/>
  </w:style>
  <w:style w:type="paragraph" w:customStyle="1" w:styleId="165">
    <w:name w:val="9"/>
    <w:basedOn w:val="1"/>
    <w:next w:val="41"/>
    <w:qFormat/>
    <w:uiPriority w:val="0"/>
    <w:rPr>
      <w:rFonts w:ascii="Courier New" w:hAnsi="Courier New" w:eastAsia="仿宋_GB2312" w:cs="Courier New"/>
      <w:kern w:val="44"/>
      <w:sz w:val="20"/>
      <w:szCs w:val="20"/>
    </w:rPr>
  </w:style>
  <w:style w:type="paragraph" w:customStyle="1" w:styleId="166">
    <w:name w:val="样式 (中文) 仿宋_GB2312 四号 首行缩进:  0.98 厘米 行距: 固定值 22 磅"/>
    <w:basedOn w:val="1"/>
    <w:qFormat/>
    <w:uiPriority w:val="0"/>
    <w:pPr>
      <w:spacing w:line="300" w:lineRule="auto"/>
      <w:ind w:firstLine="556"/>
    </w:pPr>
    <w:rPr>
      <w:rFonts w:eastAsia="仿宋_GB2312" w:cs="宋体"/>
      <w:spacing w:val="-2"/>
      <w:sz w:val="28"/>
      <w:szCs w:val="20"/>
    </w:rPr>
  </w:style>
  <w:style w:type="paragraph" w:customStyle="1" w:styleId="167">
    <w:name w:val="3级标题"/>
    <w:basedOn w:val="1"/>
    <w:qFormat/>
    <w:uiPriority w:val="0"/>
    <w:pPr>
      <w:spacing w:before="300" w:line="460" w:lineRule="exact"/>
      <w:outlineLvl w:val="2"/>
    </w:pPr>
    <w:rPr>
      <w:rFonts w:ascii="Arial" w:hAnsi="Arial"/>
      <w:b/>
      <w:bCs/>
      <w:sz w:val="24"/>
      <w:szCs w:val="28"/>
    </w:rPr>
  </w:style>
  <w:style w:type="character" w:customStyle="1" w:styleId="168">
    <w:name w:val="普通文字 Char"/>
    <w:qFormat/>
    <w:uiPriority w:val="0"/>
    <w:rPr>
      <w:rFonts w:ascii="宋体" w:hAnsi="Courier New" w:eastAsia="宋体"/>
      <w:kern w:val="2"/>
      <w:sz w:val="21"/>
      <w:lang w:val="en-US" w:eastAsia="zh-CN" w:bidi="ar-SA"/>
    </w:rPr>
  </w:style>
  <w:style w:type="character" w:customStyle="1" w:styleId="169">
    <w:name w:val="px14"/>
    <w:basedOn w:val="49"/>
    <w:qFormat/>
    <w:uiPriority w:val="0"/>
  </w:style>
  <w:style w:type="character" w:customStyle="1" w:styleId="170">
    <w:name w:val="style31"/>
    <w:qFormat/>
    <w:uiPriority w:val="0"/>
    <w:rPr>
      <w:rFonts w:hint="default" w:ascii="Arial" w:hAnsi="Arial" w:cs="Arial"/>
      <w:sz w:val="18"/>
      <w:szCs w:val="18"/>
    </w:rPr>
  </w:style>
  <w:style w:type="character" w:customStyle="1" w:styleId="171">
    <w:name w:val="prod_text_body"/>
    <w:basedOn w:val="49"/>
    <w:qFormat/>
    <w:uiPriority w:val="0"/>
  </w:style>
  <w:style w:type="character" w:customStyle="1" w:styleId="172">
    <w:name w:val="unnamed11"/>
    <w:qFormat/>
    <w:uiPriority w:val="0"/>
    <w:rPr>
      <w:sz w:val="18"/>
      <w:szCs w:val="18"/>
    </w:rPr>
  </w:style>
  <w:style w:type="character" w:customStyle="1" w:styleId="173">
    <w:name w:val="text"/>
    <w:basedOn w:val="49"/>
    <w:qFormat/>
    <w:uiPriority w:val="0"/>
  </w:style>
  <w:style w:type="character" w:customStyle="1" w:styleId="174">
    <w:name w:val="smile4"/>
    <w:qFormat/>
    <w:uiPriority w:val="0"/>
    <w:rPr>
      <w:rFonts w:hint="default"/>
      <w:color w:val="000000"/>
      <w:spacing w:val="360"/>
      <w:sz w:val="18"/>
      <w:szCs w:val="18"/>
    </w:rPr>
  </w:style>
  <w:style w:type="paragraph" w:customStyle="1" w:styleId="175">
    <w:name w:val="Char Char Char Char Char Char Char Char Char Char Char Char Char"/>
    <w:basedOn w:val="1"/>
    <w:qFormat/>
    <w:uiPriority w:val="0"/>
    <w:pPr>
      <w:tabs>
        <w:tab w:val="left" w:pos="432"/>
      </w:tabs>
      <w:ind w:left="432" w:hanging="432"/>
    </w:pPr>
    <w:rPr>
      <w:rFonts w:ascii="Tahoma" w:hAnsi="Tahoma"/>
      <w:sz w:val="24"/>
      <w:szCs w:val="20"/>
    </w:rPr>
  </w:style>
  <w:style w:type="paragraph" w:customStyle="1" w:styleId="176">
    <w:name w:val="报告表格"/>
    <w:basedOn w:val="1"/>
    <w:next w:val="1"/>
    <w:qFormat/>
    <w:uiPriority w:val="0"/>
    <w:pPr>
      <w:autoSpaceDE w:val="0"/>
      <w:autoSpaceDN w:val="0"/>
      <w:adjustRightInd w:val="0"/>
      <w:spacing w:line="318" w:lineRule="atLeast"/>
      <w:jc w:val="center"/>
      <w:textAlignment w:val="bottom"/>
    </w:pPr>
    <w:rPr>
      <w:kern w:val="0"/>
      <w:sz w:val="24"/>
      <w:szCs w:val="20"/>
    </w:rPr>
  </w:style>
  <w:style w:type="character" w:customStyle="1" w:styleId="177">
    <w:name w:val="tpc_content"/>
    <w:basedOn w:val="49"/>
    <w:qFormat/>
    <w:uiPriority w:val="0"/>
  </w:style>
  <w:style w:type="character" w:customStyle="1" w:styleId="178">
    <w:name w:val="btspan1"/>
    <w:qFormat/>
    <w:uiPriority w:val="0"/>
    <w:rPr>
      <w:color w:val="0066CC"/>
    </w:rPr>
  </w:style>
  <w:style w:type="paragraph" w:customStyle="1" w:styleId="179">
    <w:name w:val="Char Char Char Char Char Char Char Char Char Char Char Char Char Char Char Char Char Char Char"/>
    <w:basedOn w:val="1"/>
    <w:qFormat/>
    <w:uiPriority w:val="0"/>
    <w:rPr>
      <w:szCs w:val="20"/>
    </w:rPr>
  </w:style>
  <w:style w:type="paragraph" w:customStyle="1" w:styleId="180">
    <w:name w:val="23"/>
    <w:basedOn w:val="1"/>
    <w:next w:val="16"/>
    <w:qFormat/>
    <w:uiPriority w:val="0"/>
    <w:pPr>
      <w:ind w:firstLine="420" w:firstLineChars="200"/>
    </w:pPr>
  </w:style>
  <w:style w:type="paragraph" w:customStyle="1" w:styleId="181">
    <w:name w:val="22"/>
    <w:basedOn w:val="1"/>
    <w:next w:val="16"/>
    <w:qFormat/>
    <w:uiPriority w:val="0"/>
    <w:pPr>
      <w:ind w:firstLine="420" w:firstLineChars="200"/>
    </w:pPr>
  </w:style>
  <w:style w:type="paragraph" w:customStyle="1" w:styleId="182">
    <w:name w:val="21"/>
    <w:basedOn w:val="1"/>
    <w:next w:val="16"/>
    <w:qFormat/>
    <w:uiPriority w:val="0"/>
    <w:pPr>
      <w:ind w:firstLine="420" w:firstLineChars="200"/>
    </w:pPr>
  </w:style>
  <w:style w:type="paragraph" w:customStyle="1" w:styleId="183">
    <w:name w:val="20"/>
    <w:basedOn w:val="1"/>
    <w:next w:val="16"/>
    <w:qFormat/>
    <w:uiPriority w:val="0"/>
    <w:pPr>
      <w:ind w:firstLine="420" w:firstLineChars="200"/>
    </w:pPr>
  </w:style>
  <w:style w:type="paragraph" w:customStyle="1" w:styleId="184">
    <w:name w:val="19"/>
    <w:basedOn w:val="1"/>
    <w:next w:val="22"/>
    <w:qFormat/>
    <w:uiPriority w:val="0"/>
    <w:pPr>
      <w:spacing w:after="120"/>
      <w:ind w:left="420"/>
    </w:pPr>
  </w:style>
  <w:style w:type="paragraph" w:customStyle="1" w:styleId="185">
    <w:name w:val="18"/>
    <w:basedOn w:val="1"/>
    <w:next w:val="22"/>
    <w:qFormat/>
    <w:uiPriority w:val="0"/>
    <w:pPr>
      <w:spacing w:line="500" w:lineRule="exact"/>
      <w:ind w:firstLine="576" w:firstLineChars="192"/>
    </w:pPr>
    <w:rPr>
      <w:rFonts w:ascii="仿宋_GB2312" w:eastAsia="仿宋_GB2312"/>
      <w:sz w:val="30"/>
    </w:rPr>
  </w:style>
  <w:style w:type="character" w:customStyle="1" w:styleId="186">
    <w:name w:val="font131"/>
    <w:qFormat/>
    <w:uiPriority w:val="0"/>
    <w:rPr>
      <w:rFonts w:hint="default" w:ascii="Arial" w:hAnsi="Arial" w:cs="Arial"/>
      <w:sz w:val="18"/>
      <w:szCs w:val="18"/>
    </w:rPr>
  </w:style>
  <w:style w:type="character" w:customStyle="1" w:styleId="187">
    <w:name w:val="p121"/>
    <w:qFormat/>
    <w:uiPriority w:val="0"/>
    <w:rPr>
      <w:sz w:val="24"/>
      <w:szCs w:val="24"/>
    </w:rPr>
  </w:style>
  <w:style w:type="paragraph" w:customStyle="1" w:styleId="188">
    <w:name w:val="表格下方正文"/>
    <w:basedOn w:val="1"/>
    <w:qFormat/>
    <w:uiPriority w:val="0"/>
    <w:pPr>
      <w:spacing w:before="300" w:line="420" w:lineRule="exact"/>
      <w:ind w:firstLine="200" w:firstLineChars="200"/>
    </w:pPr>
    <w:rPr>
      <w:szCs w:val="20"/>
    </w:rPr>
  </w:style>
  <w:style w:type="paragraph" w:customStyle="1" w:styleId="189">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90">
    <w:name w:val="表格文字"/>
    <w:basedOn w:val="1"/>
    <w:link w:val="292"/>
    <w:qFormat/>
    <w:uiPriority w:val="0"/>
    <w:pPr>
      <w:spacing w:line="400" w:lineRule="exact"/>
      <w:jc w:val="center"/>
    </w:pPr>
    <w:rPr>
      <w:szCs w:val="20"/>
    </w:rPr>
  </w:style>
  <w:style w:type="paragraph" w:customStyle="1" w:styleId="191">
    <w:name w:val="表格表题"/>
    <w:basedOn w:val="1"/>
    <w:qFormat/>
    <w:uiPriority w:val="0"/>
    <w:pPr>
      <w:spacing w:before="60" w:line="460" w:lineRule="exact"/>
      <w:jc w:val="center"/>
    </w:pPr>
    <w:rPr>
      <w:rFonts w:ascii="Arial" w:hAnsi="Arial"/>
      <w:sz w:val="24"/>
      <w:szCs w:val="20"/>
    </w:rPr>
  </w:style>
  <w:style w:type="character" w:customStyle="1" w:styleId="192">
    <w:name w:val="word1"/>
    <w:qFormat/>
    <w:uiPriority w:val="0"/>
    <w:rPr>
      <w:color w:val="000000"/>
      <w:spacing w:val="0"/>
      <w:sz w:val="18"/>
      <w:szCs w:val="18"/>
    </w:rPr>
  </w:style>
  <w:style w:type="paragraph" w:customStyle="1" w:styleId="193">
    <w:name w:val="表中"/>
    <w:basedOn w:val="1"/>
    <w:link w:val="194"/>
    <w:qFormat/>
    <w:uiPriority w:val="0"/>
    <w:pPr>
      <w:jc w:val="center"/>
    </w:pPr>
    <w:rPr>
      <w:bCs/>
      <w:szCs w:val="21"/>
    </w:rPr>
  </w:style>
  <w:style w:type="character" w:customStyle="1" w:styleId="194">
    <w:name w:val="表中 Char"/>
    <w:link w:val="193"/>
    <w:qFormat/>
    <w:uiPriority w:val="0"/>
    <w:rPr>
      <w:rFonts w:ascii="Times New Roman" w:hAnsi="Times New Roman" w:eastAsia="宋体" w:cs="Times New Roman"/>
      <w:bCs/>
      <w:szCs w:val="21"/>
    </w:rPr>
  </w:style>
  <w:style w:type="character" w:customStyle="1" w:styleId="195">
    <w:name w:val="b-121"/>
    <w:qFormat/>
    <w:uiPriority w:val="0"/>
    <w:rPr>
      <w:rFonts w:hint="default"/>
      <w:color w:val="000000"/>
      <w:spacing w:val="330"/>
      <w:sz w:val="18"/>
      <w:szCs w:val="18"/>
      <w:u w:val="none"/>
    </w:rPr>
  </w:style>
  <w:style w:type="paragraph" w:customStyle="1" w:styleId="196">
    <w:name w:val="xl32"/>
    <w:basedOn w:val="1"/>
    <w:qFormat/>
    <w:uiPriority w:val="0"/>
    <w:pPr>
      <w:widowControl/>
      <w:pBdr>
        <w:left w:val="single" w:color="auto" w:sz="4" w:space="0"/>
        <w:right w:val="single" w:color="auto" w:sz="4" w:space="0"/>
      </w:pBdr>
      <w:spacing w:before="100" w:beforeAutospacing="1" w:after="100" w:afterAutospacing="1"/>
    </w:pPr>
    <w:rPr>
      <w:rFonts w:ascii="宋体" w:hAnsi="宋体"/>
      <w:kern w:val="0"/>
      <w:sz w:val="24"/>
    </w:rPr>
  </w:style>
  <w:style w:type="paragraph" w:customStyle="1" w:styleId="197">
    <w:name w:val="1 Char Char Char Char"/>
    <w:basedOn w:val="1"/>
    <w:next w:val="1"/>
    <w:qFormat/>
    <w:uiPriority w:val="0"/>
    <w:pPr>
      <w:spacing w:line="360" w:lineRule="auto"/>
      <w:ind w:firstLine="200" w:firstLineChars="200"/>
    </w:pPr>
    <w:rPr>
      <w:rFonts w:ascii="宋体" w:hAnsi="宋体" w:cs="宋体"/>
      <w:sz w:val="24"/>
    </w:rPr>
  </w:style>
  <w:style w:type="paragraph" w:customStyle="1" w:styleId="198">
    <w:name w:val="Char2"/>
    <w:basedOn w:val="1"/>
    <w:qFormat/>
    <w:uiPriority w:val="0"/>
  </w:style>
  <w:style w:type="character" w:customStyle="1" w:styleId="199">
    <w:name w:val="style131"/>
    <w:qFormat/>
    <w:uiPriority w:val="0"/>
    <w:rPr>
      <w:rFonts w:hint="default" w:ascii="Arial" w:hAnsi="Arial" w:cs="Arial"/>
      <w:sz w:val="18"/>
      <w:szCs w:val="18"/>
    </w:rPr>
  </w:style>
  <w:style w:type="character" w:customStyle="1" w:styleId="200">
    <w:name w:val="ourfont3"/>
    <w:basedOn w:val="49"/>
    <w:qFormat/>
    <w:uiPriority w:val="0"/>
  </w:style>
  <w:style w:type="character" w:customStyle="1" w:styleId="201">
    <w:name w:val="14normal1"/>
    <w:qFormat/>
    <w:uiPriority w:val="0"/>
    <w:rPr>
      <w:rFonts w:hint="eastAsia" w:ascii="宋体" w:hAnsi="宋体" w:eastAsia="宋体"/>
      <w:color w:val="000000"/>
      <w:sz w:val="21"/>
      <w:szCs w:val="21"/>
    </w:rPr>
  </w:style>
  <w:style w:type="paragraph" w:customStyle="1" w:styleId="202">
    <w:name w:val="font7"/>
    <w:basedOn w:val="1"/>
    <w:qFormat/>
    <w:uiPriority w:val="0"/>
    <w:pPr>
      <w:widowControl/>
      <w:spacing w:before="100" w:beforeAutospacing="1" w:after="100" w:afterAutospacing="1"/>
      <w:jc w:val="left"/>
    </w:pPr>
    <w:rPr>
      <w:kern w:val="0"/>
      <w:sz w:val="24"/>
    </w:rPr>
  </w:style>
  <w:style w:type="character" w:customStyle="1" w:styleId="203">
    <w:name w:val="content"/>
    <w:basedOn w:val="49"/>
    <w:qFormat/>
    <w:uiPriority w:val="0"/>
  </w:style>
  <w:style w:type="character" w:customStyle="1" w:styleId="204">
    <w:name w:val="at_2"/>
    <w:basedOn w:val="49"/>
    <w:qFormat/>
    <w:uiPriority w:val="0"/>
  </w:style>
  <w:style w:type="character" w:customStyle="1" w:styleId="205">
    <w:name w:val="at_3"/>
    <w:basedOn w:val="49"/>
    <w:qFormat/>
    <w:uiPriority w:val="0"/>
  </w:style>
  <w:style w:type="character" w:customStyle="1" w:styleId="206">
    <w:name w:val="at_5"/>
    <w:basedOn w:val="49"/>
    <w:qFormat/>
    <w:uiPriority w:val="0"/>
  </w:style>
  <w:style w:type="character" w:customStyle="1" w:styleId="207">
    <w:name w:val="abouttxt1"/>
    <w:qFormat/>
    <w:uiPriority w:val="0"/>
    <w:rPr>
      <w:rFonts w:hint="default" w:ascii="ˎ̥" w:hAnsi="ˎ̥"/>
      <w:color w:val="636363"/>
      <w:sz w:val="18"/>
      <w:szCs w:val="18"/>
    </w:rPr>
  </w:style>
  <w:style w:type="paragraph" w:customStyle="1" w:styleId="208">
    <w:name w:val="p12"/>
    <w:basedOn w:val="1"/>
    <w:qFormat/>
    <w:uiPriority w:val="0"/>
    <w:pPr>
      <w:widowControl/>
      <w:spacing w:before="100" w:beforeAutospacing="1" w:after="100" w:afterAutospacing="1" w:line="360" w:lineRule="atLeast"/>
      <w:jc w:val="left"/>
    </w:pPr>
    <w:rPr>
      <w:rFonts w:ascii="宋体" w:hAnsi="宋体" w:cs="宋体"/>
      <w:color w:val="000000"/>
      <w:kern w:val="0"/>
      <w:sz w:val="24"/>
    </w:rPr>
  </w:style>
  <w:style w:type="paragraph" w:customStyle="1" w:styleId="209">
    <w:name w:val="font6"/>
    <w:basedOn w:val="1"/>
    <w:qFormat/>
    <w:uiPriority w:val="0"/>
    <w:pPr>
      <w:widowControl/>
      <w:spacing w:before="100" w:beforeAutospacing="1" w:after="100" w:afterAutospacing="1"/>
      <w:jc w:val="left"/>
    </w:pPr>
    <w:rPr>
      <w:rFonts w:hint="eastAsia" w:ascii="仿宋_GB2312" w:hAnsi="Arial Unicode MS" w:eastAsia="仿宋_GB2312"/>
      <w:kern w:val="0"/>
      <w:sz w:val="24"/>
    </w:rPr>
  </w:style>
  <w:style w:type="paragraph" w:customStyle="1" w:styleId="210">
    <w:name w:val="Char1 Char Char Char1"/>
    <w:basedOn w:val="1"/>
    <w:qFormat/>
    <w:uiPriority w:val="0"/>
  </w:style>
  <w:style w:type="paragraph" w:customStyle="1" w:styleId="211">
    <w:name w:val="一级标题"/>
    <w:basedOn w:val="1"/>
    <w:qFormat/>
    <w:uiPriority w:val="0"/>
    <w:pPr>
      <w:spacing w:before="60" w:line="460" w:lineRule="exact"/>
      <w:outlineLvl w:val="0"/>
    </w:pPr>
    <w:rPr>
      <w:b/>
      <w:sz w:val="32"/>
      <w:szCs w:val="20"/>
    </w:rPr>
  </w:style>
  <w:style w:type="character" w:customStyle="1" w:styleId="212">
    <w:name w:val="称呼 Char"/>
    <w:basedOn w:val="49"/>
    <w:link w:val="20"/>
    <w:qFormat/>
    <w:uiPriority w:val="0"/>
    <w:rPr>
      <w:rFonts w:ascii="Times New Roman" w:hAnsi="Times New Roman" w:eastAsia="宋体" w:cs="Times New Roman"/>
      <w:szCs w:val="24"/>
    </w:rPr>
  </w:style>
  <w:style w:type="character" w:customStyle="1" w:styleId="213">
    <w:name w:val="注释标题 Char"/>
    <w:basedOn w:val="49"/>
    <w:link w:val="15"/>
    <w:qFormat/>
    <w:uiPriority w:val="0"/>
    <w:rPr>
      <w:rFonts w:ascii="Times New Roman" w:hAnsi="Times New Roman" w:eastAsia="宋体" w:cs="Times New Roman"/>
      <w:szCs w:val="24"/>
    </w:rPr>
  </w:style>
  <w:style w:type="character" w:customStyle="1" w:styleId="214">
    <w:name w:val="javascript"/>
    <w:basedOn w:val="49"/>
    <w:qFormat/>
    <w:uiPriority w:val="0"/>
  </w:style>
  <w:style w:type="paragraph" w:customStyle="1" w:styleId="215">
    <w:name w:val="Char Char1 Char Char Char Char Char Char Char Char Char Char Char Char Char Char Char Char Char Char"/>
    <w:basedOn w:val="1"/>
    <w:qFormat/>
    <w:uiPriority w:val="0"/>
    <w:pPr>
      <w:spacing w:line="360" w:lineRule="auto"/>
      <w:ind w:firstLine="200" w:firstLineChars="200"/>
    </w:pPr>
    <w:rPr>
      <w:rFonts w:ascii="宋体" w:hAnsi="宋体" w:cs="宋体"/>
      <w:sz w:val="24"/>
    </w:rPr>
  </w:style>
  <w:style w:type="character" w:customStyle="1" w:styleId="216">
    <w:name w:val="m lh15"/>
    <w:basedOn w:val="49"/>
    <w:qFormat/>
    <w:uiPriority w:val="0"/>
  </w:style>
  <w:style w:type="paragraph" w:customStyle="1" w:styleId="217">
    <w:name w:val="Char Char1 Char Char Char Char Char Char Char Char Char Char Char Char Char Char Char Char Char Char Char Char1 Char1"/>
    <w:basedOn w:val="1"/>
    <w:qFormat/>
    <w:uiPriority w:val="0"/>
    <w:pPr>
      <w:spacing w:line="360" w:lineRule="auto"/>
      <w:ind w:firstLine="200" w:firstLineChars="200"/>
    </w:pPr>
    <w:rPr>
      <w:rFonts w:ascii="宋体" w:hAnsi="宋体" w:cs="宋体"/>
      <w:sz w:val="24"/>
    </w:rPr>
  </w:style>
  <w:style w:type="paragraph" w:customStyle="1" w:styleId="21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Cs w:val="21"/>
    </w:rPr>
  </w:style>
  <w:style w:type="paragraph" w:styleId="219">
    <w:name w:val="List Paragraph"/>
    <w:basedOn w:val="1"/>
    <w:qFormat/>
    <w:uiPriority w:val="0"/>
    <w:pPr>
      <w:ind w:firstLine="420" w:firstLineChars="200"/>
    </w:pPr>
    <w:rPr>
      <w:rFonts w:ascii="Calibri" w:hAnsi="Calibri"/>
      <w:szCs w:val="22"/>
    </w:rPr>
  </w:style>
  <w:style w:type="paragraph" w:customStyle="1" w:styleId="220">
    <w:name w:val="正文缩进2"/>
    <w:basedOn w:val="1"/>
    <w:link w:val="221"/>
    <w:qFormat/>
    <w:uiPriority w:val="0"/>
    <w:pPr>
      <w:spacing w:line="360" w:lineRule="auto"/>
      <w:ind w:firstLine="200" w:firstLineChars="200"/>
    </w:pPr>
    <w:rPr>
      <w:bCs/>
      <w:sz w:val="24"/>
      <w:szCs w:val="21"/>
    </w:rPr>
  </w:style>
  <w:style w:type="character" w:customStyle="1" w:styleId="221">
    <w:name w:val="正文缩进2 Char"/>
    <w:link w:val="220"/>
    <w:qFormat/>
    <w:uiPriority w:val="0"/>
    <w:rPr>
      <w:rFonts w:ascii="Times New Roman" w:hAnsi="Times New Roman" w:eastAsia="宋体" w:cs="Times New Roman"/>
      <w:bCs/>
      <w:sz w:val="24"/>
      <w:szCs w:val="21"/>
    </w:rPr>
  </w:style>
  <w:style w:type="paragraph" w:customStyle="1" w:styleId="222">
    <w:name w:val="正文2缩进主要格式"/>
    <w:basedOn w:val="1"/>
    <w:link w:val="223"/>
    <w:semiHidden/>
    <w:qFormat/>
    <w:uiPriority w:val="0"/>
    <w:pPr>
      <w:spacing w:line="360" w:lineRule="auto"/>
      <w:ind w:firstLine="480" w:firstLineChars="200"/>
    </w:pPr>
    <w:rPr>
      <w:rFonts w:ascii="宋体" w:hAnsi="宋体" w:cs="宋体"/>
      <w:sz w:val="24"/>
      <w:szCs w:val="20"/>
    </w:rPr>
  </w:style>
  <w:style w:type="character" w:customStyle="1" w:styleId="223">
    <w:name w:val="正文2缩进主要格式 Char"/>
    <w:link w:val="222"/>
    <w:semiHidden/>
    <w:qFormat/>
    <w:uiPriority w:val="0"/>
    <w:rPr>
      <w:rFonts w:ascii="宋体" w:hAnsi="宋体" w:eastAsia="宋体" w:cs="宋体"/>
      <w:sz w:val="24"/>
      <w:szCs w:val="20"/>
    </w:rPr>
  </w:style>
  <w:style w:type="paragraph" w:customStyle="1" w:styleId="224">
    <w:name w:val="xingzhi"/>
    <w:basedOn w:val="1"/>
    <w:qFormat/>
    <w:uiPriority w:val="0"/>
    <w:pPr>
      <w:widowControl/>
      <w:spacing w:line="300" w:lineRule="atLeast"/>
      <w:jc w:val="left"/>
    </w:pPr>
    <w:rPr>
      <w:rFonts w:ascii="宋体" w:hAnsi="宋体" w:cs="宋体"/>
      <w:kern w:val="0"/>
      <w:sz w:val="24"/>
    </w:rPr>
  </w:style>
  <w:style w:type="paragraph" w:customStyle="1" w:styleId="225">
    <w:name w:val="1text"/>
    <w:basedOn w:val="1"/>
    <w:qFormat/>
    <w:uiPriority w:val="0"/>
    <w:pPr>
      <w:widowControl/>
      <w:spacing w:before="100" w:beforeAutospacing="1" w:after="100" w:afterAutospacing="1" w:line="360" w:lineRule="auto"/>
      <w:ind w:firstLine="440"/>
      <w:jc w:val="left"/>
    </w:pPr>
    <w:rPr>
      <w:rFonts w:ascii="Arial Unicode MS" w:hAnsi="Arial Unicode MS"/>
      <w:kern w:val="0"/>
      <w:sz w:val="24"/>
    </w:rPr>
  </w:style>
  <w:style w:type="paragraph" w:customStyle="1" w:styleId="226">
    <w:name w:val="生态正文01"/>
    <w:basedOn w:val="108"/>
    <w:qFormat/>
    <w:uiPriority w:val="0"/>
    <w:pPr>
      <w:adjustRightInd/>
      <w:snapToGrid/>
      <w:spacing w:line="540" w:lineRule="exact"/>
      <w:ind w:firstLine="560"/>
    </w:pPr>
    <w:rPr>
      <w:rFonts w:eastAsia="仿宋_GB2312"/>
      <w:bCs/>
      <w:snapToGrid/>
      <w:color w:val="auto"/>
      <w:kern w:val="2"/>
      <w:sz w:val="28"/>
    </w:rPr>
  </w:style>
  <w:style w:type="paragraph" w:customStyle="1" w:styleId="227">
    <w:name w:val="tt1"/>
    <w:basedOn w:val="1"/>
    <w:qFormat/>
    <w:uiPriority w:val="0"/>
    <w:pPr>
      <w:widowControl/>
      <w:spacing w:before="100" w:beforeAutospacing="1" w:after="100" w:afterAutospacing="1"/>
      <w:jc w:val="left"/>
    </w:pPr>
    <w:rPr>
      <w:rFonts w:ascii="宋体" w:hAnsi="宋体" w:cs="宋体"/>
      <w:kern w:val="0"/>
      <w:sz w:val="24"/>
    </w:rPr>
  </w:style>
  <w:style w:type="character" w:customStyle="1" w:styleId="228">
    <w:name w:val="px1216"/>
    <w:basedOn w:val="49"/>
    <w:qFormat/>
    <w:uiPriority w:val="0"/>
  </w:style>
  <w:style w:type="character" w:customStyle="1" w:styleId="229">
    <w:name w:val="t_tag"/>
    <w:basedOn w:val="49"/>
    <w:qFormat/>
    <w:uiPriority w:val="0"/>
  </w:style>
  <w:style w:type="paragraph" w:customStyle="1" w:styleId="230">
    <w:name w:val="Char Char Char Char Char Char1 Char"/>
    <w:basedOn w:val="1"/>
    <w:qFormat/>
    <w:uiPriority w:val="0"/>
  </w:style>
  <w:style w:type="character" w:customStyle="1" w:styleId="231">
    <w:name w:val="title3"/>
    <w:qFormat/>
    <w:uiPriority w:val="0"/>
  </w:style>
  <w:style w:type="character" w:customStyle="1" w:styleId="232">
    <w:name w:val="title4"/>
    <w:basedOn w:val="49"/>
    <w:qFormat/>
    <w:uiPriority w:val="0"/>
  </w:style>
  <w:style w:type="character" w:customStyle="1" w:styleId="233">
    <w:name w:val="c"/>
    <w:basedOn w:val="49"/>
    <w:qFormat/>
    <w:uiPriority w:val="0"/>
  </w:style>
  <w:style w:type="paragraph" w:customStyle="1" w:styleId="234">
    <w:name w:val="新正文"/>
    <w:basedOn w:val="1"/>
    <w:qFormat/>
    <w:uiPriority w:val="0"/>
    <w:pPr>
      <w:spacing w:before="60" w:line="460" w:lineRule="exact"/>
      <w:ind w:firstLine="200" w:firstLineChars="200"/>
    </w:pPr>
    <w:rPr>
      <w:sz w:val="24"/>
    </w:rPr>
  </w:style>
  <w:style w:type="character" w:customStyle="1" w:styleId="235">
    <w:name w:val="Char Char2"/>
    <w:qFormat/>
    <w:uiPriority w:val="0"/>
    <w:rPr>
      <w:rFonts w:eastAsia="宋体"/>
      <w:kern w:val="2"/>
      <w:sz w:val="28"/>
      <w:lang w:val="en-US" w:eastAsia="zh-CN" w:bidi="ar-SA"/>
    </w:rPr>
  </w:style>
  <w:style w:type="character" w:customStyle="1" w:styleId="236">
    <w:name w:val="apple-style-span"/>
    <w:basedOn w:val="49"/>
    <w:qFormat/>
    <w:uiPriority w:val="0"/>
  </w:style>
  <w:style w:type="paragraph" w:customStyle="1" w:styleId="237">
    <w:name w:val="标头"/>
    <w:basedOn w:val="1"/>
    <w:link w:val="238"/>
    <w:qFormat/>
    <w:uiPriority w:val="0"/>
    <w:pPr>
      <w:spacing w:line="360" w:lineRule="auto"/>
      <w:jc w:val="center"/>
    </w:pPr>
    <w:rPr>
      <w:rFonts w:ascii="Arial" w:hAnsi="Arial" w:eastAsia="黑体" w:cs="Arial"/>
      <w:szCs w:val="21"/>
    </w:rPr>
  </w:style>
  <w:style w:type="character" w:customStyle="1" w:styleId="238">
    <w:name w:val="标头 Char"/>
    <w:link w:val="237"/>
    <w:qFormat/>
    <w:uiPriority w:val="0"/>
    <w:rPr>
      <w:rFonts w:ascii="Arial" w:hAnsi="Arial" w:eastAsia="黑体" w:cs="Arial"/>
      <w:szCs w:val="21"/>
    </w:rPr>
  </w:style>
  <w:style w:type="paragraph" w:customStyle="1" w:styleId="239">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0">
    <w:name w:val="Char Char1 Char"/>
    <w:basedOn w:val="49"/>
    <w:qFormat/>
    <w:uiPriority w:val="0"/>
    <w:rPr>
      <w:rFonts w:ascii="宋体" w:hAnsi="宋体" w:eastAsia="宋体" w:cs="宋体"/>
      <w:kern w:val="2"/>
      <w:sz w:val="24"/>
      <w:szCs w:val="24"/>
      <w:lang w:val="en-US" w:eastAsia="zh-CN" w:bidi="ar-SA"/>
    </w:rPr>
  </w:style>
  <w:style w:type="paragraph" w:customStyle="1" w:styleId="241">
    <w:name w:val="表格内部的标题"/>
    <w:basedOn w:val="1"/>
    <w:qFormat/>
    <w:uiPriority w:val="0"/>
    <w:pPr>
      <w:keepNext/>
      <w:keepLines/>
      <w:jc w:val="center"/>
    </w:pPr>
    <w:rPr>
      <w:rFonts w:ascii="黑体" w:eastAsia="黑体" w:cs="黑体"/>
      <w:sz w:val="20"/>
      <w:szCs w:val="20"/>
    </w:rPr>
  </w:style>
  <w:style w:type="character" w:customStyle="1" w:styleId="242">
    <w:name w:val="表格内标 Char"/>
    <w:basedOn w:val="49"/>
    <w:link w:val="243"/>
    <w:qFormat/>
    <w:uiPriority w:val="0"/>
    <w:rPr>
      <w:rFonts w:eastAsia="黑体"/>
    </w:rPr>
  </w:style>
  <w:style w:type="paragraph" w:customStyle="1" w:styleId="243">
    <w:name w:val="表格内标"/>
    <w:basedOn w:val="1"/>
    <w:next w:val="1"/>
    <w:link w:val="242"/>
    <w:qFormat/>
    <w:uiPriority w:val="0"/>
    <w:pPr>
      <w:adjustRightInd w:val="0"/>
      <w:snapToGrid w:val="0"/>
      <w:jc w:val="center"/>
    </w:pPr>
    <w:rPr>
      <w:rFonts w:eastAsia="黑体" w:asciiTheme="minorHAnsi" w:hAnsiTheme="minorHAnsi" w:cstheme="minorBidi"/>
      <w:szCs w:val="22"/>
    </w:rPr>
  </w:style>
  <w:style w:type="character" w:customStyle="1" w:styleId="244">
    <w:name w:val="图表标题 Char"/>
    <w:basedOn w:val="49"/>
    <w:link w:val="245"/>
    <w:qFormat/>
    <w:uiPriority w:val="0"/>
    <w:rPr>
      <w:rFonts w:ascii="宋体" w:hAnsi="宋体"/>
      <w:b/>
      <w:szCs w:val="24"/>
    </w:rPr>
  </w:style>
  <w:style w:type="paragraph" w:customStyle="1" w:styleId="245">
    <w:name w:val="图表标题"/>
    <w:basedOn w:val="1"/>
    <w:link w:val="244"/>
    <w:qFormat/>
    <w:uiPriority w:val="0"/>
    <w:pPr>
      <w:spacing w:beforeLines="25" w:afterLines="25" w:line="360" w:lineRule="auto"/>
      <w:jc w:val="center"/>
      <w:outlineLvl w:val="4"/>
    </w:pPr>
    <w:rPr>
      <w:rFonts w:ascii="宋体" w:hAnsi="宋体" w:eastAsiaTheme="minorEastAsia" w:cstheme="minorBidi"/>
      <w:b/>
    </w:rPr>
  </w:style>
  <w:style w:type="character" w:customStyle="1" w:styleId="246">
    <w:name w:val="表格内容 Char"/>
    <w:basedOn w:val="49"/>
    <w:link w:val="247"/>
    <w:qFormat/>
    <w:uiPriority w:val="0"/>
    <w:rPr>
      <w:rFonts w:ascii="宋体" w:hAnsi="Arial" w:eastAsia="Times New Roman"/>
      <w:sz w:val="24"/>
    </w:rPr>
  </w:style>
  <w:style w:type="paragraph" w:customStyle="1" w:styleId="247">
    <w:name w:val="表格内容"/>
    <w:link w:val="246"/>
    <w:qFormat/>
    <w:uiPriority w:val="0"/>
    <w:pPr>
      <w:keepNext/>
      <w:overflowPunct w:val="0"/>
      <w:adjustRightInd w:val="0"/>
      <w:jc w:val="center"/>
      <w:textAlignment w:val="baseline"/>
    </w:pPr>
    <w:rPr>
      <w:rFonts w:ascii="宋体" w:hAnsi="Arial" w:eastAsia="Times New Roman" w:cstheme="minorBidi"/>
      <w:kern w:val="2"/>
      <w:sz w:val="24"/>
      <w:szCs w:val="22"/>
      <w:lang w:val="en-US" w:eastAsia="zh-CN" w:bidi="ar-SA"/>
    </w:rPr>
  </w:style>
  <w:style w:type="paragraph" w:customStyle="1" w:styleId="248">
    <w:name w:val="样式11"/>
    <w:basedOn w:val="6"/>
    <w:qFormat/>
    <w:uiPriority w:val="0"/>
    <w:pPr>
      <w:tabs>
        <w:tab w:val="left" w:pos="1080"/>
      </w:tabs>
      <w:spacing w:before="0" w:after="0" w:line="240" w:lineRule="auto"/>
      <w:ind w:left="709" w:hanging="709"/>
    </w:pPr>
    <w:rPr>
      <w:rFonts w:ascii="仿宋_GB2312" w:eastAsia="仿宋_GB2312"/>
      <w:sz w:val="24"/>
      <w:szCs w:val="24"/>
    </w:rPr>
  </w:style>
  <w:style w:type="paragraph" w:customStyle="1" w:styleId="249">
    <w:name w:val="样式8"/>
    <w:basedOn w:val="16"/>
    <w:qFormat/>
    <w:uiPriority w:val="0"/>
    <w:pPr>
      <w:tabs>
        <w:tab w:val="left" w:pos="5203"/>
      </w:tabs>
      <w:spacing w:line="264" w:lineRule="auto"/>
      <w:ind w:firstLine="450" w:firstLineChars="184"/>
    </w:pPr>
    <w:rPr>
      <w:rFonts w:ascii="Arial" w:hAnsi="Arial" w:cs="Arial"/>
      <w:spacing w:val="10"/>
      <w:sz w:val="24"/>
      <w:szCs w:val="24"/>
    </w:rPr>
  </w:style>
  <w:style w:type="paragraph" w:customStyle="1" w:styleId="250">
    <w:name w:val="Char Char Char Char1 Char Char"/>
    <w:basedOn w:val="7"/>
    <w:qFormat/>
    <w:uiPriority w:val="0"/>
    <w:pPr>
      <w:tabs>
        <w:tab w:val="left" w:pos="0"/>
      </w:tabs>
      <w:adjustRightInd w:val="0"/>
      <w:snapToGrid w:val="0"/>
      <w:spacing w:before="120" w:after="0" w:line="360" w:lineRule="auto"/>
      <w:jc w:val="center"/>
    </w:pPr>
  </w:style>
  <w:style w:type="character" w:customStyle="1" w:styleId="251">
    <w:name w:val="正文01 Char Char"/>
    <w:qFormat/>
    <w:uiPriority w:val="0"/>
    <w:rPr>
      <w:kern w:val="2"/>
      <w:sz w:val="24"/>
    </w:rPr>
  </w:style>
  <w:style w:type="paragraph" w:customStyle="1" w:styleId="25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3">
    <w:name w:val="reader-word-layer reader-word-s1-2"/>
    <w:basedOn w:val="1"/>
    <w:qFormat/>
    <w:uiPriority w:val="0"/>
    <w:pPr>
      <w:widowControl/>
      <w:spacing w:before="100" w:beforeAutospacing="1" w:after="100" w:afterAutospacing="1"/>
      <w:jc w:val="left"/>
    </w:pPr>
    <w:rPr>
      <w:rFonts w:ascii="宋体" w:hAnsi="宋体" w:cs="宋体"/>
      <w:kern w:val="0"/>
      <w:sz w:val="24"/>
    </w:rPr>
  </w:style>
  <w:style w:type="paragraph" w:customStyle="1" w:styleId="254">
    <w:name w:val="reader-word-layer reader-word-s3-1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5">
    <w:name w:val="Char Char Char1 Char"/>
    <w:basedOn w:val="1"/>
    <w:semiHidden/>
    <w:qFormat/>
    <w:uiPriority w:val="0"/>
  </w:style>
  <w:style w:type="paragraph" w:customStyle="1" w:styleId="256">
    <w:name w:val="(a表格"/>
    <w:basedOn w:val="1"/>
    <w:qFormat/>
    <w:uiPriority w:val="0"/>
    <w:pPr>
      <w:jc w:val="center"/>
    </w:pPr>
    <w:rPr>
      <w:rFonts w:eastAsia="仿宋_GB2312"/>
      <w:color w:val="000000"/>
      <w:szCs w:val="20"/>
    </w:rPr>
  </w:style>
  <w:style w:type="character" w:customStyle="1" w:styleId="257">
    <w:name w:val="apple-converted-space"/>
    <w:basedOn w:val="49"/>
    <w:qFormat/>
    <w:uiPriority w:val="0"/>
  </w:style>
  <w:style w:type="paragraph" w:customStyle="1" w:styleId="258">
    <w:name w:val="n_p_lineheigh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9">
    <w:name w:val="poititlew"/>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1">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262">
    <w:name w:val="reader-word-layer reader-word-s1-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264">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character" w:customStyle="1" w:styleId="265">
    <w:name w:val="样式 (符号) 宋体 小四"/>
    <w:qFormat/>
    <w:uiPriority w:val="0"/>
    <w:rPr>
      <w:rFonts w:ascii="Times New Roman" w:hAnsi="Times New Roman"/>
      <w:sz w:val="24"/>
      <w:szCs w:val="24"/>
    </w:rPr>
  </w:style>
  <w:style w:type="character" w:customStyle="1" w:styleId="266">
    <w:name w:val="批注文字 Char"/>
    <w:link w:val="19"/>
    <w:qFormat/>
    <w:uiPriority w:val="0"/>
    <w:rPr>
      <w:rFonts w:ascii="Arial" w:hAnsi="Arial"/>
      <w:sz w:val="24"/>
      <w:szCs w:val="24"/>
    </w:rPr>
  </w:style>
  <w:style w:type="character" w:customStyle="1" w:styleId="267">
    <w:name w:val="批注文字 Char1"/>
    <w:basedOn w:val="49"/>
    <w:qFormat/>
    <w:uiPriority w:val="0"/>
    <w:rPr>
      <w:rFonts w:ascii="Times New Roman" w:hAnsi="Times New Roman" w:eastAsia="宋体" w:cs="Times New Roman"/>
      <w:szCs w:val="24"/>
    </w:rPr>
  </w:style>
  <w:style w:type="character" w:customStyle="1" w:styleId="268">
    <w:name w:val="批注框文本 Char"/>
    <w:basedOn w:val="49"/>
    <w:link w:val="30"/>
    <w:semiHidden/>
    <w:qFormat/>
    <w:uiPriority w:val="99"/>
    <w:rPr>
      <w:rFonts w:ascii="Times New Roman" w:hAnsi="Times New Roman" w:eastAsia="宋体" w:cs="Times New Roman"/>
      <w:sz w:val="18"/>
      <w:szCs w:val="18"/>
    </w:rPr>
  </w:style>
  <w:style w:type="character" w:customStyle="1" w:styleId="269">
    <w:name w:val="批注主题 Char"/>
    <w:basedOn w:val="266"/>
    <w:link w:val="44"/>
    <w:semiHidden/>
    <w:qFormat/>
    <w:uiPriority w:val="99"/>
    <w:rPr>
      <w:rFonts w:ascii="Times New Roman" w:hAnsi="Times New Roman" w:eastAsia="宋体" w:cs="Times New Roman"/>
      <w:b/>
      <w:bCs/>
      <w:sz w:val="24"/>
      <w:szCs w:val="24"/>
    </w:rPr>
  </w:style>
  <w:style w:type="paragraph" w:customStyle="1" w:styleId="270">
    <w:name w:val="aa正文"/>
    <w:basedOn w:val="1"/>
    <w:qFormat/>
    <w:uiPriority w:val="0"/>
    <w:pPr>
      <w:spacing w:line="360" w:lineRule="auto"/>
      <w:ind w:firstLine="200" w:firstLineChars="200"/>
    </w:pPr>
    <w:rPr>
      <w:sz w:val="24"/>
    </w:rPr>
  </w:style>
  <w:style w:type="paragraph" w:customStyle="1" w:styleId="271">
    <w:name w:val="R22正文"/>
    <w:basedOn w:val="1"/>
    <w:qFormat/>
    <w:uiPriority w:val="0"/>
    <w:pPr>
      <w:spacing w:line="480" w:lineRule="exact"/>
      <w:ind w:firstLine="200" w:firstLineChars="200"/>
    </w:pPr>
    <w:rPr>
      <w:sz w:val="24"/>
    </w:rPr>
  </w:style>
  <w:style w:type="paragraph" w:customStyle="1" w:styleId="272">
    <w:name w:val="样式02"/>
    <w:next w:val="37"/>
    <w:qFormat/>
    <w:uiPriority w:val="0"/>
    <w:pPr>
      <w:widowControl w:val="0"/>
      <w:ind w:firstLine="200" w:firstLineChars="200"/>
      <w:jc w:val="both"/>
    </w:pPr>
    <w:rPr>
      <w:rFonts w:ascii="楷体_GB2312" w:hAnsi="宋体" w:eastAsia="楷体_GB2312" w:cs="Times New Roman"/>
      <w:b/>
      <w:kern w:val="2"/>
      <w:sz w:val="32"/>
      <w:szCs w:val="32"/>
      <w:lang w:val="en-US" w:eastAsia="zh-CN" w:bidi="ar-SA"/>
    </w:rPr>
  </w:style>
  <w:style w:type="paragraph" w:customStyle="1" w:styleId="273">
    <w:name w:val="R22表格"/>
    <w:basedOn w:val="1"/>
    <w:qFormat/>
    <w:uiPriority w:val="0"/>
    <w:pPr>
      <w:autoSpaceDE w:val="0"/>
      <w:autoSpaceDN w:val="0"/>
      <w:adjustRightInd w:val="0"/>
      <w:spacing w:line="360" w:lineRule="exact"/>
      <w:jc w:val="center"/>
    </w:pPr>
    <w:rPr>
      <w:color w:val="000000"/>
      <w:kern w:val="0"/>
      <w:szCs w:val="21"/>
    </w:rPr>
  </w:style>
  <w:style w:type="paragraph" w:customStyle="1" w:styleId="274">
    <w:name w:val="WPSOffice手动目录 1"/>
    <w:qFormat/>
    <w:uiPriority w:val="0"/>
    <w:rPr>
      <w:rFonts w:ascii="Times New Roman" w:hAnsi="Times New Roman" w:eastAsia="宋体" w:cs="Times New Roman"/>
      <w:lang w:val="en-US" w:eastAsia="zh-CN" w:bidi="ar-SA"/>
    </w:rPr>
  </w:style>
  <w:style w:type="paragraph" w:customStyle="1" w:styleId="27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76">
    <w:name w:val="样式 正文文本文本正文正文文字 Char Char Char Char + 居中 首行缩进:  0 厘米 段前: 6 磅"/>
    <w:basedOn w:val="2"/>
    <w:next w:val="1"/>
    <w:qFormat/>
    <w:uiPriority w:val="0"/>
    <w:pPr>
      <w:tabs>
        <w:tab w:val="center" w:pos="4153"/>
        <w:tab w:val="right" w:pos="8306"/>
      </w:tabs>
      <w:snapToGrid/>
      <w:spacing w:before="120"/>
      <w:jc w:val="center"/>
    </w:pPr>
    <w:rPr>
      <w:rFonts w:ascii="宋体" w:cs="宋体"/>
      <w:w w:val="90"/>
      <w:sz w:val="24"/>
      <w:szCs w:val="24"/>
    </w:rPr>
  </w:style>
  <w:style w:type="paragraph" w:customStyle="1" w:styleId="277">
    <w:name w:val="正文(邵)"/>
    <w:basedOn w:val="1"/>
    <w:qFormat/>
    <w:uiPriority w:val="0"/>
    <w:pPr>
      <w:snapToGrid w:val="0"/>
      <w:spacing w:line="360" w:lineRule="auto"/>
      <w:ind w:firstLine="480"/>
    </w:pPr>
    <w:rPr>
      <w:sz w:val="24"/>
      <w:lang w:bidi="en-US"/>
    </w:rPr>
  </w:style>
  <w:style w:type="paragraph" w:customStyle="1" w:styleId="278">
    <w:name w:val="报告"/>
    <w:basedOn w:val="1"/>
    <w:qFormat/>
    <w:uiPriority w:val="0"/>
    <w:pPr>
      <w:overflowPunct w:val="0"/>
      <w:autoSpaceDE w:val="0"/>
      <w:autoSpaceDN w:val="0"/>
      <w:adjustRightInd w:val="0"/>
      <w:snapToGrid w:val="0"/>
      <w:spacing w:before="160" w:after="160" w:line="400" w:lineRule="atLeast"/>
      <w:ind w:firstLine="480" w:firstLineChars="200"/>
      <w:textAlignment w:val="baseline"/>
    </w:pPr>
    <w:rPr>
      <w:b/>
      <w:snapToGrid w:val="0"/>
      <w:sz w:val="24"/>
    </w:rPr>
  </w:style>
  <w:style w:type="paragraph" w:customStyle="1" w:styleId="279">
    <w:name w:val="标正"/>
    <w:basedOn w:val="277"/>
    <w:qFormat/>
    <w:uiPriority w:val="0"/>
    <w:pPr>
      <w:widowControl/>
      <w:ind w:firstLine="200" w:firstLineChars="200"/>
    </w:pPr>
  </w:style>
  <w:style w:type="paragraph" w:customStyle="1" w:styleId="280">
    <w:name w:val="Table Paragraph"/>
    <w:basedOn w:val="1"/>
    <w:qFormat/>
    <w:uiPriority w:val="0"/>
    <w:pPr>
      <w:jc w:val="center"/>
    </w:pPr>
    <w:rPr>
      <w:rFonts w:ascii="宋体" w:hAnsi="宋体" w:cs="宋体"/>
      <w:sz w:val="22"/>
      <w:szCs w:val="22"/>
    </w:rPr>
  </w:style>
  <w:style w:type="paragraph" w:customStyle="1" w:styleId="281">
    <w:name w:val="+"/>
    <w:qFormat/>
    <w:uiPriority w:val="0"/>
    <w:pPr>
      <w:widowControl w:val="0"/>
      <w:adjustRightInd w:val="0"/>
      <w:snapToGrid w:val="0"/>
      <w:spacing w:line="360" w:lineRule="auto"/>
      <w:ind w:firstLine="420" w:firstLineChars="200"/>
    </w:pPr>
    <w:rPr>
      <w:rFonts w:ascii="Times New Roman" w:hAnsi="Times New Roman" w:eastAsia="宋体" w:cs="Times New Roman"/>
      <w:sz w:val="24"/>
      <w:szCs w:val="24"/>
      <w:lang w:val="en-US" w:eastAsia="zh-CN" w:bidi="ar-SA"/>
    </w:rPr>
  </w:style>
  <w:style w:type="character" w:customStyle="1" w:styleId="282">
    <w:name w:val="font21"/>
    <w:basedOn w:val="49"/>
    <w:qFormat/>
    <w:uiPriority w:val="0"/>
    <w:rPr>
      <w:rFonts w:hint="eastAsia" w:ascii="宋体" w:hAnsi="宋体" w:eastAsia="宋体" w:cs="宋体"/>
      <w:color w:val="000000"/>
      <w:sz w:val="22"/>
      <w:szCs w:val="22"/>
      <w:u w:val="none"/>
    </w:rPr>
  </w:style>
  <w:style w:type="character" w:customStyle="1" w:styleId="283">
    <w:name w:val="font01"/>
    <w:basedOn w:val="49"/>
    <w:qFormat/>
    <w:uiPriority w:val="0"/>
    <w:rPr>
      <w:rFonts w:hint="eastAsia" w:ascii="宋体" w:hAnsi="宋体" w:eastAsia="宋体" w:cs="宋体"/>
      <w:color w:val="000000"/>
      <w:sz w:val="22"/>
      <w:szCs w:val="22"/>
      <w:u w:val="none"/>
    </w:rPr>
  </w:style>
  <w:style w:type="paragraph" w:customStyle="1" w:styleId="284">
    <w:name w:val="B正文"/>
    <w:basedOn w:val="1"/>
    <w:qFormat/>
    <w:uiPriority w:val="0"/>
    <w:pPr>
      <w:spacing w:line="360" w:lineRule="auto"/>
      <w:ind w:firstLine="200" w:firstLineChars="200"/>
    </w:pPr>
    <w:rPr>
      <w:sz w:val="24"/>
    </w:rPr>
  </w:style>
  <w:style w:type="paragraph" w:customStyle="1" w:styleId="285">
    <w:name w:val="B表内"/>
    <w:basedOn w:val="1"/>
    <w:qFormat/>
    <w:uiPriority w:val="0"/>
    <w:pPr>
      <w:spacing w:line="0" w:lineRule="atLeast"/>
      <w:jc w:val="center"/>
    </w:pPr>
    <w:rPr>
      <w:rFonts w:cs="宋体"/>
      <w:szCs w:val="20"/>
    </w:rPr>
  </w:style>
  <w:style w:type="paragraph" w:customStyle="1" w:styleId="286">
    <w:name w:val="6表格内容"/>
    <w:basedOn w:val="1"/>
    <w:next w:val="1"/>
    <w:qFormat/>
    <w:uiPriority w:val="0"/>
    <w:pPr>
      <w:jc w:val="center"/>
    </w:pPr>
    <w:rPr>
      <w:rFonts w:ascii="Calibri" w:hAnsi="Calibri"/>
      <w:szCs w:val="21"/>
    </w:rPr>
  </w:style>
  <w:style w:type="paragraph" w:customStyle="1" w:styleId="287">
    <w:name w:val="报告书正文"/>
    <w:basedOn w:val="1"/>
    <w:next w:val="1"/>
    <w:qFormat/>
    <w:uiPriority w:val="0"/>
    <w:pPr>
      <w:spacing w:line="520" w:lineRule="exact"/>
      <w:ind w:firstLine="200" w:firstLineChars="200"/>
    </w:pPr>
    <w:rPr>
      <w:rFonts w:ascii="Calibri" w:hAnsi="Calibri"/>
      <w:sz w:val="24"/>
    </w:rPr>
  </w:style>
  <w:style w:type="paragraph" w:customStyle="1" w:styleId="288">
    <w:name w:val="5图表标题"/>
    <w:basedOn w:val="1"/>
    <w:next w:val="1"/>
    <w:qFormat/>
    <w:uiPriority w:val="0"/>
    <w:pPr>
      <w:spacing w:line="360" w:lineRule="auto"/>
      <w:jc w:val="center"/>
    </w:pPr>
    <w:rPr>
      <w:rFonts w:ascii="Calibri" w:hAnsi="Calibri" w:eastAsia="黑体"/>
      <w:b/>
      <w:bCs/>
      <w:szCs w:val="21"/>
    </w:rPr>
  </w:style>
  <w:style w:type="character" w:customStyle="1" w:styleId="289">
    <w:name w:val="环评正文 Char Char"/>
    <w:link w:val="290"/>
    <w:qFormat/>
    <w:uiPriority w:val="99"/>
    <w:rPr>
      <w:sz w:val="24"/>
      <w:szCs w:val="24"/>
    </w:rPr>
  </w:style>
  <w:style w:type="paragraph" w:customStyle="1" w:styleId="290">
    <w:name w:val="环评正文"/>
    <w:basedOn w:val="1"/>
    <w:link w:val="289"/>
    <w:qFormat/>
    <w:uiPriority w:val="0"/>
    <w:pPr>
      <w:spacing w:line="360" w:lineRule="auto"/>
      <w:ind w:firstLine="200" w:firstLineChars="200"/>
    </w:pPr>
    <w:rPr>
      <w:kern w:val="0"/>
      <w:sz w:val="24"/>
    </w:rPr>
  </w:style>
  <w:style w:type="character" w:customStyle="1" w:styleId="291">
    <w:name w:val="description"/>
    <w:basedOn w:val="49"/>
    <w:qFormat/>
    <w:uiPriority w:val="0"/>
  </w:style>
  <w:style w:type="character" w:customStyle="1" w:styleId="292">
    <w:name w:val="表格文字 Char"/>
    <w:link w:val="190"/>
    <w:qFormat/>
    <w:uiPriority w:val="0"/>
    <w:rPr>
      <w:kern w:val="2"/>
      <w:sz w:val="21"/>
    </w:rPr>
  </w:style>
  <w:style w:type="paragraph" w:customStyle="1" w:styleId="293">
    <w:name w:val="表格内正文"/>
    <w:basedOn w:val="1"/>
    <w:qFormat/>
    <w:uiPriority w:val="0"/>
    <w:pPr>
      <w:spacing w:line="360" w:lineRule="auto"/>
      <w:ind w:firstLine="493"/>
    </w:pPr>
    <w:rPr>
      <w:rFonts w:ascii="宋体" w:hAnsi="宋体"/>
      <w:spacing w:val="4"/>
      <w:kern w:val="18"/>
      <w:szCs w:val="22"/>
    </w:rPr>
  </w:style>
  <w:style w:type="paragraph" w:customStyle="1" w:styleId="29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295">
    <w:name w:val="正文首行缩进 2 + Times New Roman"/>
    <w:basedOn w:val="1"/>
    <w:qFormat/>
    <w:uiPriority w:val="0"/>
    <w:pPr>
      <w:tabs>
        <w:tab w:val="left" w:pos="0"/>
        <w:tab w:val="left" w:pos="3150"/>
        <w:tab w:val="left" w:pos="6180"/>
      </w:tabs>
      <w:autoSpaceDE w:val="0"/>
      <w:autoSpaceDN w:val="0"/>
      <w:spacing w:line="324" w:lineRule="auto"/>
      <w:ind w:right="113" w:firstLine="420" w:firstLineChars="200"/>
    </w:pPr>
    <w:rPr>
      <w:rFonts w:ascii="宋体"/>
      <w:kern w:val="0"/>
      <w:sz w:val="24"/>
      <w:szCs w:val="20"/>
    </w:rPr>
  </w:style>
  <w:style w:type="character" w:customStyle="1" w:styleId="296">
    <w:name w:val="font81"/>
    <w:basedOn w:val="49"/>
    <w:qFormat/>
    <w:uiPriority w:val="0"/>
    <w:rPr>
      <w:rFonts w:hint="default" w:ascii="Times New Roman" w:hAnsi="Times New Roman" w:cs="Times New Roman"/>
      <w:color w:val="000000"/>
      <w:sz w:val="20"/>
      <w:szCs w:val="20"/>
      <w:u w:val="none"/>
    </w:rPr>
  </w:style>
  <w:style w:type="paragraph" w:customStyle="1" w:styleId="297">
    <w:name w:val="Heading 1"/>
    <w:basedOn w:val="1"/>
    <w:qFormat/>
    <w:uiPriority w:val="1"/>
    <w:pPr>
      <w:spacing w:line="552" w:lineRule="exact"/>
      <w:ind w:left="655" w:hanging="258"/>
      <w:outlineLvl w:val="1"/>
    </w:pPr>
    <w:rPr>
      <w:rFonts w:ascii="Microsoft JhengHei" w:hAnsi="Microsoft JhengHei" w:eastAsia="Microsoft JhengHei" w:cs="Microsoft JhengHei"/>
      <w:b/>
      <w:bCs/>
      <w:sz w:val="32"/>
      <w:szCs w:val="32"/>
    </w:rPr>
  </w:style>
  <w:style w:type="paragraph" w:customStyle="1" w:styleId="298">
    <w:name w:val="样式 小四 行距: 1.5 倍行距"/>
    <w:basedOn w:val="1"/>
    <w:qFormat/>
    <w:uiPriority w:val="0"/>
    <w:pPr>
      <w:ind w:firstLine="480" w:firstLineChars="200"/>
    </w:pPr>
    <w:rPr>
      <w:rFonts w:hint="default" w:cs="宋体"/>
    </w:rPr>
  </w:style>
  <w:style w:type="paragraph" w:customStyle="1" w:styleId="299">
    <w:name w:val="XZW"/>
    <w:basedOn w:val="300"/>
    <w:qFormat/>
    <w:uiPriority w:val="0"/>
    <w:rPr>
      <w:rFonts w:eastAsia="仿宋_GB2312"/>
      <w:sz w:val="28"/>
    </w:rPr>
  </w:style>
  <w:style w:type="paragraph" w:customStyle="1" w:styleId="300">
    <w:name w:val="ZW"/>
    <w:basedOn w:val="1"/>
    <w:qFormat/>
    <w:uiPriority w:val="0"/>
    <w:pPr>
      <w:adjustRightInd w:val="0"/>
      <w:snapToGrid w:val="0"/>
      <w:ind w:firstLine="200"/>
    </w:pPr>
    <w:rPr>
      <w:kern w:val="0"/>
    </w:rPr>
  </w:style>
  <w:style w:type="paragraph" w:customStyle="1" w:styleId="301">
    <w:name w:val="正文样式"/>
    <w:basedOn w:val="1"/>
    <w:qFormat/>
    <w:uiPriority w:val="0"/>
    <w:pPr>
      <w:spacing w:line="360" w:lineRule="auto"/>
      <w:ind w:right="170" w:firstLine="480" w:firstLineChars="200"/>
    </w:pPr>
    <w:rPr>
      <w:rFonts w:ascii="Calibri" w:hAnsi="宋体"/>
      <w:sz w:val="24"/>
    </w:rPr>
  </w:style>
  <w:style w:type="paragraph" w:customStyle="1" w:styleId="302">
    <w:name w:val="表头 1"/>
    <w:basedOn w:val="1"/>
    <w:next w:val="1"/>
    <w:qFormat/>
    <w:uiPriority w:val="0"/>
    <w:pPr>
      <w:adjustRightInd w:val="0"/>
      <w:snapToGrid w:val="0"/>
      <w:jc w:val="center"/>
    </w:pPr>
    <w:rPr>
      <w:b/>
      <w:sz w:val="24"/>
    </w:rPr>
  </w:style>
  <w:style w:type="paragraph" w:customStyle="1" w:styleId="303">
    <w:name w:val="表格字体"/>
    <w:basedOn w:val="1"/>
    <w:qFormat/>
    <w:uiPriority w:val="0"/>
    <w:pPr>
      <w:spacing w:before="62" w:beforeLines="20" w:after="62" w:afterLines="20" w:line="360" w:lineRule="auto"/>
      <w:jc w:val="center"/>
    </w:pPr>
    <w:rPr>
      <w:sz w:val="24"/>
      <w:szCs w:val="21"/>
    </w:rPr>
  </w:style>
  <w:style w:type="paragraph" w:customStyle="1" w:styleId="304">
    <w:name w:val="表格字体1"/>
    <w:basedOn w:val="1"/>
    <w:qFormat/>
    <w:uiPriority w:val="0"/>
    <w:pPr>
      <w:widowControl/>
      <w:adjustRightInd w:val="0"/>
      <w:snapToGrid w:val="0"/>
      <w:spacing w:beforeLines="20" w:afterLines="20"/>
      <w:jc w:val="center"/>
    </w:pPr>
    <w:rPr>
      <w:color w:val="000000"/>
      <w:kern w:val="0"/>
      <w:szCs w:val="21"/>
    </w:rPr>
  </w:style>
  <w:style w:type="paragraph" w:customStyle="1" w:styleId="305">
    <w:name w:val="标题2"/>
    <w:basedOn w:val="1"/>
    <w:next w:val="1"/>
    <w:qFormat/>
    <w:uiPriority w:val="0"/>
    <w:pPr>
      <w:adjustRightInd w:val="0"/>
      <w:snapToGrid w:val="0"/>
      <w:spacing w:line="360" w:lineRule="auto"/>
    </w:pPr>
    <w:rPr>
      <w:rFonts w:hAnsi="宋体"/>
      <w:b/>
      <w:bCs/>
      <w:sz w:val="28"/>
      <w:szCs w:val="28"/>
    </w:rPr>
  </w:style>
  <w:style w:type="character" w:customStyle="1" w:styleId="306">
    <w:name w:val="表头 Char"/>
    <w:link w:val="10"/>
    <w:qFormat/>
    <w:uiPriority w:val="0"/>
    <w:rPr>
      <w:rFonts w:ascii="Arial" w:hAnsi="Arial" w:eastAsia="黑体"/>
      <w:b/>
      <w:szCs w:val="21"/>
    </w:rPr>
  </w:style>
  <w:style w:type="character" w:customStyle="1" w:styleId="307">
    <w:name w:val="font11"/>
    <w:basedOn w:val="49"/>
    <w:qFormat/>
    <w:uiPriority w:val="0"/>
    <w:rPr>
      <w:rFonts w:hint="eastAsia" w:ascii="宋体" w:hAnsi="宋体" w:eastAsia="宋体" w:cs="宋体"/>
      <w:color w:val="000000"/>
      <w:sz w:val="20"/>
      <w:szCs w:val="20"/>
      <w:u w:val="none"/>
    </w:rPr>
  </w:style>
  <w:style w:type="character" w:customStyle="1" w:styleId="308">
    <w:name w:val="普通(网站) Char"/>
    <w:basedOn w:val="49"/>
    <w:link w:val="42"/>
    <w:qFormat/>
    <w:uiPriority w:val="0"/>
    <w:rPr>
      <w:rFonts w:hint="eastAsia" w:ascii="宋体" w:hAnsi="宋体" w:eastAsia="宋体" w:cs="宋体"/>
      <w:sz w:val="24"/>
    </w:rPr>
  </w:style>
  <w:style w:type="paragraph" w:customStyle="1" w:styleId="309">
    <w:name w:val="0正文"/>
    <w:basedOn w:val="1"/>
    <w:qFormat/>
    <w:uiPriority w:val="0"/>
    <w:pPr>
      <w:keepNext w:val="0"/>
      <w:keepLines w:val="0"/>
      <w:widowControl w:val="0"/>
      <w:suppressLineNumbers w:val="0"/>
      <w:adjustRightInd w:val="0"/>
      <w:snapToGrid w:val="0"/>
      <w:spacing w:before="0" w:beforeAutospacing="0" w:after="0" w:afterAutospacing="0" w:line="360" w:lineRule="auto"/>
      <w:ind w:left="0" w:right="0" w:firstLine="200" w:firstLineChars="200"/>
      <w:jc w:val="both"/>
    </w:pPr>
    <w:rPr>
      <w:rFonts w:hint="default" w:ascii="Times New Roman" w:hAnsi="Times New Roman" w:eastAsia="宋体" w:cs="Times New Roman"/>
      <w:kern w:val="2"/>
      <w:sz w:val="24"/>
      <w:szCs w:val="24"/>
      <w:lang w:val="en-US" w:eastAsia="zh-CN" w:bidi="ar"/>
    </w:rPr>
  </w:style>
  <w:style w:type="paragraph" w:customStyle="1" w:styleId="310">
    <w:name w:val="Char Char Char Char Char Char Char Char Char Char Char Char Char 字元 字元"/>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4"/>
      <w:lang w:val="en-US" w:eastAsia="zh-CN" w:bidi="ar"/>
    </w:rPr>
  </w:style>
  <w:style w:type="character" w:customStyle="1" w:styleId="311">
    <w:name w:val="font51"/>
    <w:basedOn w:val="49"/>
    <w:qFormat/>
    <w:uiPriority w:val="0"/>
    <w:rPr>
      <w:rFonts w:hint="default" w:ascii="Times New Roman" w:hAnsi="Times New Roman" w:cs="Times New Roman"/>
      <w:color w:val="000000"/>
      <w:sz w:val="21"/>
      <w:szCs w:val="21"/>
      <w:u w:val="none"/>
    </w:rPr>
  </w:style>
  <w:style w:type="character" w:customStyle="1" w:styleId="312">
    <w:name w:val="font71"/>
    <w:basedOn w:val="49"/>
    <w:qFormat/>
    <w:uiPriority w:val="0"/>
    <w:rPr>
      <w:rFonts w:hint="default" w:ascii="Times New Roman" w:hAnsi="Times New Roman" w:cs="Times New Roman"/>
      <w:b/>
      <w:color w:val="000000"/>
      <w:sz w:val="22"/>
      <w:szCs w:val="22"/>
      <w:u w:val="none"/>
    </w:rPr>
  </w:style>
  <w:style w:type="paragraph" w:customStyle="1" w:styleId="313">
    <w:name w:val="正文20110824"/>
    <w:basedOn w:val="1"/>
    <w:qFormat/>
    <w:uiPriority w:val="0"/>
    <w:pPr>
      <w:keepNext w:val="0"/>
      <w:keepLines w:val="0"/>
      <w:widowControl w:val="0"/>
      <w:suppressLineNumbers w:val="0"/>
      <w:spacing w:before="0" w:beforeAutospacing="0" w:after="0" w:afterAutospacing="0" w:line="360" w:lineRule="auto"/>
      <w:ind w:left="0" w:right="0" w:firstLine="200" w:firstLineChars="200"/>
      <w:jc w:val="both"/>
    </w:pPr>
    <w:rPr>
      <w:rFonts w:hint="default" w:ascii="Calibri" w:hAnsi="Calibri" w:eastAsia="宋体" w:cs="Times New Roman"/>
      <w:color w:val="000000"/>
      <w:kern w:val="2"/>
      <w:sz w:val="24"/>
      <w:szCs w:val="24"/>
      <w:lang w:val="en-US" w:eastAsia="zh-CN" w:bidi="ar"/>
    </w:rPr>
  </w:style>
  <w:style w:type="paragraph" w:customStyle="1" w:styleId="314">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0"/>
      <w:sz w:val="24"/>
      <w:szCs w:val="24"/>
      <w:lang w:val="en-US" w:eastAsia="zh-CN" w:bidi="ar"/>
    </w:rPr>
  </w:style>
  <w:style w:type="paragraph" w:customStyle="1" w:styleId="315">
    <w:name w:val="标题3"/>
    <w:next w:val="1"/>
    <w:qFormat/>
    <w:uiPriority w:val="99"/>
    <w:pPr>
      <w:spacing w:line="360" w:lineRule="auto"/>
      <w:jc w:val="both"/>
      <w:outlineLvl w:val="2"/>
    </w:pPr>
    <w:rPr>
      <w:rFonts w:ascii="Times New Roman" w:hAnsi="Times New Roman" w:eastAsia="宋体" w:cs="Times New Roman"/>
      <w:b/>
      <w:bCs/>
      <w:kern w:val="2"/>
      <w:sz w:val="28"/>
      <w:szCs w:val="28"/>
      <w:lang w:val="en-US" w:eastAsia="zh-CN" w:bidi="ar-SA"/>
    </w:rPr>
  </w:style>
  <w:style w:type="paragraph" w:customStyle="1" w:styleId="316">
    <w:name w:val="Char Char11"/>
    <w:basedOn w:val="1"/>
    <w:qFormat/>
    <w:uiPriority w:val="0"/>
    <w:pPr>
      <w:spacing w:line="360" w:lineRule="auto"/>
      <w:ind w:firstLine="200" w:firstLineChars="200"/>
    </w:pPr>
    <w:rPr>
      <w:rFonts w:ascii="Times New Roman" w:hAnsi="宋体" w:cs="宋体"/>
      <w:sz w:val="24"/>
    </w:rPr>
  </w:style>
  <w:style w:type="paragraph" w:customStyle="1" w:styleId="317">
    <w:name w:val="表头表格"/>
    <w:basedOn w:val="1"/>
    <w:qFormat/>
    <w:uiPriority w:val="0"/>
    <w:pPr>
      <w:snapToGrid w:val="0"/>
      <w:spacing w:beforeLines="50" w:line="360" w:lineRule="auto"/>
      <w:jc w:val="center"/>
    </w:pPr>
    <w:rPr>
      <w:rFonts w:ascii="Times New Roman"/>
      <w:b/>
      <w:bCs/>
      <w:color w:val="000000"/>
      <w:kern w:val="2"/>
      <w:sz w:val="21"/>
      <w:szCs w:val="21"/>
    </w:rPr>
  </w:style>
  <w:style w:type="paragraph" w:customStyle="1" w:styleId="318">
    <w:name w:val="表格内文字"/>
    <w:basedOn w:val="10"/>
    <w:qFormat/>
    <w:uiPriority w:val="0"/>
    <w:pPr>
      <w:snapToGrid/>
      <w:spacing w:line="240" w:lineRule="auto"/>
      <w:ind w:left="0" w:leftChars="0" w:right="0" w:rightChars="0" w:firstLine="0" w:firstLineChars="0"/>
    </w:pPr>
    <w:rPr>
      <w:color w:val="auto"/>
      <w:kern w:val="0"/>
      <w:sz w:val="21"/>
      <w:szCs w:val="20"/>
    </w:rPr>
  </w:style>
  <w:style w:type="paragraph" w:customStyle="1" w:styleId="319">
    <w:name w:val="表格名称"/>
    <w:basedOn w:val="1"/>
    <w:next w:val="1"/>
    <w:qFormat/>
    <w:uiPriority w:val="0"/>
    <w:pPr>
      <w:keepNext/>
      <w:keepLines/>
      <w:widowControl/>
      <w:tabs>
        <w:tab w:val="left" w:pos="993"/>
        <w:tab w:val="center" w:pos="4112"/>
      </w:tabs>
      <w:topLinePunct/>
      <w:autoSpaceDE w:val="0"/>
      <w:autoSpaceDN w:val="0"/>
      <w:adjustRightInd w:val="0"/>
      <w:spacing w:before="156" w:beforeLines="50" w:line="360" w:lineRule="auto"/>
      <w:jc w:val="left"/>
      <w:outlineLvl w:val="8"/>
    </w:pPr>
    <w:rPr>
      <w:rFonts w:eastAsia="仿宋_GB2312"/>
      <w:sz w:val="24"/>
    </w:rPr>
  </w:style>
  <w:style w:type="paragraph" w:customStyle="1" w:styleId="320">
    <w:name w:val="（报告）正文"/>
    <w:basedOn w:val="1"/>
    <w:qFormat/>
    <w:uiPriority w:val="0"/>
    <w:pPr>
      <w:adjustRightInd w:val="0"/>
      <w:spacing w:line="360" w:lineRule="auto"/>
      <w:ind w:firstLine="480" w:firstLineChars="200"/>
    </w:pPr>
    <w:rPr>
      <w:rFonts w:cs="宋体"/>
      <w:sz w:val="24"/>
      <w:szCs w:val="28"/>
    </w:rPr>
  </w:style>
  <w:style w:type="paragraph" w:customStyle="1" w:styleId="321">
    <w:name w:val="lgg文本"/>
    <w:basedOn w:val="1"/>
    <w:qFormat/>
    <w:uiPriority w:val="0"/>
    <w:pPr>
      <w:spacing w:line="360" w:lineRule="auto"/>
      <w:ind w:firstLine="480" w:firstLineChars="200"/>
    </w:pPr>
    <w:rPr>
      <w:sz w:val="24"/>
      <w:szCs w:val="24"/>
    </w:rPr>
  </w:style>
  <w:style w:type="paragraph" w:customStyle="1" w:styleId="322">
    <w:name w:val="cjk"/>
    <w:basedOn w:val="1"/>
    <w:qFormat/>
    <w:uiPriority w:val="0"/>
    <w:pPr>
      <w:jc w:val="left"/>
    </w:pPr>
    <w:rPr>
      <w:rFonts w:ascii="等线" w:hAnsi="等线" w:eastAsia="等线" w:cs="等线"/>
      <w:kern w:val="0"/>
      <w:sz w:val="20"/>
      <w:szCs w:val="20"/>
      <w:lang w:val="en-US" w:eastAsia="zh-CN" w:bidi="ar"/>
    </w:rPr>
  </w:style>
  <w:style w:type="paragraph" w:customStyle="1" w:styleId="323">
    <w:name w:val="!正文"/>
    <w:basedOn w:val="1"/>
    <w:qFormat/>
    <w:uiPriority w:val="0"/>
    <w:pPr>
      <w:ind w:firstLine="480"/>
    </w:pPr>
  </w:style>
  <w:style w:type="paragraph" w:customStyle="1" w:styleId="324">
    <w:name w:val="zl正文"/>
    <w:basedOn w:val="1"/>
    <w:qFormat/>
    <w:uiPriority w:val="0"/>
    <w:pPr>
      <w:spacing w:line="360" w:lineRule="auto"/>
      <w:ind w:firstLine="480" w:firstLineChars="200"/>
    </w:pPr>
    <w:rPr>
      <w:sz w:val="24"/>
    </w:rPr>
  </w:style>
  <w:style w:type="character" w:customStyle="1" w:styleId="325">
    <w:name w:val="font41"/>
    <w:basedOn w:val="49"/>
    <w:qFormat/>
    <w:uiPriority w:val="0"/>
    <w:rPr>
      <w:rFonts w:hint="eastAsia" w:ascii="宋体" w:hAnsi="宋体" w:eastAsia="宋体" w:cs="宋体"/>
      <w:color w:val="000000"/>
      <w:sz w:val="16"/>
      <w:szCs w:val="16"/>
      <w:u w:val="none"/>
    </w:rPr>
  </w:style>
  <w:style w:type="paragraph" w:customStyle="1" w:styleId="326">
    <w:name w:val="cucd-0"/>
    <w:qFormat/>
    <w:uiPriority w:val="0"/>
    <w:pPr>
      <w:spacing w:line="360"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327">
    <w:name w:val="a表格"/>
    <w:next w:val="45"/>
    <w:qFormat/>
    <w:uiPriority w:val="0"/>
    <w:pPr>
      <w:jc w:val="center"/>
    </w:pPr>
    <w:rPr>
      <w:rFonts w:ascii="Times New Roman" w:hAnsi="Times New Roman" w:eastAsia="宋体" w:cs="Times New Roman"/>
      <w:sz w:val="21"/>
      <w:szCs w:val="24"/>
      <w:lang w:val="en-US" w:eastAsia="zh-CN" w:bidi="ar-SA"/>
    </w:rPr>
  </w:style>
  <w:style w:type="paragraph" w:customStyle="1" w:styleId="328">
    <w:name w:val="报告书表格"/>
    <w:basedOn w:val="1"/>
    <w:qFormat/>
    <w:uiPriority w:val="0"/>
    <w:pPr>
      <w:adjustRightInd w:val="0"/>
      <w:spacing w:before="60" w:after="60" w:line="240" w:lineRule="atLeast"/>
      <w:jc w:val="center"/>
      <w:textAlignment w:val="baseline"/>
    </w:pPr>
    <w:rPr>
      <w:kern w:val="0"/>
      <w:szCs w:val="20"/>
    </w:rPr>
  </w:style>
  <w:style w:type="paragraph" w:customStyle="1" w:styleId="329">
    <w:name w:val="我的正文"/>
    <w:basedOn w:val="1"/>
    <w:qFormat/>
    <w:uiPriority w:val="0"/>
    <w:pPr>
      <w:spacing w:line="520" w:lineRule="exact"/>
      <w:ind w:firstLine="200" w:firstLineChars="200"/>
    </w:pPr>
    <w:rPr>
      <w:color w:val="000000"/>
      <w:sz w:val="24"/>
      <w:szCs w:val="20"/>
    </w:rPr>
  </w:style>
  <w:style w:type="paragraph" w:customStyle="1" w:styleId="330">
    <w:name w:val="样式 报告 + 行距: 固定值 25 磅"/>
    <w:basedOn w:val="278"/>
    <w:qFormat/>
    <w:uiPriority w:val="0"/>
    <w:pPr>
      <w:overflowPunct/>
      <w:autoSpaceDE/>
      <w:autoSpaceDN/>
      <w:spacing w:before="0" w:beforeLines="0" w:after="0" w:afterLines="0" w:line="360" w:lineRule="auto"/>
      <w:ind w:firstLine="480"/>
      <w:textAlignment w:val="center"/>
    </w:pPr>
    <w:rPr>
      <w:rFonts w:hAnsi="宋体"/>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1.jpeg"/><Relationship Id="rId26" Type="http://schemas.openxmlformats.org/officeDocument/2006/relationships/image" Target="media/image10.jpeg"/><Relationship Id="rId25" Type="http://schemas.openxmlformats.org/officeDocument/2006/relationships/image" Target="media/image9.jpe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jpeg"/><Relationship Id="rId21" Type="http://schemas.openxmlformats.org/officeDocument/2006/relationships/image" Target="media/image5.e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4.emf"/><Relationship Id="rId18" Type="http://schemas.openxmlformats.org/officeDocument/2006/relationships/oleObject" Target="embeddings/oleObject1.bin"/><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AF4D15-F626-4508-BA77-D583CAF66B3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70</Pages>
  <Words>37290</Words>
  <Characters>39637</Characters>
  <Lines>269</Lines>
  <Paragraphs>75</Paragraphs>
  <TotalTime>0</TotalTime>
  <ScaleCrop>false</ScaleCrop>
  <LinksUpToDate>false</LinksUpToDate>
  <CharactersWithSpaces>43195</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2020-07-11T03:22:00Z</dcterms:created>
  <dc:creator>刘晓强</dc:creator>
  <cp:lastModifiedBy>仙人掌</cp:lastModifiedBy>
  <cp:lastPrinted>2017-05-27T09:04:00Z</cp:lastPrinted>
  <dcterms:modified xsi:type="dcterms:W3CDTF">2023-10-10T02:03:55Z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A5BFC76F041840C39B7CB4953576DF54_13</vt:lpwstr>
  </property>
</Properties>
</file>