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8"/>
        <w:ind w:left="318" w:right="559" w:firstLine="0"/>
        <w:jc w:val="center"/>
        <w:rPr>
          <w:rFonts w:hint="default" w:ascii="仿宋" w:eastAsia="仿宋"/>
          <w:sz w:val="32"/>
          <w:lang w:val="en-US" w:eastAsia="zh-CN"/>
        </w:rPr>
      </w:pPr>
      <w:r>
        <w:rPr>
          <w:rFonts w:hint="eastAsia" w:ascii="仿宋" w:eastAsia="仿宋"/>
          <w:sz w:val="32"/>
        </w:rPr>
        <w:t>预 案 编 号：</w:t>
      </w:r>
      <w:r>
        <w:rPr>
          <w:rFonts w:hint="eastAsia" w:ascii="仿宋" w:eastAsia="仿宋"/>
          <w:sz w:val="32"/>
          <w:lang w:val="en-US" w:eastAsia="zh-CN"/>
        </w:rPr>
        <w:t>20231010-01</w:t>
      </w:r>
    </w:p>
    <w:p>
      <w:pPr>
        <w:pStyle w:val="5"/>
        <w:rPr>
          <w:rFonts w:ascii="仿宋"/>
          <w:sz w:val="32"/>
        </w:rPr>
      </w:pPr>
    </w:p>
    <w:p>
      <w:pPr>
        <w:pStyle w:val="5"/>
        <w:rPr>
          <w:rFonts w:ascii="仿宋"/>
          <w:sz w:val="32"/>
        </w:rPr>
      </w:pPr>
    </w:p>
    <w:p>
      <w:pPr>
        <w:pStyle w:val="5"/>
        <w:rPr>
          <w:rFonts w:ascii="仿宋"/>
          <w:sz w:val="32"/>
        </w:rPr>
      </w:pPr>
    </w:p>
    <w:p>
      <w:pPr>
        <w:pStyle w:val="5"/>
        <w:rPr>
          <w:rFonts w:ascii="仿宋"/>
          <w:sz w:val="32"/>
        </w:rPr>
      </w:pPr>
    </w:p>
    <w:p>
      <w:pPr>
        <w:pStyle w:val="5"/>
        <w:spacing w:before="11"/>
        <w:ind w:firstLine="964" w:firstLineChars="200"/>
        <w:rPr>
          <w:rFonts w:ascii="宋体" w:hAnsi="宋体" w:eastAsia="宋体" w:cs="宋体"/>
          <w:b/>
          <w:sz w:val="48"/>
          <w:szCs w:val="22"/>
          <w:lang w:val="zh-CN" w:eastAsia="zh-CN" w:bidi="zh-CN"/>
        </w:rPr>
      </w:pPr>
      <w:r>
        <w:rPr>
          <w:rFonts w:hint="eastAsia" w:ascii="宋体" w:hAnsi="宋体" w:eastAsia="宋体" w:cs="宋体"/>
          <w:b/>
          <w:sz w:val="48"/>
          <w:szCs w:val="22"/>
          <w:lang w:val="zh-CN" w:eastAsia="zh-CN" w:bidi="zh-CN"/>
        </w:rPr>
        <w:t>宜春市佳绿肉类食品限公司</w:t>
      </w:r>
    </w:p>
    <w:p>
      <w:pPr>
        <w:spacing w:before="0"/>
        <w:ind w:left="318" w:right="552" w:firstLine="0"/>
        <w:jc w:val="center"/>
        <w:rPr>
          <w:b/>
          <w:sz w:val="48"/>
        </w:rPr>
      </w:pPr>
      <w:r>
        <w:rPr>
          <w:b/>
          <w:sz w:val="48"/>
        </w:rPr>
        <w:t>突发环境事件应急预案</w:t>
      </w:r>
    </w:p>
    <w:p>
      <w:pPr>
        <w:pStyle w:val="5"/>
        <w:rPr>
          <w:b/>
          <w:sz w:val="48"/>
        </w:rPr>
      </w:pPr>
    </w:p>
    <w:p>
      <w:pPr>
        <w:pStyle w:val="5"/>
        <w:rPr>
          <w:b/>
          <w:sz w:val="48"/>
        </w:rPr>
      </w:pPr>
    </w:p>
    <w:p>
      <w:pPr>
        <w:pStyle w:val="5"/>
        <w:rPr>
          <w:b/>
          <w:sz w:val="48"/>
        </w:rPr>
      </w:pPr>
    </w:p>
    <w:p>
      <w:pPr>
        <w:pStyle w:val="5"/>
        <w:rPr>
          <w:b/>
          <w:sz w:val="48"/>
        </w:rPr>
      </w:pPr>
    </w:p>
    <w:p>
      <w:pPr>
        <w:pStyle w:val="5"/>
        <w:rPr>
          <w:b/>
          <w:sz w:val="48"/>
        </w:rPr>
      </w:pPr>
    </w:p>
    <w:p>
      <w:pPr>
        <w:autoSpaceDE/>
        <w:autoSpaceDN/>
        <w:spacing w:before="0" w:after="0" w:line="360" w:lineRule="auto"/>
        <w:ind w:left="0" w:right="0" w:firstLine="2579" w:firstLineChars="806"/>
        <w:jc w:val="both"/>
        <w:rPr>
          <w:rFonts w:hint="eastAsia" w:ascii="仿宋_GB2312" w:hAnsi="宋体" w:eastAsia="仿宋_GB2312" w:cs="Times New Roman"/>
          <w:kern w:val="2"/>
          <w:sz w:val="32"/>
          <w:szCs w:val="32"/>
          <w:lang w:val="en-US" w:bidi="ar-SA"/>
        </w:rPr>
      </w:pPr>
    </w:p>
    <w:p>
      <w:pPr>
        <w:autoSpaceDE/>
        <w:autoSpaceDN/>
        <w:spacing w:before="0" w:after="0" w:line="360" w:lineRule="auto"/>
        <w:ind w:left="0" w:right="0" w:firstLine="2579" w:firstLineChars="806"/>
        <w:jc w:val="both"/>
        <w:rPr>
          <w:rFonts w:hint="eastAsia" w:ascii="仿宋_GB2312" w:hAnsi="宋体" w:eastAsia="仿宋_GB2312" w:cs="Times New Roman"/>
          <w:kern w:val="2"/>
          <w:sz w:val="32"/>
          <w:szCs w:val="32"/>
          <w:lang w:val="en-US" w:bidi="ar-SA"/>
        </w:rPr>
      </w:pPr>
    </w:p>
    <w:p>
      <w:pPr>
        <w:pStyle w:val="27"/>
        <w:rPr>
          <w:rFonts w:hint="eastAsia" w:ascii="仿宋_GB2312" w:hAnsi="宋体" w:eastAsia="仿宋_GB2312" w:cs="Times New Roman"/>
          <w:kern w:val="2"/>
          <w:sz w:val="32"/>
          <w:szCs w:val="32"/>
          <w:lang w:val="en-US" w:bidi="ar-SA"/>
        </w:rPr>
      </w:pPr>
    </w:p>
    <w:p>
      <w:pPr>
        <w:pStyle w:val="2"/>
        <w:rPr>
          <w:rFonts w:hint="eastAsia" w:ascii="仿宋_GB2312" w:hAnsi="宋体" w:eastAsia="仿宋_GB2312" w:cs="Times New Roman"/>
          <w:kern w:val="2"/>
          <w:sz w:val="32"/>
          <w:szCs w:val="32"/>
          <w:lang w:val="en-US" w:bidi="ar-SA"/>
        </w:rPr>
      </w:pPr>
    </w:p>
    <w:p>
      <w:pPr>
        <w:pStyle w:val="4"/>
        <w:rPr>
          <w:rFonts w:hint="eastAsia"/>
          <w:lang w:val="en-US"/>
        </w:rPr>
      </w:pPr>
    </w:p>
    <w:p>
      <w:pPr>
        <w:pStyle w:val="5"/>
        <w:rPr>
          <w:sz w:val="28"/>
        </w:rPr>
      </w:pPr>
    </w:p>
    <w:p>
      <w:pPr>
        <w:pStyle w:val="5"/>
        <w:rPr>
          <w:sz w:val="28"/>
        </w:rPr>
      </w:pPr>
    </w:p>
    <w:p>
      <w:pPr>
        <w:pStyle w:val="5"/>
        <w:rPr>
          <w:sz w:val="28"/>
        </w:rPr>
      </w:pPr>
    </w:p>
    <w:p>
      <w:pPr>
        <w:pStyle w:val="5"/>
        <w:spacing w:before="10"/>
        <w:rPr>
          <w:sz w:val="26"/>
        </w:rPr>
      </w:pPr>
    </w:p>
    <w:tbl>
      <w:tblPr>
        <w:tblStyle w:val="15"/>
        <w:tblW w:w="0" w:type="auto"/>
        <w:jc w:val="center"/>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5840"/>
      </w:tblGrid>
      <w:tr>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777" w:hRule="atLeast"/>
          <w:jc w:val="center"/>
        </w:trPr>
        <w:tc>
          <w:tcPr>
            <w:tcW w:w="5840" w:type="dxa"/>
            <w:tcBorders>
              <w:bottom w:val="nil"/>
            </w:tcBorders>
            <w:noWrap w:val="0"/>
            <w:vAlign w:val="top"/>
          </w:tcPr>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b/>
                <w:color w:val="auto"/>
                <w:sz w:val="32"/>
                <w:szCs w:val="32"/>
                <w:highlight w:val="none"/>
                <w:u w:val="none"/>
                <w:vertAlign w:val="baseline"/>
              </w:rPr>
            </w:pPr>
            <w:r>
              <w:rPr>
                <w:rFonts w:hint="default" w:ascii="Times New Roman" w:hAnsi="Times New Roman" w:eastAsia="宋体" w:cs="Times New Roman"/>
                <w:b/>
                <w:color w:val="auto"/>
                <w:sz w:val="32"/>
                <w:szCs w:val="32"/>
                <w:highlight w:val="none"/>
                <w:u w:val="none"/>
              </w:rPr>
              <w:t>建设单位：</w:t>
            </w:r>
            <w:r>
              <w:rPr>
                <w:rFonts w:hint="default" w:ascii="Times New Roman" w:hAnsi="Times New Roman" w:eastAsia="宋体" w:cs="Times New Roman"/>
                <w:b/>
                <w:color w:val="auto"/>
                <w:sz w:val="32"/>
                <w:szCs w:val="32"/>
                <w:highlight w:val="none"/>
                <w:u w:val="none"/>
                <w:lang w:eastAsia="zh-CN"/>
              </w:rPr>
              <w:t>宜春市佳绿肉类食品限公司</w:t>
            </w:r>
          </w:p>
        </w:tc>
      </w:tr>
      <w:tr>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89" w:hRule="atLeast"/>
          <w:jc w:val="center"/>
        </w:trPr>
        <w:tc>
          <w:tcPr>
            <w:tcW w:w="5840" w:type="dxa"/>
            <w:tcBorders>
              <w:top w:val="nil"/>
              <w:bottom w:val="nil"/>
            </w:tcBorders>
            <w:noWrap w:val="0"/>
            <w:vAlign w:val="top"/>
          </w:tcPr>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b/>
                <w:color w:val="auto"/>
                <w:sz w:val="32"/>
                <w:szCs w:val="32"/>
                <w:highlight w:val="none"/>
                <w:u w:val="none"/>
                <w:vertAlign w:val="baseline"/>
              </w:rPr>
            </w:pPr>
            <w:r>
              <w:rPr>
                <w:rFonts w:hint="default" w:ascii="Times New Roman" w:hAnsi="Times New Roman" w:eastAsia="宋体" w:cs="Times New Roman"/>
                <w:b/>
                <w:color w:val="auto"/>
                <w:sz w:val="32"/>
                <w:szCs w:val="32"/>
                <w:highlight w:val="none"/>
                <w:u w:val="none"/>
                <w:lang w:val="en-US" w:eastAsia="zh-CN"/>
              </w:rPr>
              <w:t>发布日期</w:t>
            </w:r>
            <w:r>
              <w:rPr>
                <w:rFonts w:hint="default" w:ascii="Times New Roman" w:hAnsi="Times New Roman" w:eastAsia="宋体" w:cs="Times New Roman"/>
                <w:b/>
                <w:color w:val="auto"/>
                <w:sz w:val="32"/>
                <w:szCs w:val="32"/>
                <w:highlight w:val="none"/>
                <w:u w:val="none"/>
              </w:rPr>
              <w:t>：</w:t>
            </w:r>
            <w:r>
              <w:rPr>
                <w:rFonts w:hint="default" w:ascii="Times New Roman" w:hAnsi="Times New Roman" w:eastAsia="宋体" w:cs="Times New Roman"/>
                <w:b/>
                <w:bCs w:val="0"/>
                <w:color w:val="auto"/>
                <w:sz w:val="32"/>
                <w:szCs w:val="32"/>
                <w:highlight w:val="none"/>
                <w:u w:val="none"/>
                <w:vertAlign w:val="baseline"/>
                <w:lang w:val="en-US" w:eastAsia="zh-CN"/>
              </w:rPr>
              <w:t>202</w:t>
            </w:r>
            <w:r>
              <w:rPr>
                <w:rFonts w:hint="eastAsia" w:ascii="Times New Roman" w:hAnsi="Times New Roman" w:cs="Times New Roman"/>
                <w:b/>
                <w:bCs w:val="0"/>
                <w:color w:val="auto"/>
                <w:sz w:val="32"/>
                <w:szCs w:val="32"/>
                <w:highlight w:val="none"/>
                <w:u w:val="none"/>
                <w:vertAlign w:val="baseline"/>
                <w:lang w:val="en-US" w:eastAsia="zh-CN"/>
              </w:rPr>
              <w:t>3</w:t>
            </w:r>
            <w:r>
              <w:rPr>
                <w:rFonts w:hint="default" w:ascii="Times New Roman" w:hAnsi="Times New Roman" w:eastAsia="宋体" w:cs="Times New Roman"/>
                <w:b/>
                <w:bCs w:val="0"/>
                <w:color w:val="auto"/>
                <w:sz w:val="32"/>
                <w:szCs w:val="32"/>
                <w:highlight w:val="none"/>
                <w:u w:val="none"/>
                <w:vertAlign w:val="baseline"/>
                <w:lang w:val="en-US" w:eastAsia="zh-CN"/>
              </w:rPr>
              <w:t>年</w:t>
            </w:r>
            <w:r>
              <w:rPr>
                <w:rFonts w:hint="eastAsia" w:ascii="Times New Roman" w:hAnsi="Times New Roman" w:cs="Times New Roman"/>
                <w:b/>
                <w:bCs w:val="0"/>
                <w:color w:val="auto"/>
                <w:sz w:val="32"/>
                <w:szCs w:val="32"/>
                <w:highlight w:val="none"/>
                <w:u w:val="none"/>
                <w:vertAlign w:val="baseline"/>
                <w:lang w:val="en-US" w:eastAsia="zh-CN"/>
              </w:rPr>
              <w:t>10</w:t>
            </w:r>
            <w:r>
              <w:rPr>
                <w:rFonts w:hint="default" w:ascii="Times New Roman" w:hAnsi="Times New Roman" w:eastAsia="宋体" w:cs="Times New Roman"/>
                <w:b/>
                <w:bCs w:val="0"/>
                <w:color w:val="auto"/>
                <w:sz w:val="32"/>
                <w:szCs w:val="32"/>
                <w:highlight w:val="none"/>
                <w:u w:val="none"/>
                <w:vertAlign w:val="baseline"/>
                <w:lang w:val="en-US" w:eastAsia="zh-CN"/>
              </w:rPr>
              <w:t>月</w:t>
            </w:r>
            <w:r>
              <w:rPr>
                <w:rFonts w:hint="eastAsia" w:ascii="Times New Roman" w:hAnsi="Times New Roman" w:cs="Times New Roman"/>
                <w:b/>
                <w:bCs w:val="0"/>
                <w:color w:val="auto"/>
                <w:sz w:val="32"/>
                <w:szCs w:val="32"/>
                <w:highlight w:val="none"/>
                <w:u w:val="none"/>
                <w:vertAlign w:val="baseline"/>
                <w:lang w:val="en-US" w:eastAsia="zh-CN"/>
              </w:rPr>
              <w:t>10</w:t>
            </w:r>
            <w:r>
              <w:rPr>
                <w:rFonts w:hint="default" w:ascii="Times New Roman" w:hAnsi="Times New Roman" w:eastAsia="宋体" w:cs="Times New Roman"/>
                <w:b/>
                <w:bCs w:val="0"/>
                <w:color w:val="auto"/>
                <w:sz w:val="32"/>
                <w:szCs w:val="32"/>
                <w:highlight w:val="none"/>
                <w:u w:val="none"/>
                <w:vertAlign w:val="baseline"/>
                <w:lang w:val="en-US" w:eastAsia="zh-CN"/>
              </w:rPr>
              <w:t>日</w:t>
            </w:r>
          </w:p>
        </w:tc>
      </w:tr>
    </w:tbl>
    <w:p>
      <w:pPr>
        <w:tabs>
          <w:tab w:val="left" w:pos="719"/>
          <w:tab w:val="left" w:pos="1439"/>
        </w:tabs>
        <w:spacing w:before="0" w:line="360" w:lineRule="auto"/>
        <w:ind w:left="0" w:right="0" w:firstLine="960" w:firstLineChars="200"/>
        <w:jc w:val="center"/>
        <w:rPr>
          <w:sz w:val="48"/>
        </w:rPr>
      </w:pPr>
    </w:p>
    <w:p>
      <w:pPr>
        <w:tabs>
          <w:tab w:val="left" w:pos="719"/>
          <w:tab w:val="left" w:pos="1439"/>
        </w:tabs>
        <w:spacing w:before="0" w:line="360" w:lineRule="auto"/>
        <w:ind w:left="0" w:right="0" w:firstLine="960" w:firstLineChars="200"/>
        <w:jc w:val="center"/>
        <w:rPr>
          <w:sz w:val="48"/>
        </w:rPr>
      </w:pPr>
    </w:p>
    <w:p>
      <w:pPr>
        <w:tabs>
          <w:tab w:val="left" w:pos="719"/>
          <w:tab w:val="left" w:pos="1439"/>
        </w:tabs>
        <w:spacing w:before="0" w:line="360" w:lineRule="auto"/>
        <w:ind w:left="0" w:right="0" w:firstLine="960" w:firstLineChars="200"/>
        <w:jc w:val="center"/>
        <w:rPr>
          <w:sz w:val="48"/>
        </w:rPr>
      </w:pPr>
      <w:r>
        <w:rPr>
          <w:sz w:val="48"/>
        </w:rPr>
        <w:t>批</w:t>
      </w:r>
      <w:r>
        <w:rPr>
          <w:sz w:val="48"/>
        </w:rPr>
        <w:tab/>
      </w:r>
      <w:r>
        <w:rPr>
          <w:sz w:val="48"/>
        </w:rPr>
        <w:t>准</w:t>
      </w:r>
      <w:r>
        <w:rPr>
          <w:sz w:val="48"/>
        </w:rPr>
        <w:tab/>
      </w:r>
      <w:r>
        <w:rPr>
          <w:sz w:val="48"/>
        </w:rPr>
        <w:t>页</w:t>
      </w:r>
    </w:p>
    <w:p>
      <w:pPr>
        <w:spacing w:before="0" w:line="360" w:lineRule="auto"/>
        <w:ind w:left="0" w:right="0" w:firstLine="560" w:firstLineChars="200"/>
        <w:jc w:val="both"/>
        <w:rPr>
          <w:sz w:val="28"/>
        </w:rPr>
      </w:pPr>
      <w:r>
        <w:rPr>
          <w:sz w:val="28"/>
        </w:rPr>
        <w:t>为贯彻落实《中华人民共和国环境保护法》、《企业事业单位突发环境事件应急预案备案管理办法(试行)》、《突发环境事件应急管理办法》等法律、法规有关规定，建立健全宜春市佳绿肉类食品有限公司环境应急体系，确保宜春市佳绿肉类食品有限公司在发生突发环境事件时，各项应急工作能够高效有序地快速启动，避免和最大限度地减轻突发环境事件对环境造成的损失和危害，结合宜春市佳绿肉类食品有限公司实际情况，制定了《宜春市佳绿肉类食品有限公司突发环境事件应急预案》。</w:t>
      </w:r>
    </w:p>
    <w:p>
      <w:pPr>
        <w:spacing w:before="0" w:line="360" w:lineRule="auto"/>
        <w:ind w:left="0" w:right="0" w:firstLine="560" w:firstLineChars="200"/>
        <w:jc w:val="both"/>
        <w:rPr>
          <w:sz w:val="28"/>
        </w:rPr>
      </w:pPr>
      <w:r>
        <w:rPr>
          <w:sz w:val="28"/>
        </w:rPr>
        <w:t>本预案结合宜春市佳绿肉类食品有限公司实际生产经营情况、存在的环境风险和区域环境特征进行编制，内容包含环境风险评估、突发环境事件应急组织机构和职责、预防与预警、应急响应、信息报送和后期处置等内容。</w:t>
      </w:r>
    </w:p>
    <w:p>
      <w:pPr>
        <w:spacing w:before="0" w:line="360" w:lineRule="auto"/>
        <w:ind w:left="0" w:right="0" w:firstLine="560" w:firstLineChars="200"/>
        <w:jc w:val="left"/>
        <w:rPr>
          <w:sz w:val="28"/>
        </w:rPr>
      </w:pPr>
      <w:r>
        <w:rPr>
          <w:sz w:val="28"/>
        </w:rPr>
        <w:t>《宜春市佳绿肉类食品有限公司突发环境事件应急预案》经宜春市佳</w:t>
      </w:r>
      <w:r>
        <w:rPr>
          <w:spacing w:val="-6"/>
          <w:sz w:val="28"/>
        </w:rPr>
        <w:t>绿肉类食品有限公司突发环境事件应急救援指挥部审核通过，现正式发布。</w:t>
      </w:r>
    </w:p>
    <w:p>
      <w:pPr>
        <w:pStyle w:val="5"/>
        <w:rPr>
          <w:sz w:val="28"/>
        </w:rPr>
      </w:pPr>
    </w:p>
    <w:p>
      <w:pPr>
        <w:pStyle w:val="5"/>
        <w:rPr>
          <w:sz w:val="28"/>
        </w:rPr>
      </w:pPr>
    </w:p>
    <w:p>
      <w:pPr>
        <w:pStyle w:val="5"/>
        <w:rPr>
          <w:sz w:val="28"/>
        </w:rPr>
      </w:pPr>
    </w:p>
    <w:p>
      <w:pPr>
        <w:pStyle w:val="5"/>
        <w:rPr>
          <w:sz w:val="28"/>
        </w:rPr>
      </w:pPr>
    </w:p>
    <w:p>
      <w:pPr>
        <w:pStyle w:val="5"/>
        <w:spacing w:before="11"/>
        <w:rPr>
          <w:sz w:val="29"/>
        </w:rPr>
      </w:pPr>
    </w:p>
    <w:p>
      <w:pPr>
        <w:spacing w:before="0"/>
        <w:ind w:left="1100" w:leftChars="500" w:right="0" w:firstLine="0"/>
        <w:jc w:val="left"/>
        <w:rPr>
          <w:sz w:val="24"/>
        </w:rPr>
      </w:pPr>
      <w:r>
        <w:rPr>
          <w:sz w:val="24"/>
        </w:rPr>
        <w:t>宜春市佳绿肉类食品有限公司总经理：</w:t>
      </w:r>
    </w:p>
    <w:p>
      <w:pPr>
        <w:pStyle w:val="5"/>
        <w:spacing w:before="0"/>
        <w:ind w:left="1100" w:leftChars="500" w:right="0"/>
        <w:jc w:val="center"/>
        <w:rPr>
          <w:rFonts w:hint="eastAsia" w:ascii="Times New Roman" w:eastAsia="宋体"/>
          <w:highlight w:val="none"/>
          <w:lang w:val="en-US" w:eastAsia="zh-CN"/>
        </w:rPr>
      </w:pPr>
      <w:r>
        <w:rPr>
          <w:rFonts w:hint="eastAsia" w:ascii="Times New Roman" w:eastAsia="宋体"/>
          <w:highlight w:val="none"/>
          <w:lang w:val="en-US" w:eastAsia="zh-CN"/>
        </w:rPr>
        <w:t xml:space="preserve">    </w:t>
      </w:r>
    </w:p>
    <w:p>
      <w:pPr>
        <w:pStyle w:val="5"/>
        <w:spacing w:before="0"/>
        <w:ind w:left="1100" w:leftChars="500" w:right="0"/>
        <w:jc w:val="center"/>
        <w:rPr>
          <w:highlight w:val="none"/>
        </w:rPr>
      </w:pPr>
      <w:r>
        <w:rPr>
          <w:rFonts w:hint="eastAsia" w:ascii="Times New Roman" w:eastAsia="宋体"/>
          <w:highlight w:val="none"/>
          <w:lang w:val="en-US" w:eastAsia="zh-CN"/>
        </w:rPr>
        <w:t xml:space="preserve">                                     </w:t>
      </w:r>
      <w:r>
        <w:rPr>
          <w:rFonts w:ascii="Times New Roman" w:eastAsia="Times New Roman"/>
          <w:highlight w:val="none"/>
        </w:rPr>
        <w:t>20</w:t>
      </w:r>
      <w:r>
        <w:rPr>
          <w:rFonts w:hint="eastAsia" w:ascii="Times New Roman"/>
          <w:highlight w:val="none"/>
          <w:lang w:val="en-US" w:eastAsia="zh-CN"/>
        </w:rPr>
        <w:t>23</w:t>
      </w:r>
      <w:r>
        <w:rPr>
          <w:highlight w:val="none"/>
        </w:rPr>
        <w:t xml:space="preserve">年 </w:t>
      </w:r>
      <w:r>
        <w:rPr>
          <w:rFonts w:hint="eastAsia" w:ascii="Times New Roman"/>
          <w:highlight w:val="none"/>
          <w:lang w:val="en-US" w:eastAsia="zh-CN"/>
        </w:rPr>
        <w:t>10</w:t>
      </w:r>
      <w:r>
        <w:rPr>
          <w:highlight w:val="none"/>
        </w:rPr>
        <w:t>月</w:t>
      </w:r>
    </w:p>
    <w:p>
      <w:pPr>
        <w:spacing w:after="0"/>
        <w:ind w:left="1100" w:leftChars="500"/>
        <w:jc w:val="center"/>
        <w:rPr>
          <w:highlight w:val="none"/>
        </w:rPr>
        <w:sectPr>
          <w:pgSz w:w="11910" w:h="16840"/>
          <w:pgMar w:top="1440" w:right="1800" w:bottom="1440" w:left="1800" w:header="720" w:footer="720" w:gutter="0"/>
          <w:pgBorders>
            <w:top w:val="none" w:sz="0" w:space="0"/>
            <w:left w:val="none" w:sz="0" w:space="0"/>
            <w:bottom w:val="none" w:sz="0" w:space="0"/>
            <w:right w:val="none" w:sz="0" w:space="0"/>
          </w:pgBorders>
          <w:cols w:space="720" w:num="1"/>
        </w:sectPr>
      </w:pPr>
    </w:p>
    <w:p>
      <w:pPr>
        <w:pStyle w:val="13"/>
        <w:tabs>
          <w:tab w:val="right" w:leader="dot" w:pos="10910"/>
        </w:tabs>
      </w:pPr>
      <w:bookmarkStart w:id="0" w:name="_bookmark0"/>
      <w:bookmarkEnd w:id="0"/>
      <w:bookmarkStart w:id="1" w:name="_bookmark0"/>
      <w:bookmarkEnd w:id="1"/>
      <w:bookmarkStart w:id="2" w:name="1 总论"/>
      <w:bookmarkEnd w:id="2"/>
    </w:p>
    <w:p>
      <w:pPr>
        <w:pStyle w:val="13"/>
        <w:tabs>
          <w:tab w:val="right" w:leader="dot" w:pos="10910"/>
        </w:tabs>
        <w:jc w:val="center"/>
        <w:rPr>
          <w:rFonts w:hint="eastAsia" w:eastAsia="宋体"/>
          <w:b/>
          <w:bCs/>
          <w:sz w:val="30"/>
          <w:szCs w:val="30"/>
          <w:lang w:eastAsia="zh-CN"/>
        </w:rPr>
      </w:pPr>
      <w:r>
        <w:rPr>
          <w:rFonts w:hint="eastAsia"/>
          <w:b/>
          <w:bCs/>
          <w:sz w:val="30"/>
          <w:szCs w:val="30"/>
          <w:lang w:eastAsia="zh-CN"/>
        </w:rPr>
        <w:t>目录</w:t>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TOC \o "1-3" \h \u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_Toc25072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 </w:t>
      </w:r>
      <w:r>
        <w:rPr>
          <w:rFonts w:ascii="宋体" w:hAnsi="宋体" w:eastAsia="宋体" w:cs="宋体"/>
          <w:sz w:val="24"/>
          <w:szCs w:val="24"/>
          <w:lang w:val="zh-CN" w:eastAsia="zh-CN" w:bidi="zh-CN"/>
        </w:rPr>
        <w:t>总论</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_Toc25072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_Toc11199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1.1 </w:t>
      </w:r>
      <w:r>
        <w:rPr>
          <w:rFonts w:ascii="宋体" w:hAnsi="宋体" w:eastAsia="宋体" w:cs="宋体"/>
          <w:sz w:val="24"/>
          <w:szCs w:val="24"/>
          <w:lang w:val="zh-CN" w:eastAsia="zh-CN" w:bidi="zh-CN"/>
        </w:rPr>
        <w:t>编制目的</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_Toc11199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_Toc11593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1.2 </w:t>
      </w:r>
      <w:r>
        <w:rPr>
          <w:rFonts w:ascii="宋体" w:hAnsi="宋体" w:eastAsia="宋体" w:cs="宋体"/>
          <w:sz w:val="24"/>
          <w:szCs w:val="24"/>
          <w:lang w:val="zh-CN" w:eastAsia="zh-CN" w:bidi="zh-CN"/>
        </w:rPr>
        <w:t>编制依据</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_Toc11593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_Toc7483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1.3 </w:t>
      </w:r>
      <w:r>
        <w:rPr>
          <w:rFonts w:ascii="宋体" w:hAnsi="宋体" w:eastAsia="宋体" w:cs="宋体"/>
          <w:sz w:val="24"/>
          <w:szCs w:val="24"/>
          <w:lang w:val="zh-CN" w:eastAsia="zh-CN" w:bidi="zh-CN"/>
        </w:rPr>
        <w:t>适用范围</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_Toc7483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2</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_Toc31591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1.4 </w:t>
      </w:r>
      <w:r>
        <w:rPr>
          <w:rFonts w:ascii="宋体" w:hAnsi="宋体" w:eastAsia="宋体" w:cs="宋体"/>
          <w:sz w:val="24"/>
          <w:szCs w:val="24"/>
          <w:lang w:val="zh-CN" w:eastAsia="zh-CN" w:bidi="zh-CN"/>
        </w:rPr>
        <w:t>工作原则</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_Toc31591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2</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_Toc29644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1.5 </w:t>
      </w:r>
      <w:r>
        <w:rPr>
          <w:rFonts w:ascii="宋体" w:hAnsi="宋体" w:eastAsia="宋体" w:cs="宋体"/>
          <w:sz w:val="24"/>
          <w:szCs w:val="24"/>
          <w:lang w:val="zh-CN" w:eastAsia="zh-CN" w:bidi="zh-CN"/>
        </w:rPr>
        <w:t>应急预案编制程序和内容</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_Toc29644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3</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_Toc15122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1.6 </w:t>
      </w:r>
      <w:r>
        <w:rPr>
          <w:rFonts w:ascii="宋体" w:hAnsi="宋体" w:eastAsia="宋体" w:cs="宋体"/>
          <w:sz w:val="24"/>
          <w:szCs w:val="24"/>
          <w:lang w:val="zh-CN" w:eastAsia="zh-CN" w:bidi="zh-CN"/>
        </w:rPr>
        <w:t>突发环境事件分级标准</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_Toc15122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_Toc22606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 </w:t>
      </w:r>
      <w:r>
        <w:rPr>
          <w:rFonts w:ascii="宋体" w:hAnsi="宋体" w:eastAsia="宋体" w:cs="宋体"/>
          <w:sz w:val="24"/>
          <w:szCs w:val="24"/>
          <w:lang w:val="zh-CN" w:eastAsia="zh-CN" w:bidi="zh-CN"/>
        </w:rPr>
        <w:t>企业概况</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_Toc22606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_Toc23075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2.1 </w:t>
      </w:r>
      <w:r>
        <w:rPr>
          <w:rFonts w:ascii="宋体" w:hAnsi="宋体" w:eastAsia="宋体" w:cs="宋体"/>
          <w:sz w:val="24"/>
          <w:szCs w:val="24"/>
          <w:lang w:val="zh-CN" w:eastAsia="zh-CN" w:bidi="zh-CN"/>
        </w:rPr>
        <w:t>企业基本情况</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_Toc23075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_Toc28664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2.2 </w:t>
      </w:r>
      <w:r>
        <w:rPr>
          <w:rFonts w:ascii="宋体" w:hAnsi="宋体" w:eastAsia="宋体" w:cs="宋体"/>
          <w:sz w:val="24"/>
          <w:szCs w:val="24"/>
          <w:lang w:val="zh-CN" w:eastAsia="zh-CN" w:bidi="zh-CN"/>
        </w:rPr>
        <w:t>项目组成情况</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_Toc28664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_Toc9390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2.3 </w:t>
      </w:r>
      <w:r>
        <w:rPr>
          <w:rFonts w:ascii="宋体" w:hAnsi="宋体" w:eastAsia="宋体" w:cs="宋体"/>
          <w:sz w:val="24"/>
          <w:szCs w:val="24"/>
          <w:lang w:val="zh-CN" w:eastAsia="zh-CN" w:bidi="zh-CN"/>
        </w:rPr>
        <w:t>本项目产品方案及产品介绍</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_Toc9390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7</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_Toc2914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2.4 </w:t>
      </w:r>
      <w:r>
        <w:rPr>
          <w:rFonts w:ascii="宋体" w:hAnsi="宋体" w:eastAsia="宋体" w:cs="宋体"/>
          <w:sz w:val="24"/>
          <w:szCs w:val="24"/>
          <w:lang w:val="zh-CN" w:eastAsia="zh-CN" w:bidi="zh-CN"/>
        </w:rPr>
        <w:t>本项目主要原、辅材料及动力消耗量</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_Toc2914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8</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_Toc21105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2.5 </w:t>
      </w:r>
      <w:r>
        <w:rPr>
          <w:rFonts w:ascii="宋体" w:hAnsi="宋体" w:eastAsia="宋体" w:cs="宋体"/>
          <w:sz w:val="24"/>
          <w:szCs w:val="24"/>
          <w:lang w:val="zh-CN" w:eastAsia="zh-CN" w:bidi="zh-CN"/>
        </w:rPr>
        <w:t>本项目主要设备</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_Toc21105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8</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_Toc11953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2.6 </w:t>
      </w:r>
      <w:r>
        <w:rPr>
          <w:rFonts w:ascii="宋体" w:hAnsi="宋体" w:eastAsia="宋体" w:cs="宋体"/>
          <w:sz w:val="24"/>
          <w:szCs w:val="24"/>
          <w:lang w:val="zh-CN" w:eastAsia="zh-CN" w:bidi="zh-CN"/>
        </w:rPr>
        <w:t>劳动定员及工作制度</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_Toc11953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11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_Toc23771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2.7 </w:t>
      </w:r>
      <w:r>
        <w:rPr>
          <w:rFonts w:ascii="宋体" w:hAnsi="宋体" w:eastAsia="宋体" w:cs="宋体"/>
          <w:sz w:val="24"/>
          <w:szCs w:val="24"/>
          <w:lang w:val="zh-CN" w:eastAsia="zh-CN" w:bidi="zh-CN"/>
        </w:rPr>
        <w:t>公用工程</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_Toc23771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11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_Toc17418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2.8 </w:t>
      </w:r>
      <w:r>
        <w:rPr>
          <w:rFonts w:ascii="宋体" w:hAnsi="宋体" w:eastAsia="宋体" w:cs="宋体"/>
          <w:sz w:val="24"/>
          <w:szCs w:val="24"/>
          <w:lang w:val="zh-CN" w:eastAsia="zh-CN" w:bidi="zh-CN"/>
        </w:rPr>
        <w:t>储运工程</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_Toc17418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14</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_Toc18984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2.8 </w:t>
      </w:r>
      <w:r>
        <w:rPr>
          <w:rFonts w:ascii="宋体" w:hAnsi="宋体" w:eastAsia="宋体" w:cs="宋体"/>
          <w:sz w:val="24"/>
          <w:szCs w:val="24"/>
          <w:lang w:val="zh-CN" w:eastAsia="zh-CN" w:bidi="zh-CN"/>
        </w:rPr>
        <w:t>总平面布置</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_Toc18984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15</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_Toc4799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2.10 </w:t>
      </w:r>
      <w:r>
        <w:rPr>
          <w:rFonts w:ascii="宋体" w:hAnsi="宋体" w:eastAsia="宋体" w:cs="宋体"/>
          <w:sz w:val="24"/>
          <w:szCs w:val="24"/>
          <w:lang w:val="zh-CN" w:eastAsia="zh-CN" w:bidi="zh-CN"/>
        </w:rPr>
        <w:t>企业周边环境风险受体调查</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_Toc4799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20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_Toc15962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3 </w:t>
      </w:r>
      <w:r>
        <w:rPr>
          <w:rFonts w:ascii="宋体" w:hAnsi="宋体" w:eastAsia="宋体" w:cs="宋体"/>
          <w:sz w:val="24"/>
          <w:szCs w:val="24"/>
          <w:lang w:val="zh-CN" w:eastAsia="zh-CN" w:bidi="zh-CN"/>
        </w:rPr>
        <w:t>企业环境风险评价</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_Toc15962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23</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_Toc10456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3.1 </w:t>
      </w:r>
      <w:r>
        <w:rPr>
          <w:rFonts w:ascii="宋体" w:hAnsi="宋体" w:eastAsia="宋体" w:cs="宋体"/>
          <w:sz w:val="24"/>
          <w:szCs w:val="24"/>
          <w:lang w:val="zh-CN" w:eastAsia="zh-CN" w:bidi="zh-CN"/>
        </w:rPr>
        <w:t>环境风险识别</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_Toc10456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23</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_Toc26915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3.2 </w:t>
      </w:r>
      <w:r>
        <w:rPr>
          <w:rFonts w:ascii="宋体" w:hAnsi="宋体" w:eastAsia="宋体" w:cs="宋体"/>
          <w:sz w:val="24"/>
          <w:szCs w:val="24"/>
          <w:lang w:val="zh-CN" w:eastAsia="zh-CN" w:bidi="zh-CN"/>
        </w:rPr>
        <w:t>环境风险评估程序</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_Toc26915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26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_Toc4575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3.3 </w:t>
      </w:r>
      <w:r>
        <w:rPr>
          <w:rFonts w:ascii="宋体" w:hAnsi="宋体" w:eastAsia="宋体" w:cs="宋体"/>
          <w:sz w:val="24"/>
          <w:szCs w:val="24"/>
          <w:lang w:val="zh-CN" w:eastAsia="zh-CN" w:bidi="zh-CN"/>
        </w:rPr>
        <w:t>环境风险等级确定</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_Toc4575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27</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_Toc24573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3.4 </w:t>
      </w:r>
      <w:r>
        <w:rPr>
          <w:rFonts w:ascii="宋体" w:hAnsi="宋体" w:eastAsia="宋体" w:cs="宋体"/>
          <w:sz w:val="24"/>
          <w:szCs w:val="24"/>
          <w:lang w:val="zh-CN" w:eastAsia="zh-CN" w:bidi="zh-CN"/>
        </w:rPr>
        <w:t>环境风险情景分析</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_Toc24573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35</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_Toc19743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3.5 </w:t>
      </w:r>
      <w:r>
        <w:rPr>
          <w:rFonts w:ascii="宋体" w:hAnsi="宋体" w:eastAsia="宋体" w:cs="宋体"/>
          <w:sz w:val="24"/>
          <w:szCs w:val="24"/>
          <w:lang w:val="zh-CN" w:eastAsia="zh-CN" w:bidi="zh-CN"/>
        </w:rPr>
        <w:t>风险事故后果分析</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_Toc19743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_Toc11765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3.6 </w:t>
      </w:r>
      <w:r>
        <w:rPr>
          <w:rFonts w:ascii="宋体" w:hAnsi="宋体" w:eastAsia="宋体" w:cs="宋体"/>
          <w:sz w:val="24"/>
          <w:szCs w:val="24"/>
          <w:lang w:val="zh-CN" w:eastAsia="zh-CN" w:bidi="zh-CN"/>
        </w:rPr>
        <w:t>环境风险防范措施及应急能力分析</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_Toc11765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_Toc18094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4 </w:t>
      </w:r>
      <w:r>
        <w:rPr>
          <w:rFonts w:ascii="宋体" w:hAnsi="宋体" w:eastAsia="宋体" w:cs="宋体"/>
          <w:sz w:val="24"/>
          <w:szCs w:val="24"/>
          <w:lang w:val="zh-CN" w:eastAsia="zh-CN" w:bidi="zh-CN"/>
        </w:rPr>
        <w:t>应急组织机构</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_Toc18094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45</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_Toc28418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4.1 </w:t>
      </w:r>
      <w:r>
        <w:rPr>
          <w:rFonts w:ascii="宋体" w:hAnsi="宋体" w:eastAsia="宋体" w:cs="宋体"/>
          <w:sz w:val="24"/>
          <w:szCs w:val="24"/>
          <w:lang w:val="zh-CN" w:eastAsia="zh-CN" w:bidi="zh-CN"/>
        </w:rPr>
        <w:t>应急组织体系</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_Toc28418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45</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_Toc29181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4.2 </w:t>
      </w:r>
      <w:r>
        <w:rPr>
          <w:rFonts w:ascii="宋体" w:hAnsi="宋体" w:eastAsia="宋体" w:cs="宋体"/>
          <w:sz w:val="24"/>
          <w:szCs w:val="24"/>
          <w:lang w:val="zh-CN" w:eastAsia="zh-CN" w:bidi="zh-CN"/>
        </w:rPr>
        <w:t>应急机构组成及职责</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_Toc29181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45</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_Toc15065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4.3 </w:t>
      </w:r>
      <w:r>
        <w:rPr>
          <w:rFonts w:ascii="宋体" w:hAnsi="宋体" w:eastAsia="宋体" w:cs="宋体"/>
          <w:sz w:val="24"/>
          <w:szCs w:val="24"/>
          <w:lang w:val="zh-CN" w:eastAsia="zh-CN" w:bidi="zh-CN"/>
        </w:rPr>
        <w:t>应急准备工作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_Toc15065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48</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_Toc22985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4.4 </w:t>
      </w:r>
      <w:r>
        <w:rPr>
          <w:rFonts w:ascii="宋体" w:hAnsi="宋体" w:eastAsia="宋体" w:cs="宋体"/>
          <w:sz w:val="24"/>
          <w:szCs w:val="24"/>
          <w:lang w:val="zh-CN" w:eastAsia="zh-CN" w:bidi="zh-CN"/>
        </w:rPr>
        <w:t>应急组织人员及联系方式</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_Toc22985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48</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_Toc927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5 </w:t>
      </w:r>
      <w:r>
        <w:rPr>
          <w:rFonts w:ascii="宋体" w:hAnsi="宋体" w:eastAsia="宋体" w:cs="宋体"/>
          <w:sz w:val="24"/>
          <w:szCs w:val="24"/>
          <w:lang w:val="zh-CN" w:eastAsia="zh-CN" w:bidi="zh-CN"/>
        </w:rPr>
        <w:t>预警和信息报送</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_Toc927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49</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_Toc22681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5.1 </w:t>
      </w:r>
      <w:r>
        <w:rPr>
          <w:rFonts w:ascii="宋体" w:hAnsi="宋体" w:eastAsia="宋体" w:cs="宋体"/>
          <w:sz w:val="24"/>
          <w:szCs w:val="24"/>
          <w:lang w:val="zh-CN" w:eastAsia="zh-CN" w:bidi="zh-CN"/>
        </w:rPr>
        <w:t>报警、通讯联系方式</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_Toc22681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49</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_Toc28392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5.2 </w:t>
      </w:r>
      <w:r>
        <w:rPr>
          <w:rFonts w:ascii="宋体" w:hAnsi="宋体" w:eastAsia="宋体" w:cs="宋体"/>
          <w:sz w:val="24"/>
          <w:szCs w:val="24"/>
          <w:lang w:val="zh-CN" w:eastAsia="zh-CN" w:bidi="zh-CN"/>
        </w:rPr>
        <w:t>信息报告与处理</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_Toc28392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_Toc1587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5.3 </w:t>
      </w:r>
      <w:r>
        <w:rPr>
          <w:rFonts w:ascii="宋体" w:hAnsi="宋体" w:eastAsia="宋体" w:cs="宋体"/>
          <w:sz w:val="24"/>
          <w:szCs w:val="24"/>
          <w:lang w:val="zh-CN" w:eastAsia="zh-CN" w:bidi="zh-CN"/>
        </w:rPr>
        <w:t>信息通报</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_Toc1587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_Toc9182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5.4 </w:t>
      </w:r>
      <w:r>
        <w:rPr>
          <w:rFonts w:ascii="宋体" w:hAnsi="宋体" w:eastAsia="宋体" w:cs="宋体"/>
          <w:sz w:val="24"/>
          <w:szCs w:val="24"/>
          <w:lang w:val="zh-CN" w:eastAsia="zh-CN" w:bidi="zh-CN"/>
        </w:rPr>
        <w:t>预警</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_Toc9182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_Toc2474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6 </w:t>
      </w:r>
      <w:r>
        <w:rPr>
          <w:rFonts w:ascii="宋体" w:hAnsi="宋体" w:eastAsia="宋体" w:cs="宋体"/>
          <w:sz w:val="24"/>
          <w:szCs w:val="24"/>
          <w:lang w:val="zh-CN" w:eastAsia="zh-CN" w:bidi="zh-CN"/>
        </w:rPr>
        <w:t>应急响应与措施</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_Toc2474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52</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_Toc8079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6.1 </w:t>
      </w:r>
      <w:r>
        <w:rPr>
          <w:rFonts w:ascii="宋体" w:hAnsi="宋体" w:eastAsia="宋体" w:cs="宋体"/>
          <w:sz w:val="24"/>
          <w:szCs w:val="24"/>
          <w:lang w:val="zh-CN" w:eastAsia="zh-CN" w:bidi="zh-CN"/>
        </w:rPr>
        <w:t>分级响应机制</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_Toc8079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52</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_Toc15607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6.2 </w:t>
      </w:r>
      <w:r>
        <w:rPr>
          <w:rFonts w:ascii="宋体" w:hAnsi="宋体" w:eastAsia="宋体" w:cs="宋体"/>
          <w:sz w:val="24"/>
          <w:szCs w:val="24"/>
          <w:lang w:val="zh-CN" w:eastAsia="zh-CN" w:bidi="zh-CN"/>
        </w:rPr>
        <w:t>应急响应的程序</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_Toc15607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52</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_Toc26795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6.3 </w:t>
      </w:r>
      <w:r>
        <w:rPr>
          <w:rFonts w:ascii="宋体" w:hAnsi="宋体" w:eastAsia="宋体" w:cs="宋体"/>
          <w:sz w:val="24"/>
          <w:szCs w:val="24"/>
          <w:lang w:val="zh-CN" w:eastAsia="zh-CN" w:bidi="zh-CN"/>
        </w:rPr>
        <w:t>现场应急措施</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_Toc26795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_Toc13881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6.4 </w:t>
      </w:r>
      <w:r>
        <w:rPr>
          <w:rFonts w:ascii="宋体" w:hAnsi="宋体" w:eastAsia="宋体" w:cs="宋体"/>
          <w:sz w:val="24"/>
          <w:szCs w:val="24"/>
          <w:lang w:val="zh-CN" w:eastAsia="zh-CN" w:bidi="zh-CN"/>
        </w:rPr>
        <w:t>应急处置卡</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_Toc13881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53</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_Toc1599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6.5 </w:t>
      </w:r>
      <w:r>
        <w:rPr>
          <w:rFonts w:ascii="宋体" w:hAnsi="宋体" w:eastAsia="宋体" w:cs="宋体"/>
          <w:sz w:val="24"/>
          <w:szCs w:val="24"/>
          <w:lang w:val="zh-CN" w:eastAsia="zh-CN" w:bidi="zh-CN"/>
        </w:rPr>
        <w:t>应急监测</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_Toc1599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55</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_Toc11278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6.6 </w:t>
      </w:r>
      <w:r>
        <w:rPr>
          <w:rFonts w:ascii="宋体" w:hAnsi="宋体" w:eastAsia="宋体" w:cs="宋体"/>
          <w:sz w:val="24"/>
          <w:szCs w:val="24"/>
          <w:lang w:val="zh-CN" w:eastAsia="zh-CN" w:bidi="zh-CN"/>
        </w:rPr>
        <w:t>应急终止</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_Toc11278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57</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_Toc31019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7 </w:t>
      </w:r>
      <w:r>
        <w:rPr>
          <w:rFonts w:ascii="宋体" w:hAnsi="宋体" w:eastAsia="宋体" w:cs="宋体"/>
          <w:sz w:val="24"/>
          <w:szCs w:val="24"/>
          <w:lang w:val="zh-CN" w:eastAsia="zh-CN" w:bidi="zh-CN"/>
        </w:rPr>
        <w:t>后期处置</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_Toc31019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58</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_Toc5543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7.1 </w:t>
      </w:r>
      <w:r>
        <w:rPr>
          <w:rFonts w:ascii="宋体" w:hAnsi="宋体" w:eastAsia="宋体" w:cs="宋体"/>
          <w:sz w:val="24"/>
          <w:szCs w:val="24"/>
          <w:lang w:val="zh-CN" w:eastAsia="zh-CN" w:bidi="zh-CN"/>
        </w:rPr>
        <w:t>现场恢复</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_Toc5543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58</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_Toc13926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7.2 </w:t>
      </w:r>
      <w:r>
        <w:rPr>
          <w:rFonts w:ascii="宋体" w:hAnsi="宋体" w:eastAsia="宋体" w:cs="宋体"/>
          <w:sz w:val="24"/>
          <w:szCs w:val="24"/>
          <w:lang w:val="zh-CN" w:eastAsia="zh-CN" w:bidi="zh-CN"/>
        </w:rPr>
        <w:t>善后处置</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_Toc13926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59</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_Toc11394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7.3 </w:t>
      </w:r>
      <w:r>
        <w:rPr>
          <w:rFonts w:ascii="宋体" w:hAnsi="宋体" w:eastAsia="宋体" w:cs="宋体"/>
          <w:sz w:val="24"/>
          <w:szCs w:val="24"/>
          <w:lang w:val="zh-CN" w:eastAsia="zh-CN" w:bidi="zh-CN"/>
        </w:rPr>
        <w:t>事件调查</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_Toc11394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59</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_Toc20560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8 </w:t>
      </w:r>
      <w:r>
        <w:rPr>
          <w:rFonts w:ascii="宋体" w:hAnsi="宋体" w:eastAsia="宋体" w:cs="宋体"/>
          <w:sz w:val="24"/>
          <w:szCs w:val="24"/>
          <w:lang w:val="zh-CN" w:eastAsia="zh-CN" w:bidi="zh-CN"/>
        </w:rPr>
        <w:t>应急保障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_Toc20560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_Toc25841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8.1 </w:t>
      </w:r>
      <w:r>
        <w:rPr>
          <w:rFonts w:ascii="宋体" w:hAnsi="宋体" w:eastAsia="宋体" w:cs="宋体"/>
          <w:sz w:val="24"/>
          <w:szCs w:val="24"/>
          <w:lang w:val="zh-CN" w:eastAsia="zh-CN" w:bidi="zh-CN"/>
        </w:rPr>
        <w:t>资金保障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_Toc25841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_Toc12191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8.2 </w:t>
      </w:r>
      <w:r>
        <w:rPr>
          <w:rFonts w:ascii="宋体" w:hAnsi="宋体" w:eastAsia="宋体" w:cs="宋体"/>
          <w:sz w:val="24"/>
          <w:szCs w:val="24"/>
          <w:lang w:val="zh-CN" w:eastAsia="zh-CN" w:bidi="zh-CN"/>
        </w:rPr>
        <w:t>物质装备保障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_Toc12191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60</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_Toc23508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8.3 </w:t>
      </w:r>
      <w:r>
        <w:rPr>
          <w:rFonts w:ascii="宋体" w:hAnsi="宋体" w:eastAsia="宋体" w:cs="宋体"/>
          <w:sz w:val="24"/>
          <w:szCs w:val="24"/>
          <w:lang w:val="zh-CN" w:eastAsia="zh-CN" w:bidi="zh-CN"/>
        </w:rPr>
        <w:t>通讯与信息保障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_Toc23508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_Toc171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8.4 </w:t>
      </w:r>
      <w:r>
        <w:rPr>
          <w:rFonts w:ascii="宋体" w:hAnsi="宋体" w:eastAsia="宋体" w:cs="宋体"/>
          <w:sz w:val="24"/>
          <w:szCs w:val="24"/>
          <w:lang w:val="zh-CN" w:eastAsia="zh-CN" w:bidi="zh-CN"/>
        </w:rPr>
        <w:t>人力资源保障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_Toc171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_Toc27443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8.5 </w:t>
      </w:r>
      <w:r>
        <w:rPr>
          <w:rFonts w:ascii="宋体" w:hAnsi="宋体" w:eastAsia="宋体" w:cs="宋体"/>
          <w:sz w:val="24"/>
          <w:szCs w:val="24"/>
          <w:lang w:val="zh-CN" w:eastAsia="zh-CN" w:bidi="zh-CN"/>
        </w:rPr>
        <w:t>技术保障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_Toc27443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_Toc24613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8.6 </w:t>
      </w:r>
      <w:r>
        <w:rPr>
          <w:rFonts w:ascii="宋体" w:hAnsi="宋体" w:eastAsia="宋体" w:cs="宋体"/>
          <w:sz w:val="24"/>
          <w:szCs w:val="24"/>
          <w:lang w:val="zh-CN" w:eastAsia="zh-CN" w:bidi="zh-CN"/>
        </w:rPr>
        <w:t>其他保障</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_Toc24613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61</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_Toc25756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9 </w:t>
      </w:r>
      <w:r>
        <w:rPr>
          <w:rFonts w:ascii="宋体" w:hAnsi="宋体" w:eastAsia="宋体" w:cs="宋体"/>
          <w:sz w:val="24"/>
          <w:szCs w:val="24"/>
          <w:lang w:val="zh-CN" w:eastAsia="zh-CN" w:bidi="zh-CN"/>
        </w:rPr>
        <w:t>应急培训和演练</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_Toc25756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64</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_Toc27265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9.1 </w:t>
      </w:r>
      <w:r>
        <w:rPr>
          <w:rFonts w:ascii="宋体" w:hAnsi="宋体" w:eastAsia="宋体" w:cs="宋体"/>
          <w:sz w:val="24"/>
          <w:szCs w:val="24"/>
          <w:lang w:val="zh-CN" w:eastAsia="zh-CN" w:bidi="zh-CN"/>
        </w:rPr>
        <w:t>培训</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_Toc27265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64</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_Toc10091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9.2 </w:t>
      </w:r>
      <w:r>
        <w:rPr>
          <w:rFonts w:ascii="宋体" w:hAnsi="宋体" w:eastAsia="宋体" w:cs="宋体"/>
          <w:sz w:val="24"/>
          <w:szCs w:val="24"/>
          <w:lang w:val="zh-CN" w:eastAsia="zh-CN" w:bidi="zh-CN"/>
        </w:rPr>
        <w:t>演练</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_Toc10091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65</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_Toc11150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10 </w:t>
      </w:r>
      <w:r>
        <w:rPr>
          <w:rFonts w:ascii="宋体" w:hAnsi="宋体" w:eastAsia="宋体" w:cs="宋体"/>
          <w:sz w:val="24"/>
          <w:szCs w:val="24"/>
          <w:lang w:val="zh-CN" w:eastAsia="zh-CN" w:bidi="zh-CN"/>
        </w:rPr>
        <w:t>奖惩</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_Toc11150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67</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_Toc14959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11 </w:t>
      </w:r>
      <w:r>
        <w:rPr>
          <w:rFonts w:ascii="宋体" w:hAnsi="宋体" w:eastAsia="宋体" w:cs="宋体"/>
          <w:sz w:val="24"/>
          <w:szCs w:val="24"/>
          <w:lang w:val="zh-CN" w:eastAsia="zh-CN" w:bidi="zh-CN"/>
        </w:rPr>
        <w:t>预案的评审、备案、发布和更新</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_Toc14959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_Toc6176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11.1 </w:t>
      </w:r>
      <w:r>
        <w:rPr>
          <w:rFonts w:ascii="宋体" w:hAnsi="宋体" w:eastAsia="宋体" w:cs="宋体"/>
          <w:sz w:val="24"/>
          <w:szCs w:val="24"/>
          <w:lang w:val="zh-CN" w:eastAsia="zh-CN" w:bidi="zh-CN"/>
        </w:rPr>
        <w:t>预案评审与备案</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_Toc6176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_Toc2944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11.2 </w:t>
      </w:r>
      <w:r>
        <w:rPr>
          <w:rFonts w:ascii="宋体" w:hAnsi="宋体" w:eastAsia="宋体" w:cs="宋体"/>
          <w:sz w:val="24"/>
          <w:szCs w:val="24"/>
          <w:lang w:val="zh-CN" w:eastAsia="zh-CN" w:bidi="zh-CN"/>
        </w:rPr>
        <w:t>预案发布与发放</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_Toc2944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_Toc18870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11.3 </w:t>
      </w:r>
      <w:r>
        <w:rPr>
          <w:rFonts w:ascii="宋体" w:hAnsi="宋体" w:eastAsia="宋体" w:cs="宋体"/>
          <w:sz w:val="24"/>
          <w:szCs w:val="24"/>
          <w:lang w:val="zh-CN" w:eastAsia="zh-CN" w:bidi="zh-CN"/>
        </w:rPr>
        <w:t>预案的修订</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_Toc18870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_Toc19717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11.4 </w:t>
      </w:r>
      <w:r>
        <w:rPr>
          <w:rFonts w:ascii="宋体" w:hAnsi="宋体" w:eastAsia="宋体" w:cs="宋体"/>
          <w:sz w:val="24"/>
          <w:szCs w:val="24"/>
          <w:lang w:val="zh-CN" w:eastAsia="zh-CN" w:bidi="zh-CN"/>
        </w:rPr>
        <w:t>预案的更新、修订程序</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_Toc19717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0"/>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_Toc13427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11.5 </w:t>
      </w:r>
      <w:r>
        <w:rPr>
          <w:rFonts w:ascii="宋体" w:hAnsi="宋体" w:eastAsia="宋体" w:cs="宋体"/>
          <w:sz w:val="24"/>
          <w:szCs w:val="24"/>
          <w:lang w:val="zh-CN" w:eastAsia="zh-CN" w:bidi="zh-CN"/>
        </w:rPr>
        <w:t>预案的实施、生效时间</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_Toc13427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66</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13"/>
        <w:tabs>
          <w:tab w:val="right" w:leader="dot" w:pos="10910"/>
        </w:tabs>
        <w:rPr>
          <w:rFonts w:ascii="宋体" w:hAnsi="宋体" w:eastAsia="宋体" w:cs="宋体"/>
          <w:sz w:val="24"/>
          <w:szCs w:val="24"/>
          <w:lang w:val="zh-CN" w:eastAsia="zh-CN" w:bidi="zh-CN"/>
        </w:rPr>
      </w:pP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HYPERLINK \l _Toc26755 </w:instrText>
      </w:r>
      <w:r>
        <w:rPr>
          <w:rFonts w:ascii="宋体" w:hAnsi="宋体" w:eastAsia="宋体" w:cs="宋体"/>
          <w:sz w:val="24"/>
          <w:szCs w:val="24"/>
          <w:lang w:val="zh-CN" w:eastAsia="zh-CN" w:bidi="zh-CN"/>
        </w:rPr>
        <w:fldChar w:fldCharType="separate"/>
      </w:r>
      <w:r>
        <w:rPr>
          <w:rFonts w:hint="default" w:ascii="宋体" w:hAnsi="宋体" w:eastAsia="宋体" w:cs="宋体"/>
          <w:sz w:val="24"/>
          <w:szCs w:val="24"/>
          <w:lang w:val="zh-CN" w:eastAsia="zh-CN" w:bidi="zh-CN"/>
        </w:rPr>
        <w:t xml:space="preserve">12 </w:t>
      </w:r>
      <w:r>
        <w:rPr>
          <w:rFonts w:ascii="宋体" w:hAnsi="宋体" w:eastAsia="宋体" w:cs="宋体"/>
          <w:sz w:val="24"/>
          <w:szCs w:val="24"/>
          <w:lang w:val="zh-CN" w:eastAsia="zh-CN" w:bidi="zh-CN"/>
        </w:rPr>
        <w:t>附则</w:t>
      </w:r>
      <w:r>
        <w:rPr>
          <w:rFonts w:ascii="宋体" w:hAnsi="宋体" w:eastAsia="宋体" w:cs="宋体"/>
          <w:sz w:val="24"/>
          <w:szCs w:val="24"/>
          <w:lang w:val="zh-CN" w:eastAsia="zh-CN" w:bidi="zh-CN"/>
        </w:rPr>
        <w:tab/>
      </w:r>
      <w:r>
        <w:rPr>
          <w:rFonts w:ascii="宋体" w:hAnsi="宋体" w:eastAsia="宋体" w:cs="宋体"/>
          <w:sz w:val="24"/>
          <w:szCs w:val="24"/>
          <w:lang w:val="zh-CN" w:eastAsia="zh-CN" w:bidi="zh-CN"/>
        </w:rPr>
        <w:fldChar w:fldCharType="begin"/>
      </w:r>
      <w:r>
        <w:rPr>
          <w:rFonts w:ascii="宋体" w:hAnsi="宋体" w:eastAsia="宋体" w:cs="宋体"/>
          <w:sz w:val="24"/>
          <w:szCs w:val="24"/>
          <w:lang w:val="zh-CN" w:eastAsia="zh-CN" w:bidi="zh-CN"/>
        </w:rPr>
        <w:instrText xml:space="preserve"> PAGEREF _Toc26755 </w:instrText>
      </w:r>
      <w:r>
        <w:rPr>
          <w:rFonts w:ascii="宋体" w:hAnsi="宋体" w:eastAsia="宋体" w:cs="宋体"/>
          <w:sz w:val="24"/>
          <w:szCs w:val="24"/>
          <w:lang w:val="zh-CN" w:eastAsia="zh-CN" w:bidi="zh-CN"/>
        </w:rPr>
        <w:fldChar w:fldCharType="separate"/>
      </w:r>
      <w:r>
        <w:rPr>
          <w:rFonts w:ascii="宋体" w:hAnsi="宋体" w:eastAsia="宋体" w:cs="宋体"/>
          <w:sz w:val="24"/>
          <w:szCs w:val="24"/>
          <w:lang w:val="zh-CN" w:eastAsia="zh-CN" w:bidi="zh-CN"/>
        </w:rPr>
        <w:t>67</w:t>
      </w:r>
      <w:r>
        <w:rPr>
          <w:rFonts w:ascii="宋体" w:hAnsi="宋体" w:eastAsia="宋体" w:cs="宋体"/>
          <w:sz w:val="24"/>
          <w:szCs w:val="24"/>
          <w:lang w:val="zh-CN" w:eastAsia="zh-CN" w:bidi="zh-CN"/>
        </w:rPr>
        <w:fldChar w:fldCharType="end"/>
      </w:r>
      <w:r>
        <w:rPr>
          <w:rFonts w:ascii="宋体" w:hAnsi="宋体" w:eastAsia="宋体" w:cs="宋体"/>
          <w:sz w:val="24"/>
          <w:szCs w:val="24"/>
          <w:lang w:val="zh-CN" w:eastAsia="zh-CN" w:bidi="zh-CN"/>
        </w:rPr>
        <w:fldChar w:fldCharType="end"/>
      </w:r>
    </w:p>
    <w:p>
      <w:pPr>
        <w:pStyle w:val="7"/>
        <w:widowControl w:val="0"/>
        <w:numPr>
          <w:ilvl w:val="0"/>
          <w:numId w:val="0"/>
        </w:numPr>
        <w:tabs>
          <w:tab w:val="left" w:pos="1160"/>
        </w:tabs>
        <w:autoSpaceDE w:val="0"/>
        <w:autoSpaceDN w:val="0"/>
        <w:spacing w:before="230" w:after="0" w:line="240" w:lineRule="auto"/>
        <w:ind w:right="0" w:rightChars="0"/>
        <w:jc w:val="left"/>
        <w:outlineLvl w:val="1"/>
        <w:sectPr>
          <w:headerReference r:id="rId5" w:type="default"/>
          <w:footerReference r:id="rId6" w:type="default"/>
          <w:pgSz w:w="11910" w:h="16840"/>
          <w:pgMar w:top="1140" w:right="400" w:bottom="920" w:left="600" w:header="905" w:footer="720" w:gutter="0"/>
          <w:pgBorders>
            <w:top w:val="none" w:sz="0" w:space="0"/>
            <w:left w:val="none" w:sz="0" w:space="0"/>
            <w:bottom w:val="none" w:sz="0" w:space="0"/>
            <w:right w:val="none" w:sz="0" w:space="0"/>
          </w:pgBorders>
          <w:pgNumType w:start="1"/>
          <w:cols w:space="720" w:num="1"/>
        </w:sectPr>
      </w:pPr>
      <w:r>
        <w:rPr>
          <w:rFonts w:ascii="宋体" w:hAnsi="宋体" w:eastAsia="宋体" w:cs="宋体"/>
          <w:sz w:val="24"/>
          <w:szCs w:val="24"/>
          <w:lang w:val="zh-CN" w:eastAsia="zh-CN" w:bidi="zh-CN"/>
        </w:rPr>
        <w:fldChar w:fldCharType="end"/>
      </w:r>
    </w:p>
    <w:p>
      <w:pPr>
        <w:pStyle w:val="7"/>
        <w:numPr>
          <w:ilvl w:val="0"/>
          <w:numId w:val="1"/>
        </w:numPr>
        <w:tabs>
          <w:tab w:val="left" w:pos="1160"/>
        </w:tabs>
        <w:spacing w:before="230" w:after="0" w:line="240" w:lineRule="auto"/>
        <w:ind w:left="1159" w:right="0" w:hanging="320"/>
        <w:jc w:val="left"/>
      </w:pPr>
      <w:bookmarkStart w:id="3" w:name="_Toc27039"/>
      <w:bookmarkStart w:id="4" w:name="_Toc25072"/>
      <w:r>
        <w:t>总论</w:t>
      </w:r>
      <w:bookmarkEnd w:id="3"/>
      <w:bookmarkEnd w:id="4"/>
    </w:p>
    <w:p>
      <w:pPr>
        <w:pStyle w:val="5"/>
        <w:spacing w:before="212" w:line="364" w:lineRule="auto"/>
        <w:ind w:left="840" w:right="932" w:firstLine="480"/>
        <w:jc w:val="both"/>
      </w:pPr>
      <w:r>
        <w:t>本突发环境事件应急预案是宜春市佳绿肉类食品有限公司为预防、预警和应急处置突发环境事件或由安全生产事故产生的次生、衍生等各类突发环境事件而制定的应急预案。规范了本公司应对突发环境事件的应急机制，提出了本公司突发环境事件的预防预警和应急处置程序和应对措施，完善了各级政府相关部门和公司救援抢险队伍的衔接和联动体系，为公司有效、快速应对环境污染，保障区域环境安全提供科学的应急机制和措施。</w:t>
      </w:r>
    </w:p>
    <w:p>
      <w:pPr>
        <w:pStyle w:val="8"/>
        <w:numPr>
          <w:ilvl w:val="1"/>
          <w:numId w:val="1"/>
        </w:numPr>
        <w:tabs>
          <w:tab w:val="left" w:pos="1330"/>
        </w:tabs>
        <w:spacing w:before="0" w:after="0" w:line="356" w:lineRule="exact"/>
        <w:ind w:left="1329" w:right="0" w:hanging="490"/>
        <w:jc w:val="left"/>
      </w:pPr>
      <w:bookmarkStart w:id="5" w:name="_bookmark1"/>
      <w:bookmarkEnd w:id="5"/>
      <w:bookmarkStart w:id="6" w:name="_bookmark1"/>
      <w:bookmarkEnd w:id="6"/>
      <w:bookmarkStart w:id="7" w:name="1.1 编制目的"/>
      <w:bookmarkEnd w:id="7"/>
      <w:bookmarkStart w:id="8" w:name="_Toc11199"/>
      <w:bookmarkStart w:id="9" w:name="_Toc21584"/>
      <w:r>
        <w:t>编制目的</w:t>
      </w:r>
      <w:bookmarkEnd w:id="8"/>
      <w:bookmarkEnd w:id="9"/>
    </w:p>
    <w:p>
      <w:pPr>
        <w:pStyle w:val="5"/>
        <w:spacing w:before="233" w:line="364" w:lineRule="auto"/>
        <w:ind w:left="840" w:right="932" w:firstLine="480"/>
        <w:jc w:val="both"/>
      </w:pPr>
      <w:r>
        <w:t>为了加强宜春市佳绿肉类食品有限公司的环境监督管理，尽力预防突发环境事件发生，建立健全突发环境事件应急机制，提高本公司应对突发环境事件的能力，做到应急指挥、应急处置队伍及时到位，各项处置措施得当，最大限度地预防和减少突发环境事件及其造成的损害，保障公众生命健康和财产安全，保证正常的生产运行、生活秩序， 维护安全发展和社会稳定，特制定本预案。</w:t>
      </w:r>
    </w:p>
    <w:p>
      <w:pPr>
        <w:pStyle w:val="8"/>
        <w:numPr>
          <w:ilvl w:val="1"/>
          <w:numId w:val="1"/>
        </w:numPr>
        <w:tabs>
          <w:tab w:val="left" w:pos="1330"/>
        </w:tabs>
        <w:spacing w:before="0" w:after="0" w:line="355" w:lineRule="exact"/>
        <w:ind w:left="1329" w:right="0" w:hanging="490"/>
        <w:jc w:val="left"/>
      </w:pPr>
      <w:bookmarkStart w:id="10" w:name="_bookmark2"/>
      <w:bookmarkEnd w:id="10"/>
      <w:bookmarkStart w:id="11" w:name="1.2 编制依据"/>
      <w:bookmarkEnd w:id="11"/>
      <w:bookmarkStart w:id="12" w:name="_bookmark2"/>
      <w:bookmarkEnd w:id="12"/>
      <w:bookmarkStart w:id="13" w:name="_Toc11593"/>
      <w:bookmarkStart w:id="14" w:name="_Toc23121"/>
      <w:r>
        <w:t>编制依据</w:t>
      </w:r>
      <w:bookmarkEnd w:id="13"/>
      <w:bookmarkEnd w:id="14"/>
      <w:bookmarkStart w:id="545" w:name="_GoBack"/>
      <w:bookmarkEnd w:id="545"/>
    </w:p>
    <w:p>
      <w:pPr>
        <w:pStyle w:val="30"/>
        <w:numPr>
          <w:ilvl w:val="2"/>
          <w:numId w:val="1"/>
        </w:numPr>
        <w:tabs>
          <w:tab w:val="left" w:pos="1921"/>
        </w:tabs>
        <w:spacing w:before="234" w:after="0" w:line="240" w:lineRule="auto"/>
        <w:ind w:left="1921" w:right="0" w:hanging="601"/>
        <w:jc w:val="left"/>
        <w:rPr>
          <w:sz w:val="24"/>
        </w:rPr>
      </w:pPr>
      <w:r>
        <w:rPr>
          <w:sz w:val="24"/>
        </w:rPr>
        <w:t>《中华人民共和国环境保护法》（2014</w:t>
      </w:r>
      <w:r>
        <w:rPr>
          <w:spacing w:val="-15"/>
          <w:sz w:val="24"/>
        </w:rPr>
        <w:t xml:space="preserve"> 年修订</w:t>
      </w:r>
      <w:r>
        <w:rPr>
          <w:sz w:val="24"/>
        </w:rPr>
        <w:t>）；</w:t>
      </w:r>
    </w:p>
    <w:p>
      <w:pPr>
        <w:pStyle w:val="30"/>
        <w:numPr>
          <w:ilvl w:val="2"/>
          <w:numId w:val="1"/>
        </w:numPr>
        <w:tabs>
          <w:tab w:val="left" w:pos="1921"/>
        </w:tabs>
        <w:spacing w:before="160" w:after="0" w:line="240" w:lineRule="auto"/>
        <w:ind w:left="1921" w:right="0" w:hanging="601"/>
        <w:jc w:val="left"/>
        <w:rPr>
          <w:sz w:val="24"/>
        </w:rPr>
      </w:pPr>
      <w:r>
        <w:rPr>
          <w:sz w:val="24"/>
        </w:rPr>
        <w:t>《中华人民共和国大气污染防治法》（2000</w:t>
      </w:r>
      <w:r>
        <w:rPr>
          <w:spacing w:val="-40"/>
          <w:sz w:val="24"/>
        </w:rPr>
        <w:t xml:space="preserve"> 年 </w:t>
      </w:r>
      <w:r>
        <w:rPr>
          <w:sz w:val="24"/>
        </w:rPr>
        <w:t>9</w:t>
      </w:r>
      <w:r>
        <w:rPr>
          <w:spacing w:val="-40"/>
          <w:sz w:val="24"/>
        </w:rPr>
        <w:t xml:space="preserve"> 月 </w:t>
      </w:r>
      <w:r>
        <w:rPr>
          <w:sz w:val="24"/>
        </w:rPr>
        <w:t>1</w:t>
      </w:r>
      <w:r>
        <w:rPr>
          <w:spacing w:val="-12"/>
          <w:sz w:val="24"/>
        </w:rPr>
        <w:t xml:space="preserve"> 日起施行</w:t>
      </w:r>
      <w:r>
        <w:rPr>
          <w:sz w:val="24"/>
        </w:rPr>
        <w:t>）；</w:t>
      </w:r>
    </w:p>
    <w:p>
      <w:pPr>
        <w:pStyle w:val="30"/>
        <w:numPr>
          <w:ilvl w:val="2"/>
          <w:numId w:val="1"/>
        </w:numPr>
        <w:tabs>
          <w:tab w:val="left" w:pos="1921"/>
        </w:tabs>
        <w:spacing w:before="161" w:after="0" w:line="240" w:lineRule="auto"/>
        <w:ind w:left="1921" w:right="0" w:hanging="601"/>
        <w:jc w:val="left"/>
        <w:rPr>
          <w:sz w:val="24"/>
        </w:rPr>
      </w:pPr>
      <w:r>
        <w:rPr>
          <w:sz w:val="24"/>
        </w:rPr>
        <w:t>《中华人民共和国水污染防治法》（2008</w:t>
      </w:r>
      <w:r>
        <w:rPr>
          <w:spacing w:val="-40"/>
          <w:sz w:val="24"/>
        </w:rPr>
        <w:t xml:space="preserve"> 年 </w:t>
      </w:r>
      <w:r>
        <w:rPr>
          <w:sz w:val="24"/>
        </w:rPr>
        <w:t>6</w:t>
      </w:r>
      <w:r>
        <w:rPr>
          <w:spacing w:val="-40"/>
          <w:sz w:val="24"/>
        </w:rPr>
        <w:t xml:space="preserve"> 月 </w:t>
      </w:r>
      <w:r>
        <w:rPr>
          <w:sz w:val="24"/>
        </w:rPr>
        <w:t>1</w:t>
      </w:r>
      <w:r>
        <w:rPr>
          <w:spacing w:val="-12"/>
          <w:sz w:val="24"/>
        </w:rPr>
        <w:t xml:space="preserve"> 日起施行</w:t>
      </w:r>
      <w:r>
        <w:rPr>
          <w:sz w:val="24"/>
        </w:rPr>
        <w:t>）；</w:t>
      </w:r>
    </w:p>
    <w:p>
      <w:pPr>
        <w:pStyle w:val="30"/>
        <w:numPr>
          <w:ilvl w:val="2"/>
          <w:numId w:val="1"/>
        </w:numPr>
        <w:tabs>
          <w:tab w:val="left" w:pos="1921"/>
        </w:tabs>
        <w:spacing w:before="158" w:after="0" w:line="240" w:lineRule="auto"/>
        <w:ind w:left="1921" w:right="0" w:hanging="601"/>
        <w:jc w:val="left"/>
        <w:rPr>
          <w:sz w:val="24"/>
        </w:rPr>
      </w:pPr>
      <w:r>
        <w:rPr>
          <w:sz w:val="24"/>
        </w:rPr>
        <w:t>《中华人民共和国固体废物污染环境防治法》（20</w:t>
      </w:r>
      <w:r>
        <w:rPr>
          <w:rFonts w:hint="eastAsia"/>
          <w:sz w:val="24"/>
          <w:lang w:val="en-US" w:eastAsia="zh-CN"/>
        </w:rPr>
        <w:t>20</w:t>
      </w:r>
      <w:r>
        <w:rPr>
          <w:spacing w:val="-15"/>
          <w:sz w:val="24"/>
        </w:rPr>
        <w:t xml:space="preserve"> 年</w:t>
      </w:r>
      <w:r>
        <w:rPr>
          <w:rFonts w:hint="eastAsia"/>
          <w:spacing w:val="-15"/>
          <w:sz w:val="24"/>
          <w:lang w:val="en-US" w:eastAsia="zh-CN"/>
        </w:rPr>
        <w:t>4月29日</w:t>
      </w:r>
      <w:r>
        <w:rPr>
          <w:sz w:val="24"/>
        </w:rPr>
        <w:t>）；</w:t>
      </w:r>
    </w:p>
    <w:p>
      <w:pPr>
        <w:pStyle w:val="30"/>
        <w:numPr>
          <w:ilvl w:val="2"/>
          <w:numId w:val="1"/>
        </w:numPr>
        <w:tabs>
          <w:tab w:val="left" w:pos="1921"/>
        </w:tabs>
        <w:spacing w:before="160" w:after="0" w:line="240" w:lineRule="auto"/>
        <w:ind w:left="1921" w:right="0" w:hanging="601"/>
        <w:jc w:val="left"/>
        <w:rPr>
          <w:sz w:val="24"/>
        </w:rPr>
      </w:pPr>
      <w:r>
        <w:rPr>
          <w:sz w:val="24"/>
        </w:rPr>
        <w:t>《中华人民共和国突发事件应对法》（2007</w:t>
      </w:r>
      <w:r>
        <w:rPr>
          <w:spacing w:val="-40"/>
          <w:sz w:val="24"/>
        </w:rPr>
        <w:t xml:space="preserve"> 年 </w:t>
      </w:r>
      <w:r>
        <w:rPr>
          <w:sz w:val="24"/>
        </w:rPr>
        <w:t>11</w:t>
      </w:r>
      <w:r>
        <w:rPr>
          <w:spacing w:val="-40"/>
          <w:sz w:val="24"/>
        </w:rPr>
        <w:t xml:space="preserve"> 月 </w:t>
      </w:r>
      <w:r>
        <w:rPr>
          <w:sz w:val="24"/>
        </w:rPr>
        <w:t>1</w:t>
      </w:r>
      <w:r>
        <w:rPr>
          <w:spacing w:val="-12"/>
          <w:sz w:val="24"/>
        </w:rPr>
        <w:t xml:space="preserve"> 月起施行</w:t>
      </w:r>
      <w:r>
        <w:rPr>
          <w:sz w:val="24"/>
        </w:rPr>
        <w:t>）；</w:t>
      </w:r>
    </w:p>
    <w:p>
      <w:pPr>
        <w:pStyle w:val="30"/>
        <w:numPr>
          <w:ilvl w:val="2"/>
          <w:numId w:val="1"/>
        </w:numPr>
        <w:tabs>
          <w:tab w:val="left" w:pos="1921"/>
        </w:tabs>
        <w:spacing w:before="158" w:after="0" w:line="240" w:lineRule="auto"/>
        <w:ind w:left="1921" w:right="0" w:hanging="601"/>
        <w:jc w:val="left"/>
        <w:rPr>
          <w:sz w:val="24"/>
        </w:rPr>
      </w:pPr>
      <w:r>
        <w:rPr>
          <w:sz w:val="24"/>
        </w:rPr>
        <w:t>《中华人民共和国安全生产法》（2001</w:t>
      </w:r>
      <w:r>
        <w:rPr>
          <w:spacing w:val="-40"/>
          <w:sz w:val="24"/>
        </w:rPr>
        <w:t xml:space="preserve"> 年 </w:t>
      </w:r>
      <w:r>
        <w:rPr>
          <w:sz w:val="24"/>
        </w:rPr>
        <w:t>10</w:t>
      </w:r>
      <w:r>
        <w:rPr>
          <w:spacing w:val="-40"/>
          <w:sz w:val="24"/>
        </w:rPr>
        <w:t xml:space="preserve"> 月 </w:t>
      </w:r>
      <w:r>
        <w:rPr>
          <w:sz w:val="24"/>
        </w:rPr>
        <w:t>27</w:t>
      </w:r>
      <w:r>
        <w:rPr>
          <w:spacing w:val="-15"/>
          <w:sz w:val="24"/>
        </w:rPr>
        <w:t xml:space="preserve"> 日公布</w:t>
      </w:r>
      <w:r>
        <w:rPr>
          <w:sz w:val="24"/>
        </w:rPr>
        <w:t>）；</w:t>
      </w:r>
    </w:p>
    <w:p>
      <w:pPr>
        <w:pStyle w:val="30"/>
        <w:numPr>
          <w:ilvl w:val="2"/>
          <w:numId w:val="1"/>
        </w:numPr>
        <w:tabs>
          <w:tab w:val="left" w:pos="1921"/>
        </w:tabs>
        <w:spacing w:before="158" w:after="0" w:line="240" w:lineRule="auto"/>
        <w:ind w:left="1921" w:right="0" w:hanging="601"/>
        <w:jc w:val="left"/>
        <w:rPr>
          <w:sz w:val="24"/>
        </w:rPr>
      </w:pPr>
      <w:r>
        <w:rPr>
          <w:sz w:val="24"/>
        </w:rPr>
        <w:t>《中华人民共和国消防法》（2008</w:t>
      </w:r>
      <w:r>
        <w:rPr>
          <w:spacing w:val="-40"/>
          <w:sz w:val="24"/>
        </w:rPr>
        <w:t xml:space="preserve"> 年 </w:t>
      </w:r>
      <w:r>
        <w:rPr>
          <w:sz w:val="24"/>
        </w:rPr>
        <w:t>10</w:t>
      </w:r>
      <w:r>
        <w:rPr>
          <w:spacing w:val="-40"/>
          <w:sz w:val="24"/>
        </w:rPr>
        <w:t xml:space="preserve"> 月 </w:t>
      </w:r>
      <w:r>
        <w:rPr>
          <w:sz w:val="24"/>
        </w:rPr>
        <w:t>28</w:t>
      </w:r>
      <w:r>
        <w:rPr>
          <w:spacing w:val="-15"/>
          <w:sz w:val="24"/>
        </w:rPr>
        <w:t xml:space="preserve"> 日公布</w:t>
      </w:r>
      <w:r>
        <w:rPr>
          <w:sz w:val="24"/>
        </w:rPr>
        <w:t>）；</w:t>
      </w:r>
    </w:p>
    <w:p>
      <w:pPr>
        <w:pStyle w:val="30"/>
        <w:numPr>
          <w:ilvl w:val="2"/>
          <w:numId w:val="1"/>
        </w:numPr>
        <w:tabs>
          <w:tab w:val="left" w:pos="1921"/>
        </w:tabs>
        <w:spacing w:before="161" w:after="0" w:line="240" w:lineRule="auto"/>
        <w:ind w:left="1921" w:right="0" w:hanging="601"/>
        <w:jc w:val="left"/>
        <w:rPr>
          <w:sz w:val="24"/>
        </w:rPr>
      </w:pPr>
      <w:r>
        <w:rPr>
          <w:sz w:val="24"/>
        </w:rPr>
        <w:t>《突发环境事件信息报告办法》（</w:t>
      </w:r>
      <w:r>
        <w:rPr>
          <w:spacing w:val="-8"/>
          <w:sz w:val="24"/>
        </w:rPr>
        <w:t xml:space="preserve">环境保护部令第 </w:t>
      </w:r>
      <w:r>
        <w:rPr>
          <w:sz w:val="24"/>
        </w:rPr>
        <w:t>17</w:t>
      </w:r>
      <w:r>
        <w:rPr>
          <w:spacing w:val="-30"/>
          <w:sz w:val="24"/>
        </w:rPr>
        <w:t xml:space="preserve"> 号</w:t>
      </w:r>
      <w:r>
        <w:rPr>
          <w:sz w:val="24"/>
        </w:rPr>
        <w:t>）；</w:t>
      </w:r>
    </w:p>
    <w:p>
      <w:pPr>
        <w:pStyle w:val="30"/>
        <w:numPr>
          <w:ilvl w:val="2"/>
          <w:numId w:val="1"/>
        </w:numPr>
        <w:tabs>
          <w:tab w:val="left" w:pos="1921"/>
        </w:tabs>
        <w:spacing w:before="160" w:after="0" w:line="240" w:lineRule="auto"/>
        <w:ind w:left="1921" w:right="0" w:hanging="601"/>
        <w:jc w:val="left"/>
        <w:rPr>
          <w:sz w:val="24"/>
        </w:rPr>
      </w:pPr>
      <w:r>
        <w:rPr>
          <w:sz w:val="24"/>
        </w:rPr>
        <w:t>《国家突发环境事件应急预案》（</w:t>
      </w:r>
      <w:r>
        <w:rPr>
          <w:spacing w:val="-6"/>
          <w:sz w:val="24"/>
        </w:rPr>
        <w:t xml:space="preserve">中华人民共和国国务院 </w:t>
      </w:r>
      <w:r>
        <w:rPr>
          <w:sz w:val="24"/>
        </w:rPr>
        <w:t>2006</w:t>
      </w:r>
      <w:r>
        <w:rPr>
          <w:spacing w:val="-30"/>
          <w:sz w:val="24"/>
        </w:rPr>
        <w:t xml:space="preserve"> 年</w:t>
      </w:r>
      <w:r>
        <w:rPr>
          <w:sz w:val="24"/>
        </w:rPr>
        <w:t>）；</w:t>
      </w:r>
    </w:p>
    <w:p>
      <w:pPr>
        <w:pStyle w:val="30"/>
        <w:numPr>
          <w:ilvl w:val="2"/>
          <w:numId w:val="1"/>
        </w:numPr>
        <w:tabs>
          <w:tab w:val="left" w:pos="2041"/>
        </w:tabs>
        <w:spacing w:before="158" w:after="0" w:line="240" w:lineRule="auto"/>
        <w:ind w:left="2041" w:right="0" w:hanging="721"/>
        <w:jc w:val="left"/>
        <w:rPr>
          <w:sz w:val="24"/>
        </w:rPr>
      </w:pPr>
      <w:r>
        <w:rPr>
          <w:sz w:val="24"/>
        </w:rPr>
        <w:t>《突发环境事件应急预案管理暂行办法》（环发[2010]113</w:t>
      </w:r>
      <w:r>
        <w:rPr>
          <w:spacing w:val="-30"/>
          <w:sz w:val="24"/>
        </w:rPr>
        <w:t xml:space="preserve"> 号</w:t>
      </w:r>
      <w:r>
        <w:rPr>
          <w:sz w:val="24"/>
        </w:rPr>
        <w:t>）；</w:t>
      </w:r>
    </w:p>
    <w:p>
      <w:pPr>
        <w:pStyle w:val="30"/>
        <w:numPr>
          <w:ilvl w:val="2"/>
          <w:numId w:val="1"/>
        </w:numPr>
        <w:tabs>
          <w:tab w:val="left" w:pos="2041"/>
        </w:tabs>
        <w:spacing w:before="161" w:after="0" w:line="240" w:lineRule="auto"/>
        <w:ind w:left="2041" w:right="0" w:hanging="721"/>
        <w:jc w:val="left"/>
        <w:rPr>
          <w:sz w:val="24"/>
        </w:rPr>
      </w:pPr>
      <w:r>
        <w:rPr>
          <w:sz w:val="24"/>
        </w:rPr>
        <w:t>《企业突发环境事件风险评估指南（试行）》（2014</w:t>
      </w:r>
      <w:r>
        <w:rPr>
          <w:spacing w:val="-40"/>
          <w:sz w:val="24"/>
        </w:rPr>
        <w:t xml:space="preserve"> 年 </w:t>
      </w:r>
      <w:r>
        <w:rPr>
          <w:sz w:val="24"/>
        </w:rPr>
        <w:t>4</w:t>
      </w:r>
      <w:r>
        <w:rPr>
          <w:spacing w:val="-30"/>
          <w:sz w:val="24"/>
        </w:rPr>
        <w:t xml:space="preserve"> 月</w:t>
      </w:r>
      <w:r>
        <w:rPr>
          <w:sz w:val="24"/>
        </w:rPr>
        <w:t>）；</w:t>
      </w:r>
    </w:p>
    <w:p>
      <w:pPr>
        <w:pStyle w:val="5"/>
        <w:spacing w:before="158"/>
        <w:ind w:left="1440"/>
      </w:pPr>
      <w:r>
        <w:t>(12)《环境污染事故应急预案编制技术指南》(征求意见稿)(环办函[2008]324 号)</w:t>
      </w:r>
    </w:p>
    <w:p>
      <w:pPr>
        <w:pStyle w:val="30"/>
        <w:numPr>
          <w:ilvl w:val="0"/>
          <w:numId w:val="2"/>
        </w:numPr>
        <w:tabs>
          <w:tab w:val="left" w:pos="2041"/>
        </w:tabs>
        <w:spacing w:before="161" w:after="0" w:line="240" w:lineRule="auto"/>
        <w:ind w:left="2041" w:right="0" w:hanging="721"/>
        <w:jc w:val="left"/>
        <w:rPr>
          <w:sz w:val="24"/>
        </w:rPr>
      </w:pPr>
      <w:r>
        <w:rPr>
          <w:sz w:val="24"/>
        </w:rPr>
        <w:t>《国家危险化学品名录》（2012</w:t>
      </w:r>
      <w:r>
        <w:rPr>
          <w:spacing w:val="-30"/>
          <w:sz w:val="24"/>
        </w:rPr>
        <w:t xml:space="preserve"> 版</w:t>
      </w:r>
      <w:r>
        <w:rPr>
          <w:sz w:val="24"/>
        </w:rPr>
        <w:t>）；</w:t>
      </w:r>
    </w:p>
    <w:p>
      <w:pPr>
        <w:pStyle w:val="30"/>
        <w:numPr>
          <w:ilvl w:val="0"/>
          <w:numId w:val="2"/>
        </w:numPr>
        <w:tabs>
          <w:tab w:val="left" w:pos="2041"/>
        </w:tabs>
        <w:spacing w:before="158" w:after="0" w:line="240" w:lineRule="auto"/>
        <w:ind w:left="2041" w:right="0" w:hanging="721"/>
        <w:jc w:val="left"/>
        <w:rPr>
          <w:sz w:val="24"/>
        </w:rPr>
      </w:pPr>
      <w:r>
        <w:rPr>
          <w:sz w:val="24"/>
        </w:rPr>
        <w:t>《危险化学品重大风险源辨识》（GB18218-2009）；</w:t>
      </w:r>
    </w:p>
    <w:p>
      <w:pPr>
        <w:pStyle w:val="30"/>
        <w:numPr>
          <w:ilvl w:val="0"/>
          <w:numId w:val="2"/>
        </w:numPr>
        <w:tabs>
          <w:tab w:val="left" w:pos="2041"/>
        </w:tabs>
        <w:spacing w:before="160" w:after="0" w:line="240" w:lineRule="auto"/>
        <w:ind w:left="2041" w:right="0" w:hanging="721"/>
        <w:jc w:val="left"/>
        <w:rPr>
          <w:sz w:val="24"/>
        </w:rPr>
      </w:pPr>
      <w:r>
        <w:rPr>
          <w:sz w:val="24"/>
        </w:rPr>
        <w:t>《建设项目环境风险评价技术导则》（HJ/T 169-2004）；</w:t>
      </w:r>
    </w:p>
    <w:p>
      <w:pPr>
        <w:spacing w:after="0" w:line="240" w:lineRule="auto"/>
        <w:jc w:val="left"/>
        <w:rPr>
          <w:sz w:val="24"/>
        </w:rPr>
        <w:sectPr>
          <w:pgSz w:w="11910" w:h="16840"/>
          <w:pgMar w:top="1140" w:right="400" w:bottom="920" w:left="600" w:header="905" w:footer="720" w:gutter="0"/>
          <w:pgBorders>
            <w:top w:val="none" w:sz="0" w:space="0"/>
            <w:left w:val="none" w:sz="0" w:space="0"/>
            <w:bottom w:val="none" w:sz="0" w:space="0"/>
            <w:right w:val="none" w:sz="0" w:space="0"/>
          </w:pgBorders>
          <w:pgNumType w:start="1"/>
          <w:cols w:space="720" w:num="1"/>
        </w:sectPr>
      </w:pPr>
    </w:p>
    <w:p>
      <w:pPr>
        <w:pStyle w:val="5"/>
        <w:spacing w:before="8"/>
        <w:rPr>
          <w:sz w:val="12"/>
        </w:rPr>
      </w:pPr>
    </w:p>
    <w:p>
      <w:pPr>
        <w:pStyle w:val="30"/>
        <w:numPr>
          <w:ilvl w:val="0"/>
          <w:numId w:val="2"/>
        </w:numPr>
        <w:tabs>
          <w:tab w:val="left" w:pos="2041"/>
        </w:tabs>
        <w:spacing w:before="66" w:after="0" w:line="240" w:lineRule="auto"/>
        <w:ind w:left="2041" w:right="0" w:hanging="721"/>
        <w:jc w:val="left"/>
        <w:rPr>
          <w:sz w:val="24"/>
        </w:rPr>
      </w:pPr>
      <w:r>
        <w:rPr>
          <w:sz w:val="24"/>
        </w:rPr>
        <w:t>《工业企业设计卫生标准》（GBZ1-2010）；</w:t>
      </w:r>
    </w:p>
    <w:p>
      <w:pPr>
        <w:pStyle w:val="30"/>
        <w:numPr>
          <w:ilvl w:val="0"/>
          <w:numId w:val="2"/>
        </w:numPr>
        <w:tabs>
          <w:tab w:val="left" w:pos="2041"/>
        </w:tabs>
        <w:spacing w:before="161" w:after="0" w:line="240" w:lineRule="auto"/>
        <w:ind w:left="2041" w:right="0" w:hanging="721"/>
        <w:jc w:val="left"/>
        <w:rPr>
          <w:sz w:val="24"/>
        </w:rPr>
      </w:pPr>
      <w:r>
        <w:rPr>
          <w:sz w:val="24"/>
        </w:rPr>
        <w:t>《病害动物和病害动物产品生物安全处理规程》（GB16548-2006）；</w:t>
      </w:r>
    </w:p>
    <w:p>
      <w:pPr>
        <w:pStyle w:val="30"/>
        <w:numPr>
          <w:ilvl w:val="0"/>
          <w:numId w:val="2"/>
        </w:numPr>
        <w:tabs>
          <w:tab w:val="left" w:pos="2041"/>
        </w:tabs>
        <w:spacing w:before="158" w:after="0" w:line="240" w:lineRule="auto"/>
        <w:ind w:left="2041" w:right="0" w:hanging="721"/>
        <w:jc w:val="left"/>
        <w:rPr>
          <w:sz w:val="24"/>
        </w:rPr>
      </w:pPr>
      <w:r>
        <w:rPr>
          <w:sz w:val="24"/>
        </w:rPr>
        <w:t>《肉类加工厂卫生规范》（GB12694-1990）；</w:t>
      </w:r>
    </w:p>
    <w:p>
      <w:pPr>
        <w:pStyle w:val="30"/>
        <w:numPr>
          <w:ilvl w:val="0"/>
          <w:numId w:val="2"/>
        </w:numPr>
        <w:tabs>
          <w:tab w:val="left" w:pos="2041"/>
        </w:tabs>
        <w:spacing w:before="160" w:after="0" w:line="240" w:lineRule="auto"/>
        <w:ind w:left="2041" w:right="0" w:hanging="721"/>
        <w:jc w:val="left"/>
        <w:rPr>
          <w:sz w:val="24"/>
        </w:rPr>
      </w:pPr>
      <w:r>
        <w:rPr>
          <w:sz w:val="24"/>
        </w:rPr>
        <w:t>《地表水环境质量标准》（GB3838-2002）；</w:t>
      </w:r>
    </w:p>
    <w:p>
      <w:pPr>
        <w:pStyle w:val="30"/>
        <w:numPr>
          <w:ilvl w:val="0"/>
          <w:numId w:val="2"/>
        </w:numPr>
        <w:tabs>
          <w:tab w:val="left" w:pos="2041"/>
        </w:tabs>
        <w:spacing w:before="159" w:after="0" w:line="240" w:lineRule="auto"/>
        <w:ind w:left="2041" w:right="0" w:hanging="721"/>
        <w:jc w:val="left"/>
        <w:rPr>
          <w:sz w:val="24"/>
        </w:rPr>
      </w:pPr>
      <w:r>
        <w:rPr>
          <w:sz w:val="24"/>
        </w:rPr>
        <w:t>《环境空气质量标准》（GB3095-1996）；</w:t>
      </w:r>
    </w:p>
    <w:p>
      <w:pPr>
        <w:pStyle w:val="30"/>
        <w:numPr>
          <w:ilvl w:val="0"/>
          <w:numId w:val="2"/>
        </w:numPr>
        <w:tabs>
          <w:tab w:val="left" w:pos="2041"/>
        </w:tabs>
        <w:spacing w:before="160" w:after="0" w:line="240" w:lineRule="auto"/>
        <w:ind w:left="2041" w:right="0" w:hanging="721"/>
        <w:jc w:val="left"/>
        <w:rPr>
          <w:sz w:val="24"/>
        </w:rPr>
      </w:pPr>
      <w:r>
        <w:rPr>
          <w:sz w:val="24"/>
        </w:rPr>
        <w:t>《地下水质量标准》（GB/T14848-93）；</w:t>
      </w:r>
    </w:p>
    <w:p>
      <w:pPr>
        <w:pStyle w:val="30"/>
        <w:numPr>
          <w:ilvl w:val="0"/>
          <w:numId w:val="2"/>
        </w:numPr>
        <w:tabs>
          <w:tab w:val="left" w:pos="2041"/>
        </w:tabs>
        <w:spacing w:before="161" w:after="0" w:line="240" w:lineRule="auto"/>
        <w:ind w:left="2041" w:right="0" w:hanging="721"/>
        <w:jc w:val="left"/>
        <w:rPr>
          <w:sz w:val="24"/>
        </w:rPr>
      </w:pPr>
      <w:r>
        <w:rPr>
          <w:sz w:val="24"/>
        </w:rPr>
        <w:t>《恶臭污染物排放标准》（GB 14554-1993）；</w:t>
      </w:r>
    </w:p>
    <w:p>
      <w:pPr>
        <w:pStyle w:val="30"/>
        <w:numPr>
          <w:ilvl w:val="0"/>
          <w:numId w:val="2"/>
        </w:numPr>
        <w:tabs>
          <w:tab w:val="left" w:pos="2041"/>
        </w:tabs>
        <w:spacing w:before="158" w:after="0" w:line="240" w:lineRule="auto"/>
        <w:ind w:left="2041" w:right="0" w:hanging="721"/>
        <w:jc w:val="left"/>
        <w:rPr>
          <w:sz w:val="24"/>
        </w:rPr>
      </w:pPr>
      <w:r>
        <w:rPr>
          <w:sz w:val="24"/>
        </w:rPr>
        <w:t>《锅炉大气污染物排放标准》（GB13271-2001）；</w:t>
      </w:r>
    </w:p>
    <w:p>
      <w:pPr>
        <w:pStyle w:val="30"/>
        <w:numPr>
          <w:ilvl w:val="0"/>
          <w:numId w:val="2"/>
        </w:numPr>
        <w:tabs>
          <w:tab w:val="left" w:pos="2041"/>
        </w:tabs>
        <w:spacing w:before="160" w:after="0" w:line="240" w:lineRule="auto"/>
        <w:ind w:left="2041" w:right="0" w:hanging="721"/>
        <w:jc w:val="left"/>
        <w:rPr>
          <w:sz w:val="24"/>
        </w:rPr>
      </w:pPr>
      <w:r>
        <w:rPr>
          <w:sz w:val="24"/>
        </w:rPr>
        <w:t>《污水综合排放标准》（GB8978-1996）；</w:t>
      </w:r>
    </w:p>
    <w:p>
      <w:pPr>
        <w:pStyle w:val="30"/>
        <w:numPr>
          <w:ilvl w:val="0"/>
          <w:numId w:val="2"/>
        </w:numPr>
        <w:tabs>
          <w:tab w:val="left" w:pos="2041"/>
        </w:tabs>
        <w:spacing w:before="158" w:after="0" w:line="240" w:lineRule="auto"/>
        <w:ind w:left="2041" w:right="0" w:hanging="721"/>
        <w:jc w:val="left"/>
        <w:rPr>
          <w:sz w:val="24"/>
        </w:rPr>
      </w:pPr>
      <w:r>
        <w:rPr>
          <w:sz w:val="24"/>
        </w:rPr>
        <w:t>《肉类加工工业水污染物排放标准》（GB13457-1992）；</w:t>
      </w:r>
    </w:p>
    <w:p>
      <w:pPr>
        <w:pStyle w:val="30"/>
        <w:numPr>
          <w:ilvl w:val="0"/>
          <w:numId w:val="2"/>
        </w:numPr>
        <w:tabs>
          <w:tab w:val="left" w:pos="2041"/>
        </w:tabs>
        <w:spacing w:before="158" w:after="0" w:line="240" w:lineRule="auto"/>
        <w:ind w:left="2041" w:right="0" w:hanging="721"/>
        <w:jc w:val="left"/>
        <w:rPr>
          <w:sz w:val="24"/>
        </w:rPr>
      </w:pPr>
      <w:r>
        <w:rPr>
          <w:sz w:val="24"/>
        </w:rPr>
        <w:t>《工业企业厂界环境噪声排放标准》（GB12348-2008）；</w:t>
      </w:r>
    </w:p>
    <w:p>
      <w:pPr>
        <w:pStyle w:val="30"/>
        <w:numPr>
          <w:ilvl w:val="0"/>
          <w:numId w:val="2"/>
        </w:numPr>
        <w:tabs>
          <w:tab w:val="left" w:pos="2041"/>
        </w:tabs>
        <w:spacing w:before="161" w:after="0" w:line="240" w:lineRule="auto"/>
        <w:ind w:left="2041" w:right="0" w:hanging="721"/>
        <w:jc w:val="left"/>
        <w:rPr>
          <w:sz w:val="24"/>
        </w:rPr>
      </w:pPr>
      <w:r>
        <w:rPr>
          <w:sz w:val="24"/>
        </w:rPr>
        <w:t>《一般工业固体废物贮存、处置场污染控制标准》（GB18599-2001)；</w:t>
      </w:r>
    </w:p>
    <w:p>
      <w:pPr>
        <w:pStyle w:val="8"/>
        <w:numPr>
          <w:ilvl w:val="1"/>
          <w:numId w:val="1"/>
        </w:numPr>
        <w:tabs>
          <w:tab w:val="left" w:pos="1330"/>
        </w:tabs>
        <w:spacing w:before="161" w:after="0" w:line="240" w:lineRule="auto"/>
        <w:ind w:left="1329" w:right="0" w:hanging="490"/>
        <w:jc w:val="left"/>
      </w:pPr>
      <w:bookmarkStart w:id="15" w:name="_bookmark3"/>
      <w:bookmarkEnd w:id="15"/>
      <w:bookmarkStart w:id="16" w:name="_bookmark3"/>
      <w:bookmarkEnd w:id="16"/>
      <w:bookmarkStart w:id="17" w:name="1.3 适用范围"/>
      <w:bookmarkEnd w:id="17"/>
      <w:bookmarkStart w:id="18" w:name="_Toc12608"/>
      <w:bookmarkStart w:id="19" w:name="_Toc7483"/>
      <w:r>
        <w:t>适用范围</w:t>
      </w:r>
      <w:bookmarkEnd w:id="18"/>
      <w:bookmarkEnd w:id="19"/>
    </w:p>
    <w:p>
      <w:pPr>
        <w:pStyle w:val="5"/>
        <w:spacing w:before="233" w:line="362" w:lineRule="auto"/>
        <w:ind w:left="840" w:right="932" w:firstLine="480"/>
      </w:pPr>
      <w:r>
        <w:t>本应急预案适用于所有宜春市佳绿肉类食品有限公司厂区范围内发生的突发环境事件以及衍生环境事件的应急处置、应急响应和应急救援工作。</w:t>
      </w:r>
    </w:p>
    <w:p>
      <w:pPr>
        <w:pStyle w:val="8"/>
        <w:numPr>
          <w:ilvl w:val="1"/>
          <w:numId w:val="1"/>
        </w:numPr>
        <w:tabs>
          <w:tab w:val="left" w:pos="1330"/>
        </w:tabs>
        <w:spacing w:before="6" w:after="0" w:line="240" w:lineRule="auto"/>
        <w:ind w:left="1329" w:right="0" w:hanging="490"/>
        <w:jc w:val="left"/>
      </w:pPr>
      <w:bookmarkStart w:id="20" w:name="_bookmark4"/>
      <w:bookmarkEnd w:id="20"/>
      <w:bookmarkStart w:id="21" w:name="1.4 工作原则"/>
      <w:bookmarkEnd w:id="21"/>
      <w:bookmarkStart w:id="22" w:name="_bookmark4"/>
      <w:bookmarkEnd w:id="22"/>
      <w:bookmarkStart w:id="23" w:name="_Toc15"/>
      <w:bookmarkStart w:id="24" w:name="_Toc31591"/>
      <w:r>
        <w:t>工作原则</w:t>
      </w:r>
      <w:bookmarkEnd w:id="23"/>
      <w:bookmarkEnd w:id="24"/>
    </w:p>
    <w:p>
      <w:pPr>
        <w:pStyle w:val="5"/>
        <w:spacing w:before="233" w:line="362" w:lineRule="auto"/>
        <w:ind w:left="840" w:right="932" w:firstLine="480"/>
      </w:pPr>
      <w:r>
        <w:t>建立突发环境事件应急系统及响应程序，本着实事求是、切实可行的方针，贯彻如下原则：</w:t>
      </w:r>
    </w:p>
    <w:p>
      <w:pPr>
        <w:pStyle w:val="30"/>
        <w:numPr>
          <w:ilvl w:val="0"/>
          <w:numId w:val="3"/>
        </w:numPr>
        <w:tabs>
          <w:tab w:val="left" w:pos="1921"/>
        </w:tabs>
        <w:spacing w:before="5" w:after="0" w:line="240" w:lineRule="auto"/>
        <w:ind w:left="1921" w:right="0" w:hanging="601"/>
        <w:jc w:val="left"/>
        <w:rPr>
          <w:sz w:val="24"/>
        </w:rPr>
      </w:pPr>
      <w:r>
        <w:rPr>
          <w:sz w:val="24"/>
        </w:rPr>
        <w:t>预防与应急并重，常态与非常态结合原则</w:t>
      </w:r>
    </w:p>
    <w:p>
      <w:pPr>
        <w:pStyle w:val="5"/>
        <w:spacing w:before="158" w:line="364" w:lineRule="auto"/>
        <w:ind w:left="840" w:right="932" w:firstLine="480"/>
        <w:jc w:val="both"/>
      </w:pPr>
      <w:r>
        <w:t>积极预防、及时控制、消除隐患，提高突发环境事件防范和处理能力，尽可能地避免或减少突发环境事件的发生。建立统一高效的应急信息平台，建设精干实用的专业应急救援队伍，健全应急预案体系，加强应急管理宣传教育，提高员工参与和自救互救能力，实现全员预警、全员动员、快速反应，应急处置整体联动。</w:t>
      </w:r>
    </w:p>
    <w:p>
      <w:pPr>
        <w:pStyle w:val="30"/>
        <w:numPr>
          <w:ilvl w:val="0"/>
          <w:numId w:val="3"/>
        </w:numPr>
        <w:tabs>
          <w:tab w:val="left" w:pos="1921"/>
        </w:tabs>
        <w:spacing w:before="0" w:after="0" w:line="305" w:lineRule="exact"/>
        <w:ind w:left="1921" w:right="0" w:hanging="601"/>
        <w:jc w:val="left"/>
        <w:rPr>
          <w:sz w:val="24"/>
        </w:rPr>
      </w:pPr>
      <w:r>
        <w:rPr>
          <w:sz w:val="24"/>
        </w:rPr>
        <w:t>坚持以人为本，安全第一原则</w:t>
      </w:r>
    </w:p>
    <w:p>
      <w:pPr>
        <w:pStyle w:val="5"/>
        <w:spacing w:before="161" w:line="364" w:lineRule="auto"/>
        <w:ind w:left="840" w:right="947" w:firstLine="480"/>
        <w:jc w:val="both"/>
      </w:pPr>
      <w:r>
        <w:t>切实履行部门和人员的管理职能，把保障公众健康与保护人民群众人身安全和财产安全作为应急救援工作的出发点和根本点，最大限度地减少事件造成的环境破坏、人员伤亡和危害。不断改进和完善应急救援的装备、储备，切实提高应急救援人员的安全防护水平和科学指挥能力。</w:t>
      </w:r>
    </w:p>
    <w:p>
      <w:pPr>
        <w:pStyle w:val="30"/>
        <w:numPr>
          <w:ilvl w:val="0"/>
          <w:numId w:val="3"/>
        </w:numPr>
        <w:tabs>
          <w:tab w:val="left" w:pos="1921"/>
        </w:tabs>
        <w:spacing w:before="0" w:after="0" w:line="305" w:lineRule="exact"/>
        <w:ind w:left="1921" w:right="0" w:hanging="601"/>
        <w:jc w:val="left"/>
        <w:rPr>
          <w:sz w:val="24"/>
        </w:rPr>
      </w:pPr>
      <w:r>
        <w:rPr>
          <w:sz w:val="24"/>
        </w:rPr>
        <w:t>坚持统一领导，分级负责原则</w:t>
      </w:r>
    </w:p>
    <w:p>
      <w:pPr>
        <w:spacing w:after="0" w:line="305" w:lineRule="exact"/>
        <w:jc w:val="left"/>
        <w:rPr>
          <w:sz w:val="24"/>
        </w:rPr>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8"/>
        <w:rPr>
          <w:sz w:val="12"/>
        </w:rPr>
      </w:pPr>
    </w:p>
    <w:p>
      <w:pPr>
        <w:pStyle w:val="5"/>
        <w:spacing w:before="66" w:line="364" w:lineRule="auto"/>
        <w:ind w:left="840" w:right="932" w:firstLine="480"/>
        <w:jc w:val="both"/>
      </w:pPr>
      <w:r>
        <w:t>接受政府环境管理部门的指导，使本公司的突发环境事件应急系统成为区域系统的有机组成部分。加强各部门之间的协同与合作，提高快速反应能力。在企业应急救援指挥部的统一领导下，建立健全管理机制。加强应急处置队伍建设，建立职能部门联动协调制度，充分动员和发挥各级应急队伍的作用，依靠员工力量，形成统一指挥、反应灵敏、功能齐全、协调有序、运转高效的应急管理机制。</w:t>
      </w:r>
    </w:p>
    <w:p>
      <w:pPr>
        <w:pStyle w:val="30"/>
        <w:numPr>
          <w:ilvl w:val="0"/>
          <w:numId w:val="3"/>
        </w:numPr>
        <w:tabs>
          <w:tab w:val="left" w:pos="1921"/>
        </w:tabs>
        <w:spacing w:before="0" w:after="0" w:line="306" w:lineRule="exact"/>
        <w:ind w:left="1921" w:right="0" w:hanging="601"/>
        <w:jc w:val="left"/>
        <w:rPr>
          <w:sz w:val="24"/>
        </w:rPr>
      </w:pPr>
      <w:r>
        <w:rPr>
          <w:sz w:val="24"/>
        </w:rPr>
        <w:t>坚持科学预防，高效处置原则</w:t>
      </w:r>
    </w:p>
    <w:p>
      <w:pPr>
        <w:pStyle w:val="5"/>
        <w:spacing w:before="161" w:line="362" w:lineRule="auto"/>
        <w:ind w:left="840" w:right="932" w:firstLine="480"/>
      </w:pPr>
      <w:r>
        <w:t>积极做好应对突发环境事件的思想准备、物资准备、技术准备、工作准备，加强培训演练，强化预防、预警工作，应急系统做到常备不懈，在应急时快速有效。</w:t>
      </w:r>
    </w:p>
    <w:p>
      <w:pPr>
        <w:pStyle w:val="8"/>
        <w:numPr>
          <w:ilvl w:val="1"/>
          <w:numId w:val="1"/>
        </w:numPr>
        <w:tabs>
          <w:tab w:val="left" w:pos="1330"/>
        </w:tabs>
        <w:spacing w:before="6" w:after="0" w:line="240" w:lineRule="auto"/>
        <w:ind w:left="1329" w:right="0" w:hanging="490"/>
        <w:jc w:val="left"/>
      </w:pPr>
      <w:bookmarkStart w:id="25" w:name="_bookmark5"/>
      <w:bookmarkEnd w:id="25"/>
      <w:bookmarkStart w:id="26" w:name="_bookmark5"/>
      <w:bookmarkEnd w:id="26"/>
      <w:bookmarkStart w:id="27" w:name="1.5 应急预案编制程序和内容"/>
      <w:bookmarkEnd w:id="27"/>
      <w:bookmarkStart w:id="28" w:name="_Toc11643"/>
      <w:bookmarkStart w:id="29" w:name="_Toc29644"/>
      <w:r>
        <w:t>应急预案编制程序和内容</w:t>
      </w:r>
      <w:bookmarkEnd w:id="28"/>
      <w:bookmarkEnd w:id="29"/>
    </w:p>
    <w:p>
      <w:pPr>
        <w:pStyle w:val="9"/>
        <w:numPr>
          <w:ilvl w:val="2"/>
          <w:numId w:val="4"/>
        </w:numPr>
        <w:tabs>
          <w:tab w:val="left" w:pos="1440"/>
        </w:tabs>
        <w:spacing w:before="230" w:after="0" w:line="240" w:lineRule="auto"/>
        <w:ind w:left="1440" w:right="0" w:hanging="600"/>
        <w:jc w:val="left"/>
      </w:pPr>
      <w:bookmarkStart w:id="30" w:name="1.5.1 编制程序"/>
      <w:bookmarkEnd w:id="30"/>
      <w:bookmarkStart w:id="31" w:name="_bookmark6"/>
      <w:bookmarkEnd w:id="31"/>
      <w:bookmarkStart w:id="32" w:name="_bookmark6"/>
      <w:bookmarkEnd w:id="32"/>
      <w:r>
        <w:t>编制程序</w:t>
      </w:r>
    </w:p>
    <w:p>
      <w:pPr>
        <w:pStyle w:val="5"/>
        <w:spacing w:before="209" w:line="364" w:lineRule="auto"/>
        <w:ind w:left="840" w:right="812" w:firstLine="480"/>
      </w:pPr>
      <w:r>
        <w:rPr>
          <w:spacing w:val="-4"/>
        </w:rPr>
        <w:t>本预案编制严格参照《突发环境事件应急预案管理暂行办法》</w:t>
      </w:r>
      <w:r>
        <w:t>（环发[2010]113</w:t>
      </w:r>
      <w:r>
        <w:rPr>
          <w:spacing w:val="-31"/>
        </w:rPr>
        <w:t xml:space="preserve"> 号</w:t>
      </w:r>
      <w:r>
        <w:rPr>
          <w:spacing w:val="-15"/>
        </w:rPr>
        <w:t xml:space="preserve">） </w:t>
      </w:r>
      <w:r>
        <w:rPr>
          <w:spacing w:val="-5"/>
        </w:rPr>
        <w:t xml:space="preserve">的规定进行，编制程序见图 </w:t>
      </w:r>
      <w:r>
        <w:t>1-1。</w:t>
      </w:r>
    </w:p>
    <w:p>
      <w:pPr>
        <w:pStyle w:val="5"/>
        <w:ind w:left="1459"/>
        <w:rPr>
          <w:sz w:val="20"/>
        </w:rPr>
      </w:pPr>
      <w:r>
        <w:rPr>
          <w:sz w:val="20"/>
        </w:rPr>
        <w:drawing>
          <wp:inline distT="0" distB="0" distL="0" distR="0">
            <wp:extent cx="4806950" cy="436372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9" cstate="print"/>
                    <a:stretch>
                      <a:fillRect/>
                    </a:stretch>
                  </pic:blipFill>
                  <pic:spPr>
                    <a:xfrm>
                      <a:off x="0" y="0"/>
                      <a:ext cx="4807567" cy="4363974"/>
                    </a:xfrm>
                    <a:prstGeom prst="rect">
                      <a:avLst/>
                    </a:prstGeom>
                  </pic:spPr>
                </pic:pic>
              </a:graphicData>
            </a:graphic>
          </wp:inline>
        </w:drawing>
      </w:r>
    </w:p>
    <w:p>
      <w:pPr>
        <w:pStyle w:val="9"/>
        <w:spacing w:before="26"/>
        <w:ind w:left="0" w:right="78" w:firstLine="0"/>
        <w:jc w:val="center"/>
      </w:pPr>
      <w:r>
        <w:t>图 1-1 突发环境事件应急预案编制程序</w:t>
      </w:r>
    </w:p>
    <w:p>
      <w:pPr>
        <w:spacing w:after="0"/>
        <w:jc w:val="center"/>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rPr>
          <w:b/>
          <w:sz w:val="12"/>
        </w:rPr>
      </w:pPr>
    </w:p>
    <w:p>
      <w:pPr>
        <w:pStyle w:val="30"/>
        <w:numPr>
          <w:ilvl w:val="2"/>
          <w:numId w:val="4"/>
        </w:numPr>
        <w:tabs>
          <w:tab w:val="left" w:pos="1440"/>
        </w:tabs>
        <w:spacing w:before="74" w:after="0" w:line="240" w:lineRule="auto"/>
        <w:ind w:left="1440" w:right="0" w:hanging="600"/>
        <w:jc w:val="both"/>
        <w:rPr>
          <w:b/>
          <w:sz w:val="24"/>
        </w:rPr>
      </w:pPr>
      <w:bookmarkStart w:id="33" w:name="_bookmark7"/>
      <w:bookmarkEnd w:id="33"/>
      <w:bookmarkStart w:id="34" w:name="_bookmark7"/>
      <w:bookmarkEnd w:id="34"/>
      <w:bookmarkStart w:id="35" w:name="1.5.2 编制内容"/>
      <w:bookmarkEnd w:id="35"/>
      <w:r>
        <w:rPr>
          <w:b/>
          <w:sz w:val="24"/>
        </w:rPr>
        <w:t>编制内容</w:t>
      </w:r>
    </w:p>
    <w:p>
      <w:pPr>
        <w:pStyle w:val="5"/>
        <w:spacing w:before="209" w:line="364" w:lineRule="auto"/>
        <w:ind w:left="840" w:right="932" w:firstLine="480"/>
        <w:jc w:val="both"/>
      </w:pPr>
      <w:r>
        <w:t>本预案的编制内容包括企业概况、企业环境风险辨识、风险防控和应急差距、应急组织机构与职责、预防和预警机制、应急响应和措施、后期处置、保障措施、监督管理及附则、附表、附图和附件。</w:t>
      </w:r>
    </w:p>
    <w:p>
      <w:pPr>
        <w:pStyle w:val="8"/>
        <w:numPr>
          <w:ilvl w:val="1"/>
          <w:numId w:val="1"/>
        </w:numPr>
        <w:tabs>
          <w:tab w:val="left" w:pos="1330"/>
        </w:tabs>
        <w:spacing w:before="0" w:after="0" w:line="357" w:lineRule="exact"/>
        <w:ind w:left="1329" w:right="0" w:hanging="490"/>
        <w:jc w:val="both"/>
      </w:pPr>
      <w:bookmarkStart w:id="36" w:name="1.6 突发环境事件分级标准"/>
      <w:bookmarkEnd w:id="36"/>
      <w:bookmarkStart w:id="37" w:name="_bookmark8"/>
      <w:bookmarkEnd w:id="37"/>
      <w:bookmarkStart w:id="38" w:name="_bookmark8"/>
      <w:bookmarkEnd w:id="38"/>
      <w:bookmarkStart w:id="39" w:name="_Toc15122"/>
      <w:bookmarkStart w:id="40" w:name="_Toc22945"/>
      <w:r>
        <w:t>突发环境事件分级标准</w:t>
      </w:r>
      <w:bookmarkEnd w:id="39"/>
      <w:bookmarkEnd w:id="40"/>
    </w:p>
    <w:p>
      <w:pPr>
        <w:pStyle w:val="5"/>
        <w:spacing w:before="233" w:line="364" w:lineRule="auto"/>
        <w:ind w:left="840" w:right="932" w:firstLine="480"/>
        <w:jc w:val="both"/>
      </w:pPr>
      <w:r>
        <w:t>根据《国家突发环境事件应急预案》，突发环境事件按照严重性和紧急程度，分为特别重大环境事件（Ⅰ级）、重大环境事件（Ⅱ级）、较大环境事件（Ⅲ级）和一般环境事件（Ⅳ级）四级。具体如下：</w:t>
      </w:r>
    </w:p>
    <w:p>
      <w:pPr>
        <w:pStyle w:val="9"/>
        <w:numPr>
          <w:ilvl w:val="2"/>
          <w:numId w:val="5"/>
        </w:numPr>
        <w:tabs>
          <w:tab w:val="left" w:pos="1385"/>
        </w:tabs>
        <w:spacing w:before="0" w:after="0" w:line="307" w:lineRule="exact"/>
        <w:ind w:left="1384" w:right="0" w:hanging="545"/>
        <w:jc w:val="both"/>
      </w:pPr>
      <w:bookmarkStart w:id="41" w:name="l.6.1 特别重大环境事件（Ⅰ级）"/>
      <w:bookmarkEnd w:id="41"/>
      <w:bookmarkStart w:id="42" w:name="_bookmark9"/>
      <w:bookmarkEnd w:id="42"/>
      <w:bookmarkStart w:id="43" w:name="_bookmark9"/>
      <w:bookmarkEnd w:id="43"/>
      <w:r>
        <w:t>特别重大环境事件（Ⅰ级）</w:t>
      </w:r>
    </w:p>
    <w:p>
      <w:pPr>
        <w:pStyle w:val="5"/>
        <w:spacing w:before="206"/>
        <w:ind w:left="1320"/>
      </w:pPr>
      <w:r>
        <w:t>凡符合下列情形之一的，为特别重大环境事件：</w:t>
      </w:r>
    </w:p>
    <w:p>
      <w:pPr>
        <w:pStyle w:val="30"/>
        <w:numPr>
          <w:ilvl w:val="3"/>
          <w:numId w:val="5"/>
        </w:numPr>
        <w:tabs>
          <w:tab w:val="left" w:pos="1921"/>
        </w:tabs>
        <w:spacing w:before="161" w:after="0" w:line="240" w:lineRule="auto"/>
        <w:ind w:left="1921" w:right="0" w:hanging="601"/>
        <w:jc w:val="left"/>
        <w:rPr>
          <w:sz w:val="24"/>
        </w:rPr>
      </w:pPr>
      <w:r>
        <w:rPr>
          <w:spacing w:val="-20"/>
          <w:sz w:val="24"/>
        </w:rPr>
        <w:t xml:space="preserve">发生 </w:t>
      </w:r>
      <w:r>
        <w:rPr>
          <w:sz w:val="24"/>
        </w:rPr>
        <w:t>30</w:t>
      </w:r>
      <w:r>
        <w:rPr>
          <w:spacing w:val="-8"/>
          <w:sz w:val="24"/>
        </w:rPr>
        <w:t xml:space="preserve"> 人以上死亡，或中毒</w:t>
      </w:r>
      <w:r>
        <w:rPr>
          <w:sz w:val="24"/>
        </w:rPr>
        <w:t>（重伤）100</w:t>
      </w:r>
      <w:r>
        <w:rPr>
          <w:spacing w:val="-12"/>
          <w:sz w:val="24"/>
        </w:rPr>
        <w:t xml:space="preserve"> 人以上；</w:t>
      </w:r>
    </w:p>
    <w:p>
      <w:pPr>
        <w:pStyle w:val="30"/>
        <w:numPr>
          <w:ilvl w:val="3"/>
          <w:numId w:val="5"/>
        </w:numPr>
        <w:tabs>
          <w:tab w:val="left" w:pos="1921"/>
        </w:tabs>
        <w:spacing w:before="160" w:after="0" w:line="240" w:lineRule="auto"/>
        <w:ind w:left="1921" w:right="0" w:hanging="601"/>
        <w:jc w:val="left"/>
        <w:rPr>
          <w:sz w:val="24"/>
        </w:rPr>
      </w:pPr>
      <w:r>
        <w:rPr>
          <w:spacing w:val="-5"/>
          <w:sz w:val="24"/>
        </w:rPr>
        <w:t xml:space="preserve">因环境事件需疏散、转移群众 </w:t>
      </w:r>
      <w:r>
        <w:rPr>
          <w:sz w:val="24"/>
        </w:rPr>
        <w:t>5</w:t>
      </w:r>
      <w:r>
        <w:rPr>
          <w:spacing w:val="-12"/>
          <w:sz w:val="24"/>
        </w:rPr>
        <w:t xml:space="preserve"> 万人以上，或直接经济损失 </w:t>
      </w:r>
      <w:r>
        <w:rPr>
          <w:sz w:val="24"/>
        </w:rPr>
        <w:t>1000</w:t>
      </w:r>
      <w:r>
        <w:rPr>
          <w:spacing w:val="-10"/>
          <w:sz w:val="24"/>
        </w:rPr>
        <w:t xml:space="preserve"> 万元以上；</w:t>
      </w:r>
    </w:p>
    <w:p>
      <w:pPr>
        <w:pStyle w:val="30"/>
        <w:numPr>
          <w:ilvl w:val="3"/>
          <w:numId w:val="5"/>
        </w:numPr>
        <w:tabs>
          <w:tab w:val="left" w:pos="1921"/>
        </w:tabs>
        <w:spacing w:before="158" w:after="0" w:line="240" w:lineRule="auto"/>
        <w:ind w:left="1921" w:right="0" w:hanging="601"/>
        <w:jc w:val="left"/>
        <w:rPr>
          <w:sz w:val="24"/>
        </w:rPr>
      </w:pPr>
      <w:r>
        <w:rPr>
          <w:sz w:val="24"/>
        </w:rPr>
        <w:t>区域生态功能严重丧失或濒危物种生存环境遭到严重污染；</w:t>
      </w:r>
    </w:p>
    <w:p>
      <w:pPr>
        <w:pStyle w:val="30"/>
        <w:numPr>
          <w:ilvl w:val="3"/>
          <w:numId w:val="5"/>
        </w:numPr>
        <w:tabs>
          <w:tab w:val="left" w:pos="1921"/>
        </w:tabs>
        <w:spacing w:before="161" w:after="0" w:line="240" w:lineRule="auto"/>
        <w:ind w:left="1921" w:right="0" w:hanging="601"/>
        <w:jc w:val="left"/>
        <w:rPr>
          <w:sz w:val="24"/>
        </w:rPr>
      </w:pPr>
      <w:r>
        <w:rPr>
          <w:sz w:val="24"/>
        </w:rPr>
        <w:t>因环境污染使当地正常的经济、社会活动受到严重影响；</w:t>
      </w:r>
    </w:p>
    <w:p>
      <w:pPr>
        <w:pStyle w:val="30"/>
        <w:numPr>
          <w:ilvl w:val="3"/>
          <w:numId w:val="5"/>
        </w:numPr>
        <w:tabs>
          <w:tab w:val="left" w:pos="1921"/>
        </w:tabs>
        <w:spacing w:before="158" w:after="0" w:line="362" w:lineRule="auto"/>
        <w:ind w:left="840" w:right="932" w:firstLine="480"/>
        <w:jc w:val="left"/>
        <w:rPr>
          <w:sz w:val="24"/>
        </w:rPr>
      </w:pPr>
      <w:r>
        <w:rPr>
          <w:spacing w:val="-4"/>
          <w:sz w:val="24"/>
        </w:rPr>
        <w:t xml:space="preserve">利用放射性物质进行人为破坏事件，或 </w:t>
      </w:r>
      <w:r>
        <w:rPr>
          <w:sz w:val="24"/>
        </w:rPr>
        <w:t>1、2</w:t>
      </w:r>
      <w:r>
        <w:rPr>
          <w:spacing w:val="-9"/>
          <w:sz w:val="24"/>
        </w:rPr>
        <w:t xml:space="preserve"> 类放射源失控造成大范围严重辐</w:t>
      </w:r>
      <w:r>
        <w:rPr>
          <w:sz w:val="24"/>
        </w:rPr>
        <w:t>射污染后果；</w:t>
      </w:r>
    </w:p>
    <w:p>
      <w:pPr>
        <w:pStyle w:val="30"/>
        <w:numPr>
          <w:ilvl w:val="3"/>
          <w:numId w:val="5"/>
        </w:numPr>
        <w:tabs>
          <w:tab w:val="left" w:pos="1921"/>
        </w:tabs>
        <w:spacing w:before="5" w:after="0" w:line="240" w:lineRule="auto"/>
        <w:ind w:left="1921" w:right="0" w:hanging="601"/>
        <w:jc w:val="left"/>
        <w:rPr>
          <w:sz w:val="24"/>
        </w:rPr>
      </w:pPr>
      <w:r>
        <w:rPr>
          <w:sz w:val="24"/>
        </w:rPr>
        <w:t>因环境污染造成重要城市主要水源地取水中断的污染事故；</w:t>
      </w:r>
    </w:p>
    <w:p>
      <w:pPr>
        <w:pStyle w:val="30"/>
        <w:numPr>
          <w:ilvl w:val="3"/>
          <w:numId w:val="5"/>
        </w:numPr>
        <w:tabs>
          <w:tab w:val="left" w:pos="1921"/>
        </w:tabs>
        <w:spacing w:before="160" w:after="0" w:line="362" w:lineRule="auto"/>
        <w:ind w:left="840" w:right="827" w:firstLine="480"/>
        <w:jc w:val="left"/>
        <w:rPr>
          <w:sz w:val="24"/>
        </w:rPr>
      </w:pPr>
      <w:r>
        <w:rPr>
          <w:sz w:val="24"/>
        </w:rPr>
        <w:t>因危险化学品（含剧毒品）</w:t>
      </w:r>
      <w:r>
        <w:rPr>
          <w:spacing w:val="-1"/>
          <w:sz w:val="24"/>
        </w:rPr>
        <w:t>生产和贮运中发生泄漏，严重影响人民群众生产、</w:t>
      </w:r>
      <w:r>
        <w:rPr>
          <w:sz w:val="24"/>
        </w:rPr>
        <w:t>生活的污染事故。</w:t>
      </w:r>
    </w:p>
    <w:p>
      <w:pPr>
        <w:pStyle w:val="9"/>
        <w:numPr>
          <w:ilvl w:val="2"/>
          <w:numId w:val="6"/>
        </w:numPr>
        <w:tabs>
          <w:tab w:val="left" w:pos="1440"/>
        </w:tabs>
        <w:spacing w:before="5" w:after="0" w:line="240" w:lineRule="auto"/>
        <w:ind w:left="1440" w:right="0" w:hanging="600"/>
        <w:jc w:val="left"/>
      </w:pPr>
      <w:bookmarkStart w:id="44" w:name="_bookmark10"/>
      <w:bookmarkEnd w:id="44"/>
      <w:bookmarkStart w:id="45" w:name="1.6.2 重大环境事件（Ⅱ级）"/>
      <w:bookmarkEnd w:id="45"/>
      <w:bookmarkStart w:id="46" w:name="_bookmark10"/>
      <w:bookmarkEnd w:id="46"/>
      <w:r>
        <w:t>重大环境事件（Ⅱ级）</w:t>
      </w:r>
    </w:p>
    <w:p>
      <w:pPr>
        <w:pStyle w:val="5"/>
        <w:spacing w:before="206"/>
        <w:ind w:left="1320"/>
      </w:pPr>
      <w:r>
        <w:t>凡符合下列情形之一的，为重大环境事件：</w:t>
      </w:r>
    </w:p>
    <w:p>
      <w:pPr>
        <w:pStyle w:val="30"/>
        <w:numPr>
          <w:ilvl w:val="3"/>
          <w:numId w:val="6"/>
        </w:numPr>
        <w:tabs>
          <w:tab w:val="left" w:pos="1921"/>
        </w:tabs>
        <w:spacing w:before="161" w:after="0" w:line="240" w:lineRule="auto"/>
        <w:ind w:left="1921" w:right="0" w:hanging="601"/>
        <w:jc w:val="left"/>
        <w:rPr>
          <w:sz w:val="24"/>
        </w:rPr>
      </w:pPr>
      <w:r>
        <w:rPr>
          <w:spacing w:val="-20"/>
          <w:sz w:val="24"/>
        </w:rPr>
        <w:t xml:space="preserve">发生 </w:t>
      </w:r>
      <w:r>
        <w:rPr>
          <w:sz w:val="24"/>
        </w:rPr>
        <w:t>10</w:t>
      </w:r>
      <w:r>
        <w:rPr>
          <w:spacing w:val="-12"/>
          <w:sz w:val="24"/>
        </w:rPr>
        <w:t xml:space="preserve"> 人以上、</w:t>
      </w:r>
      <w:r>
        <w:rPr>
          <w:sz w:val="24"/>
        </w:rPr>
        <w:t>30</w:t>
      </w:r>
      <w:r>
        <w:rPr>
          <w:spacing w:val="-8"/>
          <w:sz w:val="24"/>
        </w:rPr>
        <w:t xml:space="preserve"> 人以下死亡，或中毒</w:t>
      </w:r>
      <w:r>
        <w:rPr>
          <w:sz w:val="24"/>
        </w:rPr>
        <w:t>（重伤）50</w:t>
      </w:r>
      <w:r>
        <w:rPr>
          <w:spacing w:val="-12"/>
          <w:sz w:val="24"/>
        </w:rPr>
        <w:t xml:space="preserve"> 人以上、</w:t>
      </w:r>
      <w:r>
        <w:rPr>
          <w:sz w:val="24"/>
        </w:rPr>
        <w:t>100</w:t>
      </w:r>
      <w:r>
        <w:rPr>
          <w:spacing w:val="-12"/>
          <w:sz w:val="24"/>
        </w:rPr>
        <w:t xml:space="preserve"> 人以下；</w:t>
      </w:r>
    </w:p>
    <w:p>
      <w:pPr>
        <w:pStyle w:val="30"/>
        <w:numPr>
          <w:ilvl w:val="3"/>
          <w:numId w:val="6"/>
        </w:numPr>
        <w:tabs>
          <w:tab w:val="left" w:pos="1921"/>
        </w:tabs>
        <w:spacing w:before="160" w:after="0" w:line="240" w:lineRule="auto"/>
        <w:ind w:left="1921" w:right="0" w:hanging="601"/>
        <w:jc w:val="left"/>
        <w:rPr>
          <w:sz w:val="24"/>
        </w:rPr>
      </w:pPr>
      <w:r>
        <w:rPr>
          <w:sz w:val="24"/>
        </w:rPr>
        <w:t>区域生态功能部分丧失或濒危物种生存环境受到污染；</w:t>
      </w:r>
    </w:p>
    <w:p>
      <w:pPr>
        <w:pStyle w:val="30"/>
        <w:numPr>
          <w:ilvl w:val="3"/>
          <w:numId w:val="6"/>
        </w:numPr>
        <w:tabs>
          <w:tab w:val="left" w:pos="1921"/>
        </w:tabs>
        <w:spacing w:before="159" w:after="0" w:line="240" w:lineRule="auto"/>
        <w:ind w:left="1921" w:right="0" w:hanging="601"/>
        <w:jc w:val="left"/>
        <w:rPr>
          <w:sz w:val="24"/>
        </w:rPr>
      </w:pPr>
      <w:r>
        <w:rPr>
          <w:spacing w:val="-3"/>
          <w:sz w:val="24"/>
        </w:rPr>
        <w:t xml:space="preserve">因环境污染使当地经济、社会活动受到较大影响，疏散转移群众 </w:t>
      </w:r>
      <w:r>
        <w:rPr>
          <w:sz w:val="24"/>
        </w:rPr>
        <w:t>1</w:t>
      </w:r>
      <w:r>
        <w:rPr>
          <w:spacing w:val="-10"/>
          <w:sz w:val="24"/>
        </w:rPr>
        <w:t xml:space="preserve"> 万人以上、</w:t>
      </w:r>
    </w:p>
    <w:p>
      <w:pPr>
        <w:pStyle w:val="5"/>
        <w:spacing w:before="158"/>
        <w:ind w:left="840"/>
      </w:pPr>
      <w:r>
        <w:t>5 万人以下的；</w:t>
      </w:r>
    </w:p>
    <w:p>
      <w:pPr>
        <w:pStyle w:val="5"/>
        <w:spacing w:before="160"/>
        <w:ind w:left="1320"/>
      </w:pPr>
      <w:r>
        <w:t>（4）1、2 类放射源丢失、被盗或失控；</w:t>
      </w:r>
    </w:p>
    <w:p>
      <w:pPr>
        <w:pStyle w:val="5"/>
        <w:spacing w:before="158" w:line="364" w:lineRule="auto"/>
        <w:ind w:left="840" w:right="930" w:firstLine="480"/>
      </w:pPr>
      <w:r>
        <w:rPr>
          <w:spacing w:val="-9"/>
        </w:rPr>
        <w:t>（5）</w:t>
      </w:r>
      <w:r>
        <w:rPr>
          <w:spacing w:val="-7"/>
        </w:rPr>
        <w:t>因环境污染造成重要河流、湖泊、水库及沿海水域大面积污染，或县级以上城</w:t>
      </w:r>
      <w:r>
        <w:t>镇水源地取水中断的污染事件。</w:t>
      </w:r>
    </w:p>
    <w:p>
      <w:pPr>
        <w:spacing w:after="0" w:line="364" w:lineRule="auto"/>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rPr>
          <w:sz w:val="12"/>
        </w:rPr>
      </w:pPr>
    </w:p>
    <w:p>
      <w:pPr>
        <w:pStyle w:val="9"/>
        <w:numPr>
          <w:ilvl w:val="2"/>
          <w:numId w:val="6"/>
        </w:numPr>
        <w:tabs>
          <w:tab w:val="left" w:pos="1440"/>
        </w:tabs>
        <w:spacing w:before="74" w:after="0" w:line="240" w:lineRule="auto"/>
        <w:ind w:left="1440" w:right="0" w:hanging="600"/>
        <w:jc w:val="left"/>
      </w:pPr>
      <w:bookmarkStart w:id="47" w:name="_bookmark11"/>
      <w:bookmarkEnd w:id="47"/>
      <w:bookmarkStart w:id="48" w:name="_bookmark11"/>
      <w:bookmarkEnd w:id="48"/>
      <w:bookmarkStart w:id="49" w:name="1.6.3 较大环境事件（Ⅲ级）"/>
      <w:bookmarkEnd w:id="49"/>
      <w:r>
        <w:t>较大环境事件（Ⅲ级）</w:t>
      </w:r>
    </w:p>
    <w:p>
      <w:pPr>
        <w:pStyle w:val="5"/>
        <w:spacing w:before="209"/>
        <w:ind w:left="1320"/>
      </w:pPr>
      <w:r>
        <w:t>凡符合下列情形之一的，为较大环境事件：</w:t>
      </w:r>
    </w:p>
    <w:p>
      <w:pPr>
        <w:pStyle w:val="30"/>
        <w:numPr>
          <w:ilvl w:val="0"/>
          <w:numId w:val="7"/>
        </w:numPr>
        <w:tabs>
          <w:tab w:val="left" w:pos="1921"/>
        </w:tabs>
        <w:spacing w:before="158" w:after="0" w:line="240" w:lineRule="auto"/>
        <w:ind w:left="1921" w:right="0" w:hanging="601"/>
        <w:jc w:val="left"/>
        <w:rPr>
          <w:sz w:val="24"/>
        </w:rPr>
      </w:pPr>
      <w:r>
        <w:rPr>
          <w:spacing w:val="-20"/>
          <w:sz w:val="24"/>
        </w:rPr>
        <w:t xml:space="preserve">发生 </w:t>
      </w:r>
      <w:r>
        <w:rPr>
          <w:sz w:val="24"/>
        </w:rPr>
        <w:t>3</w:t>
      </w:r>
      <w:r>
        <w:rPr>
          <w:spacing w:val="-12"/>
          <w:sz w:val="24"/>
        </w:rPr>
        <w:t xml:space="preserve"> 人以上、</w:t>
      </w:r>
      <w:r>
        <w:rPr>
          <w:sz w:val="24"/>
        </w:rPr>
        <w:t>10</w:t>
      </w:r>
      <w:r>
        <w:rPr>
          <w:spacing w:val="-8"/>
          <w:sz w:val="24"/>
        </w:rPr>
        <w:t xml:space="preserve"> 人以下死亡，或中毒</w:t>
      </w:r>
      <w:r>
        <w:rPr>
          <w:sz w:val="24"/>
        </w:rPr>
        <w:t>（重伤）50</w:t>
      </w:r>
      <w:r>
        <w:rPr>
          <w:spacing w:val="-12"/>
          <w:sz w:val="24"/>
        </w:rPr>
        <w:t xml:space="preserve"> 人以下；</w:t>
      </w:r>
    </w:p>
    <w:p>
      <w:pPr>
        <w:pStyle w:val="30"/>
        <w:numPr>
          <w:ilvl w:val="0"/>
          <w:numId w:val="7"/>
        </w:numPr>
        <w:tabs>
          <w:tab w:val="left" w:pos="1921"/>
        </w:tabs>
        <w:spacing w:before="160" w:after="0" w:line="240" w:lineRule="auto"/>
        <w:ind w:left="1921" w:right="0" w:hanging="601"/>
        <w:jc w:val="left"/>
        <w:rPr>
          <w:sz w:val="24"/>
        </w:rPr>
      </w:pPr>
      <w:r>
        <w:rPr>
          <w:sz w:val="24"/>
        </w:rPr>
        <w:t>因环境污染造成跨地级行政区域纠纷，使当地经济、社会活动受到影响；</w:t>
      </w:r>
    </w:p>
    <w:p>
      <w:pPr>
        <w:pStyle w:val="5"/>
        <w:spacing w:before="159"/>
        <w:ind w:left="1320"/>
      </w:pPr>
      <w:r>
        <w:t>（3）3 类放射源丢失、被盗或失控。</w:t>
      </w:r>
    </w:p>
    <w:p>
      <w:pPr>
        <w:pStyle w:val="9"/>
        <w:numPr>
          <w:ilvl w:val="2"/>
          <w:numId w:val="8"/>
        </w:numPr>
        <w:tabs>
          <w:tab w:val="left" w:pos="1385"/>
        </w:tabs>
        <w:spacing w:before="160" w:after="0" w:line="240" w:lineRule="auto"/>
        <w:ind w:left="1384" w:right="0" w:hanging="545"/>
        <w:jc w:val="left"/>
      </w:pPr>
      <w:bookmarkStart w:id="50" w:name="_bookmark12"/>
      <w:bookmarkEnd w:id="50"/>
      <w:bookmarkStart w:id="51" w:name="l.6.4 一般环境事件（Ⅳ级）"/>
      <w:bookmarkEnd w:id="51"/>
      <w:bookmarkStart w:id="52" w:name="_bookmark12"/>
      <w:bookmarkEnd w:id="52"/>
      <w:r>
        <w:t>一般环境事件（Ⅳ级）</w:t>
      </w:r>
    </w:p>
    <w:p>
      <w:pPr>
        <w:pStyle w:val="5"/>
        <w:spacing w:before="209"/>
        <w:ind w:left="1320"/>
      </w:pPr>
      <w:r>
        <w:t>凡符合下列情形之一的，为一般环境事件：</w:t>
      </w:r>
    </w:p>
    <w:p>
      <w:pPr>
        <w:pStyle w:val="30"/>
        <w:numPr>
          <w:ilvl w:val="3"/>
          <w:numId w:val="8"/>
        </w:numPr>
        <w:tabs>
          <w:tab w:val="left" w:pos="1921"/>
        </w:tabs>
        <w:spacing w:before="158" w:after="0" w:line="240" w:lineRule="auto"/>
        <w:ind w:left="1921" w:right="0" w:hanging="601"/>
        <w:jc w:val="left"/>
        <w:rPr>
          <w:sz w:val="24"/>
        </w:rPr>
      </w:pPr>
      <w:r>
        <w:rPr>
          <w:spacing w:val="-20"/>
          <w:sz w:val="24"/>
        </w:rPr>
        <w:t xml:space="preserve">发生 </w:t>
      </w:r>
      <w:r>
        <w:rPr>
          <w:sz w:val="24"/>
        </w:rPr>
        <w:t>3</w:t>
      </w:r>
      <w:r>
        <w:rPr>
          <w:spacing w:val="-9"/>
          <w:sz w:val="24"/>
        </w:rPr>
        <w:t xml:space="preserve"> 人以下死亡；</w:t>
      </w:r>
    </w:p>
    <w:p>
      <w:pPr>
        <w:pStyle w:val="30"/>
        <w:numPr>
          <w:ilvl w:val="3"/>
          <w:numId w:val="8"/>
        </w:numPr>
        <w:tabs>
          <w:tab w:val="left" w:pos="1921"/>
        </w:tabs>
        <w:spacing w:before="160" w:after="0" w:line="240" w:lineRule="auto"/>
        <w:ind w:left="1921" w:right="0" w:hanging="601"/>
        <w:jc w:val="left"/>
        <w:rPr>
          <w:sz w:val="24"/>
        </w:rPr>
      </w:pPr>
      <w:r>
        <w:rPr>
          <w:sz w:val="24"/>
        </w:rPr>
        <w:t>因环境污染造成跨县级行政区域纠纷，引起一般群体性影响的；</w:t>
      </w:r>
    </w:p>
    <w:p>
      <w:pPr>
        <w:pStyle w:val="5"/>
        <w:spacing w:before="158"/>
        <w:ind w:left="1320"/>
      </w:pPr>
      <w:r>
        <w:t>（3）4、5 类放射源丢失、被盗或失控。</w:t>
      </w:r>
    </w:p>
    <w:p>
      <w:pPr>
        <w:spacing w:after="0"/>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11"/>
        <w:rPr>
          <w:sz w:val="12"/>
        </w:rPr>
      </w:pPr>
    </w:p>
    <w:p>
      <w:pPr>
        <w:pStyle w:val="7"/>
        <w:numPr>
          <w:ilvl w:val="0"/>
          <w:numId w:val="9"/>
        </w:numPr>
        <w:tabs>
          <w:tab w:val="left" w:pos="1160"/>
        </w:tabs>
        <w:spacing w:before="65" w:after="0" w:line="240" w:lineRule="auto"/>
        <w:ind w:left="1159" w:right="0" w:hanging="320"/>
        <w:jc w:val="left"/>
      </w:pPr>
      <w:bookmarkStart w:id="53" w:name="_bookmark13"/>
      <w:bookmarkEnd w:id="53"/>
      <w:bookmarkStart w:id="54" w:name="2 企业概况"/>
      <w:bookmarkEnd w:id="54"/>
      <w:bookmarkStart w:id="55" w:name="_bookmark13"/>
      <w:bookmarkEnd w:id="55"/>
      <w:bookmarkStart w:id="56" w:name="_Toc22606"/>
      <w:bookmarkStart w:id="57" w:name="_Toc29220"/>
      <w:r>
        <w:t>企业概况</w:t>
      </w:r>
      <w:bookmarkEnd w:id="56"/>
      <w:bookmarkEnd w:id="57"/>
    </w:p>
    <w:p>
      <w:pPr>
        <w:pStyle w:val="8"/>
        <w:numPr>
          <w:ilvl w:val="1"/>
          <w:numId w:val="9"/>
        </w:numPr>
        <w:tabs>
          <w:tab w:val="left" w:pos="1330"/>
        </w:tabs>
        <w:spacing w:before="213" w:after="0" w:line="240" w:lineRule="auto"/>
        <w:ind w:left="1329" w:right="0" w:hanging="490"/>
        <w:jc w:val="left"/>
      </w:pPr>
      <w:bookmarkStart w:id="58" w:name="_bookmark14"/>
      <w:bookmarkEnd w:id="58"/>
      <w:bookmarkStart w:id="59" w:name="_bookmark14"/>
      <w:bookmarkEnd w:id="59"/>
      <w:bookmarkStart w:id="60" w:name="2.1 企业基本情况"/>
      <w:bookmarkEnd w:id="60"/>
      <w:bookmarkStart w:id="61" w:name="_Toc23075"/>
      <w:bookmarkStart w:id="62" w:name="_Toc25386"/>
      <w:r>
        <w:t>企业基本情况</w:t>
      </w:r>
      <w:bookmarkEnd w:id="61"/>
      <w:bookmarkEnd w:id="62"/>
    </w:p>
    <w:p>
      <w:pPr>
        <w:pStyle w:val="5"/>
        <w:spacing w:before="185"/>
        <w:ind w:left="1322"/>
      </w:pPr>
      <w:r>
        <w:t xml:space="preserve">项目名称：宜春市佳绿肉类食品有限公司年加工生猪 </w:t>
      </w:r>
      <w:r>
        <w:rPr>
          <w:rFonts w:ascii="Calibri" w:eastAsia="Calibri"/>
        </w:rPr>
        <w:t xml:space="preserve">42 </w:t>
      </w:r>
      <w:r>
        <w:t xml:space="preserve">万头、牛 </w:t>
      </w:r>
      <w:r>
        <w:rPr>
          <w:rFonts w:ascii="Calibri" w:eastAsia="Calibri"/>
        </w:rPr>
        <w:t xml:space="preserve">2.2 </w:t>
      </w:r>
      <w:r>
        <w:t>万头，肉制品</w:t>
      </w:r>
    </w:p>
    <w:p>
      <w:pPr>
        <w:pStyle w:val="5"/>
        <w:spacing w:before="158"/>
        <w:ind w:left="1322"/>
      </w:pPr>
      <w:r>
        <w:t xml:space="preserve">生产 </w:t>
      </w:r>
      <w:r>
        <w:rPr>
          <w:rFonts w:ascii="Calibri" w:eastAsia="Calibri"/>
        </w:rPr>
        <w:t xml:space="preserve">2100 </w:t>
      </w:r>
      <w:r>
        <w:t>吨食品加工项目；</w:t>
      </w:r>
    </w:p>
    <w:p>
      <w:pPr>
        <w:pStyle w:val="5"/>
        <w:spacing w:before="159" w:line="364" w:lineRule="auto"/>
        <w:ind w:left="840" w:right="800" w:firstLine="480"/>
      </w:pPr>
      <w:r>
        <w:rPr>
          <w:spacing w:val="-18"/>
        </w:rPr>
        <w:t xml:space="preserve">项目地点：项目位于宜春经济技术开发区，地理坐标北纬 </w:t>
      </w:r>
      <w:r>
        <w:rPr>
          <w:rFonts w:ascii="Calibri" w:hAnsi="Calibri" w:eastAsia="Calibri"/>
        </w:rPr>
        <w:t>27°5</w:t>
      </w:r>
      <w:r>
        <w:rPr>
          <w:rFonts w:ascii="Calibri" w:hAnsi="Calibri" w:eastAsia="Calibri"/>
          <w:spacing w:val="-2"/>
        </w:rPr>
        <w:t>2</w:t>
      </w:r>
      <w:r>
        <w:rPr>
          <w:rFonts w:ascii="Calibri" w:hAnsi="Calibri" w:eastAsia="Calibri"/>
          <w:spacing w:val="-1"/>
        </w:rPr>
        <w:t>′</w:t>
      </w:r>
      <w:r>
        <w:rPr>
          <w:rFonts w:ascii="Calibri" w:hAnsi="Calibri" w:eastAsia="Calibri"/>
        </w:rPr>
        <w:t>2</w:t>
      </w:r>
      <w:r>
        <w:rPr>
          <w:rFonts w:ascii="Calibri" w:hAnsi="Calibri" w:eastAsia="Calibri"/>
          <w:spacing w:val="-2"/>
        </w:rPr>
        <w:t>4</w:t>
      </w:r>
      <w:r>
        <w:rPr>
          <w:rFonts w:ascii="Calibri" w:hAnsi="Calibri" w:eastAsia="Calibri"/>
          <w:spacing w:val="2"/>
        </w:rPr>
        <w:t>″</w:t>
      </w:r>
      <w:r>
        <w:rPr>
          <w:spacing w:val="-45"/>
        </w:rPr>
        <w:t xml:space="preserve">，东经 </w:t>
      </w:r>
      <w:r>
        <w:rPr>
          <w:rFonts w:ascii="Calibri" w:hAnsi="Calibri" w:eastAsia="Calibri"/>
        </w:rPr>
        <w:t>11</w:t>
      </w:r>
      <w:r>
        <w:rPr>
          <w:rFonts w:ascii="Calibri" w:hAnsi="Calibri" w:eastAsia="Calibri"/>
          <w:spacing w:val="-2"/>
        </w:rPr>
        <w:t>4</w:t>
      </w:r>
      <w:r>
        <w:rPr>
          <w:rFonts w:ascii="Calibri" w:hAnsi="Calibri" w:eastAsia="Calibri"/>
        </w:rPr>
        <w:t>°2</w:t>
      </w:r>
      <w:r>
        <w:rPr>
          <w:rFonts w:ascii="Calibri" w:hAnsi="Calibri" w:eastAsia="Calibri"/>
          <w:spacing w:val="-2"/>
        </w:rPr>
        <w:t>1</w:t>
      </w:r>
      <w:r>
        <w:rPr>
          <w:rFonts w:ascii="Calibri" w:hAnsi="Calibri" w:eastAsia="Calibri"/>
          <w:spacing w:val="2"/>
        </w:rPr>
        <w:t>′</w:t>
      </w:r>
      <w:r>
        <w:rPr>
          <w:rFonts w:ascii="Calibri" w:hAnsi="Calibri" w:eastAsia="Calibri"/>
        </w:rPr>
        <w:t>0</w:t>
      </w:r>
      <w:r>
        <w:rPr>
          <w:rFonts w:ascii="Calibri" w:hAnsi="Calibri" w:eastAsia="Calibri"/>
          <w:spacing w:val="-2"/>
        </w:rPr>
        <w:t>2</w:t>
      </w:r>
      <w:r>
        <w:rPr>
          <w:rFonts w:ascii="Calibri" w:hAnsi="Calibri" w:eastAsia="Calibri"/>
          <w:spacing w:val="-1"/>
        </w:rPr>
        <w:t>″</w:t>
      </w:r>
      <w:r>
        <w:t>，地理位置见附图一；</w:t>
      </w:r>
    </w:p>
    <w:p>
      <w:pPr>
        <w:pStyle w:val="5"/>
        <w:spacing w:before="1"/>
        <w:ind w:left="1322"/>
      </w:pPr>
      <w:r>
        <w:t>项目性质：新建；</w:t>
      </w:r>
    </w:p>
    <w:p>
      <w:pPr>
        <w:pStyle w:val="5"/>
        <w:spacing w:before="158" w:line="364" w:lineRule="auto"/>
        <w:ind w:left="1322" w:right="5024"/>
      </w:pPr>
      <w:r>
        <w:t>建设单位：宜春市佳绿肉类食品有限公司； 项目总投资：</w:t>
      </w:r>
      <w:r>
        <w:rPr>
          <w:rFonts w:ascii="Calibri" w:eastAsia="Calibri"/>
        </w:rPr>
        <w:t xml:space="preserve">10000 </w:t>
      </w:r>
      <w:r>
        <w:t>万元人民币；</w:t>
      </w:r>
    </w:p>
    <w:p>
      <w:pPr>
        <w:pStyle w:val="5"/>
        <w:spacing w:line="364" w:lineRule="auto"/>
        <w:ind w:left="840" w:right="932" w:firstLine="480"/>
      </w:pPr>
      <w:r>
        <w:t>四至情况：项目所在地西南角为华达实业，南临工业园工业四路，隔路为优久实业用地，北面为山体，东面为废弃的砖厂，西侧为空地。</w:t>
      </w:r>
    </w:p>
    <w:p>
      <w:pPr>
        <w:pStyle w:val="8"/>
        <w:numPr>
          <w:ilvl w:val="1"/>
          <w:numId w:val="9"/>
        </w:numPr>
        <w:tabs>
          <w:tab w:val="left" w:pos="1330"/>
        </w:tabs>
        <w:spacing w:before="1" w:after="0" w:line="240" w:lineRule="auto"/>
        <w:ind w:left="1329" w:right="0" w:hanging="490"/>
        <w:jc w:val="left"/>
      </w:pPr>
      <w:bookmarkStart w:id="63" w:name="2.2 项目组成情况"/>
      <w:bookmarkEnd w:id="63"/>
      <w:bookmarkStart w:id="64" w:name="_bookmark15"/>
      <w:bookmarkEnd w:id="64"/>
      <w:bookmarkStart w:id="65" w:name="_bookmark15"/>
      <w:bookmarkEnd w:id="65"/>
      <w:bookmarkStart w:id="66" w:name="_Toc28664"/>
      <w:bookmarkStart w:id="67" w:name="_Toc27675"/>
      <w:r>
        <w:t>项目组成情况</w:t>
      </w:r>
      <w:bookmarkEnd w:id="66"/>
      <w:bookmarkEnd w:id="67"/>
    </w:p>
    <w:p>
      <w:pPr>
        <w:pStyle w:val="5"/>
        <w:spacing w:before="183"/>
        <w:ind w:left="1320"/>
      </w:pPr>
      <w:r>
        <w:t xml:space="preserve">本项目总占地面积 </w:t>
      </w:r>
      <w:r>
        <w:rPr>
          <w:rFonts w:ascii="Calibri" w:eastAsia="Calibri"/>
        </w:rPr>
        <w:t xml:space="preserve">28.46 </w:t>
      </w:r>
      <w:r>
        <w:t xml:space="preserve">亩，总建筑面积 </w:t>
      </w:r>
      <w:r>
        <w:rPr>
          <w:rFonts w:ascii="Calibri" w:eastAsia="Calibri"/>
        </w:rPr>
        <w:t>19129m</w:t>
      </w:r>
      <w:r>
        <w:rPr>
          <w:rFonts w:ascii="Calibri" w:eastAsia="Calibri"/>
          <w:position w:val="8"/>
          <w:sz w:val="15"/>
        </w:rPr>
        <w:t>2</w:t>
      </w:r>
      <w:r>
        <w:t xml:space="preserve">。项目组成情况见表 </w:t>
      </w:r>
      <w:r>
        <w:rPr>
          <w:rFonts w:ascii="Calibri" w:eastAsia="Calibri"/>
        </w:rPr>
        <w:t>2-1</w:t>
      </w:r>
      <w:r>
        <w:t>。</w:t>
      </w:r>
    </w:p>
    <w:p>
      <w:pPr>
        <w:tabs>
          <w:tab w:val="left" w:pos="1123"/>
        </w:tabs>
        <w:spacing w:before="159" w:after="3"/>
        <w:ind w:left="0" w:right="87" w:firstLine="0"/>
        <w:jc w:val="center"/>
        <w:rPr>
          <w:b/>
          <w:sz w:val="21"/>
        </w:rPr>
      </w:pPr>
      <w:r>
        <w:rPr>
          <w:b/>
          <w:sz w:val="21"/>
        </w:rPr>
        <w:t>表</w:t>
      </w:r>
      <w:r>
        <w:rPr>
          <w:b/>
          <w:spacing w:val="-53"/>
          <w:sz w:val="21"/>
        </w:rPr>
        <w:t xml:space="preserve"> </w:t>
      </w:r>
      <w:r>
        <w:rPr>
          <w:rFonts w:ascii="Calibri" w:eastAsia="Calibri"/>
          <w:b/>
          <w:sz w:val="21"/>
        </w:rPr>
        <w:t>2-1</w:t>
      </w:r>
      <w:r>
        <w:rPr>
          <w:rFonts w:ascii="Calibri" w:eastAsia="Calibri"/>
          <w:b/>
          <w:sz w:val="21"/>
        </w:rPr>
        <w:tab/>
      </w:r>
      <w:r>
        <w:rPr>
          <w:b/>
          <w:sz w:val="21"/>
        </w:rPr>
        <w:t>项目组成情况表</w:t>
      </w:r>
    </w:p>
    <w:tbl>
      <w:tblPr>
        <w:tblStyle w:val="14"/>
        <w:tblW w:w="10489"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866"/>
        <w:gridCol w:w="1133"/>
        <w:gridCol w:w="992"/>
        <w:gridCol w:w="992"/>
        <w:gridCol w:w="1261"/>
        <w:gridCol w:w="990"/>
        <w:gridCol w:w="990"/>
        <w:gridCol w:w="1280"/>
        <w:gridCol w:w="1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428"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序号</w:t>
            </w:r>
          </w:p>
        </w:tc>
        <w:tc>
          <w:tcPr>
            <w:tcW w:w="866"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工程性质</w:t>
            </w:r>
          </w:p>
        </w:tc>
        <w:tc>
          <w:tcPr>
            <w:tcW w:w="1133"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工程内容</w:t>
            </w:r>
          </w:p>
        </w:tc>
        <w:tc>
          <w:tcPr>
            <w:tcW w:w="992"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占地面积</w:t>
            </w:r>
          </w:p>
        </w:tc>
        <w:tc>
          <w:tcPr>
            <w:tcW w:w="992"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建筑面积</w:t>
            </w:r>
          </w:p>
        </w:tc>
        <w:tc>
          <w:tcPr>
            <w:tcW w:w="1261"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结构层数</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层高</w:t>
            </w:r>
          </w:p>
        </w:tc>
        <w:tc>
          <w:tcPr>
            <w:tcW w:w="990"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耐火</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火灾类别</w:t>
            </w:r>
          </w:p>
        </w:tc>
        <w:tc>
          <w:tcPr>
            <w:tcW w:w="2270" w:type="dxa"/>
            <w:gridSpan w:val="2"/>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可能产生的污染问题</w:t>
            </w:r>
          </w:p>
        </w:tc>
        <w:tc>
          <w:tcPr>
            <w:tcW w:w="1557"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2"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2"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6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施工期</w:t>
            </w: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营运期</w:t>
            </w:r>
          </w:p>
        </w:tc>
        <w:tc>
          <w:tcPr>
            <w:tcW w:w="1557"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428"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w:t>
            </w:r>
          </w:p>
        </w:tc>
        <w:tc>
          <w:tcPr>
            <w:tcW w:w="866"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主体工程</w:t>
            </w: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生猪屠宰</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车间</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 个，</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2430m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 个，</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2430m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6.5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丙类</w:t>
            </w:r>
          </w:p>
        </w:tc>
        <w:tc>
          <w:tcPr>
            <w:tcW w:w="990"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施工废 水、施工扬尘、施工噪声、施工固 废</w:t>
            </w:r>
          </w:p>
        </w:tc>
        <w:tc>
          <w:tcPr>
            <w:tcW w:w="1280"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废水、废气、噪声、固废</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年加工生猪 42</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万头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熟食深加</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工车间</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1080m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2160 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框架二层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6.5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牛屠宰车间</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 个，</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1050m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 个，</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1050m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年加工牛 2.2</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万头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w:t>
            </w:r>
          </w:p>
        </w:tc>
        <w:tc>
          <w:tcPr>
            <w:tcW w:w="866"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辅助、储运工程</w:t>
            </w: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生猪、牛</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待宰间</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 个，共</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3810m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 个，共</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3810m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4.5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丙类</w:t>
            </w:r>
          </w:p>
        </w:tc>
        <w:tc>
          <w:tcPr>
            <w:tcW w:w="990" w:type="dxa"/>
            <w:vMerge w:val="continue"/>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废水、废气、噪声、固废</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冷库、制冷机房</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864m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20" w:firstLineChars="200"/>
              <w:jc w:val="both"/>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864m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框架一层8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二级丙类</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废气</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位于屠宰生产区内，R404a 制冷，存储于制冷剂内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办公楼</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720m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2160m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 层</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生活污水、生活垃圾、食堂油烟</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职工倒班</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楼</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720 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3600m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砖混五层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3.3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continue"/>
            <w:tcBorders>
              <w:tl2br w:val="nil"/>
              <w:tr2bl w:val="nil"/>
            </w:tcBorders>
            <w:vAlign w:val="center"/>
          </w:tcPr>
          <w:p>
            <w:pPr>
              <w:pStyle w:val="31"/>
              <w:ind w:left="0"/>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职工倒班休息</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检验检疫</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中心</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160m2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3.6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continue"/>
            <w:tcBorders>
              <w:tl2br w:val="nil"/>
              <w:tr2bl w:val="nil"/>
            </w:tcBorders>
            <w:vAlign w:val="center"/>
          </w:tcPr>
          <w:p>
            <w:pPr>
              <w:pStyle w:val="31"/>
              <w:ind w:left="0"/>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门岗房</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60m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60m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砖混一层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continue"/>
            <w:tcBorders>
              <w:tl2br w:val="nil"/>
              <w:tr2bl w:val="nil"/>
            </w:tcBorders>
            <w:vAlign w:val="center"/>
          </w:tcPr>
          <w:p>
            <w:pPr>
              <w:pStyle w:val="31"/>
              <w:ind w:left="0"/>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物流中心</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2000m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钢构一层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4.5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车辆尾气、</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车库</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300m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300m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砖混一层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4.5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噪声、废水</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水泵房</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50m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50m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8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废气、噪声、固废</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机修间</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60m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60m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8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配电间</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42m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42m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8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锅炉房</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8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废气、噪声</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供应热水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428"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w:t>
            </w:r>
          </w:p>
        </w:tc>
        <w:tc>
          <w:tcPr>
            <w:tcW w:w="866" w:type="dxa"/>
            <w:vMerge w:val="restart"/>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环保工程</w:t>
            </w: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消防水池</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102m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102m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框架一层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8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丙类</w:t>
            </w:r>
          </w:p>
        </w:tc>
        <w:tc>
          <w:tcPr>
            <w:tcW w:w="990" w:type="dxa"/>
            <w:vMerge w:val="continue"/>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污水处理</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站</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281m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281m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砖混一层</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4.5 米</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二级</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丙类</w:t>
            </w: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废水、臭味</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事故应急</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池</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167m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500 m</w:t>
            </w:r>
            <w:r>
              <w:rPr>
                <w:rFonts w:ascii="宋体" w:hAnsi="宋体" w:eastAsia="宋体" w:cs="宋体"/>
                <w:sz w:val="21"/>
                <w:szCs w:val="22"/>
                <w:vertAlign w:val="superscript"/>
                <w:lang w:val="zh-CN" w:eastAsia="zh-CN" w:bidi="zh-CN"/>
              </w:rPr>
              <w:t>3</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臭味处理</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设施</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3 套</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臭味</w:t>
            </w: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简易喷淋除臭</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设施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一般固废</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暂存场</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50m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50m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防腐防渗</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42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8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133"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危险固废</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暂存场</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20m</w:t>
            </w:r>
            <w:r>
              <w:rPr>
                <w:rFonts w:ascii="宋体" w:hAnsi="宋体" w:eastAsia="宋体" w:cs="宋体"/>
                <w:sz w:val="21"/>
                <w:szCs w:val="22"/>
                <w:vertAlign w:val="superscript"/>
                <w:lang w:val="zh-CN" w:eastAsia="zh-CN" w:bidi="zh-CN"/>
              </w:rPr>
              <w:t>2</w:t>
            </w:r>
          </w:p>
        </w:tc>
        <w:tc>
          <w:tcPr>
            <w:tcW w:w="992"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20m</w:t>
            </w:r>
            <w:r>
              <w:rPr>
                <w:rFonts w:ascii="宋体" w:hAnsi="宋体" w:eastAsia="宋体" w:cs="宋体"/>
                <w:sz w:val="21"/>
                <w:szCs w:val="22"/>
                <w:vertAlign w:val="superscript"/>
                <w:lang w:val="zh-CN" w:eastAsia="zh-CN" w:bidi="zh-CN"/>
              </w:rPr>
              <w:t>2</w:t>
            </w:r>
          </w:p>
        </w:tc>
        <w:tc>
          <w:tcPr>
            <w:tcW w:w="1261"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r>
              <w:rPr>
                <w:rFonts w:ascii="宋体" w:hAnsi="宋体" w:eastAsia="宋体" w:cs="宋体"/>
                <w:sz w:val="21"/>
                <w:szCs w:val="22"/>
                <w:lang w:val="zh-CN" w:eastAsia="zh-CN" w:bidi="zh-CN"/>
              </w:rPr>
              <w:t>防腐防渗</w:t>
            </w: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99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280"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c>
          <w:tcPr>
            <w:tcW w:w="1557" w:type="dxa"/>
            <w:tcBorders>
              <w:tl2br w:val="nil"/>
              <w:tr2bl w:val="nil"/>
            </w:tcBorders>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ascii="宋体" w:hAnsi="宋体" w:eastAsia="宋体" w:cs="宋体"/>
                <w:sz w:val="21"/>
                <w:szCs w:val="22"/>
                <w:lang w:val="zh-CN" w:eastAsia="zh-CN" w:bidi="zh-CN"/>
              </w:rPr>
            </w:pPr>
          </w:p>
        </w:tc>
      </w:tr>
    </w:tbl>
    <w:p>
      <w:pPr>
        <w:pStyle w:val="8"/>
        <w:numPr>
          <w:ilvl w:val="1"/>
          <w:numId w:val="9"/>
        </w:numPr>
        <w:tabs>
          <w:tab w:val="left" w:pos="1260"/>
        </w:tabs>
        <w:spacing w:before="2" w:after="0" w:line="240" w:lineRule="auto"/>
        <w:ind w:left="1260" w:right="0" w:hanging="420"/>
        <w:jc w:val="left"/>
      </w:pPr>
      <w:bookmarkStart w:id="68" w:name="_bookmark16"/>
      <w:bookmarkEnd w:id="68"/>
      <w:bookmarkStart w:id="69" w:name="2.3本项目产品方案及产品介绍"/>
      <w:bookmarkEnd w:id="69"/>
      <w:bookmarkStart w:id="70" w:name="_bookmark16"/>
      <w:bookmarkEnd w:id="70"/>
      <w:bookmarkStart w:id="71" w:name="_Toc9390"/>
      <w:bookmarkStart w:id="72" w:name="_Toc23088"/>
      <w:r>
        <w:t>本项目产品方案及产品介绍</w:t>
      </w:r>
      <w:bookmarkEnd w:id="71"/>
      <w:bookmarkEnd w:id="72"/>
    </w:p>
    <w:p>
      <w:pPr>
        <w:pStyle w:val="5"/>
        <w:spacing w:before="186" w:line="364" w:lineRule="auto"/>
        <w:ind w:left="840" w:right="932" w:firstLine="480"/>
      </w:pPr>
      <w:r>
        <w:t>本项目建成后年加工生猪42万头，牛2.2万头，肉制品2100t/a,具体产品方案见表</w:t>
      </w:r>
      <w:r>
        <w:rPr>
          <w:rFonts w:hint="eastAsia"/>
          <w:lang w:val="en-US" w:eastAsia="zh-CN"/>
        </w:rPr>
        <w:t>2-2</w:t>
      </w:r>
      <w:r>
        <w:t>。</w:t>
      </w:r>
    </w:p>
    <w:p>
      <w:pPr>
        <w:tabs>
          <w:tab w:val="left" w:pos="4862"/>
        </w:tabs>
        <w:spacing w:before="0" w:after="3" w:line="267" w:lineRule="exact"/>
        <w:ind w:left="3648" w:right="0" w:firstLine="0"/>
        <w:jc w:val="left"/>
        <w:rPr>
          <w:b/>
          <w:sz w:val="21"/>
        </w:rPr>
      </w:pPr>
      <w:r>
        <w:rPr>
          <w:b/>
          <w:sz w:val="21"/>
        </w:rPr>
        <w:t>表</w:t>
      </w:r>
      <w:r>
        <w:rPr>
          <w:b/>
          <w:spacing w:val="-53"/>
          <w:sz w:val="21"/>
        </w:rPr>
        <w:t xml:space="preserve"> </w:t>
      </w:r>
      <w:r>
        <w:rPr>
          <w:rFonts w:hint="eastAsia"/>
          <w:b/>
          <w:sz w:val="21"/>
          <w:lang w:val="en-US" w:eastAsia="zh-CN"/>
        </w:rPr>
        <w:t>2-2</w:t>
      </w:r>
      <w:r>
        <w:rPr>
          <w:b/>
          <w:sz w:val="21"/>
        </w:rPr>
        <w:tab/>
      </w:r>
      <w:r>
        <w:rPr>
          <w:b/>
          <w:sz w:val="21"/>
        </w:rPr>
        <w:t>屠宰车间猪肉产品方案表</w:t>
      </w:r>
    </w:p>
    <w:tbl>
      <w:tblPr>
        <w:tblStyle w:val="14"/>
        <w:tblW w:w="9286" w:type="dxa"/>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4"/>
        <w:gridCol w:w="3846"/>
        <w:gridCol w:w="38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line="252" w:lineRule="exact"/>
              <w:ind w:left="571" w:right="538"/>
              <w:rPr>
                <w:sz w:val="21"/>
              </w:rPr>
            </w:pPr>
            <w:r>
              <w:rPr>
                <w:sz w:val="21"/>
              </w:rPr>
              <w:t>序号</w:t>
            </w:r>
          </w:p>
        </w:tc>
        <w:tc>
          <w:tcPr>
            <w:tcW w:w="3846" w:type="dxa"/>
            <w:tcBorders>
              <w:tl2br w:val="nil"/>
              <w:tr2bl w:val="nil"/>
            </w:tcBorders>
          </w:tcPr>
          <w:p>
            <w:pPr>
              <w:pStyle w:val="31"/>
              <w:spacing w:line="252" w:lineRule="exact"/>
              <w:ind w:left="1279" w:right="1252"/>
              <w:rPr>
                <w:sz w:val="21"/>
              </w:rPr>
            </w:pPr>
            <w:r>
              <w:rPr>
                <w:sz w:val="21"/>
              </w:rPr>
              <w:t>产品方案</w:t>
            </w:r>
          </w:p>
        </w:tc>
        <w:tc>
          <w:tcPr>
            <w:tcW w:w="3846" w:type="dxa"/>
            <w:tcBorders>
              <w:tl2br w:val="nil"/>
              <w:tr2bl w:val="nil"/>
            </w:tcBorders>
          </w:tcPr>
          <w:p>
            <w:pPr>
              <w:pStyle w:val="31"/>
              <w:spacing w:line="252" w:lineRule="exact"/>
              <w:ind w:left="1353" w:right="1334"/>
              <w:rPr>
                <w:sz w:val="21"/>
              </w:rPr>
            </w:pPr>
            <w:r>
              <w:rPr>
                <w:sz w:val="21"/>
              </w:rPr>
              <w:t>产量（</w:t>
            </w:r>
            <w:r>
              <w:rPr>
                <w:rFonts w:ascii="Calibri" w:eastAsia="Calibri"/>
                <w:sz w:val="21"/>
              </w:rPr>
              <w:t>t/a</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5" w:line="247" w:lineRule="exact"/>
              <w:ind w:left="33"/>
              <w:rPr>
                <w:rFonts w:ascii="Calibri"/>
                <w:sz w:val="21"/>
              </w:rPr>
            </w:pPr>
            <w:r>
              <w:rPr>
                <w:rFonts w:ascii="Calibri"/>
                <w:w w:val="99"/>
                <w:sz w:val="21"/>
              </w:rPr>
              <w:t>1</w:t>
            </w:r>
          </w:p>
        </w:tc>
        <w:tc>
          <w:tcPr>
            <w:tcW w:w="3846" w:type="dxa"/>
            <w:tcBorders>
              <w:tl2br w:val="nil"/>
              <w:tr2bl w:val="nil"/>
            </w:tcBorders>
          </w:tcPr>
          <w:p>
            <w:pPr>
              <w:pStyle w:val="31"/>
              <w:spacing w:line="252" w:lineRule="exact"/>
              <w:ind w:left="1281" w:right="1252"/>
              <w:rPr>
                <w:sz w:val="21"/>
              </w:rPr>
            </w:pPr>
            <w:r>
              <w:rPr>
                <w:sz w:val="21"/>
              </w:rPr>
              <w:t>猪肉</w:t>
            </w:r>
          </w:p>
        </w:tc>
        <w:tc>
          <w:tcPr>
            <w:tcW w:w="3846" w:type="dxa"/>
            <w:tcBorders>
              <w:tl2br w:val="nil"/>
              <w:tr2bl w:val="nil"/>
            </w:tcBorders>
          </w:tcPr>
          <w:p>
            <w:pPr>
              <w:pStyle w:val="31"/>
              <w:spacing w:line="252" w:lineRule="exact"/>
              <w:ind w:left="1353" w:right="1330"/>
              <w:rPr>
                <w:rFonts w:ascii="Calibri"/>
                <w:sz w:val="22"/>
              </w:rPr>
            </w:pPr>
            <w:r>
              <w:rPr>
                <w:rFonts w:ascii="Calibri"/>
                <w:sz w:val="22"/>
              </w:rPr>
              <w:t>36430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594" w:type="dxa"/>
            <w:tcBorders>
              <w:tl2br w:val="nil"/>
              <w:tr2bl w:val="nil"/>
            </w:tcBorders>
          </w:tcPr>
          <w:p>
            <w:pPr>
              <w:pStyle w:val="31"/>
              <w:spacing w:before="6" w:line="246" w:lineRule="exact"/>
              <w:ind w:left="33"/>
              <w:rPr>
                <w:rFonts w:ascii="Calibri"/>
                <w:sz w:val="21"/>
              </w:rPr>
            </w:pPr>
            <w:r>
              <w:rPr>
                <w:rFonts w:ascii="Calibri"/>
                <w:w w:val="99"/>
                <w:sz w:val="21"/>
              </w:rPr>
              <w:t>2</w:t>
            </w:r>
          </w:p>
        </w:tc>
        <w:tc>
          <w:tcPr>
            <w:tcW w:w="3846" w:type="dxa"/>
            <w:tcBorders>
              <w:tl2br w:val="nil"/>
              <w:tr2bl w:val="nil"/>
            </w:tcBorders>
          </w:tcPr>
          <w:p>
            <w:pPr>
              <w:pStyle w:val="31"/>
              <w:spacing w:before="1" w:line="251" w:lineRule="exact"/>
              <w:ind w:left="1281" w:right="1252"/>
              <w:rPr>
                <w:sz w:val="21"/>
              </w:rPr>
            </w:pPr>
            <w:r>
              <w:rPr>
                <w:sz w:val="21"/>
              </w:rPr>
              <w:t>猪骨</w:t>
            </w:r>
          </w:p>
        </w:tc>
        <w:tc>
          <w:tcPr>
            <w:tcW w:w="3846" w:type="dxa"/>
            <w:tcBorders>
              <w:tl2br w:val="nil"/>
              <w:tr2bl w:val="nil"/>
            </w:tcBorders>
          </w:tcPr>
          <w:p>
            <w:pPr>
              <w:pStyle w:val="31"/>
              <w:spacing w:before="1" w:line="251" w:lineRule="exact"/>
              <w:ind w:left="1353" w:right="1330"/>
              <w:rPr>
                <w:rFonts w:ascii="Calibri"/>
                <w:sz w:val="22"/>
              </w:rPr>
            </w:pPr>
            <w:r>
              <w:rPr>
                <w:rFonts w:ascii="Calibri"/>
                <w:sz w:val="22"/>
              </w:rPr>
              <w:t>2094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594" w:type="dxa"/>
            <w:tcBorders>
              <w:tl2br w:val="nil"/>
              <w:tr2bl w:val="nil"/>
            </w:tcBorders>
          </w:tcPr>
          <w:p>
            <w:pPr>
              <w:pStyle w:val="31"/>
              <w:spacing w:before="7" w:line="246" w:lineRule="exact"/>
              <w:ind w:left="33"/>
              <w:rPr>
                <w:rFonts w:ascii="Calibri"/>
                <w:sz w:val="21"/>
              </w:rPr>
            </w:pPr>
            <w:r>
              <w:rPr>
                <w:rFonts w:ascii="Calibri"/>
                <w:w w:val="99"/>
                <w:sz w:val="21"/>
              </w:rPr>
              <w:t>3</w:t>
            </w:r>
          </w:p>
        </w:tc>
        <w:tc>
          <w:tcPr>
            <w:tcW w:w="3846" w:type="dxa"/>
            <w:tcBorders>
              <w:tl2br w:val="nil"/>
              <w:tr2bl w:val="nil"/>
            </w:tcBorders>
          </w:tcPr>
          <w:p>
            <w:pPr>
              <w:pStyle w:val="31"/>
              <w:spacing w:before="2" w:line="251" w:lineRule="exact"/>
              <w:ind w:left="1281" w:right="1252"/>
              <w:rPr>
                <w:sz w:val="21"/>
              </w:rPr>
            </w:pPr>
            <w:r>
              <w:rPr>
                <w:sz w:val="21"/>
              </w:rPr>
              <w:t>猪血</w:t>
            </w:r>
          </w:p>
        </w:tc>
        <w:tc>
          <w:tcPr>
            <w:tcW w:w="3846" w:type="dxa"/>
            <w:tcBorders>
              <w:tl2br w:val="nil"/>
              <w:tr2bl w:val="nil"/>
            </w:tcBorders>
          </w:tcPr>
          <w:p>
            <w:pPr>
              <w:pStyle w:val="31"/>
              <w:spacing w:before="2" w:line="251" w:lineRule="exact"/>
              <w:ind w:left="1353" w:right="1330"/>
              <w:rPr>
                <w:rFonts w:ascii="Calibri"/>
                <w:sz w:val="22"/>
              </w:rPr>
            </w:pPr>
            <w:r>
              <w:rPr>
                <w:rFonts w:ascii="Calibri"/>
                <w:sz w:val="22"/>
              </w:rPr>
              <w:t>1257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7" w:line="245" w:lineRule="exact"/>
              <w:ind w:left="33"/>
              <w:rPr>
                <w:rFonts w:ascii="Calibri"/>
                <w:sz w:val="21"/>
              </w:rPr>
            </w:pPr>
            <w:r>
              <w:rPr>
                <w:rFonts w:ascii="Calibri"/>
                <w:w w:val="99"/>
                <w:sz w:val="21"/>
              </w:rPr>
              <w:t>4</w:t>
            </w:r>
          </w:p>
        </w:tc>
        <w:tc>
          <w:tcPr>
            <w:tcW w:w="3846" w:type="dxa"/>
            <w:tcBorders>
              <w:tl2br w:val="nil"/>
              <w:tr2bl w:val="nil"/>
            </w:tcBorders>
          </w:tcPr>
          <w:p>
            <w:pPr>
              <w:pStyle w:val="31"/>
              <w:spacing w:line="252" w:lineRule="exact"/>
              <w:ind w:left="1281" w:right="1252"/>
              <w:rPr>
                <w:sz w:val="21"/>
              </w:rPr>
            </w:pPr>
            <w:r>
              <w:rPr>
                <w:sz w:val="21"/>
              </w:rPr>
              <w:t>猪内脏</w:t>
            </w:r>
          </w:p>
        </w:tc>
        <w:tc>
          <w:tcPr>
            <w:tcW w:w="3846" w:type="dxa"/>
            <w:tcBorders>
              <w:tl2br w:val="nil"/>
              <w:tr2bl w:val="nil"/>
            </w:tcBorders>
          </w:tcPr>
          <w:p>
            <w:pPr>
              <w:pStyle w:val="31"/>
              <w:spacing w:line="252" w:lineRule="exact"/>
              <w:ind w:left="1353" w:right="1330"/>
              <w:rPr>
                <w:rFonts w:ascii="Calibri"/>
                <w:sz w:val="22"/>
              </w:rPr>
            </w:pPr>
            <w:r>
              <w:rPr>
                <w:rFonts w:ascii="Calibri"/>
                <w:sz w:val="22"/>
              </w:rPr>
              <w:t>2512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594" w:type="dxa"/>
            <w:tcBorders>
              <w:tl2br w:val="nil"/>
              <w:tr2bl w:val="nil"/>
            </w:tcBorders>
          </w:tcPr>
          <w:p>
            <w:pPr>
              <w:pStyle w:val="31"/>
              <w:spacing w:before="8" w:line="244" w:lineRule="exact"/>
              <w:ind w:left="33"/>
              <w:rPr>
                <w:rFonts w:ascii="Calibri"/>
                <w:sz w:val="21"/>
              </w:rPr>
            </w:pPr>
            <w:r>
              <w:rPr>
                <w:rFonts w:ascii="Calibri"/>
                <w:w w:val="99"/>
                <w:sz w:val="21"/>
              </w:rPr>
              <w:t>5</w:t>
            </w:r>
          </w:p>
        </w:tc>
        <w:tc>
          <w:tcPr>
            <w:tcW w:w="3846" w:type="dxa"/>
            <w:tcBorders>
              <w:tl2br w:val="nil"/>
              <w:tr2bl w:val="nil"/>
            </w:tcBorders>
          </w:tcPr>
          <w:p>
            <w:pPr>
              <w:pStyle w:val="31"/>
              <w:spacing w:line="252" w:lineRule="exact"/>
              <w:ind w:left="1281" w:right="1252"/>
              <w:rPr>
                <w:sz w:val="21"/>
              </w:rPr>
            </w:pPr>
            <w:r>
              <w:rPr>
                <w:sz w:val="21"/>
              </w:rPr>
              <w:t>猪皮</w:t>
            </w:r>
          </w:p>
        </w:tc>
        <w:tc>
          <w:tcPr>
            <w:tcW w:w="3846" w:type="dxa"/>
            <w:tcBorders>
              <w:tl2br w:val="nil"/>
              <w:tr2bl w:val="nil"/>
            </w:tcBorders>
          </w:tcPr>
          <w:p>
            <w:pPr>
              <w:pStyle w:val="31"/>
              <w:spacing w:before="1" w:line="251" w:lineRule="exact"/>
              <w:ind w:left="1353" w:right="1330"/>
              <w:rPr>
                <w:rFonts w:ascii="Calibri"/>
                <w:sz w:val="22"/>
              </w:rPr>
            </w:pPr>
            <w:r>
              <w:rPr>
                <w:rFonts w:ascii="Calibri"/>
                <w:sz w:val="22"/>
              </w:rPr>
              <w:t>2512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594" w:type="dxa"/>
            <w:tcBorders>
              <w:tl2br w:val="nil"/>
              <w:tr2bl w:val="nil"/>
            </w:tcBorders>
          </w:tcPr>
          <w:p>
            <w:pPr>
              <w:pStyle w:val="31"/>
              <w:spacing w:before="6" w:line="246" w:lineRule="exact"/>
              <w:ind w:left="33"/>
              <w:rPr>
                <w:rFonts w:ascii="Calibri"/>
                <w:sz w:val="21"/>
              </w:rPr>
            </w:pPr>
            <w:r>
              <w:rPr>
                <w:rFonts w:ascii="Calibri"/>
                <w:w w:val="99"/>
                <w:sz w:val="21"/>
              </w:rPr>
              <w:t>6</w:t>
            </w:r>
          </w:p>
        </w:tc>
        <w:tc>
          <w:tcPr>
            <w:tcW w:w="3846" w:type="dxa"/>
            <w:tcBorders>
              <w:tl2br w:val="nil"/>
              <w:tr2bl w:val="nil"/>
            </w:tcBorders>
          </w:tcPr>
          <w:p>
            <w:pPr>
              <w:pStyle w:val="31"/>
              <w:spacing w:before="1" w:line="252" w:lineRule="exact"/>
              <w:ind w:left="1279" w:right="1252"/>
              <w:rPr>
                <w:sz w:val="21"/>
              </w:rPr>
            </w:pPr>
            <w:r>
              <w:rPr>
                <w:sz w:val="21"/>
              </w:rPr>
              <w:t>头蹄尾类</w:t>
            </w:r>
          </w:p>
        </w:tc>
        <w:tc>
          <w:tcPr>
            <w:tcW w:w="3846" w:type="dxa"/>
            <w:tcBorders>
              <w:tl2br w:val="nil"/>
              <w:tr2bl w:val="nil"/>
            </w:tcBorders>
          </w:tcPr>
          <w:p>
            <w:pPr>
              <w:pStyle w:val="31"/>
              <w:spacing w:before="2" w:line="251" w:lineRule="exact"/>
              <w:ind w:left="1353" w:right="1330"/>
              <w:rPr>
                <w:rFonts w:ascii="Calibri"/>
                <w:sz w:val="22"/>
              </w:rPr>
            </w:pPr>
            <w:r>
              <w:rPr>
                <w:rFonts w:ascii="Calibri"/>
                <w:sz w:val="22"/>
              </w:rPr>
              <w:t>2512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594" w:type="dxa"/>
            <w:tcBorders>
              <w:tl2br w:val="nil"/>
              <w:tr2bl w:val="nil"/>
            </w:tcBorders>
          </w:tcPr>
          <w:p>
            <w:pPr>
              <w:pStyle w:val="31"/>
              <w:spacing w:before="6" w:line="245" w:lineRule="exact"/>
              <w:ind w:left="33"/>
              <w:rPr>
                <w:rFonts w:ascii="Calibri"/>
                <w:sz w:val="21"/>
              </w:rPr>
            </w:pPr>
            <w:r>
              <w:rPr>
                <w:rFonts w:ascii="Calibri"/>
                <w:w w:val="99"/>
                <w:sz w:val="21"/>
              </w:rPr>
              <w:t>7</w:t>
            </w:r>
          </w:p>
        </w:tc>
        <w:tc>
          <w:tcPr>
            <w:tcW w:w="3846" w:type="dxa"/>
            <w:tcBorders>
              <w:tl2br w:val="nil"/>
              <w:tr2bl w:val="nil"/>
            </w:tcBorders>
          </w:tcPr>
          <w:p>
            <w:pPr>
              <w:pStyle w:val="31"/>
              <w:spacing w:line="252" w:lineRule="exact"/>
              <w:ind w:left="1281" w:right="1252"/>
              <w:rPr>
                <w:sz w:val="21"/>
              </w:rPr>
            </w:pPr>
            <w:r>
              <w:rPr>
                <w:sz w:val="21"/>
              </w:rPr>
              <w:t>板油</w:t>
            </w:r>
          </w:p>
        </w:tc>
        <w:tc>
          <w:tcPr>
            <w:tcW w:w="3846" w:type="dxa"/>
            <w:tcBorders>
              <w:tl2br w:val="nil"/>
              <w:tr2bl w:val="nil"/>
            </w:tcBorders>
          </w:tcPr>
          <w:p>
            <w:pPr>
              <w:pStyle w:val="31"/>
              <w:spacing w:line="252" w:lineRule="exact"/>
              <w:ind w:left="1353" w:right="1333"/>
              <w:rPr>
                <w:rFonts w:ascii="Calibri"/>
                <w:sz w:val="22"/>
              </w:rPr>
            </w:pPr>
            <w:r>
              <w:rPr>
                <w:rFonts w:ascii="Calibri"/>
                <w:sz w:val="22"/>
              </w:rPr>
              <w:t>837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594" w:type="dxa"/>
            <w:tcBorders>
              <w:tl2br w:val="nil"/>
              <w:tr2bl w:val="nil"/>
            </w:tcBorders>
          </w:tcPr>
          <w:p>
            <w:pPr>
              <w:pStyle w:val="31"/>
              <w:spacing w:before="7" w:line="244" w:lineRule="exact"/>
              <w:ind w:left="33"/>
              <w:rPr>
                <w:rFonts w:ascii="Calibri"/>
                <w:sz w:val="21"/>
              </w:rPr>
            </w:pPr>
            <w:r>
              <w:rPr>
                <w:rFonts w:ascii="Calibri"/>
                <w:w w:val="99"/>
                <w:sz w:val="21"/>
              </w:rPr>
              <w:t>8</w:t>
            </w:r>
          </w:p>
        </w:tc>
        <w:tc>
          <w:tcPr>
            <w:tcW w:w="3846" w:type="dxa"/>
            <w:tcBorders>
              <w:tl2br w:val="nil"/>
              <w:tr2bl w:val="nil"/>
            </w:tcBorders>
          </w:tcPr>
          <w:p>
            <w:pPr>
              <w:pStyle w:val="31"/>
              <w:spacing w:line="252" w:lineRule="exact"/>
              <w:ind w:left="1281" w:right="1252"/>
              <w:rPr>
                <w:sz w:val="21"/>
              </w:rPr>
            </w:pPr>
            <w:r>
              <w:rPr>
                <w:sz w:val="21"/>
              </w:rPr>
              <w:t>合计</w:t>
            </w:r>
          </w:p>
        </w:tc>
        <w:tc>
          <w:tcPr>
            <w:tcW w:w="3846" w:type="dxa"/>
            <w:tcBorders>
              <w:tl2br w:val="nil"/>
              <w:tr2bl w:val="nil"/>
            </w:tcBorders>
          </w:tcPr>
          <w:p>
            <w:pPr>
              <w:pStyle w:val="31"/>
              <w:spacing w:line="251" w:lineRule="exact"/>
              <w:ind w:left="1353" w:right="1330"/>
              <w:rPr>
                <w:rFonts w:ascii="Calibri"/>
                <w:sz w:val="22"/>
              </w:rPr>
            </w:pPr>
            <w:r>
              <w:rPr>
                <w:rFonts w:ascii="Calibri"/>
                <w:sz w:val="22"/>
              </w:rPr>
              <w:t>48154</w:t>
            </w:r>
          </w:p>
        </w:tc>
      </w:tr>
    </w:tbl>
    <w:p>
      <w:pPr>
        <w:pStyle w:val="5"/>
        <w:rPr>
          <w:b/>
          <w:sz w:val="20"/>
        </w:rPr>
      </w:pPr>
    </w:p>
    <w:p>
      <w:pPr>
        <w:pStyle w:val="5"/>
        <w:spacing w:before="7"/>
        <w:rPr>
          <w:b/>
          <w:sz w:val="17"/>
        </w:rPr>
      </w:pPr>
    </w:p>
    <w:p>
      <w:pPr>
        <w:tabs>
          <w:tab w:val="left" w:pos="1214"/>
        </w:tabs>
        <w:spacing w:before="0" w:after="4"/>
        <w:ind w:left="0" w:right="82" w:firstLine="0"/>
        <w:jc w:val="center"/>
        <w:rPr>
          <w:b/>
          <w:sz w:val="21"/>
        </w:rPr>
      </w:pPr>
      <w:r>
        <w:rPr>
          <w:b/>
          <w:sz w:val="21"/>
        </w:rPr>
        <w:t>表</w:t>
      </w:r>
      <w:r>
        <w:rPr>
          <w:rFonts w:hint="eastAsia"/>
          <w:b/>
          <w:sz w:val="21"/>
          <w:lang w:val="en-US" w:eastAsia="zh-CN"/>
        </w:rPr>
        <w:t>2-3</w:t>
      </w:r>
      <w:r>
        <w:rPr>
          <w:b/>
          <w:sz w:val="21"/>
        </w:rPr>
        <w:tab/>
      </w:r>
      <w:r>
        <w:rPr>
          <w:b/>
          <w:sz w:val="21"/>
        </w:rPr>
        <w:t>牛肉产品方案表</w:t>
      </w:r>
    </w:p>
    <w:tbl>
      <w:tblPr>
        <w:tblStyle w:val="14"/>
        <w:tblW w:w="9286" w:type="dxa"/>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4"/>
        <w:gridCol w:w="3846"/>
        <w:gridCol w:w="38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line="252" w:lineRule="exact"/>
              <w:ind w:left="571" w:right="538"/>
              <w:rPr>
                <w:sz w:val="21"/>
              </w:rPr>
            </w:pPr>
            <w:r>
              <w:rPr>
                <w:sz w:val="21"/>
              </w:rPr>
              <w:t>序号</w:t>
            </w:r>
          </w:p>
        </w:tc>
        <w:tc>
          <w:tcPr>
            <w:tcW w:w="3846" w:type="dxa"/>
            <w:tcBorders>
              <w:tl2br w:val="nil"/>
              <w:tr2bl w:val="nil"/>
            </w:tcBorders>
          </w:tcPr>
          <w:p>
            <w:pPr>
              <w:pStyle w:val="31"/>
              <w:spacing w:line="252" w:lineRule="exact"/>
              <w:ind w:left="1279" w:right="1252"/>
              <w:rPr>
                <w:sz w:val="21"/>
              </w:rPr>
            </w:pPr>
            <w:r>
              <w:rPr>
                <w:sz w:val="21"/>
              </w:rPr>
              <w:t>产品方案</w:t>
            </w:r>
          </w:p>
        </w:tc>
        <w:tc>
          <w:tcPr>
            <w:tcW w:w="3846" w:type="dxa"/>
            <w:tcBorders>
              <w:tl2br w:val="nil"/>
              <w:tr2bl w:val="nil"/>
            </w:tcBorders>
          </w:tcPr>
          <w:p>
            <w:pPr>
              <w:pStyle w:val="31"/>
              <w:spacing w:line="252" w:lineRule="exact"/>
              <w:ind w:left="1353" w:right="1334"/>
              <w:rPr>
                <w:sz w:val="21"/>
              </w:rPr>
            </w:pPr>
            <w:r>
              <w:rPr>
                <w:sz w:val="21"/>
              </w:rPr>
              <w:t>产量（</w:t>
            </w:r>
            <w:r>
              <w:rPr>
                <w:rFonts w:ascii="Calibri" w:eastAsia="Calibri"/>
                <w:sz w:val="21"/>
              </w:rPr>
              <w:t>t/a</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8" w:line="244" w:lineRule="exact"/>
              <w:ind w:left="33"/>
              <w:rPr>
                <w:rFonts w:ascii="Calibri"/>
                <w:sz w:val="21"/>
              </w:rPr>
            </w:pPr>
            <w:r>
              <w:rPr>
                <w:rFonts w:ascii="Calibri"/>
                <w:w w:val="99"/>
                <w:sz w:val="21"/>
              </w:rPr>
              <w:t>1</w:t>
            </w:r>
          </w:p>
        </w:tc>
        <w:tc>
          <w:tcPr>
            <w:tcW w:w="3846" w:type="dxa"/>
            <w:tcBorders>
              <w:tl2br w:val="nil"/>
              <w:tr2bl w:val="nil"/>
            </w:tcBorders>
          </w:tcPr>
          <w:p>
            <w:pPr>
              <w:pStyle w:val="31"/>
              <w:spacing w:line="252" w:lineRule="exact"/>
              <w:ind w:left="1281" w:right="1252"/>
              <w:rPr>
                <w:sz w:val="21"/>
              </w:rPr>
            </w:pPr>
            <w:r>
              <w:rPr>
                <w:sz w:val="21"/>
              </w:rPr>
              <w:t>牛肉（净肉）</w:t>
            </w:r>
          </w:p>
        </w:tc>
        <w:tc>
          <w:tcPr>
            <w:tcW w:w="3846" w:type="dxa"/>
            <w:tcBorders>
              <w:tl2br w:val="nil"/>
              <w:tr2bl w:val="nil"/>
            </w:tcBorders>
          </w:tcPr>
          <w:p>
            <w:pPr>
              <w:pStyle w:val="31"/>
              <w:spacing w:before="1" w:line="251" w:lineRule="exact"/>
              <w:ind w:left="1353" w:right="1330"/>
              <w:rPr>
                <w:rFonts w:ascii="Calibri"/>
                <w:sz w:val="22"/>
              </w:rPr>
            </w:pPr>
            <w:r>
              <w:rPr>
                <w:rFonts w:ascii="Calibri"/>
                <w:sz w:val="22"/>
              </w:rPr>
              <w:t>2198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6" w:line="246" w:lineRule="exact"/>
              <w:ind w:left="33"/>
              <w:rPr>
                <w:rFonts w:ascii="Calibri"/>
                <w:sz w:val="21"/>
              </w:rPr>
            </w:pPr>
            <w:r>
              <w:rPr>
                <w:rFonts w:ascii="Calibri"/>
                <w:w w:val="99"/>
                <w:sz w:val="21"/>
              </w:rPr>
              <w:t>2</w:t>
            </w:r>
          </w:p>
        </w:tc>
        <w:tc>
          <w:tcPr>
            <w:tcW w:w="3846" w:type="dxa"/>
            <w:tcBorders>
              <w:tl2br w:val="nil"/>
              <w:tr2bl w:val="nil"/>
            </w:tcBorders>
          </w:tcPr>
          <w:p>
            <w:pPr>
              <w:pStyle w:val="31"/>
              <w:spacing w:before="1" w:line="252" w:lineRule="exact"/>
              <w:ind w:left="1281" w:right="1252"/>
              <w:rPr>
                <w:sz w:val="21"/>
              </w:rPr>
            </w:pPr>
            <w:r>
              <w:rPr>
                <w:sz w:val="21"/>
              </w:rPr>
              <w:t>牛皮（带毛）</w:t>
            </w:r>
          </w:p>
        </w:tc>
        <w:tc>
          <w:tcPr>
            <w:tcW w:w="3846" w:type="dxa"/>
            <w:tcBorders>
              <w:tl2br w:val="nil"/>
              <w:tr2bl w:val="nil"/>
            </w:tcBorders>
          </w:tcPr>
          <w:p>
            <w:pPr>
              <w:pStyle w:val="31"/>
              <w:spacing w:before="2" w:line="251" w:lineRule="exact"/>
              <w:ind w:left="1353" w:right="1333"/>
              <w:rPr>
                <w:rFonts w:ascii="Calibri"/>
                <w:sz w:val="22"/>
              </w:rPr>
            </w:pPr>
            <w:r>
              <w:rPr>
                <w:rFonts w:ascii="Calibri"/>
                <w:sz w:val="22"/>
              </w:rPr>
              <w:t>330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6" w:line="245" w:lineRule="exact"/>
              <w:ind w:left="33"/>
              <w:rPr>
                <w:rFonts w:ascii="Calibri"/>
                <w:sz w:val="21"/>
              </w:rPr>
            </w:pPr>
            <w:r>
              <w:rPr>
                <w:rFonts w:ascii="Calibri"/>
                <w:w w:val="99"/>
                <w:sz w:val="21"/>
              </w:rPr>
              <w:t>3</w:t>
            </w:r>
          </w:p>
        </w:tc>
        <w:tc>
          <w:tcPr>
            <w:tcW w:w="3846" w:type="dxa"/>
            <w:tcBorders>
              <w:tl2br w:val="nil"/>
              <w:tr2bl w:val="nil"/>
            </w:tcBorders>
          </w:tcPr>
          <w:p>
            <w:pPr>
              <w:pStyle w:val="31"/>
              <w:spacing w:before="1" w:line="251" w:lineRule="exact"/>
              <w:ind w:left="1281" w:right="1252"/>
              <w:rPr>
                <w:sz w:val="21"/>
              </w:rPr>
            </w:pPr>
            <w:r>
              <w:rPr>
                <w:sz w:val="21"/>
              </w:rPr>
              <w:t>牛骨</w:t>
            </w:r>
          </w:p>
        </w:tc>
        <w:tc>
          <w:tcPr>
            <w:tcW w:w="3846" w:type="dxa"/>
            <w:tcBorders>
              <w:tl2br w:val="nil"/>
              <w:tr2bl w:val="nil"/>
            </w:tcBorders>
          </w:tcPr>
          <w:p>
            <w:pPr>
              <w:pStyle w:val="31"/>
              <w:spacing w:before="2" w:line="250" w:lineRule="exact"/>
              <w:ind w:left="1353" w:right="1333"/>
              <w:rPr>
                <w:rFonts w:ascii="Calibri"/>
                <w:sz w:val="22"/>
              </w:rPr>
            </w:pPr>
            <w:r>
              <w:rPr>
                <w:rFonts w:ascii="Calibri"/>
                <w:sz w:val="22"/>
              </w:rPr>
              <w:t>330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7" w:line="245" w:lineRule="exact"/>
              <w:ind w:left="33"/>
              <w:rPr>
                <w:rFonts w:ascii="Calibri"/>
                <w:sz w:val="21"/>
              </w:rPr>
            </w:pPr>
            <w:r>
              <w:rPr>
                <w:rFonts w:ascii="Calibri"/>
                <w:w w:val="99"/>
                <w:sz w:val="21"/>
              </w:rPr>
              <w:t>4</w:t>
            </w:r>
          </w:p>
        </w:tc>
        <w:tc>
          <w:tcPr>
            <w:tcW w:w="3846" w:type="dxa"/>
            <w:tcBorders>
              <w:tl2br w:val="nil"/>
              <w:tr2bl w:val="nil"/>
            </w:tcBorders>
          </w:tcPr>
          <w:p>
            <w:pPr>
              <w:pStyle w:val="31"/>
              <w:spacing w:before="2" w:line="251" w:lineRule="exact"/>
              <w:ind w:left="1279" w:right="1252"/>
              <w:rPr>
                <w:sz w:val="21"/>
              </w:rPr>
            </w:pPr>
            <w:r>
              <w:rPr>
                <w:sz w:val="21"/>
              </w:rPr>
              <w:t>头蹄尾类</w:t>
            </w:r>
          </w:p>
        </w:tc>
        <w:tc>
          <w:tcPr>
            <w:tcW w:w="3846" w:type="dxa"/>
            <w:tcBorders>
              <w:tl2br w:val="nil"/>
              <w:tr2bl w:val="nil"/>
            </w:tcBorders>
          </w:tcPr>
          <w:p>
            <w:pPr>
              <w:pStyle w:val="31"/>
              <w:spacing w:before="3" w:line="250" w:lineRule="exact"/>
              <w:ind w:left="1353" w:right="1333"/>
              <w:rPr>
                <w:rFonts w:ascii="Calibri"/>
                <w:sz w:val="22"/>
              </w:rPr>
            </w:pPr>
            <w:r>
              <w:rPr>
                <w:rFonts w:ascii="Calibri"/>
                <w:sz w:val="22"/>
              </w:rPr>
              <w:t>220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5" w:line="247" w:lineRule="exact"/>
              <w:ind w:left="33"/>
              <w:rPr>
                <w:rFonts w:ascii="Calibri"/>
                <w:sz w:val="21"/>
              </w:rPr>
            </w:pPr>
            <w:r>
              <w:rPr>
                <w:rFonts w:ascii="Calibri"/>
                <w:w w:val="99"/>
                <w:sz w:val="21"/>
              </w:rPr>
              <w:t>5</w:t>
            </w:r>
          </w:p>
        </w:tc>
        <w:tc>
          <w:tcPr>
            <w:tcW w:w="3846" w:type="dxa"/>
            <w:tcBorders>
              <w:tl2br w:val="nil"/>
              <w:tr2bl w:val="nil"/>
            </w:tcBorders>
          </w:tcPr>
          <w:p>
            <w:pPr>
              <w:pStyle w:val="31"/>
              <w:spacing w:line="252" w:lineRule="exact"/>
              <w:ind w:left="1281" w:right="1252"/>
              <w:rPr>
                <w:sz w:val="21"/>
              </w:rPr>
            </w:pPr>
            <w:r>
              <w:rPr>
                <w:sz w:val="21"/>
              </w:rPr>
              <w:t>牛内脏</w:t>
            </w:r>
          </w:p>
        </w:tc>
        <w:tc>
          <w:tcPr>
            <w:tcW w:w="3846" w:type="dxa"/>
            <w:tcBorders>
              <w:tl2br w:val="nil"/>
              <w:tr2bl w:val="nil"/>
            </w:tcBorders>
          </w:tcPr>
          <w:p>
            <w:pPr>
              <w:pStyle w:val="31"/>
              <w:spacing w:line="252" w:lineRule="exact"/>
              <w:ind w:left="1353" w:right="1333"/>
              <w:rPr>
                <w:rFonts w:ascii="Calibri"/>
                <w:sz w:val="22"/>
              </w:rPr>
            </w:pPr>
            <w:r>
              <w:rPr>
                <w:rFonts w:ascii="Calibri"/>
                <w:sz w:val="22"/>
              </w:rPr>
              <w:t>440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594" w:type="dxa"/>
            <w:tcBorders>
              <w:tl2br w:val="nil"/>
              <w:tr2bl w:val="nil"/>
            </w:tcBorders>
          </w:tcPr>
          <w:p>
            <w:pPr>
              <w:pStyle w:val="31"/>
              <w:spacing w:before="6" w:line="246" w:lineRule="exact"/>
              <w:ind w:left="33"/>
              <w:rPr>
                <w:rFonts w:ascii="Calibri"/>
                <w:sz w:val="21"/>
              </w:rPr>
            </w:pPr>
            <w:r>
              <w:rPr>
                <w:rFonts w:ascii="Calibri"/>
                <w:w w:val="99"/>
                <w:sz w:val="21"/>
              </w:rPr>
              <w:t>6</w:t>
            </w:r>
          </w:p>
        </w:tc>
        <w:tc>
          <w:tcPr>
            <w:tcW w:w="3846" w:type="dxa"/>
            <w:tcBorders>
              <w:tl2br w:val="nil"/>
              <w:tr2bl w:val="nil"/>
            </w:tcBorders>
          </w:tcPr>
          <w:p>
            <w:pPr>
              <w:pStyle w:val="31"/>
              <w:spacing w:before="1" w:line="251" w:lineRule="exact"/>
              <w:ind w:left="1281" w:right="1252"/>
              <w:rPr>
                <w:sz w:val="21"/>
              </w:rPr>
            </w:pPr>
            <w:r>
              <w:rPr>
                <w:sz w:val="21"/>
              </w:rPr>
              <w:t>合计</w:t>
            </w:r>
          </w:p>
        </w:tc>
        <w:tc>
          <w:tcPr>
            <w:tcW w:w="3846" w:type="dxa"/>
            <w:tcBorders>
              <w:tl2br w:val="nil"/>
              <w:tr2bl w:val="nil"/>
            </w:tcBorders>
          </w:tcPr>
          <w:p>
            <w:pPr>
              <w:pStyle w:val="31"/>
              <w:spacing w:before="1" w:line="250" w:lineRule="exact"/>
              <w:ind w:left="1353" w:right="1330"/>
              <w:rPr>
                <w:rFonts w:ascii="Calibri"/>
                <w:sz w:val="22"/>
              </w:rPr>
            </w:pPr>
            <w:r>
              <w:rPr>
                <w:rFonts w:ascii="Calibri"/>
                <w:sz w:val="22"/>
              </w:rPr>
              <w:t>3518</w:t>
            </w:r>
          </w:p>
        </w:tc>
      </w:tr>
    </w:tbl>
    <w:p>
      <w:pPr>
        <w:tabs>
          <w:tab w:val="left" w:pos="1106"/>
        </w:tabs>
        <w:spacing w:before="2" w:after="3"/>
        <w:ind w:left="0" w:right="85" w:firstLine="0"/>
        <w:jc w:val="center"/>
        <w:rPr>
          <w:b/>
          <w:sz w:val="21"/>
        </w:rPr>
      </w:pPr>
      <w:r>
        <w:rPr>
          <w:b/>
          <w:sz w:val="21"/>
        </w:rPr>
        <w:t>表</w:t>
      </w:r>
      <w:r>
        <w:rPr>
          <w:b/>
          <w:spacing w:val="-55"/>
          <w:sz w:val="21"/>
        </w:rPr>
        <w:t xml:space="preserve"> </w:t>
      </w:r>
      <w:r>
        <w:rPr>
          <w:rFonts w:hint="eastAsia"/>
          <w:b/>
          <w:sz w:val="21"/>
          <w:lang w:val="en-US" w:eastAsia="zh-CN"/>
        </w:rPr>
        <w:t>2-4</w:t>
      </w:r>
      <w:r>
        <w:rPr>
          <w:b/>
          <w:sz w:val="21"/>
        </w:rPr>
        <w:tab/>
      </w:r>
      <w:r>
        <w:rPr>
          <w:b/>
          <w:sz w:val="21"/>
        </w:rPr>
        <w:t>肉制品方案表</w:t>
      </w:r>
    </w:p>
    <w:tbl>
      <w:tblPr>
        <w:tblStyle w:val="14"/>
        <w:tblW w:w="9286" w:type="dxa"/>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4"/>
        <w:gridCol w:w="3846"/>
        <w:gridCol w:w="38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594" w:type="dxa"/>
            <w:tcBorders>
              <w:tl2br w:val="nil"/>
              <w:tr2bl w:val="nil"/>
            </w:tcBorders>
          </w:tcPr>
          <w:p>
            <w:pPr>
              <w:pStyle w:val="31"/>
              <w:spacing w:before="1" w:line="249" w:lineRule="exact"/>
              <w:ind w:left="562" w:right="548"/>
              <w:rPr>
                <w:sz w:val="21"/>
              </w:rPr>
            </w:pPr>
            <w:r>
              <w:rPr>
                <w:sz w:val="21"/>
              </w:rPr>
              <w:t>序号</w:t>
            </w:r>
          </w:p>
        </w:tc>
        <w:tc>
          <w:tcPr>
            <w:tcW w:w="3846" w:type="dxa"/>
            <w:tcBorders>
              <w:tl2br w:val="nil"/>
              <w:tr2bl w:val="nil"/>
            </w:tcBorders>
          </w:tcPr>
          <w:p>
            <w:pPr>
              <w:pStyle w:val="31"/>
              <w:spacing w:before="1" w:line="249" w:lineRule="exact"/>
              <w:ind w:left="1259" w:right="1252"/>
              <w:rPr>
                <w:sz w:val="21"/>
              </w:rPr>
            </w:pPr>
            <w:r>
              <w:rPr>
                <w:sz w:val="21"/>
              </w:rPr>
              <w:t>产品方案</w:t>
            </w:r>
          </w:p>
        </w:tc>
        <w:tc>
          <w:tcPr>
            <w:tcW w:w="3846" w:type="dxa"/>
            <w:tcBorders>
              <w:tl2br w:val="nil"/>
              <w:tr2bl w:val="nil"/>
            </w:tcBorders>
          </w:tcPr>
          <w:p>
            <w:pPr>
              <w:pStyle w:val="31"/>
              <w:spacing w:before="1" w:line="249" w:lineRule="exact"/>
              <w:ind w:left="1343" w:right="1343"/>
              <w:rPr>
                <w:sz w:val="21"/>
              </w:rPr>
            </w:pPr>
            <w:r>
              <w:rPr>
                <w:sz w:val="21"/>
              </w:rPr>
              <w:t>产量（</w:t>
            </w:r>
            <w:r>
              <w:rPr>
                <w:rFonts w:ascii="Calibri" w:eastAsia="Calibri"/>
                <w:position w:val="1"/>
                <w:sz w:val="21"/>
              </w:rPr>
              <w:t>t/a</w:t>
            </w:r>
            <w:r>
              <w:rPr>
                <w:sz w:val="21"/>
              </w:rPr>
              <w:t>）</w:t>
            </w:r>
          </w:p>
        </w:tc>
      </w:tr>
    </w:tbl>
    <w:p>
      <w:pPr>
        <w:spacing w:after="0" w:line="249" w:lineRule="exact"/>
        <w:rPr>
          <w:sz w:val="21"/>
        </w:rPr>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3"/>
        <w:rPr>
          <w:b/>
          <w:sz w:val="19"/>
        </w:rPr>
      </w:pPr>
    </w:p>
    <w:tbl>
      <w:tblPr>
        <w:tblStyle w:val="14"/>
        <w:tblW w:w="9286" w:type="dxa"/>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4"/>
        <w:gridCol w:w="3846"/>
        <w:gridCol w:w="38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594" w:type="dxa"/>
            <w:tcBorders>
              <w:tl2br w:val="nil"/>
              <w:tr2bl w:val="nil"/>
            </w:tcBorders>
          </w:tcPr>
          <w:p>
            <w:pPr>
              <w:pStyle w:val="31"/>
              <w:spacing w:before="7" w:line="245" w:lineRule="exact"/>
              <w:ind w:left="33"/>
              <w:rPr>
                <w:rFonts w:ascii="Calibri"/>
                <w:sz w:val="21"/>
              </w:rPr>
            </w:pPr>
            <w:r>
              <w:rPr>
                <w:rFonts w:ascii="Calibri"/>
                <w:w w:val="99"/>
                <w:sz w:val="21"/>
              </w:rPr>
              <w:t>1</w:t>
            </w:r>
          </w:p>
        </w:tc>
        <w:tc>
          <w:tcPr>
            <w:tcW w:w="3846" w:type="dxa"/>
            <w:tcBorders>
              <w:tl2br w:val="nil"/>
              <w:tr2bl w:val="nil"/>
            </w:tcBorders>
          </w:tcPr>
          <w:p>
            <w:pPr>
              <w:pStyle w:val="31"/>
              <w:spacing w:before="2" w:line="251" w:lineRule="exact"/>
              <w:ind w:left="1281" w:right="1252"/>
              <w:rPr>
                <w:sz w:val="21"/>
              </w:rPr>
            </w:pPr>
            <w:r>
              <w:rPr>
                <w:sz w:val="21"/>
              </w:rPr>
              <w:t>香肠</w:t>
            </w:r>
          </w:p>
        </w:tc>
        <w:tc>
          <w:tcPr>
            <w:tcW w:w="3846" w:type="dxa"/>
            <w:tcBorders>
              <w:tl2br w:val="nil"/>
              <w:tr2bl w:val="nil"/>
            </w:tcBorders>
          </w:tcPr>
          <w:p>
            <w:pPr>
              <w:pStyle w:val="31"/>
              <w:spacing w:before="2" w:line="250" w:lineRule="exact"/>
              <w:ind w:left="1353" w:right="1330"/>
              <w:rPr>
                <w:rFonts w:ascii="Calibri"/>
                <w:sz w:val="22"/>
              </w:rPr>
            </w:pPr>
            <w:r>
              <w:rPr>
                <w:rFonts w:ascii="Calibri"/>
                <w:sz w:val="22"/>
              </w:rPr>
              <w:t>2100</w:t>
            </w:r>
          </w:p>
        </w:tc>
      </w:tr>
    </w:tbl>
    <w:p>
      <w:pPr>
        <w:pStyle w:val="8"/>
        <w:numPr>
          <w:ilvl w:val="1"/>
          <w:numId w:val="9"/>
        </w:numPr>
        <w:tabs>
          <w:tab w:val="left" w:pos="1260"/>
        </w:tabs>
        <w:spacing w:before="74" w:after="0" w:line="240" w:lineRule="auto"/>
        <w:ind w:left="1260" w:right="0" w:hanging="420"/>
        <w:jc w:val="left"/>
      </w:pPr>
      <w:bookmarkStart w:id="73" w:name="2.4本项目主要原、辅材料及动力消耗量"/>
      <w:bookmarkEnd w:id="73"/>
      <w:bookmarkStart w:id="74" w:name="_bookmark17"/>
      <w:bookmarkEnd w:id="74"/>
      <w:bookmarkStart w:id="75" w:name="_bookmark17"/>
      <w:bookmarkEnd w:id="75"/>
      <w:bookmarkStart w:id="76" w:name="_Toc2914"/>
      <w:bookmarkStart w:id="77" w:name="_Toc24167"/>
      <w:r>
        <w:t>本项目主要原、辅材料及动力消耗量</w:t>
      </w:r>
      <w:bookmarkEnd w:id="76"/>
      <w:bookmarkEnd w:id="77"/>
    </w:p>
    <w:p>
      <w:pPr>
        <w:pStyle w:val="5"/>
        <w:spacing w:before="120"/>
        <w:ind w:left="1320"/>
      </w:pPr>
      <w:r>
        <w:t>本项目主要原辅材料及动力消耗见下表</w:t>
      </w:r>
      <w:r>
        <w:rPr>
          <w:rFonts w:hint="eastAsia"/>
          <w:lang w:val="en-US" w:eastAsia="zh-CN"/>
        </w:rPr>
        <w:t>2-5</w:t>
      </w:r>
      <w:r>
        <w:t>。</w:t>
      </w:r>
    </w:p>
    <w:p>
      <w:pPr>
        <w:tabs>
          <w:tab w:val="left" w:pos="1214"/>
        </w:tabs>
        <w:spacing w:before="23"/>
        <w:ind w:left="0" w:right="80" w:firstLine="0"/>
        <w:jc w:val="center"/>
        <w:rPr>
          <w:b/>
          <w:sz w:val="21"/>
        </w:rPr>
      </w:pPr>
      <w:r>
        <w:rPr>
          <w:b/>
          <w:sz w:val="21"/>
        </w:rPr>
        <w:t>表</w:t>
      </w:r>
      <w:r>
        <w:rPr>
          <w:b/>
          <w:spacing w:val="-52"/>
          <w:sz w:val="21"/>
        </w:rPr>
        <w:t xml:space="preserve"> </w:t>
      </w:r>
      <w:r>
        <w:rPr>
          <w:rFonts w:hint="eastAsia"/>
          <w:b/>
          <w:sz w:val="21"/>
          <w:lang w:val="en-US" w:eastAsia="zh-CN"/>
        </w:rPr>
        <w:t>2-5</w:t>
      </w:r>
      <w:r>
        <w:rPr>
          <w:b/>
          <w:sz w:val="21"/>
        </w:rPr>
        <w:tab/>
      </w:r>
      <w:r>
        <w:rPr>
          <w:b/>
          <w:sz w:val="21"/>
        </w:rPr>
        <w:t>原、辅材料规格及年消耗量表</w:t>
      </w:r>
    </w:p>
    <w:tbl>
      <w:tblPr>
        <w:tblStyle w:val="14"/>
        <w:tblW w:w="9097" w:type="dxa"/>
        <w:tblInd w:w="9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2674"/>
        <w:gridCol w:w="1631"/>
        <w:gridCol w:w="2021"/>
        <w:gridCol w:w="20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750" w:type="dxa"/>
            <w:tcBorders>
              <w:tl2br w:val="nil"/>
              <w:tr2bl w:val="nil"/>
            </w:tcBorders>
          </w:tcPr>
          <w:p>
            <w:pPr>
              <w:pStyle w:val="31"/>
              <w:spacing w:before="38"/>
              <w:ind w:left="185" w:right="159"/>
              <w:rPr>
                <w:sz w:val="21"/>
              </w:rPr>
            </w:pPr>
            <w:r>
              <w:rPr>
                <w:sz w:val="21"/>
              </w:rPr>
              <w:t>序号</w:t>
            </w:r>
          </w:p>
        </w:tc>
        <w:tc>
          <w:tcPr>
            <w:tcW w:w="2674" w:type="dxa"/>
            <w:tcBorders>
              <w:tl2br w:val="nil"/>
              <w:tr2bl w:val="nil"/>
            </w:tcBorders>
          </w:tcPr>
          <w:p>
            <w:pPr>
              <w:pStyle w:val="31"/>
              <w:spacing w:before="38"/>
              <w:ind w:left="185" w:right="159"/>
              <w:rPr>
                <w:sz w:val="21"/>
              </w:rPr>
            </w:pPr>
            <w:r>
              <w:rPr>
                <w:sz w:val="21"/>
              </w:rPr>
              <w:t>原辅料</w:t>
            </w:r>
          </w:p>
        </w:tc>
        <w:tc>
          <w:tcPr>
            <w:tcW w:w="1631" w:type="dxa"/>
            <w:tcBorders>
              <w:tl2br w:val="nil"/>
              <w:tr2bl w:val="nil"/>
            </w:tcBorders>
          </w:tcPr>
          <w:p>
            <w:pPr>
              <w:pStyle w:val="31"/>
              <w:spacing w:before="38"/>
              <w:ind w:left="185" w:right="159"/>
              <w:rPr>
                <w:sz w:val="21"/>
              </w:rPr>
            </w:pPr>
            <w:r>
              <w:rPr>
                <w:sz w:val="21"/>
              </w:rPr>
              <w:t>用量</w:t>
            </w:r>
          </w:p>
        </w:tc>
        <w:tc>
          <w:tcPr>
            <w:tcW w:w="2021" w:type="dxa"/>
            <w:tcBorders>
              <w:tl2br w:val="nil"/>
              <w:tr2bl w:val="nil"/>
            </w:tcBorders>
          </w:tcPr>
          <w:p>
            <w:pPr>
              <w:pStyle w:val="31"/>
              <w:spacing w:before="38"/>
              <w:ind w:left="185" w:right="159"/>
              <w:rPr>
                <w:rFonts w:hint="eastAsia" w:eastAsia="宋体"/>
                <w:sz w:val="21"/>
                <w:lang w:eastAsia="zh-CN"/>
              </w:rPr>
            </w:pPr>
            <w:r>
              <w:rPr>
                <w:rFonts w:hint="eastAsia"/>
                <w:sz w:val="21"/>
                <w:lang w:eastAsia="zh-CN"/>
              </w:rPr>
              <w:t>最大存储量</w:t>
            </w:r>
          </w:p>
        </w:tc>
        <w:tc>
          <w:tcPr>
            <w:tcW w:w="2021" w:type="dxa"/>
            <w:tcBorders>
              <w:tl2br w:val="nil"/>
              <w:tr2bl w:val="nil"/>
            </w:tcBorders>
          </w:tcPr>
          <w:p>
            <w:pPr>
              <w:pStyle w:val="31"/>
              <w:spacing w:before="38"/>
              <w:ind w:left="185" w:right="159"/>
              <w:rPr>
                <w:sz w:val="21"/>
              </w:rPr>
            </w:pPr>
            <w:r>
              <w:rPr>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750" w:type="dxa"/>
            <w:vMerge w:val="restart"/>
            <w:tcBorders>
              <w:tl2br w:val="nil"/>
              <w:tr2bl w:val="nil"/>
            </w:tcBorders>
          </w:tcPr>
          <w:p>
            <w:pPr>
              <w:pStyle w:val="31"/>
              <w:spacing w:before="38"/>
              <w:ind w:left="185" w:right="159"/>
              <w:rPr>
                <w:sz w:val="21"/>
              </w:rPr>
            </w:pPr>
            <w:r>
              <w:rPr>
                <w:sz w:val="21"/>
              </w:rPr>
              <w:t>1</w:t>
            </w:r>
          </w:p>
        </w:tc>
        <w:tc>
          <w:tcPr>
            <w:tcW w:w="2674" w:type="dxa"/>
            <w:tcBorders>
              <w:tl2br w:val="nil"/>
              <w:tr2bl w:val="nil"/>
            </w:tcBorders>
          </w:tcPr>
          <w:p>
            <w:pPr>
              <w:pStyle w:val="31"/>
              <w:spacing w:before="38"/>
              <w:ind w:left="185" w:right="159"/>
              <w:rPr>
                <w:sz w:val="21"/>
              </w:rPr>
            </w:pPr>
            <w:r>
              <w:rPr>
                <w:sz w:val="21"/>
              </w:rPr>
              <w:t>生猪</w:t>
            </w:r>
          </w:p>
        </w:tc>
        <w:tc>
          <w:tcPr>
            <w:tcW w:w="1631" w:type="dxa"/>
            <w:tcBorders>
              <w:tl2br w:val="nil"/>
              <w:tr2bl w:val="nil"/>
            </w:tcBorders>
          </w:tcPr>
          <w:p>
            <w:pPr>
              <w:pStyle w:val="31"/>
              <w:spacing w:before="38"/>
              <w:ind w:left="185" w:right="159"/>
              <w:rPr>
                <w:sz w:val="21"/>
              </w:rPr>
            </w:pPr>
            <w:r>
              <w:rPr>
                <w:sz w:val="21"/>
              </w:rPr>
              <w:t>50400 吨</w:t>
            </w:r>
          </w:p>
        </w:tc>
        <w:tc>
          <w:tcPr>
            <w:tcW w:w="2021" w:type="dxa"/>
            <w:tcBorders>
              <w:tl2br w:val="nil"/>
              <w:tr2bl w:val="nil"/>
            </w:tcBorders>
            <w:vAlign w:val="top"/>
          </w:tcPr>
          <w:p>
            <w:pPr>
              <w:pStyle w:val="31"/>
              <w:spacing w:before="38"/>
              <w:ind w:left="185" w:leftChars="0" w:right="159" w:rightChars="0"/>
              <w:rPr>
                <w:sz w:val="21"/>
              </w:rPr>
            </w:pPr>
            <w:r>
              <w:rPr>
                <w:sz w:val="21"/>
              </w:rPr>
              <w:t>50400 吨</w:t>
            </w:r>
          </w:p>
        </w:tc>
        <w:tc>
          <w:tcPr>
            <w:tcW w:w="2021" w:type="dxa"/>
            <w:vMerge w:val="restart"/>
            <w:tcBorders>
              <w:tl2br w:val="nil"/>
              <w:tr2bl w:val="nil"/>
            </w:tcBorders>
          </w:tcPr>
          <w:p>
            <w:pPr>
              <w:pStyle w:val="31"/>
              <w:spacing w:before="38"/>
              <w:ind w:left="185" w:right="159"/>
              <w:rPr>
                <w:sz w:val="21"/>
              </w:rPr>
            </w:pPr>
            <w:r>
              <w:rPr>
                <w:sz w:val="21"/>
              </w:rPr>
              <w:t>由本地养殖户提供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50" w:type="dxa"/>
            <w:vMerge w:val="continue"/>
            <w:tcBorders>
              <w:tl2br w:val="nil"/>
              <w:tr2bl w:val="nil"/>
            </w:tcBorders>
          </w:tcPr>
          <w:p>
            <w:pPr>
              <w:rPr>
                <w:rFonts w:ascii="宋体" w:hAnsi="宋体" w:eastAsia="宋体" w:cs="宋体"/>
                <w:sz w:val="21"/>
                <w:szCs w:val="22"/>
                <w:lang w:val="zh-CN" w:eastAsia="zh-CN" w:bidi="zh-CN"/>
              </w:rPr>
            </w:pPr>
          </w:p>
        </w:tc>
        <w:tc>
          <w:tcPr>
            <w:tcW w:w="2674" w:type="dxa"/>
            <w:tcBorders>
              <w:tl2br w:val="nil"/>
              <w:tr2bl w:val="nil"/>
            </w:tcBorders>
          </w:tcPr>
          <w:p>
            <w:pPr>
              <w:pStyle w:val="31"/>
              <w:spacing w:before="2" w:line="250" w:lineRule="exact"/>
              <w:ind w:left="29"/>
              <w:rPr>
                <w:rFonts w:ascii="宋体" w:hAnsi="宋体" w:eastAsia="宋体" w:cs="宋体"/>
                <w:sz w:val="21"/>
                <w:szCs w:val="22"/>
                <w:lang w:val="zh-CN" w:eastAsia="zh-CN" w:bidi="zh-CN"/>
              </w:rPr>
            </w:pPr>
            <w:r>
              <w:rPr>
                <w:rFonts w:ascii="宋体" w:hAnsi="宋体" w:eastAsia="宋体" w:cs="宋体"/>
                <w:sz w:val="21"/>
                <w:szCs w:val="22"/>
                <w:lang w:val="zh-CN" w:eastAsia="zh-CN" w:bidi="zh-CN"/>
              </w:rPr>
              <w:t>牛</w:t>
            </w:r>
          </w:p>
        </w:tc>
        <w:tc>
          <w:tcPr>
            <w:tcW w:w="1631" w:type="dxa"/>
            <w:tcBorders>
              <w:tl2br w:val="nil"/>
              <w:tr2bl w:val="nil"/>
            </w:tcBorders>
          </w:tcPr>
          <w:p>
            <w:pPr>
              <w:pStyle w:val="31"/>
              <w:spacing w:before="2" w:line="250" w:lineRule="exact"/>
              <w:ind w:left="405" w:right="378"/>
              <w:rPr>
                <w:rFonts w:ascii="宋体" w:hAnsi="宋体" w:eastAsia="宋体" w:cs="宋体"/>
                <w:sz w:val="21"/>
                <w:szCs w:val="22"/>
                <w:lang w:val="zh-CN" w:eastAsia="zh-CN" w:bidi="zh-CN"/>
              </w:rPr>
            </w:pPr>
            <w:r>
              <w:rPr>
                <w:rFonts w:ascii="宋体" w:hAnsi="宋体" w:eastAsia="宋体" w:cs="宋体"/>
                <w:sz w:val="21"/>
                <w:szCs w:val="22"/>
                <w:lang w:val="zh-CN" w:eastAsia="zh-CN" w:bidi="zh-CN"/>
              </w:rPr>
              <w:t>4400 吨</w:t>
            </w:r>
          </w:p>
        </w:tc>
        <w:tc>
          <w:tcPr>
            <w:tcW w:w="2021" w:type="dxa"/>
            <w:tcBorders>
              <w:tl2br w:val="nil"/>
              <w:tr2bl w:val="nil"/>
            </w:tcBorders>
            <w:vAlign w:val="top"/>
          </w:tcPr>
          <w:p>
            <w:pPr>
              <w:pStyle w:val="31"/>
              <w:spacing w:before="2" w:line="250" w:lineRule="exact"/>
              <w:ind w:left="405" w:leftChars="0" w:right="378" w:rightChars="0"/>
              <w:rPr>
                <w:rFonts w:ascii="宋体" w:hAnsi="宋体" w:eastAsia="宋体" w:cs="宋体"/>
                <w:sz w:val="21"/>
                <w:szCs w:val="22"/>
                <w:lang w:val="zh-CN" w:eastAsia="zh-CN" w:bidi="zh-CN"/>
              </w:rPr>
            </w:pPr>
            <w:r>
              <w:rPr>
                <w:rFonts w:ascii="宋体" w:hAnsi="宋体" w:eastAsia="宋体" w:cs="宋体"/>
                <w:sz w:val="21"/>
                <w:szCs w:val="22"/>
                <w:lang w:val="zh-CN" w:eastAsia="zh-CN" w:bidi="zh-CN"/>
              </w:rPr>
              <w:t>4400 吨</w:t>
            </w:r>
          </w:p>
        </w:tc>
        <w:tc>
          <w:tcPr>
            <w:tcW w:w="2021"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750" w:type="dxa"/>
            <w:vMerge w:val="restart"/>
            <w:tcBorders>
              <w:tl2br w:val="nil"/>
              <w:tr2bl w:val="nil"/>
            </w:tcBorders>
          </w:tcPr>
          <w:p>
            <w:pPr>
              <w:pStyle w:val="31"/>
              <w:spacing w:before="38"/>
              <w:ind w:left="185" w:right="159"/>
              <w:rPr>
                <w:rFonts w:ascii="宋体" w:hAnsi="宋体" w:eastAsia="宋体" w:cs="宋体"/>
                <w:color w:val="auto"/>
                <w:sz w:val="21"/>
                <w:szCs w:val="22"/>
                <w:lang w:val="zh-CN" w:eastAsia="zh-CN" w:bidi="zh-CN"/>
              </w:rPr>
            </w:pPr>
          </w:p>
          <w:p>
            <w:pPr>
              <w:pStyle w:val="31"/>
              <w:spacing w:before="38"/>
              <w:ind w:left="185" w:right="159"/>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2</w:t>
            </w:r>
          </w:p>
        </w:tc>
        <w:tc>
          <w:tcPr>
            <w:tcW w:w="2674" w:type="dxa"/>
            <w:tcBorders>
              <w:tl2br w:val="nil"/>
              <w:tr2bl w:val="nil"/>
            </w:tcBorders>
          </w:tcPr>
          <w:p>
            <w:pPr>
              <w:pStyle w:val="31"/>
              <w:spacing w:before="38"/>
              <w:ind w:left="185" w:right="159"/>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鲜肉</w:t>
            </w:r>
          </w:p>
        </w:tc>
        <w:tc>
          <w:tcPr>
            <w:tcW w:w="1631" w:type="dxa"/>
            <w:tcBorders>
              <w:tl2br w:val="nil"/>
              <w:tr2bl w:val="nil"/>
            </w:tcBorders>
          </w:tcPr>
          <w:p>
            <w:pPr>
              <w:pStyle w:val="31"/>
              <w:spacing w:before="38"/>
              <w:ind w:left="185" w:right="159"/>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2799.8 吨</w:t>
            </w:r>
          </w:p>
        </w:tc>
        <w:tc>
          <w:tcPr>
            <w:tcW w:w="2021" w:type="dxa"/>
            <w:tcBorders>
              <w:tl2br w:val="nil"/>
              <w:tr2bl w:val="nil"/>
            </w:tcBorders>
            <w:vAlign w:val="top"/>
          </w:tcPr>
          <w:p>
            <w:pPr>
              <w:pStyle w:val="31"/>
              <w:spacing w:before="38"/>
              <w:ind w:left="185" w:leftChars="0" w:right="159" w:rightChars="0"/>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2799.8 吨</w:t>
            </w:r>
          </w:p>
        </w:tc>
        <w:tc>
          <w:tcPr>
            <w:tcW w:w="2021" w:type="dxa"/>
            <w:tcBorders>
              <w:tl2br w:val="nil"/>
              <w:tr2bl w:val="nil"/>
            </w:tcBorders>
          </w:tcPr>
          <w:p>
            <w:pPr>
              <w:pStyle w:val="31"/>
              <w:spacing w:before="38"/>
              <w:ind w:left="185" w:right="159"/>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自产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750" w:type="dxa"/>
            <w:vMerge w:val="continue"/>
            <w:tcBorders>
              <w:tl2br w:val="nil"/>
              <w:tr2bl w:val="nil"/>
            </w:tcBorders>
          </w:tcPr>
          <w:p>
            <w:pPr>
              <w:rPr>
                <w:rFonts w:ascii="宋体" w:hAnsi="宋体" w:eastAsia="宋体" w:cs="宋体"/>
                <w:color w:val="auto"/>
                <w:sz w:val="21"/>
                <w:szCs w:val="22"/>
                <w:lang w:val="zh-CN" w:eastAsia="zh-CN" w:bidi="zh-CN"/>
              </w:rPr>
            </w:pPr>
          </w:p>
        </w:tc>
        <w:tc>
          <w:tcPr>
            <w:tcW w:w="2674" w:type="dxa"/>
            <w:tcBorders>
              <w:tl2br w:val="nil"/>
              <w:tr2bl w:val="nil"/>
            </w:tcBorders>
          </w:tcPr>
          <w:p>
            <w:pPr>
              <w:pStyle w:val="31"/>
              <w:spacing w:before="8" w:line="261" w:lineRule="exact"/>
              <w:ind w:left="185" w:right="161"/>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盐、生姜、葱、味精等辅料</w:t>
            </w:r>
          </w:p>
        </w:tc>
        <w:tc>
          <w:tcPr>
            <w:tcW w:w="1631" w:type="dxa"/>
            <w:tcBorders>
              <w:tl2br w:val="nil"/>
              <w:tr2bl w:val="nil"/>
            </w:tcBorders>
          </w:tcPr>
          <w:p>
            <w:pPr>
              <w:pStyle w:val="31"/>
              <w:spacing w:before="8" w:line="261" w:lineRule="exact"/>
              <w:ind w:left="558"/>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21.9 吨</w:t>
            </w:r>
          </w:p>
        </w:tc>
        <w:tc>
          <w:tcPr>
            <w:tcW w:w="2021" w:type="dxa"/>
            <w:tcBorders>
              <w:tl2br w:val="nil"/>
              <w:tr2bl w:val="nil"/>
            </w:tcBorders>
            <w:vAlign w:val="top"/>
          </w:tcPr>
          <w:p>
            <w:pPr>
              <w:pStyle w:val="31"/>
              <w:spacing w:before="8" w:line="261" w:lineRule="exact"/>
              <w:ind w:left="558" w:leftChars="0" w:right="0" w:rightChars="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21.9 吨</w:t>
            </w:r>
          </w:p>
        </w:tc>
        <w:tc>
          <w:tcPr>
            <w:tcW w:w="2021" w:type="dxa"/>
            <w:tcBorders>
              <w:tl2br w:val="nil"/>
              <w:tr2bl w:val="nil"/>
            </w:tcBorders>
          </w:tcPr>
          <w:p>
            <w:pPr>
              <w:pStyle w:val="31"/>
              <w:spacing w:before="8" w:line="261" w:lineRule="exact"/>
              <w:ind w:left="668" w:right="647"/>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外购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750" w:type="dxa"/>
            <w:vMerge w:val="continue"/>
            <w:tcBorders>
              <w:tl2br w:val="nil"/>
              <w:tr2bl w:val="nil"/>
            </w:tcBorders>
          </w:tcPr>
          <w:p>
            <w:pPr>
              <w:rPr>
                <w:rFonts w:ascii="宋体" w:hAnsi="宋体" w:eastAsia="宋体" w:cs="宋体"/>
                <w:color w:val="auto"/>
                <w:sz w:val="21"/>
                <w:szCs w:val="22"/>
                <w:lang w:val="zh-CN" w:eastAsia="zh-CN" w:bidi="zh-CN"/>
              </w:rPr>
            </w:pPr>
          </w:p>
        </w:tc>
        <w:tc>
          <w:tcPr>
            <w:tcW w:w="2674" w:type="dxa"/>
            <w:tcBorders>
              <w:tl2br w:val="nil"/>
              <w:tr2bl w:val="nil"/>
            </w:tcBorders>
          </w:tcPr>
          <w:p>
            <w:pPr>
              <w:pStyle w:val="31"/>
              <w:spacing w:before="8" w:line="261" w:lineRule="exact"/>
              <w:ind w:left="185" w:right="159"/>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肠衣等包装及其他材料</w:t>
            </w:r>
          </w:p>
        </w:tc>
        <w:tc>
          <w:tcPr>
            <w:tcW w:w="1631" w:type="dxa"/>
            <w:tcBorders>
              <w:tl2br w:val="nil"/>
              <w:tr2bl w:val="nil"/>
            </w:tcBorders>
          </w:tcPr>
          <w:p>
            <w:pPr>
              <w:pStyle w:val="31"/>
              <w:spacing w:before="8" w:line="261" w:lineRule="exact"/>
              <w:ind w:left="611"/>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2.9 吨</w:t>
            </w:r>
          </w:p>
        </w:tc>
        <w:tc>
          <w:tcPr>
            <w:tcW w:w="2021" w:type="dxa"/>
            <w:tcBorders>
              <w:tl2br w:val="nil"/>
              <w:tr2bl w:val="nil"/>
            </w:tcBorders>
            <w:vAlign w:val="top"/>
          </w:tcPr>
          <w:p>
            <w:pPr>
              <w:pStyle w:val="31"/>
              <w:spacing w:before="8" w:line="261" w:lineRule="exact"/>
              <w:ind w:left="611" w:leftChars="0" w:right="0" w:rightChars="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2.9 吨</w:t>
            </w:r>
          </w:p>
        </w:tc>
        <w:tc>
          <w:tcPr>
            <w:tcW w:w="2021" w:type="dxa"/>
            <w:tcBorders>
              <w:tl2br w:val="nil"/>
              <w:tr2bl w:val="nil"/>
            </w:tcBorders>
          </w:tcPr>
          <w:p>
            <w:pPr>
              <w:pStyle w:val="31"/>
              <w:spacing w:before="8" w:line="261" w:lineRule="exact"/>
              <w:ind w:left="668" w:right="647"/>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外购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75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宋体" w:hAnsi="宋体" w:eastAsia="宋体" w:cs="宋体"/>
                <w:color w:val="auto"/>
                <w:sz w:val="21"/>
                <w:szCs w:val="22"/>
                <w:lang w:val="en-US" w:eastAsia="zh-CN" w:bidi="zh-CN"/>
              </w:rPr>
            </w:pPr>
            <w:r>
              <w:rPr>
                <w:rFonts w:hint="eastAsia" w:cs="宋体"/>
                <w:color w:val="auto"/>
                <w:sz w:val="21"/>
                <w:szCs w:val="22"/>
                <w:lang w:val="en-US" w:eastAsia="zh-CN" w:bidi="zh-CN"/>
              </w:rPr>
              <w:t>3</w:t>
            </w:r>
          </w:p>
        </w:tc>
        <w:tc>
          <w:tcPr>
            <w:tcW w:w="2674" w:type="dxa"/>
            <w:tcBorders>
              <w:tl2br w:val="nil"/>
              <w:tr2bl w:val="nil"/>
            </w:tcBorders>
            <w:vAlign w:val="center"/>
          </w:tcPr>
          <w:p>
            <w:pPr>
              <w:pStyle w:val="31"/>
              <w:spacing w:before="8" w:line="261" w:lineRule="exact"/>
              <w:ind w:left="185" w:right="159"/>
              <w:jc w:val="center"/>
              <w:rPr>
                <w:rFonts w:hint="eastAsia" w:ascii="宋体" w:hAnsi="宋体" w:eastAsia="宋体" w:cs="宋体"/>
                <w:color w:val="auto"/>
                <w:sz w:val="21"/>
                <w:szCs w:val="22"/>
                <w:lang w:val="en-US" w:eastAsia="zh-CN" w:bidi="zh-CN"/>
              </w:rPr>
            </w:pPr>
            <w:r>
              <w:rPr>
                <w:rFonts w:hint="eastAsia" w:cs="宋体"/>
                <w:color w:val="auto"/>
                <w:sz w:val="21"/>
                <w:szCs w:val="22"/>
                <w:lang w:val="en-US" w:eastAsia="zh-CN" w:bidi="zh-CN"/>
              </w:rPr>
              <w:t>菌毒敌</w:t>
            </w:r>
          </w:p>
        </w:tc>
        <w:tc>
          <w:tcPr>
            <w:tcW w:w="1631" w:type="dxa"/>
            <w:tcBorders>
              <w:tl2br w:val="nil"/>
              <w:tr2bl w:val="nil"/>
            </w:tcBorders>
            <w:vAlign w:val="center"/>
          </w:tcPr>
          <w:p>
            <w:pPr>
              <w:pStyle w:val="31"/>
              <w:spacing w:before="8" w:line="261" w:lineRule="exact"/>
              <w:ind w:left="611"/>
              <w:jc w:val="center"/>
              <w:rPr>
                <w:rFonts w:hint="default" w:ascii="宋体" w:hAnsi="宋体" w:eastAsia="宋体" w:cs="宋体"/>
                <w:color w:val="auto"/>
                <w:sz w:val="21"/>
                <w:szCs w:val="22"/>
                <w:lang w:val="en-US" w:eastAsia="zh-CN" w:bidi="zh-CN"/>
              </w:rPr>
            </w:pPr>
            <w:r>
              <w:rPr>
                <w:rFonts w:hint="eastAsia" w:cs="宋体"/>
                <w:color w:val="auto"/>
                <w:sz w:val="21"/>
                <w:szCs w:val="22"/>
                <w:lang w:val="en-US" w:eastAsia="zh-CN" w:bidi="zh-CN"/>
              </w:rPr>
              <w:t>5吨</w:t>
            </w:r>
          </w:p>
        </w:tc>
        <w:tc>
          <w:tcPr>
            <w:tcW w:w="2021" w:type="dxa"/>
            <w:tcBorders>
              <w:tl2br w:val="nil"/>
              <w:tr2bl w:val="nil"/>
            </w:tcBorders>
            <w:vAlign w:val="center"/>
          </w:tcPr>
          <w:p>
            <w:pPr>
              <w:pStyle w:val="31"/>
              <w:spacing w:before="8" w:line="261" w:lineRule="exact"/>
              <w:ind w:left="611" w:leftChars="0" w:right="0" w:rightChars="0"/>
              <w:jc w:val="center"/>
              <w:rPr>
                <w:rFonts w:hint="eastAsia" w:cs="宋体"/>
                <w:color w:val="auto"/>
                <w:sz w:val="21"/>
                <w:szCs w:val="22"/>
                <w:lang w:val="zh-CN" w:eastAsia="zh-CN" w:bidi="zh-CN"/>
              </w:rPr>
            </w:pPr>
            <w:r>
              <w:rPr>
                <w:rFonts w:hint="eastAsia" w:cs="宋体"/>
                <w:color w:val="auto"/>
                <w:sz w:val="21"/>
                <w:szCs w:val="22"/>
                <w:lang w:val="en-US" w:eastAsia="zh-CN" w:bidi="zh-CN"/>
              </w:rPr>
              <w:t>0.5吨</w:t>
            </w:r>
          </w:p>
        </w:tc>
        <w:tc>
          <w:tcPr>
            <w:tcW w:w="2021" w:type="dxa"/>
            <w:tcBorders>
              <w:tl2br w:val="nil"/>
              <w:tr2bl w:val="nil"/>
            </w:tcBorders>
            <w:vAlign w:val="center"/>
          </w:tcPr>
          <w:p>
            <w:pPr>
              <w:spacing w:before="8" w:line="261" w:lineRule="exact"/>
              <w:ind w:left="0" w:leftChars="0" w:right="0" w:rightChars="0"/>
              <w:jc w:val="center"/>
              <w:rPr>
                <w:rFonts w:hint="eastAsia" w:ascii="宋体" w:hAnsi="宋体" w:eastAsia="宋体" w:cs="宋体"/>
                <w:color w:val="auto"/>
                <w:sz w:val="21"/>
                <w:szCs w:val="22"/>
                <w:lang w:val="zh-CN" w:eastAsia="zh-CN" w:bidi="zh-CN"/>
              </w:rPr>
            </w:pPr>
            <w:r>
              <w:rPr>
                <w:rFonts w:hint="eastAsia" w:cs="宋体"/>
                <w:color w:val="auto"/>
                <w:sz w:val="21"/>
                <w:szCs w:val="22"/>
                <w:lang w:val="zh-CN" w:eastAsia="zh-CN" w:bidi="zh-CN"/>
              </w:rPr>
              <w:t>外购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75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宋体" w:hAnsi="宋体" w:eastAsia="宋体" w:cs="宋体"/>
                <w:color w:val="auto"/>
                <w:sz w:val="21"/>
                <w:szCs w:val="22"/>
                <w:lang w:val="en-US" w:eastAsia="zh-CN" w:bidi="zh-CN"/>
              </w:rPr>
            </w:pPr>
            <w:r>
              <w:rPr>
                <w:rFonts w:hint="eastAsia" w:cs="宋体"/>
                <w:color w:val="auto"/>
                <w:sz w:val="21"/>
                <w:szCs w:val="22"/>
                <w:lang w:val="en-US" w:eastAsia="zh-CN" w:bidi="zh-CN"/>
              </w:rPr>
              <w:t>4</w:t>
            </w:r>
          </w:p>
        </w:tc>
        <w:tc>
          <w:tcPr>
            <w:tcW w:w="2674" w:type="dxa"/>
            <w:tcBorders>
              <w:tl2br w:val="nil"/>
              <w:tr2bl w:val="nil"/>
            </w:tcBorders>
            <w:vAlign w:val="center"/>
          </w:tcPr>
          <w:p>
            <w:pPr>
              <w:pStyle w:val="31"/>
              <w:spacing w:before="8" w:line="261" w:lineRule="exact"/>
              <w:ind w:left="185" w:right="159"/>
              <w:jc w:val="center"/>
              <w:rPr>
                <w:rFonts w:hint="eastAsia"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除臭</w:t>
            </w:r>
            <w:r>
              <w:rPr>
                <w:rFonts w:hint="eastAsia" w:cs="宋体"/>
                <w:color w:val="auto"/>
                <w:sz w:val="21"/>
                <w:szCs w:val="22"/>
                <w:lang w:val="en-US" w:eastAsia="zh-CN" w:bidi="zh-CN"/>
              </w:rPr>
              <w:t>消毒</w:t>
            </w:r>
            <w:r>
              <w:rPr>
                <w:rFonts w:hint="eastAsia" w:ascii="宋体" w:hAnsi="宋体" w:eastAsia="宋体" w:cs="宋体"/>
                <w:color w:val="auto"/>
                <w:sz w:val="21"/>
                <w:szCs w:val="22"/>
                <w:lang w:val="en-US" w:eastAsia="zh-CN" w:bidi="zh-CN"/>
              </w:rPr>
              <w:t>剂</w:t>
            </w:r>
          </w:p>
        </w:tc>
        <w:tc>
          <w:tcPr>
            <w:tcW w:w="1631" w:type="dxa"/>
            <w:tcBorders>
              <w:tl2br w:val="nil"/>
              <w:tr2bl w:val="nil"/>
            </w:tcBorders>
            <w:vAlign w:val="center"/>
          </w:tcPr>
          <w:p>
            <w:pPr>
              <w:pStyle w:val="31"/>
              <w:spacing w:before="8" w:line="261" w:lineRule="exact"/>
              <w:ind w:left="611"/>
              <w:jc w:val="center"/>
              <w:rPr>
                <w:rFonts w:hint="default" w:ascii="宋体" w:hAnsi="宋体" w:eastAsia="宋体" w:cs="宋体"/>
                <w:color w:val="auto"/>
                <w:sz w:val="21"/>
                <w:szCs w:val="22"/>
                <w:lang w:val="en-US" w:eastAsia="zh-CN" w:bidi="zh-CN"/>
              </w:rPr>
            </w:pPr>
            <w:r>
              <w:rPr>
                <w:rFonts w:hint="eastAsia" w:cs="宋体"/>
                <w:color w:val="auto"/>
                <w:sz w:val="21"/>
                <w:szCs w:val="22"/>
                <w:lang w:val="en-US" w:eastAsia="zh-CN" w:bidi="zh-CN"/>
              </w:rPr>
              <w:t>5</w:t>
            </w:r>
            <w:r>
              <w:rPr>
                <w:rFonts w:hint="eastAsia" w:ascii="宋体" w:hAnsi="宋体" w:eastAsia="宋体" w:cs="宋体"/>
                <w:color w:val="auto"/>
                <w:sz w:val="21"/>
                <w:szCs w:val="22"/>
                <w:lang w:val="en-US" w:eastAsia="zh-CN" w:bidi="zh-CN"/>
              </w:rPr>
              <w:t>吨</w:t>
            </w:r>
          </w:p>
        </w:tc>
        <w:tc>
          <w:tcPr>
            <w:tcW w:w="2021" w:type="dxa"/>
            <w:tcBorders>
              <w:tl2br w:val="nil"/>
              <w:tr2bl w:val="nil"/>
            </w:tcBorders>
            <w:vAlign w:val="center"/>
          </w:tcPr>
          <w:p>
            <w:pPr>
              <w:pStyle w:val="31"/>
              <w:spacing w:before="8" w:line="261" w:lineRule="exact"/>
              <w:ind w:left="611"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szCs w:val="22"/>
                <w:lang w:val="en-US" w:eastAsia="zh-CN" w:bidi="zh-CN"/>
              </w:rPr>
              <w:t>0.</w:t>
            </w:r>
            <w:r>
              <w:rPr>
                <w:rFonts w:hint="eastAsia" w:cs="宋体"/>
                <w:color w:val="auto"/>
                <w:sz w:val="21"/>
                <w:szCs w:val="22"/>
                <w:lang w:val="en-US" w:eastAsia="zh-CN" w:bidi="zh-CN"/>
              </w:rPr>
              <w:t>5</w:t>
            </w:r>
            <w:r>
              <w:rPr>
                <w:rFonts w:hint="eastAsia" w:ascii="宋体" w:hAnsi="宋体" w:eastAsia="宋体" w:cs="宋体"/>
                <w:color w:val="auto"/>
                <w:sz w:val="21"/>
                <w:szCs w:val="22"/>
                <w:lang w:val="en-US" w:eastAsia="zh-CN" w:bidi="zh-CN"/>
              </w:rPr>
              <w:t>吨</w:t>
            </w:r>
          </w:p>
        </w:tc>
        <w:tc>
          <w:tcPr>
            <w:tcW w:w="2021" w:type="dxa"/>
            <w:tcBorders>
              <w:tl2br w:val="nil"/>
              <w:tr2bl w:val="nil"/>
            </w:tcBorders>
            <w:vAlign w:val="center"/>
          </w:tcPr>
          <w:p>
            <w:pPr>
              <w:pStyle w:val="31"/>
              <w:spacing w:before="8" w:line="261" w:lineRule="exact"/>
              <w:ind w:left="668" w:right="647"/>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szCs w:val="22"/>
                <w:lang w:val="zh-CN" w:eastAsia="zh-CN" w:bidi="zh-CN"/>
              </w:rPr>
              <w:t>外购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750" w:type="dxa"/>
            <w:tcBorders>
              <w:tl2br w:val="nil"/>
              <w:tr2bl w:val="nil"/>
            </w:tcBorders>
          </w:tcPr>
          <w:p>
            <w:pPr>
              <w:pStyle w:val="31"/>
              <w:spacing w:before="38"/>
              <w:ind w:left="185" w:right="159"/>
              <w:rPr>
                <w:rFonts w:hint="default" w:ascii="宋体" w:hAnsi="宋体" w:eastAsia="宋体" w:cs="宋体"/>
                <w:sz w:val="21"/>
                <w:szCs w:val="22"/>
                <w:lang w:val="en-US" w:eastAsia="zh-CN" w:bidi="zh-CN"/>
              </w:rPr>
            </w:pPr>
            <w:r>
              <w:rPr>
                <w:rFonts w:hint="eastAsia" w:cs="宋体"/>
                <w:sz w:val="21"/>
                <w:szCs w:val="22"/>
                <w:lang w:val="en-US" w:eastAsia="zh-CN" w:bidi="zh-CN"/>
              </w:rPr>
              <w:t>5</w:t>
            </w:r>
          </w:p>
        </w:tc>
        <w:tc>
          <w:tcPr>
            <w:tcW w:w="2674" w:type="dxa"/>
            <w:tcBorders>
              <w:tl2br w:val="nil"/>
              <w:tr2bl w:val="nil"/>
            </w:tcBorders>
          </w:tcPr>
          <w:p>
            <w:pPr>
              <w:pStyle w:val="31"/>
              <w:spacing w:before="38"/>
              <w:ind w:left="185" w:right="159"/>
              <w:rPr>
                <w:rFonts w:ascii="宋体" w:hAnsi="宋体" w:eastAsia="宋体" w:cs="宋体"/>
                <w:sz w:val="21"/>
                <w:szCs w:val="22"/>
                <w:lang w:val="zh-CN" w:eastAsia="zh-CN" w:bidi="zh-CN"/>
              </w:rPr>
            </w:pPr>
            <w:r>
              <w:rPr>
                <w:rFonts w:hint="eastAsia" w:cs="宋体"/>
                <w:sz w:val="21"/>
                <w:szCs w:val="22"/>
                <w:lang w:val="zh-CN" w:eastAsia="zh-CN" w:bidi="zh-CN"/>
              </w:rPr>
              <w:t>水</w:t>
            </w:r>
          </w:p>
        </w:tc>
        <w:tc>
          <w:tcPr>
            <w:tcW w:w="1631" w:type="dxa"/>
            <w:tcBorders>
              <w:tl2br w:val="nil"/>
              <w:tr2bl w:val="nil"/>
            </w:tcBorders>
            <w:vAlign w:val="top"/>
          </w:tcPr>
          <w:p>
            <w:pPr>
              <w:pStyle w:val="31"/>
              <w:spacing w:before="38"/>
              <w:ind w:left="185" w:leftChars="0" w:right="159" w:rightChars="0"/>
              <w:rPr>
                <w:rFonts w:ascii="宋体" w:hAnsi="宋体" w:eastAsia="宋体" w:cs="宋体"/>
                <w:sz w:val="21"/>
                <w:szCs w:val="22"/>
                <w:lang w:val="zh-CN" w:eastAsia="zh-CN" w:bidi="zh-CN"/>
              </w:rPr>
            </w:pPr>
            <w:r>
              <w:rPr>
                <w:rFonts w:ascii="宋体" w:hAnsi="宋体" w:eastAsia="宋体" w:cs="宋体"/>
                <w:sz w:val="21"/>
                <w:szCs w:val="22"/>
                <w:lang w:val="zh-CN" w:eastAsia="zh-CN" w:bidi="zh-CN"/>
              </w:rPr>
              <w:t>399672 吨</w:t>
            </w:r>
          </w:p>
        </w:tc>
        <w:tc>
          <w:tcPr>
            <w:tcW w:w="2021" w:type="dxa"/>
            <w:tcBorders>
              <w:tl2br w:val="nil"/>
              <w:tr2bl w:val="nil"/>
            </w:tcBorders>
            <w:vAlign w:val="top"/>
          </w:tcPr>
          <w:p>
            <w:pPr>
              <w:pStyle w:val="31"/>
              <w:spacing w:before="38"/>
              <w:ind w:left="185" w:leftChars="0" w:right="159" w:rightChars="0"/>
              <w:rPr>
                <w:rFonts w:hint="default" w:ascii="宋体" w:hAnsi="宋体" w:eastAsia="宋体" w:cs="宋体"/>
                <w:sz w:val="21"/>
                <w:szCs w:val="22"/>
                <w:lang w:val="en-US" w:eastAsia="zh-CN" w:bidi="zh-CN"/>
              </w:rPr>
            </w:pPr>
            <w:r>
              <w:rPr>
                <w:rFonts w:hint="eastAsia" w:cs="宋体"/>
                <w:sz w:val="21"/>
                <w:szCs w:val="22"/>
                <w:lang w:val="en-US" w:eastAsia="zh-CN" w:bidi="zh-CN"/>
              </w:rPr>
              <w:t>/</w:t>
            </w:r>
          </w:p>
        </w:tc>
        <w:tc>
          <w:tcPr>
            <w:tcW w:w="2021" w:type="dxa"/>
            <w:tcBorders>
              <w:tl2br w:val="nil"/>
              <w:tr2bl w:val="nil"/>
            </w:tcBorders>
            <w:vAlign w:val="top"/>
          </w:tcPr>
          <w:p>
            <w:pPr>
              <w:pStyle w:val="31"/>
              <w:spacing w:before="38"/>
              <w:ind w:left="185" w:leftChars="0" w:right="159" w:rightChars="0"/>
              <w:rPr>
                <w:rFonts w:ascii="宋体" w:hAnsi="宋体" w:eastAsia="宋体" w:cs="宋体"/>
                <w:sz w:val="21"/>
                <w:szCs w:val="22"/>
                <w:lang w:val="zh-CN" w:eastAsia="zh-CN" w:bidi="zh-CN"/>
              </w:rPr>
            </w:pPr>
            <w:r>
              <w:rPr>
                <w:rFonts w:ascii="宋体" w:hAnsi="宋体" w:eastAsia="宋体" w:cs="宋体"/>
                <w:sz w:val="21"/>
                <w:szCs w:val="22"/>
                <w:lang w:val="zh-CN" w:eastAsia="zh-CN" w:bidi="zh-CN"/>
              </w:rPr>
              <w:t>市政用水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750" w:type="dxa"/>
            <w:tcBorders>
              <w:tl2br w:val="nil"/>
              <w:tr2bl w:val="nil"/>
            </w:tcBorders>
          </w:tcPr>
          <w:p>
            <w:pPr>
              <w:pStyle w:val="31"/>
              <w:spacing w:before="38"/>
              <w:ind w:left="185" w:right="159"/>
              <w:rPr>
                <w:rFonts w:hint="default" w:ascii="宋体" w:hAnsi="宋体" w:eastAsia="宋体" w:cs="宋体"/>
                <w:sz w:val="21"/>
                <w:szCs w:val="22"/>
                <w:lang w:val="en-US" w:eastAsia="zh-CN" w:bidi="zh-CN"/>
              </w:rPr>
            </w:pPr>
            <w:r>
              <w:rPr>
                <w:rFonts w:hint="eastAsia" w:cs="宋体"/>
                <w:sz w:val="21"/>
                <w:szCs w:val="22"/>
                <w:lang w:val="en-US" w:eastAsia="zh-CN" w:bidi="zh-CN"/>
              </w:rPr>
              <w:t>6</w:t>
            </w:r>
          </w:p>
        </w:tc>
        <w:tc>
          <w:tcPr>
            <w:tcW w:w="2674" w:type="dxa"/>
            <w:tcBorders>
              <w:tl2br w:val="nil"/>
              <w:tr2bl w:val="nil"/>
            </w:tcBorders>
          </w:tcPr>
          <w:p>
            <w:pPr>
              <w:pStyle w:val="31"/>
              <w:spacing w:before="38"/>
              <w:ind w:left="185" w:right="159"/>
              <w:rPr>
                <w:rFonts w:ascii="宋体" w:hAnsi="宋体" w:eastAsia="宋体" w:cs="宋体"/>
                <w:sz w:val="21"/>
                <w:szCs w:val="22"/>
                <w:lang w:val="zh-CN" w:eastAsia="zh-CN" w:bidi="zh-CN"/>
              </w:rPr>
            </w:pPr>
            <w:r>
              <w:rPr>
                <w:rFonts w:hint="eastAsia" w:cs="宋体"/>
                <w:sz w:val="21"/>
                <w:szCs w:val="22"/>
                <w:lang w:val="zh-CN" w:eastAsia="zh-CN" w:bidi="zh-CN"/>
              </w:rPr>
              <w:t>电</w:t>
            </w:r>
          </w:p>
        </w:tc>
        <w:tc>
          <w:tcPr>
            <w:tcW w:w="1631" w:type="dxa"/>
            <w:tcBorders>
              <w:tl2br w:val="nil"/>
              <w:tr2bl w:val="nil"/>
            </w:tcBorders>
            <w:vAlign w:val="top"/>
          </w:tcPr>
          <w:p>
            <w:pPr>
              <w:pStyle w:val="31"/>
              <w:spacing w:before="38"/>
              <w:ind w:left="185" w:leftChars="0" w:right="159" w:rightChars="0"/>
              <w:rPr>
                <w:rFonts w:ascii="宋体" w:hAnsi="宋体" w:eastAsia="宋体" w:cs="宋体"/>
                <w:sz w:val="21"/>
                <w:szCs w:val="22"/>
                <w:lang w:val="zh-CN" w:eastAsia="zh-CN" w:bidi="zh-CN"/>
              </w:rPr>
            </w:pPr>
            <w:r>
              <w:rPr>
                <w:rFonts w:ascii="宋体" w:hAnsi="宋体" w:eastAsia="宋体" w:cs="宋体"/>
                <w:sz w:val="21"/>
                <w:szCs w:val="22"/>
                <w:lang w:val="zh-CN" w:eastAsia="zh-CN" w:bidi="zh-CN"/>
              </w:rPr>
              <w:t>78 万 KWh</w:t>
            </w:r>
          </w:p>
        </w:tc>
        <w:tc>
          <w:tcPr>
            <w:tcW w:w="2021" w:type="dxa"/>
            <w:tcBorders>
              <w:tl2br w:val="nil"/>
              <w:tr2bl w:val="nil"/>
            </w:tcBorders>
            <w:vAlign w:val="top"/>
          </w:tcPr>
          <w:p>
            <w:pPr>
              <w:pStyle w:val="31"/>
              <w:spacing w:before="38"/>
              <w:ind w:left="185" w:leftChars="0" w:right="159" w:rightChars="0"/>
              <w:rPr>
                <w:rFonts w:hint="default" w:ascii="宋体" w:hAnsi="宋体" w:eastAsia="宋体" w:cs="宋体"/>
                <w:sz w:val="21"/>
                <w:szCs w:val="22"/>
                <w:lang w:val="en-US" w:eastAsia="zh-CN" w:bidi="zh-CN"/>
              </w:rPr>
            </w:pPr>
            <w:r>
              <w:rPr>
                <w:rFonts w:hint="eastAsia" w:cs="宋体"/>
                <w:sz w:val="21"/>
                <w:szCs w:val="22"/>
                <w:lang w:val="en-US" w:eastAsia="zh-CN" w:bidi="zh-CN"/>
              </w:rPr>
              <w:t>/</w:t>
            </w:r>
          </w:p>
        </w:tc>
        <w:tc>
          <w:tcPr>
            <w:tcW w:w="2021" w:type="dxa"/>
            <w:tcBorders>
              <w:tl2br w:val="nil"/>
              <w:tr2bl w:val="nil"/>
            </w:tcBorders>
            <w:vAlign w:val="top"/>
          </w:tcPr>
          <w:p>
            <w:pPr>
              <w:pStyle w:val="31"/>
              <w:spacing w:before="38"/>
              <w:ind w:left="185" w:leftChars="0" w:right="159" w:rightChars="0"/>
              <w:rPr>
                <w:rFonts w:ascii="宋体" w:hAnsi="宋体" w:eastAsia="宋体" w:cs="宋体"/>
                <w:sz w:val="21"/>
                <w:szCs w:val="22"/>
                <w:lang w:val="zh-CN" w:eastAsia="zh-CN" w:bidi="zh-CN"/>
              </w:rPr>
            </w:pPr>
            <w:r>
              <w:rPr>
                <w:rFonts w:ascii="宋体" w:hAnsi="宋体" w:eastAsia="宋体" w:cs="宋体"/>
                <w:sz w:val="21"/>
                <w:szCs w:val="22"/>
                <w:lang w:val="zh-CN" w:eastAsia="zh-CN" w:bidi="zh-CN"/>
              </w:rPr>
              <w:t>市政供电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750" w:type="dxa"/>
            <w:tcBorders>
              <w:tl2br w:val="nil"/>
              <w:tr2bl w:val="nil"/>
            </w:tcBorders>
          </w:tcPr>
          <w:p>
            <w:pPr>
              <w:pStyle w:val="31"/>
              <w:spacing w:before="38"/>
              <w:ind w:left="185" w:right="159"/>
              <w:rPr>
                <w:rFonts w:hint="default" w:ascii="宋体" w:hAnsi="宋体" w:eastAsia="宋体" w:cs="宋体"/>
                <w:sz w:val="21"/>
                <w:szCs w:val="22"/>
                <w:lang w:val="en-US" w:eastAsia="zh-CN" w:bidi="zh-CN"/>
              </w:rPr>
            </w:pPr>
            <w:r>
              <w:rPr>
                <w:rFonts w:hint="eastAsia" w:cs="宋体"/>
                <w:sz w:val="21"/>
                <w:szCs w:val="22"/>
                <w:lang w:val="en-US" w:eastAsia="zh-CN" w:bidi="zh-CN"/>
              </w:rPr>
              <w:t>7</w:t>
            </w:r>
          </w:p>
        </w:tc>
        <w:tc>
          <w:tcPr>
            <w:tcW w:w="2674" w:type="dxa"/>
            <w:tcBorders>
              <w:tl2br w:val="nil"/>
              <w:tr2bl w:val="nil"/>
            </w:tcBorders>
          </w:tcPr>
          <w:p>
            <w:pPr>
              <w:pStyle w:val="31"/>
              <w:spacing w:before="38"/>
              <w:ind w:left="185" w:right="159"/>
              <w:rPr>
                <w:rFonts w:ascii="宋体" w:hAnsi="宋体" w:eastAsia="宋体" w:cs="宋体"/>
                <w:sz w:val="21"/>
                <w:szCs w:val="22"/>
                <w:lang w:val="zh-CN" w:eastAsia="zh-CN" w:bidi="zh-CN"/>
              </w:rPr>
            </w:pPr>
            <w:r>
              <w:rPr>
                <w:rFonts w:hint="eastAsia" w:cs="宋体"/>
                <w:sz w:val="21"/>
                <w:szCs w:val="22"/>
                <w:lang w:val="zh-CN" w:eastAsia="zh-CN" w:bidi="zh-CN"/>
              </w:rPr>
              <w:t>天然气</w:t>
            </w:r>
          </w:p>
        </w:tc>
        <w:tc>
          <w:tcPr>
            <w:tcW w:w="1631" w:type="dxa"/>
            <w:tcBorders>
              <w:tl2br w:val="nil"/>
              <w:tr2bl w:val="nil"/>
            </w:tcBorders>
            <w:vAlign w:val="top"/>
          </w:tcPr>
          <w:p>
            <w:pPr>
              <w:pStyle w:val="31"/>
              <w:spacing w:before="38"/>
              <w:ind w:left="185" w:leftChars="0" w:right="159" w:rightChars="0"/>
              <w:rPr>
                <w:rFonts w:ascii="宋体" w:hAnsi="宋体" w:eastAsia="宋体" w:cs="宋体"/>
                <w:sz w:val="21"/>
                <w:szCs w:val="22"/>
                <w:lang w:val="zh-CN" w:eastAsia="zh-CN" w:bidi="zh-CN"/>
              </w:rPr>
            </w:pPr>
            <w:r>
              <w:rPr>
                <w:rFonts w:ascii="宋体" w:hAnsi="宋体" w:eastAsia="宋体" w:cs="宋体"/>
                <w:sz w:val="21"/>
                <w:szCs w:val="22"/>
                <w:lang w:val="zh-CN" w:eastAsia="zh-CN" w:bidi="zh-CN"/>
              </w:rPr>
              <w:t>30 万 m3/a</w:t>
            </w:r>
          </w:p>
        </w:tc>
        <w:tc>
          <w:tcPr>
            <w:tcW w:w="2021" w:type="dxa"/>
            <w:tcBorders>
              <w:tl2br w:val="nil"/>
              <w:tr2bl w:val="nil"/>
            </w:tcBorders>
            <w:vAlign w:val="top"/>
          </w:tcPr>
          <w:p>
            <w:pPr>
              <w:pStyle w:val="31"/>
              <w:spacing w:before="38"/>
              <w:ind w:left="185" w:leftChars="0" w:right="159" w:rightChars="0"/>
              <w:rPr>
                <w:rFonts w:hint="default" w:ascii="宋体" w:hAnsi="宋体" w:eastAsia="宋体" w:cs="宋体"/>
                <w:sz w:val="21"/>
                <w:szCs w:val="22"/>
                <w:lang w:val="en-US" w:eastAsia="zh-CN" w:bidi="zh-CN"/>
              </w:rPr>
            </w:pPr>
            <w:r>
              <w:rPr>
                <w:rFonts w:hint="eastAsia" w:cs="宋体"/>
                <w:sz w:val="21"/>
                <w:szCs w:val="22"/>
                <w:lang w:val="en-US" w:eastAsia="zh-CN" w:bidi="zh-CN"/>
              </w:rPr>
              <w:t>/</w:t>
            </w:r>
          </w:p>
        </w:tc>
        <w:tc>
          <w:tcPr>
            <w:tcW w:w="2021" w:type="dxa"/>
            <w:tcBorders>
              <w:tl2br w:val="nil"/>
              <w:tr2bl w:val="nil"/>
            </w:tcBorders>
            <w:vAlign w:val="top"/>
          </w:tcPr>
          <w:p>
            <w:pPr>
              <w:pStyle w:val="31"/>
              <w:spacing w:before="38"/>
              <w:ind w:left="185" w:leftChars="0" w:right="159" w:rightChars="0"/>
              <w:rPr>
                <w:rFonts w:ascii="宋体" w:hAnsi="宋体" w:eastAsia="宋体" w:cs="宋体"/>
                <w:sz w:val="21"/>
                <w:szCs w:val="22"/>
                <w:lang w:val="zh-CN" w:eastAsia="zh-CN" w:bidi="zh-CN"/>
              </w:rPr>
            </w:pPr>
            <w:r>
              <w:rPr>
                <w:rFonts w:ascii="宋体" w:hAnsi="宋体" w:eastAsia="宋体" w:cs="宋体"/>
                <w:sz w:val="21"/>
                <w:szCs w:val="22"/>
                <w:lang w:val="zh-CN" w:eastAsia="zh-CN" w:bidi="zh-CN"/>
              </w:rPr>
              <w:t>灌装</w:t>
            </w:r>
          </w:p>
        </w:tc>
      </w:tr>
    </w:tbl>
    <w:p>
      <w:pPr>
        <w:pStyle w:val="8"/>
        <w:numPr>
          <w:ilvl w:val="1"/>
          <w:numId w:val="9"/>
        </w:numPr>
        <w:tabs>
          <w:tab w:val="left" w:pos="1260"/>
        </w:tabs>
        <w:spacing w:before="74" w:after="0" w:line="240" w:lineRule="auto"/>
        <w:ind w:left="1260" w:right="0" w:hanging="420"/>
        <w:jc w:val="left"/>
      </w:pPr>
      <w:bookmarkStart w:id="78" w:name="_bookmark18"/>
      <w:bookmarkEnd w:id="78"/>
      <w:bookmarkStart w:id="79" w:name="_bookmark18"/>
      <w:bookmarkEnd w:id="79"/>
      <w:bookmarkStart w:id="80" w:name="2.5本项目主要设备"/>
      <w:bookmarkEnd w:id="80"/>
      <w:bookmarkStart w:id="81" w:name="_Toc27342"/>
      <w:bookmarkStart w:id="82" w:name="_Toc21105"/>
      <w:r>
        <w:t>本项目主要设备</w:t>
      </w:r>
      <w:bookmarkEnd w:id="81"/>
      <w:bookmarkEnd w:id="82"/>
    </w:p>
    <w:p>
      <w:pPr>
        <w:pStyle w:val="5"/>
        <w:spacing w:before="120"/>
        <w:ind w:left="1320"/>
      </w:pPr>
      <w:r>
        <w:t>本项目主要设备详见表</w:t>
      </w:r>
      <w:r>
        <w:rPr>
          <w:rFonts w:hint="eastAsia"/>
          <w:lang w:val="en-US" w:eastAsia="zh-CN"/>
        </w:rPr>
        <w:t>2-6</w:t>
      </w:r>
      <w:r>
        <w:t>表</w:t>
      </w:r>
      <w:r>
        <w:rPr>
          <w:rFonts w:hint="eastAsia"/>
          <w:lang w:val="en-US" w:eastAsia="zh-CN"/>
        </w:rPr>
        <w:t>2-7</w:t>
      </w:r>
      <w:r>
        <w:t>。</w:t>
      </w:r>
    </w:p>
    <w:p>
      <w:pPr>
        <w:tabs>
          <w:tab w:val="left" w:pos="1106"/>
        </w:tabs>
        <w:spacing w:before="20" w:after="5"/>
        <w:ind w:left="0" w:right="80" w:firstLine="0"/>
        <w:jc w:val="center"/>
        <w:rPr>
          <w:b/>
          <w:sz w:val="21"/>
        </w:rPr>
      </w:pPr>
      <w:r>
        <w:rPr>
          <w:b/>
          <w:sz w:val="21"/>
        </w:rPr>
        <w:t>表</w:t>
      </w:r>
      <w:r>
        <w:rPr>
          <w:b/>
          <w:spacing w:val="-55"/>
          <w:sz w:val="21"/>
        </w:rPr>
        <w:t xml:space="preserve"> </w:t>
      </w:r>
      <w:r>
        <w:rPr>
          <w:rFonts w:hint="eastAsia"/>
          <w:b/>
          <w:sz w:val="21"/>
          <w:lang w:val="en-US" w:eastAsia="zh-CN"/>
        </w:rPr>
        <w:t>2-6</w:t>
      </w:r>
      <w:r>
        <w:rPr>
          <w:b/>
          <w:sz w:val="21"/>
        </w:rPr>
        <w:tab/>
      </w:r>
      <w:r>
        <w:rPr>
          <w:b/>
          <w:sz w:val="21"/>
        </w:rPr>
        <w:t>屠宰车间设备一览表</w:t>
      </w:r>
    </w:p>
    <w:tbl>
      <w:tblPr>
        <w:tblStyle w:val="14"/>
        <w:tblW w:w="9037" w:type="dxa"/>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7"/>
        <w:gridCol w:w="2554"/>
        <w:gridCol w:w="1277"/>
        <w:gridCol w:w="1151"/>
        <w:gridCol w:w="34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序号</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设备名称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型号及规格</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数量台（米）</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一</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猪屠宰设备</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赶猪道</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麻电器</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不锈钢无级调压/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活挂托胸麻电输送机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SDMJ-6000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外型尺寸：6000×1100×1750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放血自动线</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150</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仿进口模锻链条，XT-100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毛猪提升机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120 头/时</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毛猪回钩轨道</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双涨紧装置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含Φ570 光轮,钢板扇形板/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涨紧装置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/含Φ570 光轮,钢板扇形板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9</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集血池</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特制，全不锈钢δ=2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10</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毛猪预清洗机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XZJ-1500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自动感应式，当猪屠体经过时自动喷淋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快速传送机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道热镀锌，配铸钢推头，N=2.2KW，L=5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300 新式液压刨毛机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BMJ-300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仿进口，机架热镀锌，自动加油装置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卸猪装置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自重式，一套活动式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猪毛风送系统</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充入压缩空气通过分离器将猪毛送到房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双轮滑轮、扁担</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500</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内脏输送机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带宽：600mm，机长：14m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桥式劈半锯</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机架热镀锌，外壳、导/出槽均为不锈钢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18</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胃容物风送系统</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L=3300×850，和吹粪机配套使用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19</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驱动装置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变频调速、Z=9 铸钢镀锌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20</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空中内脏检疫输送机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KZWJ</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配有 400 镀锌吊架，仿进口模锻链条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双层保温烫池</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双层保温，配不锈钢排水阀门，喷砂处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白条提升机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a=35º</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蜗轮蜗杆减速机，皮带传动。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解剖自动线</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86</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仿进口模锻链条，X-100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序号</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设备名称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型号及规格</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数量台（米）</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接收滑台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 L=1800,机架、面板不锈钢制作δ=2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内脏接收台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往复锯</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装机功率：N=1.5KW，配自动平衡器一台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电子称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数显式、双显示屏，含打印机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28</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不锈钢清水池</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1000×600×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29</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白脏处理工作台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2000×800×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30</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修大肠工作台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6000×800×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翻胃池</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1200×1200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胃清洗池</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2600×1000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红脏接收台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3000×1200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桥劈工作台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电控柜</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7</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心滑槽</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3000 × 1000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L=1800,机架、面板不锈钢制作δ=2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肝滑槽</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4000 × 1000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L=1800,机架、面板不锈钢制作δ=2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38</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肺滑槽</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2500 × 1000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L=1800,机架、面板不锈钢制作δ=2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39</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红脏修整工作台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2000 × 1000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40</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刀具消毒柜</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1200×600×</w:t>
            </w: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150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磨刀机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磨刀台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2500×500×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刀具消毒器、洗手盆</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二</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牛屠宰设备</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牛排酸管轨手推线</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500</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精密铝合金吊架，道岔精密铸钢镀锌， 轨道及弯轨∮60×4 不锈钢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管轨滑轮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400</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铝合金架、不锈钢 304 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组合式刀具消毒器</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滑轮推车</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滑轮车起吊葫芦</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四分体换轨站台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用于牛胴体切断操作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剔骨操作台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分割输送机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9</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分检机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10</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分割操作台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54</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整理、包装、换装操作台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16</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推车</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18</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断轨器</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气动式，轨道不锈钢 304 材质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绞肉机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不锈钢制造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锯骨机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不锈钢制造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包装机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不锈钢制造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热收缩机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不锈钢制造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序号</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设备名称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型号及规格</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数量台（米）</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三</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分割间设备</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落猪下降机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单层卸猪输送机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3000 × 1300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单层输送机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2500×500×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大带锯</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单层输送机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脚圈锯</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去皮机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小带锯</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9</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单层输送机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2000×500×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10</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三层输送机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分割剔骨工作台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1000×700×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64</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单层输送机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4000×500×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滚动送箱输送机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洗箱机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选肉称重工作台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1500×800×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台秤</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包装整理工作台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48</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18</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双层输送机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1600×500×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19</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捆扎机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20</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单层输送机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2500×500×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组合式刀具消毒器</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包装整理工作台</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1500 × 1100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8</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钩子消毒池</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2000 × 1000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高压清洗机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刀具消毒柜</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消毒池</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1200×800×</w:t>
            </w: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四</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冷链排酸间设备</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快速冷却输送机张紧装置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快速冷却输送机链轮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3</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快速冷却输送机驱动装置</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4</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快速冷却输送链条</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260</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5</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进冷却间链条输送机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6</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出冷却间链条输送机</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0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7</w:t>
            </w:r>
          </w:p>
        </w:tc>
        <w:tc>
          <w:tcPr>
            <w:tcW w:w="2554"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手推轨道道岔</w:t>
            </w:r>
          </w:p>
        </w:tc>
        <w:tc>
          <w:tcPr>
            <w:tcW w:w="1277"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c>
          <w:tcPr>
            <w:tcW w:w="1151"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r>
              <w:rPr>
                <w:sz w:val="21"/>
              </w:rPr>
              <w:t>120</w:t>
            </w:r>
          </w:p>
        </w:tc>
        <w:tc>
          <w:tcPr>
            <w:tcW w:w="344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1"/>
              </w:rPr>
            </w:pPr>
          </w:p>
        </w:tc>
      </w:tr>
    </w:tbl>
    <w:p>
      <w:pPr>
        <w:tabs>
          <w:tab w:val="left" w:pos="1108"/>
        </w:tabs>
        <w:spacing w:before="2" w:after="2"/>
        <w:ind w:left="0" w:right="80" w:firstLine="0"/>
        <w:jc w:val="center"/>
        <w:rPr>
          <w:b/>
          <w:sz w:val="21"/>
        </w:rPr>
      </w:pPr>
      <w:r>
        <w:rPr>
          <w:b/>
          <w:sz w:val="21"/>
        </w:rPr>
        <w:t>表</w:t>
      </w:r>
      <w:r>
        <w:rPr>
          <w:rFonts w:hint="eastAsia"/>
          <w:b/>
          <w:sz w:val="21"/>
          <w:lang w:val="en-US" w:eastAsia="zh-CN"/>
        </w:rPr>
        <w:t xml:space="preserve"> </w:t>
      </w:r>
      <w:r>
        <w:rPr>
          <w:rFonts w:hint="eastAsia"/>
          <w:b/>
          <w:sz w:val="18"/>
          <w:szCs w:val="20"/>
          <w:lang w:val="en-US" w:eastAsia="zh-CN"/>
        </w:rPr>
        <w:t xml:space="preserve"> </w:t>
      </w:r>
      <w:r>
        <w:rPr>
          <w:rFonts w:hint="eastAsia"/>
          <w:b/>
          <w:spacing w:val="-52"/>
          <w:sz w:val="24"/>
          <w:szCs w:val="28"/>
          <w:vertAlign w:val="baseline"/>
          <w:lang w:val="en-US" w:eastAsia="zh-CN"/>
        </w:rPr>
        <w:t xml:space="preserve">2-7 </w:t>
      </w:r>
      <w:r>
        <w:rPr>
          <w:rFonts w:hint="eastAsia"/>
          <w:b/>
          <w:spacing w:val="-52"/>
          <w:sz w:val="32"/>
          <w:szCs w:val="36"/>
          <w:vertAlign w:val="baseline"/>
          <w:lang w:val="en-US" w:eastAsia="zh-CN"/>
        </w:rPr>
        <w:t xml:space="preserve"> </w:t>
      </w:r>
      <w:r>
        <w:rPr>
          <w:b/>
          <w:sz w:val="21"/>
        </w:rPr>
        <w:t>肉制品加工车间设备一览表</w:t>
      </w:r>
    </w:p>
    <w:tbl>
      <w:tblPr>
        <w:tblStyle w:val="14"/>
        <w:tblW w:w="9286" w:type="dxa"/>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2645"/>
        <w:gridCol w:w="1788"/>
        <w:gridCol w:w="1965"/>
        <w:gridCol w:w="19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设 备 名 称</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型号</w:t>
            </w: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数量（套/台）</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配料罐</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空气源热泵烘干机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Ky-100zn</w:t>
            </w: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电子秤</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设 备 名 称</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型号</w:t>
            </w: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数量（套/台）</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提升机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托板</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盐水注射机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嫩化机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斩拌机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绞肉机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拌馅机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真空滚揉机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12</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真空灌肠机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13</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自动打卡机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14</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高温灭菌器</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15</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自动烘干炉</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16</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切片机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料车</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18</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烤肠车</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19</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乳化机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切丁机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21</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操作台</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22</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杀菌锅</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23</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200g 方腿模具</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40</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24</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500g 方腿模具</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60</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25</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盐水搅拌机</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95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26</w:t>
            </w:r>
          </w:p>
        </w:tc>
        <w:tc>
          <w:tcPr>
            <w:tcW w:w="264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手推车</w:t>
            </w:r>
          </w:p>
        </w:tc>
        <w:tc>
          <w:tcPr>
            <w:tcW w:w="1788"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c>
          <w:tcPr>
            <w:tcW w:w="1965"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930" w:type="dxa"/>
            <w:tcBorders>
              <w:tl2br w:val="nil"/>
              <w:tr2bl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sz w:val="21"/>
                <w:szCs w:val="21"/>
              </w:rPr>
            </w:pPr>
          </w:p>
        </w:tc>
      </w:tr>
    </w:tbl>
    <w:p>
      <w:pPr>
        <w:pStyle w:val="8"/>
        <w:numPr>
          <w:ilvl w:val="1"/>
          <w:numId w:val="9"/>
        </w:numPr>
        <w:tabs>
          <w:tab w:val="left" w:pos="1260"/>
        </w:tabs>
        <w:spacing w:before="4" w:after="0" w:line="240" w:lineRule="auto"/>
        <w:ind w:left="1260" w:right="0" w:hanging="420"/>
        <w:jc w:val="left"/>
      </w:pPr>
      <w:bookmarkStart w:id="83" w:name="2.6劳动定员及工作制度"/>
      <w:bookmarkEnd w:id="83"/>
      <w:bookmarkStart w:id="84" w:name="_bookmark19"/>
      <w:bookmarkEnd w:id="84"/>
      <w:bookmarkStart w:id="85" w:name="_bookmark19"/>
      <w:bookmarkEnd w:id="85"/>
      <w:bookmarkStart w:id="86" w:name="_Toc11553"/>
      <w:bookmarkStart w:id="87" w:name="_Toc11953"/>
      <w:r>
        <w:t>劳动定员及工作制度</w:t>
      </w:r>
      <w:bookmarkEnd w:id="86"/>
      <w:bookmarkEnd w:id="87"/>
    </w:p>
    <w:p>
      <w:pPr>
        <w:pStyle w:val="5"/>
        <w:spacing w:before="185"/>
        <w:ind w:left="1320"/>
      </w:pPr>
      <w:r>
        <w:t xml:space="preserve">拟建项目岗位总定员共 </w:t>
      </w:r>
      <w:r>
        <w:rPr>
          <w:rFonts w:ascii="Calibri" w:eastAsia="Calibri"/>
        </w:rPr>
        <w:t xml:space="preserve">325 </w:t>
      </w:r>
      <w:r>
        <w:t xml:space="preserve">人，其中行政、管理、销售和技术人员 </w:t>
      </w:r>
      <w:r>
        <w:rPr>
          <w:rFonts w:ascii="Calibri" w:eastAsia="Calibri"/>
        </w:rPr>
        <w:t xml:space="preserve">120 </w:t>
      </w:r>
      <w:r>
        <w:t>人，生产工</w:t>
      </w:r>
    </w:p>
    <w:p>
      <w:pPr>
        <w:pStyle w:val="5"/>
        <w:spacing w:before="158"/>
        <w:ind w:left="840"/>
      </w:pPr>
      <w:r>
        <w:rPr>
          <w:spacing w:val="-30"/>
        </w:rPr>
        <w:t xml:space="preserve">人 </w:t>
      </w:r>
      <w:r>
        <w:rPr>
          <w:rFonts w:ascii="Calibri" w:eastAsia="Calibri"/>
        </w:rPr>
        <w:t>205</w:t>
      </w:r>
      <w:r>
        <w:rPr>
          <w:rFonts w:ascii="Calibri" w:eastAsia="Calibri"/>
          <w:spacing w:val="4"/>
        </w:rPr>
        <w:t xml:space="preserve"> </w:t>
      </w:r>
      <w:r>
        <w:t>人，其中行政管理和技术人员在厂内食宿。</w:t>
      </w:r>
    </w:p>
    <w:p>
      <w:pPr>
        <w:pStyle w:val="5"/>
        <w:spacing w:before="161"/>
        <w:ind w:left="1320"/>
      </w:pPr>
      <w:r>
        <w:rPr>
          <w:spacing w:val="-9"/>
        </w:rPr>
        <w:t xml:space="preserve">年工作天数为 </w:t>
      </w:r>
      <w:r>
        <w:rPr>
          <w:rFonts w:ascii="Calibri" w:eastAsia="Calibri"/>
        </w:rPr>
        <w:t>364</w:t>
      </w:r>
      <w:r>
        <w:rPr>
          <w:rFonts w:ascii="Calibri" w:eastAsia="Calibri"/>
          <w:spacing w:val="4"/>
        </w:rPr>
        <w:t xml:space="preserve"> </w:t>
      </w:r>
      <w:r>
        <w:rPr>
          <w:spacing w:val="-7"/>
        </w:rPr>
        <w:t xml:space="preserve">天，二班制，每班 </w:t>
      </w:r>
      <w:r>
        <w:rPr>
          <w:rFonts w:ascii="Calibri" w:eastAsia="Calibri"/>
        </w:rPr>
        <w:t>8</w:t>
      </w:r>
      <w:r>
        <w:rPr>
          <w:rFonts w:ascii="Calibri" w:eastAsia="Calibri"/>
          <w:spacing w:val="4"/>
        </w:rPr>
        <w:t xml:space="preserve"> </w:t>
      </w:r>
      <w:r>
        <w:t>小时。</w:t>
      </w:r>
    </w:p>
    <w:p>
      <w:pPr>
        <w:pStyle w:val="8"/>
        <w:numPr>
          <w:ilvl w:val="1"/>
          <w:numId w:val="9"/>
        </w:numPr>
        <w:tabs>
          <w:tab w:val="left" w:pos="1260"/>
        </w:tabs>
        <w:spacing w:before="158" w:after="0" w:line="240" w:lineRule="auto"/>
        <w:ind w:left="1260" w:right="0" w:hanging="420"/>
        <w:jc w:val="left"/>
      </w:pPr>
      <w:bookmarkStart w:id="88" w:name="2.7公用工程"/>
      <w:bookmarkEnd w:id="88"/>
      <w:bookmarkStart w:id="89" w:name="_bookmark20"/>
      <w:bookmarkEnd w:id="89"/>
      <w:bookmarkStart w:id="90" w:name="_bookmark20"/>
      <w:bookmarkEnd w:id="90"/>
      <w:bookmarkStart w:id="91" w:name="_Toc23771"/>
      <w:bookmarkStart w:id="92" w:name="_Toc22397"/>
      <w:r>
        <w:t>公用工程</w:t>
      </w:r>
      <w:bookmarkEnd w:id="91"/>
      <w:bookmarkEnd w:id="92"/>
    </w:p>
    <w:p>
      <w:pPr>
        <w:pStyle w:val="9"/>
        <w:spacing w:before="186"/>
        <w:ind w:left="1320" w:firstLine="0"/>
      </w:pPr>
      <w:r>
        <w:t>一、给水工程</w:t>
      </w:r>
    </w:p>
    <w:p>
      <w:pPr>
        <w:pStyle w:val="5"/>
        <w:spacing w:before="160" w:line="364" w:lineRule="auto"/>
        <w:ind w:left="840" w:right="930" w:firstLine="480"/>
        <w:jc w:val="both"/>
      </w:pPr>
      <w:r>
        <w:t xml:space="preserve">给水从市政给水管网接入，两路进水在用地红线内形成一个环网，以保证建筑物用水的可靠性。接入点采用 </w:t>
      </w:r>
      <w:r>
        <w:rPr>
          <w:rFonts w:ascii="Calibri" w:eastAsia="Calibri"/>
        </w:rPr>
        <w:t xml:space="preserve">DN65 </w:t>
      </w:r>
      <w:r>
        <w:t>给水球墨铸铁管，能保证整个建筑的供水可靠性。整个厂区内建筑采用市政压力直压供水，供水接入点设倒流防止器以防水源污染。</w:t>
      </w:r>
    </w:p>
    <w:p>
      <w:pPr>
        <w:pStyle w:val="5"/>
        <w:spacing w:line="364" w:lineRule="auto"/>
        <w:ind w:left="840" w:right="1088" w:firstLine="480"/>
        <w:jc w:val="both"/>
        <w:rPr>
          <w:sz w:val="12"/>
        </w:rPr>
      </w:pPr>
      <w:r>
        <w:t>本项目用水包括生产用水、设备及地面冲洗废水、绿化用水以及生活用水等，总</w:t>
      </w:r>
      <w:r>
        <w:rPr>
          <w:spacing w:val="-14"/>
        </w:rPr>
        <w:t xml:space="preserve">用水量为 </w:t>
      </w:r>
      <w:r>
        <w:rPr>
          <w:rFonts w:ascii="Calibri" w:eastAsia="Calibri"/>
        </w:rPr>
        <w:t>1298m</w:t>
      </w:r>
      <w:r>
        <w:rPr>
          <w:rFonts w:ascii="Calibri" w:eastAsia="Calibri"/>
          <w:position w:val="8"/>
          <w:sz w:val="15"/>
        </w:rPr>
        <w:t>3</w:t>
      </w:r>
      <w:r>
        <w:rPr>
          <w:rFonts w:ascii="Calibri" w:eastAsia="Calibri"/>
        </w:rPr>
        <w:t>/d</w:t>
      </w:r>
      <w:r>
        <w:rPr>
          <w:spacing w:val="-8"/>
        </w:rPr>
        <w:t xml:space="preserve">，新鲜水补充量为 </w:t>
      </w:r>
      <w:r>
        <w:rPr>
          <w:rFonts w:ascii="Calibri" w:eastAsia="Calibri"/>
        </w:rPr>
        <w:t>1098m</w:t>
      </w:r>
      <w:r>
        <w:rPr>
          <w:rFonts w:ascii="Calibri" w:eastAsia="Calibri"/>
          <w:position w:val="8"/>
          <w:sz w:val="15"/>
        </w:rPr>
        <w:t>3</w:t>
      </w:r>
      <w:r>
        <w:rPr>
          <w:rFonts w:ascii="Calibri" w:eastAsia="Calibri"/>
        </w:rPr>
        <w:t>/d</w:t>
      </w:r>
      <w:r>
        <w:rPr>
          <w:spacing w:val="-8"/>
        </w:rPr>
        <w:t xml:space="preserve">，重复用水量为 </w:t>
      </w:r>
      <w:r>
        <w:rPr>
          <w:rFonts w:ascii="Calibri" w:eastAsia="Calibri"/>
        </w:rPr>
        <w:t>200m</w:t>
      </w:r>
      <w:r>
        <w:rPr>
          <w:rFonts w:ascii="Calibri" w:eastAsia="Calibri"/>
          <w:position w:val="8"/>
          <w:sz w:val="15"/>
        </w:rPr>
        <w:t>3</w:t>
      </w:r>
      <w:r>
        <w:rPr>
          <w:rFonts w:ascii="Calibri" w:eastAsia="Calibri"/>
        </w:rPr>
        <w:t>/d</w:t>
      </w:r>
      <w:r>
        <w:t>，水重复利用</w:t>
      </w:r>
      <w:r>
        <w:rPr>
          <w:spacing w:val="-21"/>
        </w:rPr>
        <w:t xml:space="preserve">率为 </w:t>
      </w:r>
      <w:r>
        <w:rPr>
          <w:rFonts w:ascii="Calibri" w:eastAsia="Calibri"/>
        </w:rPr>
        <w:t>15%</w:t>
      </w:r>
      <w:r>
        <w:t>。</w:t>
      </w:r>
    </w:p>
    <w:p>
      <w:pPr>
        <w:pStyle w:val="9"/>
        <w:spacing w:before="66"/>
        <w:ind w:left="1320" w:firstLine="0"/>
      </w:pPr>
      <w:r>
        <w:t>二、排水工程</w:t>
      </w:r>
    </w:p>
    <w:p>
      <w:pPr>
        <w:pStyle w:val="5"/>
        <w:spacing w:before="161" w:line="362" w:lineRule="auto"/>
        <w:ind w:left="840" w:right="932" w:firstLine="480"/>
      </w:pPr>
      <w:r>
        <w:t>为了尽量减少对环境污染，达到国家污水排放要求，节约投资，本项目污水实行清污分流，根据排水来源及排水水质，排水划分为污水系统和雨水系统。</w:t>
      </w:r>
    </w:p>
    <w:p>
      <w:pPr>
        <w:pStyle w:val="5"/>
        <w:spacing w:before="5" w:line="364" w:lineRule="auto"/>
        <w:ind w:left="840" w:right="932" w:firstLine="480"/>
        <w:jc w:val="both"/>
      </w:pPr>
      <w:r>
        <w:t>本项目生活污水通过隔油池化粪池处理后，与经隔油沉淀池预处理后的生产废水一并进入厂内自建污水处理站，经处理达标后经工业园污水管网排入工业园污水处理厂进一步处理，最终汇入袁河。</w:t>
      </w:r>
    </w:p>
    <w:p>
      <w:pPr>
        <w:pStyle w:val="9"/>
        <w:spacing w:line="307" w:lineRule="exact"/>
        <w:ind w:left="1320" w:firstLine="0"/>
      </w:pPr>
      <w:r>
        <w:t>三、供电及通讯</w:t>
      </w:r>
    </w:p>
    <w:p>
      <w:pPr>
        <w:pStyle w:val="5"/>
        <w:spacing w:before="158"/>
        <w:ind w:left="1320"/>
      </w:pPr>
      <w:r>
        <w:rPr>
          <w:rFonts w:ascii="Calibri" w:eastAsia="Calibri"/>
        </w:rPr>
        <w:t>1</w:t>
      </w:r>
      <w:r>
        <w:t>、供电</w:t>
      </w:r>
    </w:p>
    <w:p>
      <w:pPr>
        <w:pStyle w:val="5"/>
        <w:spacing w:before="160"/>
        <w:ind w:left="1320"/>
        <w:rPr>
          <w:rFonts w:ascii="Calibri" w:eastAsia="Calibri"/>
        </w:rPr>
      </w:pPr>
      <w:r>
        <w:t xml:space="preserve">本项目电源引自园区 </w:t>
      </w:r>
      <w:r>
        <w:rPr>
          <w:rFonts w:ascii="Calibri" w:eastAsia="Calibri"/>
        </w:rPr>
        <w:t xml:space="preserve">10kV </w:t>
      </w:r>
      <w:r>
        <w:t xml:space="preserve">变电站，电源进线采用 </w:t>
      </w:r>
      <w:r>
        <w:rPr>
          <w:rFonts w:ascii="Calibri" w:eastAsia="Calibri"/>
        </w:rPr>
        <w:t xml:space="preserve">YJV22-10KV </w:t>
      </w:r>
      <w:r>
        <w:t xml:space="preserve">型电力电缆，从 </w:t>
      </w:r>
      <w:r>
        <w:rPr>
          <w:rFonts w:ascii="Calibri" w:eastAsia="Calibri"/>
        </w:rPr>
        <w:t>10KV</w:t>
      </w:r>
    </w:p>
    <w:p>
      <w:pPr>
        <w:pStyle w:val="5"/>
        <w:spacing w:before="158"/>
        <w:ind w:left="840"/>
      </w:pPr>
      <w:r>
        <w:t>电力线引至配电间内的变压器。本项目设置用柴油发电机组备用。</w:t>
      </w:r>
    </w:p>
    <w:p>
      <w:pPr>
        <w:pStyle w:val="5"/>
        <w:spacing w:before="159"/>
        <w:ind w:left="1320"/>
      </w:pPr>
      <w:r>
        <w:rPr>
          <w:rFonts w:ascii="Calibri" w:eastAsia="Calibri"/>
        </w:rPr>
        <w:t>2</w:t>
      </w:r>
      <w:r>
        <w:t>、通讯</w:t>
      </w:r>
    </w:p>
    <w:p>
      <w:pPr>
        <w:pStyle w:val="5"/>
        <w:spacing w:before="160" w:line="364" w:lineRule="auto"/>
        <w:ind w:left="1320" w:right="3107"/>
        <w:rPr>
          <w:b/>
        </w:rPr>
      </w:pPr>
      <w:r>
        <w:t>外部通讯直接与基地电信线路联网，内部通讯设内部交换机。</w:t>
      </w:r>
      <w:r>
        <w:rPr>
          <w:b/>
        </w:rPr>
        <w:t>四、防雷接地</w:t>
      </w:r>
    </w:p>
    <w:p>
      <w:pPr>
        <w:pStyle w:val="5"/>
        <w:spacing w:line="364" w:lineRule="auto"/>
        <w:ind w:left="1320" w:right="1880"/>
        <w:jc w:val="both"/>
      </w:pPr>
      <w:r>
        <w:t>根据国家有关防雷设计规范，本项目建筑物按三类防雷建筑物进行设计。</w:t>
      </w:r>
      <w:r>
        <w:rPr>
          <w:rFonts w:ascii="Calibri" w:hAnsi="Calibri" w:eastAsia="Calibri"/>
        </w:rPr>
        <w:t>(1)</w:t>
      </w:r>
      <w:r>
        <w:t>新建的生产车间等建（构）筑物屋面上敷设避雷带作为防雷保护设施。</w:t>
      </w:r>
      <w:r>
        <w:rPr>
          <w:rFonts w:ascii="Calibri" w:hAnsi="Calibri" w:eastAsia="Calibri"/>
        </w:rPr>
        <w:t>(2)</w:t>
      </w:r>
      <w:r>
        <w:t>引下线利用结构柱內四根</w:t>
      </w:r>
      <w:r>
        <w:rPr>
          <w:rFonts w:ascii="Calibri" w:hAnsi="Calibri" w:eastAsia="Calibri"/>
        </w:rPr>
        <w:t xml:space="preserve">Φ10 </w:t>
      </w:r>
      <w:r>
        <w:t>以上主钢筋作为一组。</w:t>
      </w:r>
    </w:p>
    <w:p>
      <w:pPr>
        <w:pStyle w:val="5"/>
        <w:spacing w:line="307" w:lineRule="exact"/>
        <w:ind w:left="1320"/>
      </w:pPr>
      <w:r>
        <w:rPr>
          <w:rFonts w:ascii="Calibri" w:eastAsia="Calibri"/>
        </w:rPr>
        <w:t>(3)</w:t>
      </w:r>
      <w:r>
        <w:t>接地装置利用建（构）筑物基础圈梁钢筋</w:t>
      </w:r>
      <w:r>
        <w:rPr>
          <w:rFonts w:ascii="Calibri" w:eastAsia="Calibri"/>
        </w:rPr>
        <w:t>(</w:t>
      </w:r>
      <w:r>
        <w:t>对边主筋</w:t>
      </w:r>
      <w:r>
        <w:rPr>
          <w:rFonts w:ascii="Calibri" w:eastAsia="Calibri"/>
        </w:rPr>
        <w:t>)</w:t>
      </w:r>
      <w:r>
        <w:t>焊接成网。</w:t>
      </w:r>
    </w:p>
    <w:p>
      <w:pPr>
        <w:pStyle w:val="5"/>
        <w:spacing w:before="157" w:line="364" w:lineRule="auto"/>
        <w:ind w:left="840" w:right="923" w:firstLine="480"/>
        <w:jc w:val="both"/>
      </w:pPr>
      <w:r>
        <w:rPr>
          <w:spacing w:val="-9"/>
        </w:rPr>
        <w:t xml:space="preserve">本项目工程 </w:t>
      </w:r>
      <w:r>
        <w:rPr>
          <w:rFonts w:ascii="Calibri" w:eastAsia="Calibri"/>
        </w:rPr>
        <w:t xml:space="preserve">10KV </w:t>
      </w:r>
      <w:r>
        <w:t>系统采用不接地系统，</w:t>
      </w:r>
      <w:r>
        <w:rPr>
          <w:rFonts w:ascii="Calibri" w:eastAsia="Calibri"/>
        </w:rPr>
        <w:t xml:space="preserve">0.4/0.23KV </w:t>
      </w:r>
      <w:r>
        <w:rPr>
          <w:spacing w:val="-17"/>
        </w:rPr>
        <w:t xml:space="preserve">采用 </w:t>
      </w:r>
      <w:r>
        <w:rPr>
          <w:rFonts w:ascii="Calibri" w:eastAsia="Calibri"/>
        </w:rPr>
        <w:t xml:space="preserve">TN-S </w:t>
      </w:r>
      <w:r>
        <w:t>制，即一切电气设备</w:t>
      </w:r>
      <w:r>
        <w:rPr>
          <w:spacing w:val="-5"/>
        </w:rPr>
        <w:t xml:space="preserve">的正常不带电金属外壳均需接 </w:t>
      </w:r>
      <w:r>
        <w:rPr>
          <w:rFonts w:ascii="Calibri" w:eastAsia="Calibri"/>
        </w:rPr>
        <w:t xml:space="preserve">PE </w:t>
      </w:r>
      <w:r>
        <w:rPr>
          <w:spacing w:val="-11"/>
        </w:rPr>
        <w:t>线，项目强电及弱电采用共同接地装置，接地电阻值应</w:t>
      </w:r>
      <w:r>
        <w:rPr>
          <w:spacing w:val="-24"/>
        </w:rPr>
        <w:t xml:space="preserve">不大于 </w:t>
      </w:r>
      <w:r>
        <w:rPr>
          <w:rFonts w:ascii="Calibri" w:eastAsia="Calibri"/>
        </w:rPr>
        <w:t xml:space="preserve">1 </w:t>
      </w:r>
      <w:r>
        <w:t>欧姆。</w:t>
      </w:r>
    </w:p>
    <w:p>
      <w:pPr>
        <w:pStyle w:val="9"/>
        <w:spacing w:line="307" w:lineRule="exact"/>
        <w:ind w:left="1320" w:firstLine="0"/>
      </w:pPr>
      <w:r>
        <w:t>五、消防</w:t>
      </w:r>
    </w:p>
    <w:p>
      <w:pPr>
        <w:pStyle w:val="5"/>
        <w:spacing w:before="158" w:line="364" w:lineRule="auto"/>
        <w:ind w:left="840" w:right="932" w:firstLine="480"/>
        <w:jc w:val="both"/>
      </w:pPr>
      <w:r>
        <w:t>本项目生产的原料和产品均属于不易燃物品，主要采用水消防和化学消防相结合， 水消防主要考虑消防水泵和消火栓系统及自动喷水系统，化学的消防考虑在厂房内配备一定数量的化学灭火器材。主要消防控制措施如下：</w:t>
      </w:r>
    </w:p>
    <w:p>
      <w:pPr>
        <w:pStyle w:val="5"/>
        <w:spacing w:line="307" w:lineRule="exact"/>
        <w:ind w:left="1320"/>
      </w:pPr>
      <w:r>
        <w:rPr>
          <w:rFonts w:ascii="Calibri" w:eastAsia="Calibri"/>
        </w:rPr>
        <w:t>1</w:t>
      </w:r>
      <w:r>
        <w:t>、总平面布置</w:t>
      </w:r>
    </w:p>
    <w:p>
      <w:pPr>
        <w:pStyle w:val="30"/>
        <w:numPr>
          <w:ilvl w:val="0"/>
          <w:numId w:val="10"/>
        </w:numPr>
        <w:tabs>
          <w:tab w:val="left" w:pos="1921"/>
        </w:tabs>
        <w:spacing w:before="158" w:after="0" w:line="240" w:lineRule="auto"/>
        <w:ind w:left="1921" w:right="0" w:hanging="601"/>
        <w:jc w:val="left"/>
        <w:rPr>
          <w:sz w:val="24"/>
        </w:rPr>
      </w:pPr>
      <w:r>
        <w:rPr>
          <w:sz w:val="24"/>
        </w:rPr>
        <w:t>厂房四周设有环行干道，保证消防车顺利通行。</w:t>
      </w:r>
    </w:p>
    <w:p>
      <w:pPr>
        <w:pStyle w:val="30"/>
        <w:numPr>
          <w:ilvl w:val="0"/>
          <w:numId w:val="10"/>
        </w:numPr>
        <w:tabs>
          <w:tab w:val="left" w:pos="1928"/>
        </w:tabs>
        <w:spacing w:before="161" w:after="0" w:line="364" w:lineRule="auto"/>
        <w:ind w:left="840" w:right="932" w:firstLine="480"/>
        <w:jc w:val="left"/>
        <w:rPr>
          <w:sz w:val="24"/>
        </w:rPr>
      </w:pPr>
      <w:r>
        <w:rPr>
          <w:sz w:val="24"/>
        </w:rPr>
        <w:t>全厂的出入口保证正常生产时人员和产品物料的合理分流</w:t>
      </w:r>
      <w:r>
        <w:rPr>
          <w:rFonts w:ascii="Calibri" w:eastAsia="Calibri"/>
          <w:sz w:val="24"/>
        </w:rPr>
        <w:t>,</w:t>
      </w:r>
      <w:r>
        <w:rPr>
          <w:sz w:val="24"/>
        </w:rPr>
        <w:t>火灾时消防车可以在区域内顺畅行驶</w:t>
      </w:r>
      <w:r>
        <w:rPr>
          <w:rFonts w:ascii="Calibri" w:eastAsia="Calibri"/>
          <w:sz w:val="24"/>
        </w:rPr>
        <w:t>,</w:t>
      </w:r>
      <w:r>
        <w:rPr>
          <w:sz w:val="24"/>
        </w:rPr>
        <w:t>到达建筑物的任意一面。</w:t>
      </w:r>
    </w:p>
    <w:p>
      <w:pPr>
        <w:pStyle w:val="30"/>
        <w:numPr>
          <w:ilvl w:val="0"/>
          <w:numId w:val="10"/>
        </w:numPr>
        <w:tabs>
          <w:tab w:val="left" w:pos="1921"/>
        </w:tabs>
        <w:spacing w:before="0" w:after="0" w:line="306" w:lineRule="exact"/>
        <w:ind w:left="1921" w:right="0" w:hanging="601"/>
        <w:jc w:val="left"/>
        <w:rPr>
          <w:sz w:val="24"/>
        </w:rPr>
      </w:pPr>
      <w:r>
        <w:rPr>
          <w:sz w:val="24"/>
        </w:rPr>
        <w:t>各建筑物间距符合《建筑设计防火规范》有关规定。</w:t>
      </w:r>
    </w:p>
    <w:p>
      <w:pPr>
        <w:pStyle w:val="5"/>
        <w:spacing w:before="160"/>
        <w:ind w:left="1320"/>
      </w:pPr>
      <w:r>
        <w:rPr>
          <w:rFonts w:ascii="Calibri" w:eastAsia="Calibri"/>
        </w:rPr>
        <w:t>2</w:t>
      </w:r>
      <w:r>
        <w:t>、建筑部分</w:t>
      </w:r>
    </w:p>
    <w:p>
      <w:pPr>
        <w:pStyle w:val="5"/>
        <w:spacing w:before="8"/>
        <w:rPr>
          <w:sz w:val="12"/>
        </w:rPr>
      </w:pPr>
    </w:p>
    <w:p>
      <w:pPr>
        <w:pStyle w:val="5"/>
        <w:spacing w:before="66" w:line="364" w:lineRule="auto"/>
        <w:ind w:left="840" w:right="812" w:firstLine="480"/>
      </w:pPr>
      <w:r>
        <w:t>本工程各建筑物严格按照《建筑设计防火规范》及《建筑内部装修设计防火规范》</w:t>
      </w:r>
      <w:r>
        <w:rPr>
          <w:spacing w:val="-8"/>
        </w:rPr>
        <w:t>进行设计。根据建筑设计防火规范</w:t>
      </w:r>
      <w:r>
        <w:rPr>
          <w:rFonts w:ascii="Calibri" w:eastAsia="Calibri"/>
        </w:rPr>
        <w:t>,</w:t>
      </w:r>
      <w:r>
        <w:rPr>
          <w:spacing w:val="-9"/>
        </w:rPr>
        <w:t>生产车间火灾危险性分类为丁、戊类；耐火等级二级。</w:t>
      </w:r>
      <w:r>
        <w:t>各建筑物的疏散距离和疏散通道宽度均满足了规范要求。</w:t>
      </w:r>
    </w:p>
    <w:p>
      <w:pPr>
        <w:pStyle w:val="5"/>
        <w:spacing w:line="307" w:lineRule="exact"/>
        <w:ind w:left="1320"/>
      </w:pPr>
      <w:r>
        <w:rPr>
          <w:rFonts w:ascii="Calibri" w:eastAsia="Calibri"/>
        </w:rPr>
        <w:t>3</w:t>
      </w:r>
      <w:r>
        <w:t>、电气部分</w:t>
      </w:r>
    </w:p>
    <w:p>
      <w:pPr>
        <w:pStyle w:val="5"/>
        <w:spacing w:before="158" w:line="364" w:lineRule="auto"/>
        <w:ind w:left="840" w:right="932" w:firstLine="480"/>
      </w:pPr>
      <w:r>
        <w:t>火灾时，对非消防用电设备进行断电控制，走廊、楼梯间、门厅等处的应急灯自动点亮。</w:t>
      </w:r>
    </w:p>
    <w:p>
      <w:pPr>
        <w:pStyle w:val="5"/>
        <w:spacing w:before="2"/>
        <w:ind w:left="1320"/>
      </w:pPr>
      <w:r>
        <w:rPr>
          <w:rFonts w:ascii="Calibri" w:eastAsia="Calibri"/>
        </w:rPr>
        <w:t>4</w:t>
      </w:r>
      <w:r>
        <w:t>、给排水部分</w:t>
      </w:r>
    </w:p>
    <w:p>
      <w:pPr>
        <w:pStyle w:val="5"/>
        <w:spacing w:before="158" w:line="364" w:lineRule="auto"/>
        <w:ind w:left="840" w:right="923" w:firstLine="480"/>
        <w:jc w:val="both"/>
      </w:pPr>
      <w:r>
        <w:t>消防体制：本厂区内的消火栓系统采用常高压制，由市政府管网直接供水。从不同</w:t>
      </w:r>
      <w:r>
        <w:rPr>
          <w:spacing w:val="-6"/>
        </w:rPr>
        <w:t xml:space="preserve">市政管网上引入两路 </w:t>
      </w:r>
      <w:r>
        <w:rPr>
          <w:rFonts w:ascii="Calibri" w:eastAsia="Calibri"/>
        </w:rPr>
        <w:t xml:space="preserve">DN80 </w:t>
      </w:r>
      <w:r>
        <w:rPr>
          <w:spacing w:val="-6"/>
        </w:rPr>
        <w:t xml:space="preserve">的进水管，进入厂区后设总水表计量，供水压力 </w:t>
      </w:r>
      <w:r>
        <w:rPr>
          <w:rFonts w:ascii="Calibri" w:eastAsia="Calibri"/>
        </w:rPr>
        <w:t>0.30Mpa</w:t>
      </w:r>
      <w:r>
        <w:rPr>
          <w:rFonts w:ascii="Calibri" w:eastAsia="Calibri"/>
          <w:spacing w:val="-1"/>
        </w:rPr>
        <w:t xml:space="preserve"> ,</w:t>
      </w:r>
      <w:r>
        <w:t>水量和水压满足厂区内所有建筑物生活、生产用水及室内、外消火栓用水的要求。厂区采用生产及消防系统合一管网。</w:t>
      </w:r>
    </w:p>
    <w:p>
      <w:pPr>
        <w:pStyle w:val="5"/>
        <w:spacing w:line="364" w:lineRule="auto"/>
        <w:ind w:left="840" w:right="927" w:firstLine="480"/>
        <w:jc w:val="both"/>
      </w:pPr>
      <w:r>
        <w:t>消防设计：在厂区内所有车间及仓库设置室内消火栓，室内消火栓的充实水柱不小</w:t>
      </w:r>
      <w:r>
        <w:rPr>
          <w:spacing w:val="-20"/>
        </w:rPr>
        <w:t xml:space="preserve">于 </w:t>
      </w:r>
      <w:r>
        <w:rPr>
          <w:rFonts w:ascii="Calibri" w:eastAsia="Calibri"/>
        </w:rPr>
        <w:t>10m</w:t>
      </w:r>
      <w:r>
        <w:rPr>
          <w:spacing w:val="-3"/>
        </w:rPr>
        <w:t xml:space="preserve">，车间内给水管网成环状，管径为 </w:t>
      </w:r>
      <w:r>
        <w:rPr>
          <w:rFonts w:ascii="Calibri" w:eastAsia="Calibri"/>
        </w:rPr>
        <w:t>DN100mm</w:t>
      </w:r>
      <w:r>
        <w:t>。所有消火栓采用带灭火器箱组合式消防柜，消防柜内设干粉灭火器、水龙带、水枪。</w:t>
      </w:r>
    </w:p>
    <w:p>
      <w:pPr>
        <w:pStyle w:val="5"/>
        <w:spacing w:line="364" w:lineRule="auto"/>
        <w:ind w:left="840" w:right="925" w:firstLine="480"/>
        <w:jc w:val="both"/>
      </w:pPr>
      <w:r>
        <w:t>根据《建筑灭火器配置设计规范》（</w:t>
      </w:r>
      <w:r>
        <w:rPr>
          <w:rFonts w:ascii="Calibri" w:eastAsia="Calibri"/>
        </w:rPr>
        <w:t>GB50140-2005</w:t>
      </w:r>
      <w:r>
        <w:t xml:space="preserve">）的规定：建筑的火灾类种为： </w:t>
      </w:r>
      <w:r>
        <w:rPr>
          <w:rFonts w:ascii="Calibri" w:eastAsia="Calibri"/>
        </w:rPr>
        <w:t xml:space="preserve">A </w:t>
      </w:r>
      <w:r>
        <w:t>类火灾及带电火灾：危险等级为：中危险级。灭火器采用手提式磷酸铵盐干粉灭火器</w:t>
      </w:r>
      <w:r>
        <w:rPr>
          <w:rFonts w:ascii="Calibri" w:eastAsia="Calibri"/>
        </w:rPr>
        <w:t>MF/ABC4</w:t>
      </w:r>
      <w:r>
        <w:t>。</w:t>
      </w:r>
    </w:p>
    <w:p>
      <w:pPr>
        <w:pStyle w:val="9"/>
        <w:spacing w:line="305" w:lineRule="exact"/>
        <w:ind w:left="1320" w:firstLine="0"/>
      </w:pPr>
      <w:r>
        <w:t>六、冷冻系统</w:t>
      </w:r>
    </w:p>
    <w:p>
      <w:pPr>
        <w:pStyle w:val="5"/>
        <w:spacing w:before="157" w:line="364" w:lineRule="auto"/>
        <w:ind w:left="840" w:right="932" w:firstLine="480"/>
        <w:jc w:val="both"/>
      </w:pPr>
      <w:r>
        <w:rPr>
          <w:spacing w:val="-4"/>
        </w:rPr>
        <w:t xml:space="preserve">本项目冷冻系统以 </w:t>
      </w:r>
      <w:r>
        <w:rPr>
          <w:rFonts w:ascii="Calibri" w:eastAsia="Calibri"/>
          <w:sz w:val="21"/>
        </w:rPr>
        <w:t xml:space="preserve">R404a </w:t>
      </w:r>
      <w:r>
        <w:t>为制冷剂，存储于制冷剂内，不足时由供货商补充。设置</w:t>
      </w:r>
      <w:r>
        <w:rPr>
          <w:spacing w:val="-5"/>
        </w:rPr>
        <w:t xml:space="preserve">一个大型冷库，其中分为 </w:t>
      </w:r>
      <w:r>
        <w:t>2</w:t>
      </w:r>
      <w:r>
        <w:rPr>
          <w:spacing w:val="-9"/>
        </w:rPr>
        <w:t xml:space="preserve"> 个小型冷库，分别用于存放生产原料及产品，可满足项目工</w:t>
      </w:r>
      <w:r>
        <w:t>艺制冷、原料及产品冷藏及冷冻需求。</w:t>
      </w:r>
    </w:p>
    <w:p>
      <w:pPr>
        <w:pStyle w:val="9"/>
        <w:spacing w:line="305" w:lineRule="exact"/>
        <w:ind w:left="1320" w:firstLine="0"/>
      </w:pPr>
      <w:r>
        <w:t>七、供热系统</w:t>
      </w:r>
    </w:p>
    <w:p>
      <w:pPr>
        <w:pStyle w:val="5"/>
        <w:spacing w:before="161" w:line="364" w:lineRule="auto"/>
        <w:ind w:left="840" w:right="947" w:firstLine="480"/>
      </w:pPr>
      <w:r>
        <w:rPr>
          <w:spacing w:val="-6"/>
        </w:rPr>
        <w:t xml:space="preserve">本项目热水采用一台 </w:t>
      </w:r>
      <w:r>
        <w:t>1t/h</w:t>
      </w:r>
      <w:r>
        <w:rPr>
          <w:spacing w:val="-12"/>
        </w:rPr>
        <w:t xml:space="preserve"> 燃气锅炉供应，每日工作时间约为 </w:t>
      </w:r>
      <w:r>
        <w:t>16</w:t>
      </w:r>
      <w:r>
        <w:rPr>
          <w:spacing w:val="-10"/>
        </w:rPr>
        <w:t xml:space="preserve"> 小时。天然气耗量</w:t>
      </w:r>
      <w:r>
        <w:rPr>
          <w:spacing w:val="-30"/>
        </w:rPr>
        <w:t xml:space="preserve">约 </w:t>
      </w:r>
      <w:r>
        <w:rPr>
          <w:rFonts w:hint="eastAsia"/>
          <w:lang w:val="en-US" w:eastAsia="zh-CN"/>
        </w:rPr>
        <w:t>1</w:t>
      </w:r>
      <w:r>
        <w:t>0</w:t>
      </w:r>
      <w:r>
        <w:rPr>
          <w:spacing w:val="-40"/>
        </w:rPr>
        <w:t xml:space="preserve"> 万 </w:t>
      </w:r>
      <w:r>
        <w:t>m</w:t>
      </w:r>
      <w:r>
        <w:rPr>
          <w:position w:val="12"/>
          <w:sz w:val="12"/>
        </w:rPr>
        <w:t>3</w:t>
      </w:r>
      <w:r>
        <w:t>/a。</w:t>
      </w:r>
    </w:p>
    <w:p>
      <w:pPr>
        <w:pStyle w:val="8"/>
        <w:numPr>
          <w:ilvl w:val="1"/>
          <w:numId w:val="9"/>
        </w:numPr>
        <w:tabs>
          <w:tab w:val="left" w:pos="1260"/>
        </w:tabs>
        <w:spacing w:before="0" w:after="0" w:line="358" w:lineRule="exact"/>
        <w:ind w:left="1260" w:right="0" w:hanging="420"/>
        <w:jc w:val="left"/>
      </w:pPr>
      <w:bookmarkStart w:id="93" w:name="2.8储运工程"/>
      <w:bookmarkEnd w:id="93"/>
      <w:bookmarkStart w:id="94" w:name="_bookmark21"/>
      <w:bookmarkEnd w:id="94"/>
      <w:bookmarkStart w:id="95" w:name="_bookmark21"/>
      <w:bookmarkEnd w:id="95"/>
      <w:bookmarkStart w:id="96" w:name="_Toc19613"/>
      <w:bookmarkStart w:id="97" w:name="_Toc17418"/>
      <w:r>
        <w:t>储运工程</w:t>
      </w:r>
      <w:bookmarkEnd w:id="96"/>
      <w:bookmarkEnd w:id="97"/>
    </w:p>
    <w:p>
      <w:pPr>
        <w:pStyle w:val="30"/>
        <w:numPr>
          <w:ilvl w:val="2"/>
          <w:numId w:val="9"/>
        </w:numPr>
        <w:tabs>
          <w:tab w:val="left" w:pos="1921"/>
        </w:tabs>
        <w:spacing w:before="185" w:after="0" w:line="240" w:lineRule="auto"/>
        <w:ind w:left="1921" w:right="0" w:hanging="601"/>
        <w:jc w:val="left"/>
        <w:rPr>
          <w:sz w:val="24"/>
        </w:rPr>
      </w:pPr>
      <w:r>
        <w:rPr>
          <w:sz w:val="24"/>
        </w:rPr>
        <w:t>原辅料、产品贮运</w:t>
      </w:r>
    </w:p>
    <w:p>
      <w:pPr>
        <w:pStyle w:val="5"/>
        <w:spacing w:before="158" w:line="364" w:lineRule="auto"/>
        <w:ind w:left="840" w:right="932" w:firstLine="480"/>
        <w:jc w:val="both"/>
      </w:pPr>
      <w:r>
        <w:t>本项目原料生猪以运载车的形式进入厂区，运一批宰一批。鲜肉由冷链车配送，冷猪肉采用冷冻形式贮存在冷库内。本项目产品屠宰产品及熟食制品经冷冻后均贮存于冷库。</w:t>
      </w:r>
    </w:p>
    <w:p>
      <w:pPr>
        <w:pStyle w:val="30"/>
        <w:numPr>
          <w:ilvl w:val="2"/>
          <w:numId w:val="9"/>
        </w:numPr>
        <w:tabs>
          <w:tab w:val="left" w:pos="1921"/>
        </w:tabs>
        <w:spacing w:before="0" w:after="0" w:line="307" w:lineRule="exact"/>
        <w:ind w:left="1921" w:right="0" w:hanging="601"/>
        <w:jc w:val="left"/>
        <w:rPr>
          <w:sz w:val="24"/>
        </w:rPr>
      </w:pPr>
      <w:r>
        <w:rPr>
          <w:sz w:val="24"/>
        </w:rPr>
        <w:t>运输</w:t>
      </w:r>
    </w:p>
    <w:p>
      <w:pPr>
        <w:pStyle w:val="5"/>
        <w:spacing w:before="8"/>
        <w:rPr>
          <w:sz w:val="12"/>
        </w:rPr>
      </w:pPr>
    </w:p>
    <w:p>
      <w:pPr>
        <w:pStyle w:val="5"/>
        <w:spacing w:before="66" w:line="364" w:lineRule="auto"/>
        <w:ind w:left="840" w:right="932" w:firstLine="480"/>
        <w:jc w:val="both"/>
      </w:pPr>
      <w:r>
        <w:t>本项目的主要原辅材料运输委托货运公司送货到厂，厂外运输工具主要采用冷链汽车运输，厂内物料则用叉车等物流工具。危险品运输由有危险品运输资质的公司承运， 运输方式采用公路运输。</w:t>
      </w:r>
    </w:p>
    <w:p>
      <w:pPr>
        <w:pStyle w:val="8"/>
        <w:numPr>
          <w:ilvl w:val="1"/>
          <w:numId w:val="11"/>
        </w:numPr>
        <w:tabs>
          <w:tab w:val="left" w:pos="1260"/>
        </w:tabs>
        <w:spacing w:before="1" w:after="0" w:line="240" w:lineRule="auto"/>
        <w:ind w:left="1260" w:right="0" w:hanging="420"/>
        <w:jc w:val="left"/>
        <w:rPr>
          <w:rFonts w:ascii="Times New Roman" w:eastAsia="Times New Roman"/>
        </w:rPr>
      </w:pPr>
      <w:bookmarkStart w:id="98" w:name="2.8总平面布置"/>
      <w:bookmarkEnd w:id="98"/>
      <w:bookmarkStart w:id="99" w:name="_bookmark22"/>
      <w:bookmarkEnd w:id="99"/>
      <w:bookmarkStart w:id="100" w:name="_bookmark22"/>
      <w:bookmarkEnd w:id="100"/>
      <w:bookmarkStart w:id="101" w:name="_Toc30741"/>
      <w:bookmarkStart w:id="102" w:name="_Toc18984"/>
      <w:r>
        <w:t>总平面布置</w:t>
      </w:r>
      <w:bookmarkEnd w:id="101"/>
      <w:bookmarkEnd w:id="102"/>
    </w:p>
    <w:p>
      <w:pPr>
        <w:pStyle w:val="5"/>
        <w:spacing w:before="185"/>
        <w:ind w:left="1320"/>
      </w:pPr>
      <w:r>
        <w:t>本项目位于宜春经济技术开发区，四周均为山地。</w:t>
      </w:r>
    </w:p>
    <w:p>
      <w:pPr>
        <w:pStyle w:val="5"/>
        <w:spacing w:before="158" w:line="364" w:lineRule="auto"/>
        <w:ind w:left="840" w:right="932" w:firstLine="480"/>
        <w:jc w:val="both"/>
      </w:pPr>
      <w:r>
        <w:rPr>
          <w:spacing w:val="-1"/>
        </w:rPr>
        <w:t>由厂区总平面图可见，本项目厂区主要分为生活办公区、屠宰生产区、熟食加工生产区、污水处理站等配套辅助工程区。厂区主通道西侧分别为屠宰及熟食加工两部分， 其中南面为生活办公区及绿化区，北面为屠宰生产区，中间为熟食加工生产区、冷库等公用辅助用房，东面为绿化区、停车场和发货厅，东北角为污水处理站、消毒区、泵房及消防池等。厂区主入口位于南侧，紧邻园区规划路，次入口即物流入口位于南侧，紧</w:t>
      </w:r>
      <w:r>
        <w:t>邻园区规划路，各建（构）筑物布置见本项目平面布置总图。</w:t>
      </w:r>
    </w:p>
    <w:p>
      <w:pPr>
        <w:pStyle w:val="5"/>
        <w:spacing w:line="364" w:lineRule="auto"/>
        <w:ind w:left="840" w:right="932" w:firstLine="480"/>
        <w:jc w:val="both"/>
      </w:pPr>
      <w:r>
        <w:rPr>
          <w:spacing w:val="-1"/>
        </w:rPr>
        <w:t>项目所在地宜春市常年主导风向为东风，生活、办公区位于整个生产区的上风向， 且与待宰间、屠宰车间及冷库等分区设置，并经厂区内主干道间隔。项目厂区布置可满</w:t>
      </w:r>
      <w:r>
        <w:rPr>
          <w:spacing w:val="-5"/>
        </w:rPr>
        <w:t xml:space="preserve">足行业卫生防护距离生产车间 </w:t>
      </w:r>
      <w:r>
        <w:rPr>
          <w:rFonts w:ascii="Calibri" w:eastAsia="Calibri"/>
        </w:rPr>
        <w:t>400</w:t>
      </w:r>
      <w:r>
        <w:rPr>
          <w:rFonts w:ascii="Calibri" w:eastAsia="Calibri"/>
          <w:spacing w:val="4"/>
        </w:rPr>
        <w:t xml:space="preserve"> </w:t>
      </w:r>
      <w:r>
        <w:t>米内无常住居民区的要求。</w:t>
      </w:r>
    </w:p>
    <w:p>
      <w:pPr>
        <w:pStyle w:val="5"/>
        <w:spacing w:line="364" w:lineRule="auto"/>
        <w:ind w:left="840" w:right="932" w:firstLine="480"/>
        <w:jc w:val="both"/>
      </w:pPr>
      <w:r>
        <w:t>厂内各建、构筑物与相邻单位的建、构筑物的防火间距，厂内各建筑物与厂外道路的安全间距，厂内各建筑物之间的防火间距，厂内建筑物与厂内道路之间的间距、厂内建筑物与厂围墙间的间距均能满足《建筑设计防火规范》GB50016-2006 的要求。</w:t>
      </w:r>
    </w:p>
    <w:p>
      <w:pPr>
        <w:pStyle w:val="5"/>
        <w:spacing w:line="364" w:lineRule="auto"/>
        <w:ind w:left="840" w:right="925" w:firstLine="480"/>
        <w:jc w:val="both"/>
      </w:pPr>
      <w:r>
        <w:t>根据《冷库设计规范》（</w:t>
      </w:r>
      <w:r>
        <w:rPr>
          <w:rFonts w:ascii="Calibri" w:eastAsia="Calibri"/>
        </w:rPr>
        <w:t>GB50072-2010</w:t>
      </w:r>
      <w:r>
        <w:t>）中库址选择和总平面布置的规定，本项目</w:t>
      </w:r>
      <w:r>
        <w:rPr>
          <w:spacing w:val="-2"/>
        </w:rPr>
        <w:t xml:space="preserve">处于夏季最大频率风向的下风向，与其下风向居住区一寺村的防护距离大于 </w:t>
      </w:r>
      <w:r>
        <w:rPr>
          <w:rFonts w:ascii="Calibri" w:eastAsia="Calibri"/>
        </w:rPr>
        <w:t xml:space="preserve">400 </w:t>
      </w:r>
      <w:r>
        <w:t>米，同时本项目冷库单独设置，远离本项目污染区，符合相关要求。</w:t>
      </w:r>
    </w:p>
    <w:p>
      <w:pPr>
        <w:pStyle w:val="9"/>
        <w:numPr>
          <w:ilvl w:val="1"/>
          <w:numId w:val="11"/>
        </w:numPr>
        <w:tabs>
          <w:tab w:val="left" w:pos="1200"/>
        </w:tabs>
        <w:spacing w:before="0" w:after="0" w:line="305" w:lineRule="exact"/>
        <w:ind w:left="1200" w:right="0" w:hanging="360"/>
        <w:jc w:val="left"/>
        <w:rPr>
          <w:rFonts w:ascii="Times New Roman" w:eastAsia="Times New Roman"/>
        </w:rPr>
      </w:pPr>
      <w:bookmarkStart w:id="103" w:name="_bookmark23"/>
      <w:bookmarkEnd w:id="103"/>
      <w:bookmarkStart w:id="104" w:name="2.9工艺流程"/>
      <w:bookmarkEnd w:id="104"/>
      <w:bookmarkStart w:id="105" w:name="_bookmark23"/>
      <w:bookmarkEnd w:id="105"/>
      <w:r>
        <w:t>工艺流程</w:t>
      </w:r>
    </w:p>
    <w:p>
      <w:pPr>
        <w:spacing w:before="204" w:line="364" w:lineRule="auto"/>
        <w:ind w:left="1320" w:right="7419" w:hanging="480"/>
        <w:jc w:val="left"/>
        <w:rPr>
          <w:b/>
          <w:sz w:val="24"/>
        </w:rPr>
      </w:pPr>
      <w:bookmarkStart w:id="106" w:name="生猪屠宰工艺流程及说明"/>
      <w:bookmarkEnd w:id="106"/>
      <w:r>
        <w:rPr>
          <w:b/>
          <w:sz w:val="24"/>
        </w:rPr>
        <w:t>生猪屠宰工艺流程及说明一、工艺流程图</w:t>
      </w:r>
    </w:p>
    <w:p>
      <w:pPr>
        <w:spacing w:after="0" w:line="364" w:lineRule="auto"/>
        <w:jc w:val="left"/>
        <w:rPr>
          <w:sz w:val="24"/>
        </w:rPr>
        <w:sectPr>
          <w:footerReference r:id="rId7" w:type="default"/>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9" w:after="1"/>
        <w:rPr>
          <w:rFonts w:ascii="Times New Roman"/>
          <w:sz w:val="29"/>
        </w:rPr>
      </w:pPr>
    </w:p>
    <w:p>
      <w:pPr>
        <w:pStyle w:val="5"/>
        <w:ind w:left="1840"/>
        <w:rPr>
          <w:rFonts w:ascii="Times New Roman"/>
          <w:sz w:val="20"/>
        </w:rPr>
      </w:pPr>
      <w:r>
        <w:rPr>
          <w:rFonts w:ascii="Times New Roman"/>
          <w:sz w:val="20"/>
        </w:rPr>
        <w:drawing>
          <wp:inline distT="0" distB="0" distL="0" distR="0">
            <wp:extent cx="3806825" cy="8399780"/>
            <wp:effectExtent l="0" t="0" r="3175" b="127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20" cstate="print"/>
                    <a:stretch>
                      <a:fillRect/>
                    </a:stretch>
                  </pic:blipFill>
                  <pic:spPr>
                    <a:xfrm>
                      <a:off x="0" y="0"/>
                      <a:ext cx="3806825" cy="8399780"/>
                    </a:xfrm>
                    <a:prstGeom prst="rect">
                      <a:avLst/>
                    </a:prstGeom>
                  </pic:spPr>
                </pic:pic>
              </a:graphicData>
            </a:graphic>
          </wp:inline>
        </w:drawing>
      </w:r>
    </w:p>
    <w:p>
      <w:pPr>
        <w:pStyle w:val="5"/>
        <w:spacing w:before="1"/>
        <w:rPr>
          <w:rFonts w:ascii="Times New Roman"/>
          <w:sz w:val="14"/>
        </w:rPr>
      </w:pPr>
    </w:p>
    <w:p>
      <w:pPr>
        <w:spacing w:before="66"/>
        <w:ind w:left="4387" w:right="0" w:firstLine="0"/>
        <w:jc w:val="left"/>
        <w:rPr>
          <w:b/>
          <w:sz w:val="24"/>
        </w:rPr>
      </w:pPr>
      <w:r>
        <w:rPr>
          <w:b/>
          <w:sz w:val="24"/>
        </w:rPr>
        <w:t>图</w:t>
      </w:r>
      <w:r>
        <w:rPr>
          <w:rFonts w:hint="eastAsia"/>
          <w:b/>
          <w:sz w:val="24"/>
          <w:lang w:val="en-US" w:eastAsia="zh-CN"/>
        </w:rPr>
        <w:t>2-1</w:t>
      </w:r>
      <w:r>
        <w:rPr>
          <w:b/>
          <w:sz w:val="24"/>
        </w:rPr>
        <w:t xml:space="preserve"> 屠宰工艺流程图</w:t>
      </w:r>
    </w:p>
    <w:p>
      <w:pPr>
        <w:spacing w:before="161" w:line="362" w:lineRule="auto"/>
        <w:ind w:left="1320" w:right="7659" w:firstLine="0"/>
        <w:jc w:val="left"/>
        <w:rPr>
          <w:b/>
          <w:sz w:val="24"/>
        </w:rPr>
      </w:pPr>
      <w:r>
        <w:rPr>
          <w:b/>
          <w:sz w:val="24"/>
        </w:rPr>
        <w:t>二、工艺流程说明1、屠宰工艺说明</w:t>
      </w:r>
    </w:p>
    <w:p>
      <w:pPr>
        <w:pStyle w:val="30"/>
        <w:numPr>
          <w:ilvl w:val="2"/>
          <w:numId w:val="11"/>
        </w:numPr>
        <w:tabs>
          <w:tab w:val="left" w:pos="1921"/>
        </w:tabs>
        <w:spacing w:before="5" w:after="0" w:line="240" w:lineRule="auto"/>
        <w:ind w:left="1921" w:right="0" w:hanging="601"/>
        <w:jc w:val="left"/>
        <w:rPr>
          <w:sz w:val="24"/>
        </w:rPr>
      </w:pPr>
      <w:r>
        <w:rPr>
          <w:sz w:val="24"/>
        </w:rPr>
        <w:t>待宰栏管理</w:t>
      </w:r>
    </w:p>
    <w:p>
      <w:pPr>
        <w:pStyle w:val="5"/>
        <w:spacing w:before="158" w:line="364" w:lineRule="auto"/>
        <w:ind w:left="840" w:right="932" w:firstLine="480"/>
        <w:jc w:val="both"/>
      </w:pPr>
      <w:r>
        <w:rPr>
          <w:spacing w:val="-1"/>
        </w:rPr>
        <w:t>将卡车运来的生猪经清点头数后，驱赶健康的生猪进入待宰栏，按生猪的健康状况</w:t>
      </w:r>
      <w:r>
        <w:rPr>
          <w:spacing w:val="-9"/>
        </w:rPr>
        <w:t xml:space="preserve">进行分圈管理。待宰的生猪送宰前应停食静养 </w:t>
      </w:r>
      <w:r>
        <w:t>24</w:t>
      </w:r>
      <w:r>
        <w:rPr>
          <w:spacing w:val="-14"/>
        </w:rPr>
        <w:t xml:space="preserve"> 小时，以便消除运输途中的疲劳，恢复</w:t>
      </w:r>
      <w:r>
        <w:rPr>
          <w:spacing w:val="-1"/>
        </w:rPr>
        <w:t>正常的生理状态，在静养期间检疫人员定时观察，发现可疑病生猪送隔离圈观察，健康</w:t>
      </w:r>
      <w:r>
        <w:rPr>
          <w:spacing w:val="-7"/>
        </w:rPr>
        <w:t xml:space="preserve">合格的生猪在宰前 </w:t>
      </w:r>
      <w:r>
        <w:t>3</w:t>
      </w:r>
      <w:r>
        <w:rPr>
          <w:spacing w:val="-8"/>
        </w:rPr>
        <w:t xml:space="preserve"> 小时停止饮水。</w:t>
      </w:r>
    </w:p>
    <w:p>
      <w:pPr>
        <w:pStyle w:val="30"/>
        <w:numPr>
          <w:ilvl w:val="2"/>
          <w:numId w:val="11"/>
        </w:numPr>
        <w:tabs>
          <w:tab w:val="left" w:pos="1921"/>
        </w:tabs>
        <w:spacing w:before="0" w:after="0" w:line="240" w:lineRule="auto"/>
        <w:ind w:left="1921" w:right="0" w:hanging="601"/>
        <w:jc w:val="left"/>
        <w:rPr>
          <w:sz w:val="24"/>
        </w:rPr>
      </w:pPr>
      <w:r>
        <w:rPr>
          <w:sz w:val="24"/>
        </w:rPr>
        <w:t>宰前检验：包括进厂检疫、候宰检查、宰前检疫。</w:t>
      </w:r>
    </w:p>
    <w:p>
      <w:pPr>
        <w:pStyle w:val="30"/>
        <w:numPr>
          <w:ilvl w:val="2"/>
          <w:numId w:val="11"/>
        </w:numPr>
        <w:tabs>
          <w:tab w:val="left" w:pos="1921"/>
        </w:tabs>
        <w:spacing w:before="158" w:after="0" w:line="362" w:lineRule="auto"/>
        <w:ind w:left="840" w:right="812" w:firstLine="480"/>
        <w:jc w:val="left"/>
        <w:rPr>
          <w:sz w:val="24"/>
        </w:rPr>
      </w:pPr>
      <w:r>
        <w:rPr>
          <w:spacing w:val="-9"/>
          <w:sz w:val="24"/>
        </w:rPr>
        <w:t>击晕起吊：采用电击晕法，这是一种让生猪在气体室内吸入二氧化碳而窒息昏</w:t>
      </w:r>
      <w:r>
        <w:rPr>
          <w:spacing w:val="-12"/>
          <w:sz w:val="24"/>
        </w:rPr>
        <w:t>迷的方法。</w:t>
      </w:r>
      <w:r>
        <w:rPr>
          <w:sz w:val="24"/>
        </w:rPr>
        <w:t>CO</w:t>
      </w:r>
      <w:r>
        <w:rPr>
          <w:position w:val="-3"/>
          <w:sz w:val="12"/>
        </w:rPr>
        <w:t>2</w:t>
      </w:r>
      <w:r>
        <w:rPr>
          <w:spacing w:val="-32"/>
          <w:position w:val="-3"/>
          <w:sz w:val="12"/>
        </w:rPr>
        <w:t xml:space="preserve"> </w:t>
      </w:r>
      <w:r>
        <w:rPr>
          <w:spacing w:val="-10"/>
          <w:sz w:val="24"/>
        </w:rPr>
        <w:t xml:space="preserve">浓度保持在 </w:t>
      </w:r>
      <w:r>
        <w:rPr>
          <w:spacing w:val="-3"/>
          <w:sz w:val="24"/>
        </w:rPr>
        <w:t>65～70%，15</w:t>
      </w:r>
      <w:r>
        <w:rPr>
          <w:spacing w:val="-10"/>
          <w:sz w:val="24"/>
        </w:rPr>
        <w:t xml:space="preserve"> 秒后就进入了完全麻醉的状态，这种麻醉状态可</w:t>
      </w:r>
      <w:r>
        <w:rPr>
          <w:spacing w:val="-27"/>
          <w:sz w:val="24"/>
        </w:rPr>
        <w:t xml:space="preserve">持续 </w:t>
      </w:r>
      <w:r>
        <w:rPr>
          <w:sz w:val="24"/>
        </w:rPr>
        <w:t>1.5～3</w:t>
      </w:r>
      <w:r>
        <w:rPr>
          <w:spacing w:val="-8"/>
          <w:sz w:val="24"/>
        </w:rPr>
        <w:t xml:space="preserve"> 分钟。电击晕法与其他方法相比，不会产生肌肉痉挛现象。生猪昏迷期间， </w:t>
      </w:r>
      <w:r>
        <w:rPr>
          <w:spacing w:val="-18"/>
          <w:sz w:val="24"/>
        </w:rPr>
        <w:t xml:space="preserve">呼吸和血液循环都有所增强，所以更有利于放血，而且肌肉 </w:t>
      </w:r>
      <w:r>
        <w:rPr>
          <w:sz w:val="24"/>
        </w:rPr>
        <w:t>PH</w:t>
      </w:r>
      <w:r>
        <w:rPr>
          <w:spacing w:val="-14"/>
          <w:sz w:val="24"/>
        </w:rPr>
        <w:t xml:space="preserve"> 值较低，可避免肌肉出血， </w:t>
      </w:r>
      <w:r>
        <w:rPr>
          <w:sz w:val="24"/>
        </w:rPr>
        <w:t>与电击晕相比，电击晕法可使肌肉完全处于松弛状态。接着由一人用铁索套牢猪的一条后腿，并挂在电动传动带的吊钩上，启动电动带。</w:t>
      </w:r>
    </w:p>
    <w:p>
      <w:pPr>
        <w:pStyle w:val="30"/>
        <w:numPr>
          <w:ilvl w:val="2"/>
          <w:numId w:val="11"/>
        </w:numPr>
        <w:tabs>
          <w:tab w:val="left" w:pos="1921"/>
        </w:tabs>
        <w:spacing w:before="8" w:after="0" w:line="364" w:lineRule="auto"/>
        <w:ind w:left="840" w:right="810" w:firstLine="480"/>
        <w:jc w:val="left"/>
        <w:rPr>
          <w:sz w:val="24"/>
        </w:rPr>
      </w:pPr>
      <w:r>
        <w:rPr>
          <w:spacing w:val="-13"/>
          <w:sz w:val="24"/>
        </w:rPr>
        <w:t>宰杀放血：本采血系统是目前世界屠宰业最先进的，采血刀自动消毒，无污染</w:t>
      </w:r>
      <w:r>
        <w:rPr>
          <w:spacing w:val="-4"/>
          <w:sz w:val="24"/>
        </w:rPr>
        <w:t>，在采血过程中进行多道自动检疫。猪血收集后可出售做为医药及生物制品的原料。</w:t>
      </w:r>
    </w:p>
    <w:p>
      <w:pPr>
        <w:pStyle w:val="30"/>
        <w:numPr>
          <w:ilvl w:val="2"/>
          <w:numId w:val="11"/>
        </w:numPr>
        <w:tabs>
          <w:tab w:val="left" w:pos="1921"/>
        </w:tabs>
        <w:spacing w:before="0" w:after="0" w:line="364" w:lineRule="auto"/>
        <w:ind w:left="840" w:right="932" w:firstLine="480"/>
        <w:jc w:val="left"/>
        <w:rPr>
          <w:sz w:val="24"/>
        </w:rPr>
      </w:pPr>
      <w:r>
        <w:rPr>
          <w:spacing w:val="-8"/>
          <w:sz w:val="24"/>
        </w:rPr>
        <w:t>冲洗烫毛：生猪通过冲洗机进行冲洗去除血污，冲洗后采用蒸汽烫毛隧道系</w:t>
      </w:r>
      <w:r>
        <w:rPr>
          <w:spacing w:val="-4"/>
          <w:sz w:val="24"/>
        </w:rPr>
        <w:t>统烫毛，锅炉自制蒸汽直接高温软化猪毛并刮下收集，可直接出售综合利用。</w:t>
      </w:r>
    </w:p>
    <w:p>
      <w:pPr>
        <w:pStyle w:val="30"/>
        <w:numPr>
          <w:ilvl w:val="2"/>
          <w:numId w:val="11"/>
        </w:numPr>
        <w:tabs>
          <w:tab w:val="left" w:pos="1921"/>
        </w:tabs>
        <w:spacing w:before="0" w:after="0" w:line="364" w:lineRule="auto"/>
        <w:ind w:left="840" w:right="887" w:firstLine="480"/>
        <w:jc w:val="both"/>
        <w:rPr>
          <w:sz w:val="24"/>
        </w:rPr>
      </w:pPr>
      <w:r>
        <w:rPr>
          <w:spacing w:val="-8"/>
          <w:sz w:val="24"/>
        </w:rPr>
        <w:t>燎毛清洗：热烫刮毛后仍不能将猪体上的毛全部除净，尤其是头、蹄、腋下等部位，总会残留一些绒毛，需要进一步处理。本项目采用蒸气燎毛系统，可使胴体表面</w:t>
      </w:r>
      <w:r>
        <w:rPr>
          <w:spacing w:val="-19"/>
          <w:sz w:val="24"/>
        </w:rPr>
        <w:t xml:space="preserve">脱毛率达 </w:t>
      </w:r>
      <w:r>
        <w:rPr>
          <w:sz w:val="24"/>
        </w:rPr>
        <w:t>100%，</w:t>
      </w:r>
      <w:r>
        <w:rPr>
          <w:spacing w:val="-1"/>
          <w:sz w:val="24"/>
        </w:rPr>
        <w:t xml:space="preserve">并可对胴体表面进行高温消毒。燎毛后进入清水池清洗去除残留猪毛， </w:t>
      </w:r>
      <w:r>
        <w:rPr>
          <w:sz w:val="24"/>
        </w:rPr>
        <w:t>用提升机把猪胴体送入生猪解剖线。</w:t>
      </w:r>
    </w:p>
    <w:p>
      <w:pPr>
        <w:pStyle w:val="30"/>
        <w:numPr>
          <w:ilvl w:val="2"/>
          <w:numId w:val="11"/>
        </w:numPr>
        <w:tabs>
          <w:tab w:val="left" w:pos="1921"/>
        </w:tabs>
        <w:spacing w:before="0" w:after="0" w:line="362" w:lineRule="auto"/>
        <w:ind w:left="840" w:right="930" w:firstLine="480"/>
        <w:jc w:val="left"/>
        <w:rPr>
          <w:sz w:val="24"/>
        </w:rPr>
      </w:pPr>
      <w:r>
        <w:rPr>
          <w:spacing w:val="-8"/>
          <w:sz w:val="24"/>
        </w:rPr>
        <w:t>部分剥皮：在用机器剥皮之前，必须先用手工进行预剥，即将机器不能剥到</w:t>
      </w:r>
      <w:r>
        <w:rPr>
          <w:spacing w:val="-4"/>
          <w:sz w:val="24"/>
        </w:rPr>
        <w:t>的部位，和上机时夹皮的部位用手工剥开。剥下的猪皮经盐腌制后，可直接外售。</w:t>
      </w:r>
    </w:p>
    <w:p>
      <w:pPr>
        <w:pStyle w:val="30"/>
        <w:numPr>
          <w:ilvl w:val="2"/>
          <w:numId w:val="11"/>
        </w:numPr>
        <w:tabs>
          <w:tab w:val="left" w:pos="1921"/>
        </w:tabs>
        <w:spacing w:before="1" w:after="0" w:line="364" w:lineRule="auto"/>
        <w:ind w:left="840" w:right="932" w:firstLine="480"/>
        <w:jc w:val="left"/>
        <w:rPr>
          <w:sz w:val="24"/>
        </w:rPr>
      </w:pPr>
      <w:r>
        <w:rPr>
          <w:spacing w:val="-11"/>
          <w:sz w:val="24"/>
        </w:rPr>
        <w:t>开胸骨、剖腹：开膛，取出红、白内脏，内脏分类收集，部分可进入熟食车间</w:t>
      </w:r>
      <w:r>
        <w:rPr>
          <w:sz w:val="24"/>
        </w:rPr>
        <w:t>进行深加工，部分需外排。</w:t>
      </w:r>
    </w:p>
    <w:p>
      <w:pPr>
        <w:pStyle w:val="30"/>
        <w:numPr>
          <w:ilvl w:val="2"/>
          <w:numId w:val="11"/>
        </w:numPr>
        <w:tabs>
          <w:tab w:val="left" w:pos="1921"/>
        </w:tabs>
        <w:spacing w:before="1" w:after="0" w:line="364" w:lineRule="auto"/>
        <w:ind w:left="840" w:right="810" w:firstLine="480"/>
        <w:jc w:val="left"/>
        <w:rPr>
          <w:sz w:val="24"/>
        </w:rPr>
      </w:pPr>
      <w:r>
        <w:rPr>
          <w:spacing w:val="-14"/>
          <w:sz w:val="24"/>
        </w:rPr>
        <w:t>劈半、冲淋：采用桥式劈半锯对生猪进行自动劈半，每劈一头猪后可自动消毒</w:t>
      </w:r>
      <w:r>
        <w:rPr>
          <w:spacing w:val="-4"/>
          <w:sz w:val="24"/>
        </w:rPr>
        <w:t>，有效的避免了交叉感染及骨屑及碎肉的产生，劈半后的胴体应立即用水冲洗干净，以免增加微生物的污染。</w:t>
      </w:r>
    </w:p>
    <w:p>
      <w:pPr>
        <w:spacing w:after="0" w:line="364" w:lineRule="auto"/>
        <w:jc w:val="left"/>
        <w:rPr>
          <w:sz w:val="24"/>
        </w:rPr>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8"/>
        <w:rPr>
          <w:sz w:val="12"/>
        </w:rPr>
      </w:pPr>
    </w:p>
    <w:p>
      <w:pPr>
        <w:pStyle w:val="30"/>
        <w:numPr>
          <w:ilvl w:val="2"/>
          <w:numId w:val="11"/>
        </w:numPr>
        <w:tabs>
          <w:tab w:val="left" w:pos="2041"/>
        </w:tabs>
        <w:spacing w:before="66" w:after="0" w:line="364" w:lineRule="auto"/>
        <w:ind w:left="840" w:right="932" w:firstLine="480"/>
        <w:jc w:val="left"/>
        <w:rPr>
          <w:sz w:val="24"/>
        </w:rPr>
      </w:pPr>
      <w:r>
        <w:rPr>
          <w:spacing w:val="-1"/>
          <w:sz w:val="24"/>
        </w:rPr>
        <w:t>修整、冲洗：修整范围包括修伤痕、除淤血及血凝块、修整颈肉、割除体腔</w:t>
      </w:r>
      <w:r>
        <w:rPr>
          <w:sz w:val="24"/>
        </w:rPr>
        <w:t>内残留的零碎块肪，割除胴体表面污垢，然后经冲洗去残留血渍、骨渣、毛等污物。</w:t>
      </w:r>
    </w:p>
    <w:p>
      <w:pPr>
        <w:pStyle w:val="30"/>
        <w:numPr>
          <w:ilvl w:val="2"/>
          <w:numId w:val="11"/>
        </w:numPr>
        <w:tabs>
          <w:tab w:val="left" w:pos="2041"/>
        </w:tabs>
        <w:spacing w:before="0" w:after="0" w:line="306" w:lineRule="exact"/>
        <w:ind w:left="2041" w:right="0" w:hanging="721"/>
        <w:jc w:val="left"/>
        <w:rPr>
          <w:sz w:val="24"/>
        </w:rPr>
      </w:pPr>
      <w:r>
        <w:rPr>
          <w:sz w:val="24"/>
        </w:rPr>
        <w:t>宰后检验：将猪的胴体、猪头、内脏、蹄等实施同步卫生检验。</w:t>
      </w:r>
    </w:p>
    <w:p>
      <w:pPr>
        <w:pStyle w:val="5"/>
        <w:spacing w:before="161" w:line="364" w:lineRule="auto"/>
        <w:ind w:left="840" w:right="932" w:firstLine="480"/>
        <w:jc w:val="both"/>
      </w:pPr>
      <w:r>
        <w:t>①合格的：检验合格作为食品的，其卫生检验、监督均依照《中华人民共和国食品卫生法》的规定办理。②不合格的：检出检疫部门公布的一类传染病、寄生虫病的阳性动物及与其同群的其他动物全群扑杀，并销毁尸体；检出检疫部门公布的二类传染病、寄生虫病的阳性动物应扑杀，同群其它动物在动物检疫隔离场和动植物检疫机关指定的地点继续隔离观察；检出一般性病害并超过规定标准的，可由专业技术人员按规程实施卫生无害化处理。</w:t>
      </w:r>
    </w:p>
    <w:p>
      <w:pPr>
        <w:pStyle w:val="30"/>
        <w:numPr>
          <w:ilvl w:val="2"/>
          <w:numId w:val="11"/>
        </w:numPr>
        <w:tabs>
          <w:tab w:val="left" w:pos="2041"/>
        </w:tabs>
        <w:spacing w:before="0" w:after="0" w:line="304" w:lineRule="exact"/>
        <w:ind w:left="2041" w:right="0" w:hanging="721"/>
        <w:jc w:val="left"/>
        <w:rPr>
          <w:sz w:val="24"/>
        </w:rPr>
      </w:pPr>
      <w:r>
        <w:rPr>
          <w:sz w:val="24"/>
        </w:rPr>
        <w:t>检验合格的猪肉、猪副产品盖章后出场销售。</w:t>
      </w:r>
    </w:p>
    <w:p>
      <w:pPr>
        <w:pStyle w:val="30"/>
        <w:numPr>
          <w:ilvl w:val="2"/>
          <w:numId w:val="11"/>
        </w:numPr>
        <w:tabs>
          <w:tab w:val="left" w:pos="2041"/>
        </w:tabs>
        <w:spacing w:before="158" w:after="0" w:line="364" w:lineRule="auto"/>
        <w:ind w:left="840" w:right="932" w:firstLine="480"/>
        <w:jc w:val="both"/>
        <w:rPr>
          <w:sz w:val="24"/>
        </w:rPr>
      </w:pPr>
      <w:r>
        <w:rPr>
          <w:spacing w:val="-1"/>
          <w:sz w:val="24"/>
        </w:rPr>
        <w:t>冷却排酸：符合鲜销和有条件食用的合格猪胴体盖章后，由输送链送到冷却</w:t>
      </w:r>
      <w:r>
        <w:rPr>
          <w:spacing w:val="-14"/>
          <w:sz w:val="24"/>
        </w:rPr>
        <w:t xml:space="preserve">排酸间，在 </w:t>
      </w:r>
      <w:r>
        <w:rPr>
          <w:sz w:val="24"/>
        </w:rPr>
        <w:t>0～4℃</w:t>
      </w:r>
      <w:r>
        <w:rPr>
          <w:spacing w:val="-5"/>
          <w:sz w:val="24"/>
        </w:rPr>
        <w:t>温度下冷却排酸。如生产分割鲜猪肉，则在排酸后猪胴体运至分割间</w:t>
      </w:r>
      <w:r>
        <w:rPr>
          <w:sz w:val="24"/>
        </w:rPr>
        <w:t>剔骨分割。</w:t>
      </w:r>
    </w:p>
    <w:p>
      <w:pPr>
        <w:pStyle w:val="30"/>
        <w:numPr>
          <w:ilvl w:val="2"/>
          <w:numId w:val="11"/>
        </w:numPr>
        <w:tabs>
          <w:tab w:val="left" w:pos="2041"/>
        </w:tabs>
        <w:spacing w:before="0" w:after="0" w:line="364" w:lineRule="auto"/>
        <w:ind w:left="840" w:right="887" w:firstLine="480"/>
        <w:jc w:val="both"/>
        <w:rPr>
          <w:sz w:val="24"/>
        </w:rPr>
      </w:pPr>
      <w:r>
        <w:rPr>
          <w:spacing w:val="-5"/>
          <w:sz w:val="24"/>
        </w:rPr>
        <w:t xml:space="preserve">剔骨分割、修整：剔骨是在 </w:t>
      </w:r>
      <w:r>
        <w:rPr>
          <w:sz w:val="24"/>
        </w:rPr>
        <w:t>8-10℃</w:t>
      </w:r>
      <w:r>
        <w:rPr>
          <w:spacing w:val="-1"/>
          <w:sz w:val="24"/>
        </w:rPr>
        <w:t>左右的操作间内对猪前、猪后进行剔骨。</w:t>
      </w:r>
      <w:r>
        <w:rPr>
          <w:sz w:val="24"/>
        </w:rPr>
        <w:t>剔骨的肌肉迅速进入分割间进行分割，分割温度不得高于剔骨操作间的温度。将猪胴体分割为颈部肉、前腿、里脊、五花等分割完全包装送入冷库。同时应修净碎骨、结缔组织、淋巴、淤血及其它杂质。</w:t>
      </w:r>
    </w:p>
    <w:p>
      <w:pPr>
        <w:pStyle w:val="30"/>
        <w:numPr>
          <w:ilvl w:val="2"/>
          <w:numId w:val="11"/>
        </w:numPr>
        <w:tabs>
          <w:tab w:val="left" w:pos="2041"/>
        </w:tabs>
        <w:spacing w:before="0" w:after="0" w:line="364" w:lineRule="auto"/>
        <w:ind w:left="1320" w:right="4787" w:firstLine="0"/>
        <w:jc w:val="left"/>
        <w:rPr>
          <w:sz w:val="24"/>
        </w:rPr>
      </w:pPr>
      <w:r>
        <w:rPr>
          <w:spacing w:val="-2"/>
          <w:sz w:val="24"/>
        </w:rPr>
        <w:t>病胴体处理：送无害化处理车间处理。</w:t>
      </w:r>
      <w:r>
        <w:rPr>
          <w:sz w:val="24"/>
        </w:rPr>
        <w:t>菜牛屠宰工艺大体同生猪，无脱毛工序。</w:t>
      </w:r>
    </w:p>
    <w:p>
      <w:pPr>
        <w:pStyle w:val="9"/>
        <w:spacing w:line="364" w:lineRule="auto"/>
        <w:ind w:left="1320" w:right="6865" w:hanging="480"/>
      </w:pPr>
      <w:bookmarkStart w:id="107" w:name="3.1.2熟食加工工艺流程及说明"/>
      <w:bookmarkEnd w:id="107"/>
      <w:r>
        <w:rPr>
          <w:rFonts w:ascii="Calibri" w:eastAsia="Calibri"/>
        </w:rPr>
        <w:t xml:space="preserve">3.1.2 </w:t>
      </w:r>
      <w:r>
        <w:t>熟食加工工艺流程及说明一、工艺流程图</w:t>
      </w:r>
    </w:p>
    <w:p>
      <w:pPr>
        <w:spacing w:before="0" w:line="364" w:lineRule="auto"/>
        <w:ind w:left="1320" w:right="5978" w:firstLine="0"/>
        <w:jc w:val="left"/>
        <w:rPr>
          <w:sz w:val="24"/>
        </w:rPr>
      </w:pPr>
      <w:r>
        <w:rPr>
          <w:sz w:val="24"/>
        </w:rPr>
        <w:t xml:space="preserve">熟食加工工艺流程图见图 </w:t>
      </w:r>
      <w:r>
        <w:rPr>
          <w:rFonts w:hint="eastAsia"/>
          <w:sz w:val="24"/>
          <w:lang w:val="en-US" w:eastAsia="zh-CN"/>
        </w:rPr>
        <w:t>2</w:t>
      </w:r>
      <w:r>
        <w:rPr>
          <w:sz w:val="24"/>
        </w:rPr>
        <w:t>-2。</w:t>
      </w:r>
    </w:p>
    <w:p>
      <w:pPr>
        <w:spacing w:before="0" w:line="364" w:lineRule="auto"/>
        <w:ind w:left="1320" w:right="5978" w:firstLine="0"/>
        <w:jc w:val="left"/>
        <w:rPr>
          <w:b/>
          <w:sz w:val="24"/>
        </w:rPr>
      </w:pPr>
      <w:r>
        <w:rPr>
          <w:b/>
          <w:sz w:val="24"/>
        </w:rPr>
        <w:t>二、工艺说明</w:t>
      </w:r>
    </w:p>
    <w:p>
      <w:pPr>
        <w:pStyle w:val="5"/>
        <w:spacing w:line="364" w:lineRule="auto"/>
        <w:ind w:left="840" w:right="932" w:firstLine="480"/>
        <w:jc w:val="both"/>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r>
        <w:rPr>
          <w:spacing w:val="-1"/>
        </w:rPr>
        <w:t>将原料肉缓化解冻，清洗分割，分割后将原料肉放入料车中进行食盐腌渍，腌渍时</w:t>
      </w:r>
      <w:r>
        <w:rPr>
          <w:spacing w:val="-9"/>
        </w:rPr>
        <w:t xml:space="preserve">进入搅拌机中搅拌均匀，并装入容器中腌渍，时间为 </w:t>
      </w:r>
      <w:r>
        <w:t>72</w:t>
      </w:r>
      <w:r>
        <w:rPr>
          <w:spacing w:val="-12"/>
        </w:rPr>
        <w:t xml:space="preserve"> 小时。腌后将肉放入绞肉机中绞</w:t>
      </w:r>
      <w:r>
        <w:rPr>
          <w:spacing w:val="-1"/>
        </w:rPr>
        <w:t>碎，并按比例将肉馅、辅料、调料放入拌料机中搅拌均匀，最后将拌好的原料肉馅通过真空灌肠机灌制成香肠。肠衣要洗净，粗细要均匀。将香肠挂在烤肠车上，送入烤炉内</w:t>
      </w:r>
      <w:r>
        <w:rPr>
          <w:spacing w:val="-2"/>
        </w:rPr>
        <w:t xml:space="preserve">进行熏制，采用空气能热泵烘干技术。炉温为 </w:t>
      </w:r>
      <w:r>
        <w:t>60</w:t>
      </w:r>
      <w:r>
        <w:rPr>
          <w:spacing w:val="-7"/>
        </w:rPr>
        <w:t xml:space="preserve">℃,时间为 </w:t>
      </w:r>
      <w:r>
        <w:t>8</w:t>
      </w:r>
      <w:r>
        <w:rPr>
          <w:spacing w:val="-7"/>
        </w:rPr>
        <w:t xml:space="preserve"> 小时左右方可出炉，冷却后送入无菌包装间进行真空包装、入库。</w:t>
      </w:r>
    </w:p>
    <w:p>
      <w:pPr>
        <w:pStyle w:val="5"/>
        <w:rPr>
          <w:sz w:val="20"/>
        </w:rPr>
      </w:pPr>
    </w:p>
    <w:p>
      <w:pPr>
        <w:pStyle w:val="5"/>
        <w:rPr>
          <w:sz w:val="20"/>
        </w:rPr>
      </w:pPr>
    </w:p>
    <w:p>
      <w:pPr>
        <w:pStyle w:val="5"/>
        <w:spacing w:before="1"/>
        <w:rPr>
          <w:sz w:val="21"/>
        </w:rPr>
      </w:pPr>
    </w:p>
    <w:p>
      <w:pPr>
        <w:pStyle w:val="5"/>
        <w:ind w:left="1801"/>
        <w:rPr>
          <w:sz w:val="20"/>
        </w:rPr>
      </w:pPr>
      <w:r>
        <w:rPr>
          <w:sz w:val="20"/>
        </w:rPr>
        <w:drawing>
          <wp:inline distT="0" distB="0" distL="0" distR="0">
            <wp:extent cx="5257800" cy="634365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21" cstate="print"/>
                    <a:stretch>
                      <a:fillRect/>
                    </a:stretch>
                  </pic:blipFill>
                  <pic:spPr>
                    <a:xfrm>
                      <a:off x="0" y="0"/>
                      <a:ext cx="5258023" cy="6343650"/>
                    </a:xfrm>
                    <a:prstGeom prst="rect">
                      <a:avLst/>
                    </a:prstGeom>
                  </pic:spPr>
                </pic:pic>
              </a:graphicData>
            </a:graphic>
          </wp:inline>
        </w:drawing>
      </w:r>
    </w:p>
    <w:p>
      <w:pPr>
        <w:pStyle w:val="5"/>
        <w:rPr>
          <w:sz w:val="20"/>
        </w:rPr>
      </w:pPr>
    </w:p>
    <w:p>
      <w:pPr>
        <w:pStyle w:val="5"/>
        <w:rPr>
          <w:sz w:val="19"/>
        </w:rPr>
      </w:pPr>
    </w:p>
    <w:p>
      <w:pPr>
        <w:pStyle w:val="9"/>
        <w:ind w:left="2731" w:firstLine="0"/>
      </w:pPr>
      <w:r>
        <w:t>图</w:t>
      </w:r>
      <w:r>
        <w:rPr>
          <w:rFonts w:hint="eastAsia"/>
          <w:lang w:val="en-US" w:eastAsia="zh-CN"/>
        </w:rPr>
        <w:t>2-2</w:t>
      </w:r>
      <w:r>
        <w:t xml:space="preserve"> 灌肠制品加工工艺流程图</w:t>
      </w:r>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964" w:firstLineChars="400"/>
        <w:textAlignment w:val="auto"/>
        <w:rPr>
          <w:rFonts w:hint="eastAsia"/>
          <w:b/>
          <w:color w:val="auto"/>
          <w:lang w:val="en-US" w:eastAsia="zh-CN"/>
        </w:rPr>
      </w:pPr>
      <w:r>
        <w:rPr>
          <w:rFonts w:hint="eastAsia"/>
          <w:b/>
          <w:color w:val="auto"/>
          <w:lang w:val="en-US" w:eastAsia="zh-CN"/>
        </w:rPr>
        <w:t>3.1.3 污水处理工艺</w:t>
      </w:r>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964" w:firstLineChars="400"/>
        <w:textAlignment w:val="auto"/>
        <w:rPr>
          <w:rFonts w:hint="eastAsia"/>
          <w:b/>
          <w:color w:val="auto"/>
          <w:lang w:val="en-US" w:eastAsia="zh-CN"/>
        </w:rPr>
      </w:pPr>
      <w:r>
        <w:rPr>
          <w:rFonts w:hint="eastAsia"/>
          <w:b/>
          <w:color w:val="auto"/>
          <w:lang w:val="en-US" w:eastAsia="zh-CN"/>
        </w:rPr>
        <w:t>一、工艺流程图</w:t>
      </w:r>
    </w:p>
    <w:p>
      <w:pPr>
        <w:pStyle w:val="5"/>
        <w:jc w:val="center"/>
        <w:rPr>
          <w:rFonts w:hint="eastAsia"/>
          <w:b/>
          <w:color w:val="FF0000"/>
          <w:lang w:val="en-US" w:eastAsia="zh-CN"/>
        </w:rPr>
      </w:pPr>
      <w:r>
        <w:rPr>
          <w:rFonts w:hint="eastAsia"/>
          <w:b/>
          <w:color w:val="FF0000"/>
          <w:lang w:val="en-US" w:eastAsia="zh-CN"/>
        </w:rPr>
        <w:drawing>
          <wp:inline distT="0" distB="0" distL="114300" distR="114300">
            <wp:extent cx="6280150" cy="2334260"/>
            <wp:effectExtent l="0" t="0" r="6350" b="8890"/>
            <wp:docPr id="6" name="图片 6" descr="16093178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09317844(1)"/>
                    <pic:cNvPicPr>
                      <a:picLocks noChangeAspect="1"/>
                    </pic:cNvPicPr>
                  </pic:nvPicPr>
                  <pic:blipFill>
                    <a:blip r:embed="rId22"/>
                    <a:stretch>
                      <a:fillRect/>
                    </a:stretch>
                  </pic:blipFill>
                  <pic:spPr>
                    <a:xfrm>
                      <a:off x="0" y="0"/>
                      <a:ext cx="6280150" cy="2334260"/>
                    </a:xfrm>
                    <a:prstGeom prst="rect">
                      <a:avLst/>
                    </a:prstGeom>
                  </pic:spPr>
                </pic:pic>
              </a:graphicData>
            </a:graphic>
          </wp:inline>
        </w:drawing>
      </w:r>
    </w:p>
    <w:p>
      <w:pPr>
        <w:pStyle w:val="5"/>
        <w:jc w:val="center"/>
        <w:rPr>
          <w:rFonts w:hint="default"/>
          <w:b/>
          <w:color w:val="auto"/>
          <w:lang w:val="en-US" w:eastAsia="zh-CN"/>
        </w:rPr>
      </w:pPr>
      <w:r>
        <w:rPr>
          <w:rFonts w:hint="eastAsia"/>
          <w:b/>
          <w:color w:val="auto"/>
          <w:lang w:val="en-US" w:eastAsia="zh-CN"/>
        </w:rPr>
        <w:t>图2-3 污水处理工艺流程图</w:t>
      </w:r>
    </w:p>
    <w:p>
      <w:pPr>
        <w:pStyle w:val="5"/>
        <w:keepNext w:val="0"/>
        <w:keepLines w:val="0"/>
        <w:pageBreakBefore w:val="0"/>
        <w:widowControl w:val="0"/>
        <w:numPr>
          <w:ilvl w:val="0"/>
          <w:numId w:val="12"/>
        </w:numPr>
        <w:kinsoku/>
        <w:wordWrap/>
        <w:overflowPunct/>
        <w:topLinePunct w:val="0"/>
        <w:autoSpaceDE w:val="0"/>
        <w:autoSpaceDN w:val="0"/>
        <w:bidi w:val="0"/>
        <w:adjustRightInd/>
        <w:snapToGrid/>
        <w:spacing w:line="360" w:lineRule="auto"/>
        <w:ind w:left="1100" w:leftChars="500" w:firstLine="0" w:firstLineChars="0"/>
        <w:textAlignment w:val="auto"/>
        <w:rPr>
          <w:rFonts w:hint="eastAsia"/>
          <w:b/>
          <w:color w:val="auto"/>
          <w:lang w:val="en-US" w:eastAsia="zh-CN"/>
        </w:rPr>
      </w:pPr>
      <w:r>
        <w:rPr>
          <w:rFonts w:hint="eastAsia"/>
          <w:b/>
          <w:color w:val="auto"/>
          <w:lang w:val="en-US" w:eastAsia="zh-CN"/>
        </w:rPr>
        <w:t>工艺说明</w:t>
      </w:r>
    </w:p>
    <w:p>
      <w:pPr>
        <w:pStyle w:val="5"/>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100" w:leftChars="500" w:right="0" w:rightChars="0" w:firstLine="480" w:firstLineChars="200"/>
        <w:textAlignment w:val="auto"/>
        <w:rPr>
          <w:rFonts w:hint="default"/>
          <w:b/>
          <w:color w:val="auto"/>
          <w:lang w:val="en-US" w:eastAsia="zh-CN"/>
        </w:rPr>
      </w:pPr>
      <w:r>
        <w:rPr>
          <w:rFonts w:hint="eastAsia" w:ascii="宋体" w:hAnsi="宋体"/>
          <w:color w:val="auto"/>
        </w:rPr>
        <w:t>本项目废水经过预处理后经管网收集进入格栅池中，进一步去除部分碎肉、纸屑等大颗粒物质，然后进入调节池中，使废水充分混合均匀。然后通过水泵泵入厌氧池中将大颗粒有机物处理成可生化性较好的小颗粒物质，之后进入长满好氧微生物的好氧池中进一步深度处理，再进入消毒池中消毒达标后经园区污水管网排入</w:t>
      </w:r>
      <w:r>
        <w:rPr>
          <w:rFonts w:hint="eastAsia" w:ascii="宋体" w:hAnsi="宋体"/>
          <w:color w:val="auto"/>
          <w:lang w:eastAsia="zh-CN"/>
        </w:rPr>
        <w:t>污水处理厂进一步处理</w:t>
      </w:r>
      <w:r>
        <w:rPr>
          <w:rFonts w:hint="eastAsia" w:ascii="宋体" w:hAnsi="宋体"/>
          <w:color w:val="auto"/>
        </w:rPr>
        <w:t>，</w:t>
      </w:r>
      <w:r>
        <w:rPr>
          <w:rFonts w:hint="eastAsia" w:ascii="宋体" w:hAnsi="宋体"/>
          <w:color w:val="auto"/>
          <w:lang w:eastAsia="zh-CN"/>
        </w:rPr>
        <w:t>最后</w:t>
      </w:r>
      <w:r>
        <w:rPr>
          <w:rFonts w:hint="eastAsia" w:ascii="宋体" w:hAnsi="宋体"/>
          <w:color w:val="auto"/>
        </w:rPr>
        <w:t>再汇入袁河。</w:t>
      </w:r>
    </w:p>
    <w:p>
      <w:pPr>
        <w:pStyle w:val="8"/>
        <w:numPr>
          <w:ilvl w:val="1"/>
          <w:numId w:val="11"/>
        </w:numPr>
        <w:tabs>
          <w:tab w:val="left" w:pos="1469"/>
        </w:tabs>
        <w:spacing w:before="0" w:after="0" w:line="240" w:lineRule="auto"/>
        <w:ind w:left="1468" w:right="0" w:hanging="629"/>
        <w:jc w:val="left"/>
        <w:rPr>
          <w:rFonts w:ascii="Times New Roman" w:eastAsia="Times New Roman"/>
        </w:rPr>
      </w:pPr>
      <w:bookmarkStart w:id="108" w:name="_bookmark24"/>
      <w:bookmarkEnd w:id="108"/>
      <w:bookmarkStart w:id="109" w:name="_bookmark24"/>
      <w:bookmarkEnd w:id="109"/>
      <w:bookmarkStart w:id="110" w:name="2.10 企业周边环境风险受体调查"/>
      <w:bookmarkEnd w:id="110"/>
      <w:bookmarkStart w:id="111" w:name="_Toc24281"/>
      <w:bookmarkStart w:id="112" w:name="_Toc4799"/>
      <w:r>
        <w:t>企业周边环境风险受体调查</w:t>
      </w:r>
      <w:bookmarkEnd w:id="111"/>
      <w:bookmarkEnd w:id="112"/>
    </w:p>
    <w:p>
      <w:pPr>
        <w:pStyle w:val="5"/>
        <w:spacing w:before="233" w:line="362" w:lineRule="auto"/>
        <w:ind w:left="840" w:right="932" w:firstLine="480"/>
      </w:pPr>
      <w:r>
        <w:t>根据区域环境情况，厂区靠近宜水，考虑厂区实际生产情况，应急环境风险因素主要为大气环境、水环境。根据调查，厂区周边环境风险受体情况如下：</w:t>
      </w:r>
    </w:p>
    <w:p>
      <w:pPr>
        <w:spacing w:after="0" w:line="362" w:lineRule="auto"/>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8"/>
        <w:rPr>
          <w:sz w:val="12"/>
        </w:rPr>
      </w:pPr>
    </w:p>
    <w:p>
      <w:pPr>
        <w:pStyle w:val="9"/>
        <w:spacing w:before="66"/>
        <w:ind w:left="0" w:right="78" w:firstLine="0"/>
        <w:jc w:val="center"/>
      </w:pPr>
      <w:r>
        <w:t>表 2-</w:t>
      </w:r>
      <w:r>
        <w:rPr>
          <w:rFonts w:hint="eastAsia"/>
          <w:lang w:val="en-US" w:eastAsia="zh-CN"/>
        </w:rPr>
        <w:t>8</w:t>
      </w:r>
      <w:r>
        <w:t xml:space="preserve"> 厂区周边环境风险受体情况一览表</w:t>
      </w:r>
    </w:p>
    <w:tbl>
      <w:tblPr>
        <w:tblStyle w:val="14"/>
        <w:tblW w:w="9955"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2"/>
        <w:gridCol w:w="1755"/>
        <w:gridCol w:w="1276"/>
        <w:gridCol w:w="1830"/>
        <w:gridCol w:w="1302"/>
        <w:gridCol w:w="2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1222" w:type="dxa"/>
            <w:vMerge w:val="restart"/>
            <w:tcBorders>
              <w:tl2br w:val="nil"/>
              <w:tr2bl w:val="nil"/>
            </w:tcBorders>
          </w:tcPr>
          <w:p>
            <w:pPr>
              <w:pStyle w:val="31"/>
              <w:spacing w:before="24"/>
              <w:ind w:left="192" w:right="185"/>
              <w:rPr>
                <w:sz w:val="21"/>
              </w:rPr>
            </w:pPr>
            <w:r>
              <w:rPr>
                <w:sz w:val="21"/>
              </w:rPr>
              <w:t>环境要素</w:t>
            </w:r>
          </w:p>
        </w:tc>
        <w:tc>
          <w:tcPr>
            <w:tcW w:w="1755" w:type="dxa"/>
            <w:vMerge w:val="restart"/>
            <w:tcBorders>
              <w:tl2br w:val="nil"/>
              <w:tr2bl w:val="nil"/>
            </w:tcBorders>
          </w:tcPr>
          <w:p>
            <w:pPr>
              <w:pStyle w:val="31"/>
              <w:spacing w:before="24"/>
              <w:ind w:left="192" w:right="185"/>
              <w:rPr>
                <w:sz w:val="21"/>
              </w:rPr>
            </w:pPr>
            <w:r>
              <w:rPr>
                <w:sz w:val="21"/>
              </w:rPr>
              <w:t>环境保护目标</w:t>
            </w:r>
          </w:p>
        </w:tc>
        <w:tc>
          <w:tcPr>
            <w:tcW w:w="3106" w:type="dxa"/>
            <w:gridSpan w:val="2"/>
            <w:tcBorders>
              <w:tl2br w:val="nil"/>
              <w:tr2bl w:val="nil"/>
            </w:tcBorders>
          </w:tcPr>
          <w:p>
            <w:pPr>
              <w:pStyle w:val="31"/>
              <w:spacing w:before="24"/>
              <w:ind w:left="192" w:right="185"/>
              <w:rPr>
                <w:sz w:val="21"/>
              </w:rPr>
            </w:pPr>
            <w:r>
              <w:rPr>
                <w:sz w:val="21"/>
              </w:rPr>
              <w:t>拟建设项目</w:t>
            </w:r>
          </w:p>
        </w:tc>
        <w:tc>
          <w:tcPr>
            <w:tcW w:w="1302" w:type="dxa"/>
            <w:vMerge w:val="restart"/>
            <w:tcBorders>
              <w:tl2br w:val="nil"/>
              <w:tr2bl w:val="nil"/>
            </w:tcBorders>
          </w:tcPr>
          <w:p>
            <w:pPr>
              <w:pStyle w:val="31"/>
              <w:spacing w:before="24"/>
              <w:ind w:left="192" w:right="185"/>
              <w:rPr>
                <w:sz w:val="21"/>
              </w:rPr>
            </w:pPr>
            <w:r>
              <w:rPr>
                <w:sz w:val="21"/>
              </w:rPr>
              <w:t>规模</w:t>
            </w:r>
          </w:p>
        </w:tc>
        <w:tc>
          <w:tcPr>
            <w:tcW w:w="2570" w:type="dxa"/>
            <w:vMerge w:val="restart"/>
            <w:tcBorders>
              <w:tl2br w:val="nil"/>
              <w:tr2bl w:val="nil"/>
            </w:tcBorders>
          </w:tcPr>
          <w:p>
            <w:pPr>
              <w:pStyle w:val="31"/>
              <w:spacing w:before="24"/>
              <w:ind w:left="192" w:right="185"/>
              <w:rPr>
                <w:sz w:val="21"/>
              </w:rPr>
            </w:pPr>
            <w:r>
              <w:rPr>
                <w:sz w:val="21"/>
              </w:rPr>
              <w:t>环境功能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vMerge w:val="continue"/>
            <w:tcBorders>
              <w:tl2br w:val="nil"/>
              <w:tr2bl w:val="nil"/>
            </w:tcBorders>
          </w:tcPr>
          <w:p>
            <w:pPr>
              <w:rPr>
                <w:rFonts w:ascii="宋体" w:hAnsi="宋体" w:eastAsia="宋体" w:cs="宋体"/>
                <w:sz w:val="21"/>
                <w:szCs w:val="22"/>
                <w:lang w:val="zh-CN" w:eastAsia="zh-CN" w:bidi="zh-CN"/>
              </w:rPr>
            </w:pPr>
          </w:p>
        </w:tc>
        <w:tc>
          <w:tcPr>
            <w:tcW w:w="1276" w:type="dxa"/>
            <w:tcBorders>
              <w:tl2br w:val="nil"/>
              <w:tr2bl w:val="nil"/>
            </w:tcBorders>
          </w:tcPr>
          <w:p>
            <w:pPr>
              <w:pStyle w:val="31"/>
              <w:spacing w:before="1" w:line="251"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方位</w:t>
            </w:r>
          </w:p>
        </w:tc>
        <w:tc>
          <w:tcPr>
            <w:tcW w:w="1830" w:type="dxa"/>
            <w:tcBorders>
              <w:tl2br w:val="nil"/>
              <w:tr2bl w:val="nil"/>
            </w:tcBorders>
          </w:tcPr>
          <w:p>
            <w:pPr>
              <w:pStyle w:val="31"/>
              <w:spacing w:before="1" w:line="251" w:lineRule="exact"/>
              <w:ind w:left="87" w:right="117"/>
              <w:rPr>
                <w:rFonts w:ascii="宋体" w:hAnsi="宋体" w:eastAsia="宋体" w:cs="宋体"/>
                <w:sz w:val="21"/>
                <w:szCs w:val="22"/>
                <w:lang w:val="zh-CN" w:eastAsia="zh-CN" w:bidi="zh-CN"/>
              </w:rPr>
            </w:pPr>
            <w:r>
              <w:rPr>
                <w:rFonts w:ascii="宋体" w:hAnsi="宋体" w:eastAsia="宋体" w:cs="宋体"/>
                <w:sz w:val="21"/>
                <w:szCs w:val="22"/>
                <w:lang w:val="zh-CN" w:eastAsia="zh-CN" w:bidi="zh-CN"/>
              </w:rPr>
              <w:t>距厂界距离（m）</w:t>
            </w:r>
          </w:p>
        </w:tc>
        <w:tc>
          <w:tcPr>
            <w:tcW w:w="1302" w:type="dxa"/>
            <w:vMerge w:val="continue"/>
            <w:tcBorders>
              <w:tl2br w:val="nil"/>
              <w:tr2bl w:val="nil"/>
            </w:tcBorders>
          </w:tcPr>
          <w:p>
            <w:pPr>
              <w:rPr>
                <w:rFonts w:ascii="宋体" w:hAnsi="宋体" w:eastAsia="宋体" w:cs="宋体"/>
                <w:sz w:val="21"/>
                <w:szCs w:val="22"/>
                <w:lang w:val="zh-CN" w:eastAsia="zh-CN" w:bidi="zh-CN"/>
              </w:rPr>
            </w:pP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restart"/>
            <w:tcBorders>
              <w:tl2br w:val="nil"/>
              <w:tr2bl w:val="nil"/>
            </w:tcBorders>
          </w:tcPr>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水环境</w:t>
            </w:r>
          </w:p>
        </w:tc>
        <w:tc>
          <w:tcPr>
            <w:tcW w:w="1755"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袁河彬江水厂</w:t>
            </w:r>
          </w:p>
        </w:tc>
        <w:tc>
          <w:tcPr>
            <w:tcW w:w="1276"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东面</w:t>
            </w:r>
          </w:p>
        </w:tc>
        <w:tc>
          <w:tcPr>
            <w:tcW w:w="1830"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20000</w:t>
            </w:r>
          </w:p>
        </w:tc>
        <w:tc>
          <w:tcPr>
            <w:tcW w:w="1302"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4 万 t/d</w:t>
            </w:r>
          </w:p>
        </w:tc>
        <w:tc>
          <w:tcPr>
            <w:tcW w:w="2570" w:type="dxa"/>
            <w:vMerge w:val="restart"/>
            <w:tcBorders>
              <w:tl2br w:val="nil"/>
              <w:tr2bl w:val="nil"/>
            </w:tcBorders>
          </w:tcPr>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（GB3838-2002）III 类水</w:t>
            </w:r>
          </w:p>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42"/>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渥江</w:t>
            </w:r>
          </w:p>
        </w:tc>
        <w:tc>
          <w:tcPr>
            <w:tcW w:w="1276" w:type="dxa"/>
            <w:tcBorders>
              <w:tl2br w:val="nil"/>
              <w:tr2bl w:val="nil"/>
            </w:tcBorders>
          </w:tcPr>
          <w:p>
            <w:pPr>
              <w:pStyle w:val="31"/>
              <w:spacing w:before="42"/>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东面</w:t>
            </w:r>
          </w:p>
        </w:tc>
        <w:tc>
          <w:tcPr>
            <w:tcW w:w="1830" w:type="dxa"/>
            <w:tcBorders>
              <w:tl2br w:val="nil"/>
              <w:tr2bl w:val="nil"/>
            </w:tcBorders>
          </w:tcPr>
          <w:p>
            <w:pPr>
              <w:pStyle w:val="31"/>
              <w:spacing w:before="42"/>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2700</w:t>
            </w:r>
          </w:p>
        </w:tc>
        <w:tc>
          <w:tcPr>
            <w:tcW w:w="1302" w:type="dxa"/>
            <w:tcBorders>
              <w:tl2br w:val="nil"/>
              <w:tr2bl w:val="nil"/>
            </w:tcBorders>
          </w:tcPr>
          <w:p>
            <w:pPr>
              <w:pStyle w:val="31"/>
              <w:spacing w:before="42"/>
              <w:ind w:left="205"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小河</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袁河</w:t>
            </w:r>
          </w:p>
        </w:tc>
        <w:tc>
          <w:tcPr>
            <w:tcW w:w="1276" w:type="dxa"/>
            <w:tcBorders>
              <w:tl2br w:val="nil"/>
              <w:tr2bl w:val="nil"/>
            </w:tcBorders>
          </w:tcPr>
          <w:p>
            <w:pPr>
              <w:pStyle w:val="31"/>
              <w:spacing w:before="1" w:line="252"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南面</w:t>
            </w:r>
          </w:p>
        </w:tc>
        <w:tc>
          <w:tcPr>
            <w:tcW w:w="1830" w:type="dxa"/>
            <w:tcBorders>
              <w:tl2br w:val="nil"/>
              <w:tr2bl w:val="nil"/>
            </w:tcBorders>
          </w:tcPr>
          <w:p>
            <w:pPr>
              <w:pStyle w:val="31"/>
              <w:spacing w:before="1"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9300</w:t>
            </w:r>
          </w:p>
        </w:tc>
        <w:tc>
          <w:tcPr>
            <w:tcW w:w="1302" w:type="dxa"/>
            <w:tcBorders>
              <w:tl2br w:val="nil"/>
              <w:tr2bl w:val="nil"/>
            </w:tcBorders>
          </w:tcPr>
          <w:p>
            <w:pPr>
              <w:pStyle w:val="31"/>
              <w:spacing w:before="1" w:line="252" w:lineRule="exact"/>
              <w:ind w:left="205"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中河</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222" w:type="dxa"/>
            <w:vMerge w:val="restart"/>
            <w:tcBorders>
              <w:tl2br w:val="nil"/>
              <w:tr2bl w:val="nil"/>
            </w:tcBorders>
          </w:tcPr>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环境空气及风险</w:t>
            </w:r>
          </w:p>
        </w:tc>
        <w:tc>
          <w:tcPr>
            <w:tcW w:w="1755"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陈家</w:t>
            </w:r>
          </w:p>
        </w:tc>
        <w:tc>
          <w:tcPr>
            <w:tcW w:w="1276"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东南</w:t>
            </w:r>
          </w:p>
        </w:tc>
        <w:tc>
          <w:tcPr>
            <w:tcW w:w="1830"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270</w:t>
            </w:r>
          </w:p>
        </w:tc>
        <w:tc>
          <w:tcPr>
            <w:tcW w:w="1302"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300</w:t>
            </w:r>
          </w:p>
        </w:tc>
        <w:tc>
          <w:tcPr>
            <w:tcW w:w="2570" w:type="dxa"/>
            <w:vMerge w:val="restart"/>
            <w:tcBorders>
              <w:tl2br w:val="nil"/>
              <w:tr2bl w:val="nil"/>
            </w:tcBorders>
          </w:tcPr>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p>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（GB3095-2012）二类区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36"/>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台立上</w:t>
            </w:r>
          </w:p>
        </w:tc>
        <w:tc>
          <w:tcPr>
            <w:tcW w:w="1276" w:type="dxa"/>
            <w:tcBorders>
              <w:tl2br w:val="nil"/>
              <w:tr2bl w:val="nil"/>
            </w:tcBorders>
          </w:tcPr>
          <w:p>
            <w:pPr>
              <w:pStyle w:val="31"/>
              <w:spacing w:before="36"/>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w:t>
            </w:r>
          </w:p>
        </w:tc>
        <w:tc>
          <w:tcPr>
            <w:tcW w:w="1830" w:type="dxa"/>
            <w:tcBorders>
              <w:tl2br w:val="nil"/>
              <w:tr2bl w:val="nil"/>
            </w:tcBorders>
          </w:tcPr>
          <w:p>
            <w:pPr>
              <w:pStyle w:val="31"/>
              <w:spacing w:before="36"/>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1138</w:t>
            </w:r>
          </w:p>
        </w:tc>
        <w:tc>
          <w:tcPr>
            <w:tcW w:w="1302" w:type="dxa"/>
            <w:tcBorders>
              <w:tl2br w:val="nil"/>
              <w:tr2bl w:val="nil"/>
            </w:tcBorders>
          </w:tcPr>
          <w:p>
            <w:pPr>
              <w:pStyle w:val="31"/>
              <w:spacing w:before="36"/>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650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24"/>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焦溪村</w:t>
            </w:r>
          </w:p>
        </w:tc>
        <w:tc>
          <w:tcPr>
            <w:tcW w:w="1276"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w:t>
            </w:r>
          </w:p>
        </w:tc>
        <w:tc>
          <w:tcPr>
            <w:tcW w:w="1830" w:type="dxa"/>
            <w:tcBorders>
              <w:tl2br w:val="nil"/>
              <w:tr2bl w:val="nil"/>
            </w:tcBorders>
          </w:tcPr>
          <w:p>
            <w:pPr>
              <w:pStyle w:val="31"/>
              <w:spacing w:before="24"/>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1630</w:t>
            </w:r>
          </w:p>
        </w:tc>
        <w:tc>
          <w:tcPr>
            <w:tcW w:w="1302" w:type="dxa"/>
            <w:tcBorders>
              <w:tl2br w:val="nil"/>
              <w:tr2bl w:val="nil"/>
            </w:tcBorders>
          </w:tcPr>
          <w:p>
            <w:pPr>
              <w:pStyle w:val="31"/>
              <w:spacing w:before="24"/>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336</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焦溪</w:t>
            </w:r>
          </w:p>
        </w:tc>
        <w:tc>
          <w:tcPr>
            <w:tcW w:w="1276" w:type="dxa"/>
            <w:tcBorders>
              <w:tl2br w:val="nil"/>
              <w:tr2bl w:val="nil"/>
            </w:tcBorders>
          </w:tcPr>
          <w:p>
            <w:pPr>
              <w:pStyle w:val="31"/>
              <w:spacing w:before="1" w:line="252"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w:t>
            </w:r>
          </w:p>
        </w:tc>
        <w:tc>
          <w:tcPr>
            <w:tcW w:w="1830" w:type="dxa"/>
            <w:tcBorders>
              <w:tl2br w:val="nil"/>
              <w:tr2bl w:val="nil"/>
            </w:tcBorders>
          </w:tcPr>
          <w:p>
            <w:pPr>
              <w:pStyle w:val="31"/>
              <w:spacing w:before="1"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2280</w:t>
            </w:r>
          </w:p>
        </w:tc>
        <w:tc>
          <w:tcPr>
            <w:tcW w:w="1302" w:type="dxa"/>
            <w:tcBorders>
              <w:tl2br w:val="nil"/>
              <w:tr2bl w:val="nil"/>
            </w:tcBorders>
          </w:tcPr>
          <w:p>
            <w:pPr>
              <w:pStyle w:val="31"/>
              <w:spacing w:before="1"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2200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白竹</w:t>
            </w:r>
          </w:p>
        </w:tc>
        <w:tc>
          <w:tcPr>
            <w:tcW w:w="1276" w:type="dxa"/>
            <w:tcBorders>
              <w:tl2br w:val="nil"/>
              <w:tr2bl w:val="nil"/>
            </w:tcBorders>
          </w:tcPr>
          <w:p>
            <w:pPr>
              <w:pStyle w:val="31"/>
              <w:spacing w:line="252"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w:t>
            </w:r>
          </w:p>
        </w:tc>
        <w:tc>
          <w:tcPr>
            <w:tcW w:w="1830" w:type="dxa"/>
            <w:tcBorders>
              <w:tl2br w:val="nil"/>
              <w:tr2bl w:val="nil"/>
            </w:tcBorders>
          </w:tcPr>
          <w:p>
            <w:pPr>
              <w:pStyle w:val="31"/>
              <w:spacing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3000</w:t>
            </w:r>
          </w:p>
        </w:tc>
        <w:tc>
          <w:tcPr>
            <w:tcW w:w="1302" w:type="dxa"/>
            <w:tcBorders>
              <w:tl2br w:val="nil"/>
              <w:tr2bl w:val="nil"/>
            </w:tcBorders>
          </w:tcPr>
          <w:p>
            <w:pPr>
              <w:pStyle w:val="31"/>
              <w:spacing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1300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36"/>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窑山上</w:t>
            </w:r>
          </w:p>
        </w:tc>
        <w:tc>
          <w:tcPr>
            <w:tcW w:w="1276" w:type="dxa"/>
            <w:tcBorders>
              <w:tl2br w:val="nil"/>
              <w:tr2bl w:val="nil"/>
            </w:tcBorders>
          </w:tcPr>
          <w:p>
            <w:pPr>
              <w:pStyle w:val="31"/>
              <w:spacing w:before="36"/>
              <w:ind w:left="190"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东北偏东</w:t>
            </w:r>
          </w:p>
        </w:tc>
        <w:tc>
          <w:tcPr>
            <w:tcW w:w="1830" w:type="dxa"/>
            <w:tcBorders>
              <w:tl2br w:val="nil"/>
              <w:tr2bl w:val="nil"/>
            </w:tcBorders>
          </w:tcPr>
          <w:p>
            <w:pPr>
              <w:pStyle w:val="31"/>
              <w:spacing w:before="36"/>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2500</w:t>
            </w:r>
          </w:p>
        </w:tc>
        <w:tc>
          <w:tcPr>
            <w:tcW w:w="1302" w:type="dxa"/>
            <w:tcBorders>
              <w:tl2br w:val="nil"/>
              <w:tr2bl w:val="nil"/>
            </w:tcBorders>
          </w:tcPr>
          <w:p>
            <w:pPr>
              <w:pStyle w:val="31"/>
              <w:spacing w:before="36"/>
              <w:ind w:left="8"/>
              <w:rPr>
                <w:rFonts w:ascii="宋体" w:hAnsi="宋体" w:eastAsia="宋体" w:cs="宋体"/>
                <w:sz w:val="21"/>
                <w:szCs w:val="22"/>
                <w:lang w:val="zh-CN" w:eastAsia="zh-CN" w:bidi="zh-CN"/>
              </w:rPr>
            </w:pPr>
            <w:r>
              <w:rPr>
                <w:rFonts w:ascii="宋体" w:hAnsi="宋体" w:eastAsia="宋体" w:cs="宋体"/>
                <w:sz w:val="21"/>
                <w:szCs w:val="22"/>
                <w:lang w:val="zh-CN" w:eastAsia="zh-CN" w:bidi="zh-CN"/>
              </w:rPr>
              <w:t>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3"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路虎岭</w:t>
            </w:r>
          </w:p>
        </w:tc>
        <w:tc>
          <w:tcPr>
            <w:tcW w:w="1276" w:type="dxa"/>
            <w:tcBorders>
              <w:tl2br w:val="nil"/>
              <w:tr2bl w:val="nil"/>
            </w:tcBorders>
          </w:tcPr>
          <w:p>
            <w:pPr>
              <w:pStyle w:val="31"/>
              <w:spacing w:line="253"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w:t>
            </w:r>
          </w:p>
        </w:tc>
        <w:tc>
          <w:tcPr>
            <w:tcW w:w="1830" w:type="dxa"/>
            <w:tcBorders>
              <w:tl2br w:val="nil"/>
              <w:tr2bl w:val="nil"/>
            </w:tcBorders>
          </w:tcPr>
          <w:p>
            <w:pPr>
              <w:pStyle w:val="31"/>
              <w:spacing w:line="253"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1138</w:t>
            </w:r>
          </w:p>
        </w:tc>
        <w:tc>
          <w:tcPr>
            <w:tcW w:w="1302" w:type="dxa"/>
            <w:tcBorders>
              <w:tl2br w:val="nil"/>
              <w:tr2bl w:val="nil"/>
            </w:tcBorders>
          </w:tcPr>
          <w:p>
            <w:pPr>
              <w:pStyle w:val="31"/>
              <w:spacing w:line="253" w:lineRule="exact"/>
              <w:ind w:left="210"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98 人</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5" w:line="260"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院坑里</w:t>
            </w:r>
          </w:p>
        </w:tc>
        <w:tc>
          <w:tcPr>
            <w:tcW w:w="1276" w:type="dxa"/>
            <w:tcBorders>
              <w:tl2br w:val="nil"/>
              <w:tr2bl w:val="nil"/>
            </w:tcBorders>
          </w:tcPr>
          <w:p>
            <w:pPr>
              <w:pStyle w:val="31"/>
              <w:spacing w:before="5" w:line="260"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w:t>
            </w:r>
          </w:p>
        </w:tc>
        <w:tc>
          <w:tcPr>
            <w:tcW w:w="1830" w:type="dxa"/>
            <w:tcBorders>
              <w:tl2br w:val="nil"/>
              <w:tr2bl w:val="nil"/>
            </w:tcBorders>
          </w:tcPr>
          <w:p>
            <w:pPr>
              <w:pStyle w:val="31"/>
              <w:spacing w:before="5" w:line="260"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2800</w:t>
            </w:r>
          </w:p>
        </w:tc>
        <w:tc>
          <w:tcPr>
            <w:tcW w:w="1302" w:type="dxa"/>
            <w:tcBorders>
              <w:tl2br w:val="nil"/>
              <w:tr2bl w:val="nil"/>
            </w:tcBorders>
          </w:tcPr>
          <w:p>
            <w:pPr>
              <w:pStyle w:val="31"/>
              <w:spacing w:before="5" w:line="260"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210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罗寿山</w:t>
            </w:r>
          </w:p>
        </w:tc>
        <w:tc>
          <w:tcPr>
            <w:tcW w:w="1276" w:type="dxa"/>
            <w:tcBorders>
              <w:tl2br w:val="nil"/>
              <w:tr2bl w:val="nil"/>
            </w:tcBorders>
          </w:tcPr>
          <w:p>
            <w:pPr>
              <w:pStyle w:val="31"/>
              <w:spacing w:line="252"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东北</w:t>
            </w:r>
          </w:p>
        </w:tc>
        <w:tc>
          <w:tcPr>
            <w:tcW w:w="1830" w:type="dxa"/>
            <w:tcBorders>
              <w:tl2br w:val="nil"/>
              <w:tr2bl w:val="nil"/>
            </w:tcBorders>
          </w:tcPr>
          <w:p>
            <w:pPr>
              <w:pStyle w:val="31"/>
              <w:spacing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2500</w:t>
            </w:r>
          </w:p>
        </w:tc>
        <w:tc>
          <w:tcPr>
            <w:tcW w:w="1302" w:type="dxa"/>
            <w:tcBorders>
              <w:tl2br w:val="nil"/>
              <w:tr2bl w:val="nil"/>
            </w:tcBorders>
          </w:tcPr>
          <w:p>
            <w:pPr>
              <w:pStyle w:val="31"/>
              <w:spacing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960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 w:line="250"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国家塘</w:t>
            </w:r>
          </w:p>
        </w:tc>
        <w:tc>
          <w:tcPr>
            <w:tcW w:w="1276" w:type="dxa"/>
            <w:tcBorders>
              <w:tl2br w:val="nil"/>
              <w:tr2bl w:val="nil"/>
            </w:tcBorders>
          </w:tcPr>
          <w:p>
            <w:pPr>
              <w:pStyle w:val="31"/>
              <w:spacing w:before="1" w:line="250"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东南</w:t>
            </w:r>
          </w:p>
        </w:tc>
        <w:tc>
          <w:tcPr>
            <w:tcW w:w="1830" w:type="dxa"/>
            <w:tcBorders>
              <w:tl2br w:val="nil"/>
              <w:tr2bl w:val="nil"/>
            </w:tcBorders>
          </w:tcPr>
          <w:p>
            <w:pPr>
              <w:pStyle w:val="31"/>
              <w:spacing w:before="1" w:line="250"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2280</w:t>
            </w:r>
          </w:p>
        </w:tc>
        <w:tc>
          <w:tcPr>
            <w:tcW w:w="1302" w:type="dxa"/>
            <w:tcBorders>
              <w:tl2br w:val="nil"/>
              <w:tr2bl w:val="nil"/>
            </w:tcBorders>
          </w:tcPr>
          <w:p>
            <w:pPr>
              <w:pStyle w:val="31"/>
              <w:spacing w:before="1" w:line="250"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110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24"/>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罗卜石</w:t>
            </w:r>
          </w:p>
        </w:tc>
        <w:tc>
          <w:tcPr>
            <w:tcW w:w="1276" w:type="dxa"/>
            <w:tcBorders>
              <w:tl2br w:val="nil"/>
              <w:tr2bl w:val="nil"/>
            </w:tcBorders>
          </w:tcPr>
          <w:p>
            <w:pPr>
              <w:pStyle w:val="31"/>
              <w:spacing w:before="24"/>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南</w:t>
            </w:r>
          </w:p>
        </w:tc>
        <w:tc>
          <w:tcPr>
            <w:tcW w:w="1830" w:type="dxa"/>
            <w:tcBorders>
              <w:tl2br w:val="nil"/>
              <w:tr2bl w:val="nil"/>
            </w:tcBorders>
          </w:tcPr>
          <w:p>
            <w:pPr>
              <w:pStyle w:val="31"/>
              <w:spacing w:before="24"/>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950</w:t>
            </w:r>
          </w:p>
        </w:tc>
        <w:tc>
          <w:tcPr>
            <w:tcW w:w="1302" w:type="dxa"/>
            <w:tcBorders>
              <w:tl2br w:val="nil"/>
              <w:tr2bl w:val="nil"/>
            </w:tcBorders>
          </w:tcPr>
          <w:p>
            <w:pPr>
              <w:pStyle w:val="31"/>
              <w:spacing w:before="24"/>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200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5" w:line="258"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塘下</w:t>
            </w:r>
          </w:p>
        </w:tc>
        <w:tc>
          <w:tcPr>
            <w:tcW w:w="1276" w:type="dxa"/>
            <w:tcBorders>
              <w:tl2br w:val="nil"/>
              <w:tr2bl w:val="nil"/>
            </w:tcBorders>
          </w:tcPr>
          <w:p>
            <w:pPr>
              <w:pStyle w:val="31"/>
              <w:spacing w:before="5" w:line="258" w:lineRule="exact"/>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北</w:t>
            </w:r>
          </w:p>
        </w:tc>
        <w:tc>
          <w:tcPr>
            <w:tcW w:w="1830" w:type="dxa"/>
            <w:tcBorders>
              <w:tl2br w:val="nil"/>
              <w:tr2bl w:val="nil"/>
            </w:tcBorders>
          </w:tcPr>
          <w:p>
            <w:pPr>
              <w:pStyle w:val="31"/>
              <w:spacing w:before="5" w:line="258"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1625</w:t>
            </w:r>
          </w:p>
        </w:tc>
        <w:tc>
          <w:tcPr>
            <w:tcW w:w="1302" w:type="dxa"/>
            <w:tcBorders>
              <w:tl2br w:val="nil"/>
              <w:tr2bl w:val="nil"/>
            </w:tcBorders>
          </w:tcPr>
          <w:p>
            <w:pPr>
              <w:pStyle w:val="31"/>
              <w:spacing w:before="5" w:line="258"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280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3"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道沅</w:t>
            </w:r>
          </w:p>
        </w:tc>
        <w:tc>
          <w:tcPr>
            <w:tcW w:w="1276" w:type="dxa"/>
            <w:tcBorders>
              <w:tl2br w:val="nil"/>
              <w:tr2bl w:val="nil"/>
            </w:tcBorders>
          </w:tcPr>
          <w:p>
            <w:pPr>
              <w:pStyle w:val="31"/>
              <w:spacing w:line="253" w:lineRule="exact"/>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北</w:t>
            </w:r>
          </w:p>
        </w:tc>
        <w:tc>
          <w:tcPr>
            <w:tcW w:w="1830" w:type="dxa"/>
            <w:tcBorders>
              <w:tl2br w:val="nil"/>
              <w:tr2bl w:val="nil"/>
            </w:tcBorders>
          </w:tcPr>
          <w:p>
            <w:pPr>
              <w:pStyle w:val="31"/>
              <w:spacing w:line="253"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2100</w:t>
            </w:r>
          </w:p>
        </w:tc>
        <w:tc>
          <w:tcPr>
            <w:tcW w:w="1302" w:type="dxa"/>
            <w:tcBorders>
              <w:tl2br w:val="nil"/>
              <w:tr2bl w:val="nil"/>
            </w:tcBorders>
          </w:tcPr>
          <w:p>
            <w:pPr>
              <w:pStyle w:val="31"/>
              <w:spacing w:line="253"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35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万里棚</w:t>
            </w:r>
          </w:p>
        </w:tc>
        <w:tc>
          <w:tcPr>
            <w:tcW w:w="1276" w:type="dxa"/>
            <w:tcBorders>
              <w:tl2br w:val="nil"/>
              <w:tr2bl w:val="nil"/>
            </w:tcBorders>
          </w:tcPr>
          <w:p>
            <w:pPr>
              <w:pStyle w:val="31"/>
              <w:spacing w:line="252"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西北</w:t>
            </w:r>
          </w:p>
        </w:tc>
        <w:tc>
          <w:tcPr>
            <w:tcW w:w="1830" w:type="dxa"/>
            <w:tcBorders>
              <w:tl2br w:val="nil"/>
              <w:tr2bl w:val="nil"/>
            </w:tcBorders>
          </w:tcPr>
          <w:p>
            <w:pPr>
              <w:pStyle w:val="31"/>
              <w:spacing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3000</w:t>
            </w:r>
          </w:p>
        </w:tc>
        <w:tc>
          <w:tcPr>
            <w:tcW w:w="1302" w:type="dxa"/>
            <w:tcBorders>
              <w:tl2br w:val="nil"/>
              <w:tr2bl w:val="nil"/>
            </w:tcBorders>
          </w:tcPr>
          <w:p>
            <w:pPr>
              <w:pStyle w:val="31"/>
              <w:spacing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105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 w:line="251"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黄泥丘</w:t>
            </w:r>
          </w:p>
        </w:tc>
        <w:tc>
          <w:tcPr>
            <w:tcW w:w="1276" w:type="dxa"/>
            <w:tcBorders>
              <w:tl2br w:val="nil"/>
              <w:tr2bl w:val="nil"/>
            </w:tcBorders>
          </w:tcPr>
          <w:p>
            <w:pPr>
              <w:pStyle w:val="31"/>
              <w:spacing w:before="1" w:line="251" w:lineRule="exact"/>
              <w:ind w:left="166"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西北</w:t>
            </w:r>
          </w:p>
        </w:tc>
        <w:tc>
          <w:tcPr>
            <w:tcW w:w="1830" w:type="dxa"/>
            <w:tcBorders>
              <w:tl2br w:val="nil"/>
              <w:tr2bl w:val="nil"/>
            </w:tcBorders>
          </w:tcPr>
          <w:p>
            <w:pPr>
              <w:pStyle w:val="31"/>
              <w:spacing w:before="1" w:line="251"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2800</w:t>
            </w:r>
          </w:p>
        </w:tc>
        <w:tc>
          <w:tcPr>
            <w:tcW w:w="1302" w:type="dxa"/>
            <w:tcBorders>
              <w:tl2br w:val="nil"/>
              <w:tr2bl w:val="nil"/>
            </w:tcBorders>
          </w:tcPr>
          <w:p>
            <w:pPr>
              <w:pStyle w:val="31"/>
              <w:spacing w:before="1" w:line="251"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305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2" w:line="263"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梅木村</w:t>
            </w:r>
          </w:p>
        </w:tc>
        <w:tc>
          <w:tcPr>
            <w:tcW w:w="1276" w:type="dxa"/>
            <w:tcBorders>
              <w:tl2br w:val="nil"/>
              <w:tr2bl w:val="nil"/>
            </w:tcBorders>
          </w:tcPr>
          <w:p>
            <w:pPr>
              <w:pStyle w:val="31"/>
              <w:spacing w:before="12" w:line="263"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西北</w:t>
            </w:r>
          </w:p>
        </w:tc>
        <w:tc>
          <w:tcPr>
            <w:tcW w:w="1830" w:type="dxa"/>
            <w:tcBorders>
              <w:tl2br w:val="nil"/>
              <w:tr2bl w:val="nil"/>
            </w:tcBorders>
          </w:tcPr>
          <w:p>
            <w:pPr>
              <w:pStyle w:val="31"/>
              <w:spacing w:before="12" w:line="263"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2100</w:t>
            </w:r>
          </w:p>
        </w:tc>
        <w:tc>
          <w:tcPr>
            <w:tcW w:w="1302" w:type="dxa"/>
            <w:tcBorders>
              <w:tl2br w:val="nil"/>
              <w:tr2bl w:val="nil"/>
            </w:tcBorders>
          </w:tcPr>
          <w:p>
            <w:pPr>
              <w:pStyle w:val="31"/>
              <w:spacing w:before="12" w:line="263"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1200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3"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桐木坑</w:t>
            </w:r>
          </w:p>
        </w:tc>
        <w:tc>
          <w:tcPr>
            <w:tcW w:w="1276" w:type="dxa"/>
            <w:tcBorders>
              <w:tl2br w:val="nil"/>
              <w:tr2bl w:val="nil"/>
            </w:tcBorders>
          </w:tcPr>
          <w:p>
            <w:pPr>
              <w:pStyle w:val="31"/>
              <w:spacing w:line="253"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西北</w:t>
            </w:r>
          </w:p>
        </w:tc>
        <w:tc>
          <w:tcPr>
            <w:tcW w:w="1830" w:type="dxa"/>
            <w:tcBorders>
              <w:tl2br w:val="nil"/>
              <w:tr2bl w:val="nil"/>
            </w:tcBorders>
          </w:tcPr>
          <w:p>
            <w:pPr>
              <w:pStyle w:val="31"/>
              <w:spacing w:line="253"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1950</w:t>
            </w:r>
          </w:p>
        </w:tc>
        <w:tc>
          <w:tcPr>
            <w:tcW w:w="1302" w:type="dxa"/>
            <w:tcBorders>
              <w:tl2br w:val="nil"/>
              <w:tr2bl w:val="nil"/>
            </w:tcBorders>
          </w:tcPr>
          <w:p>
            <w:pPr>
              <w:pStyle w:val="31"/>
              <w:spacing w:line="253"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185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江上</w:t>
            </w:r>
          </w:p>
        </w:tc>
        <w:tc>
          <w:tcPr>
            <w:tcW w:w="1276" w:type="dxa"/>
            <w:tcBorders>
              <w:tl2br w:val="nil"/>
              <w:tr2bl w:val="nil"/>
            </w:tcBorders>
          </w:tcPr>
          <w:p>
            <w:pPr>
              <w:pStyle w:val="31"/>
              <w:spacing w:line="252"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西北</w:t>
            </w:r>
          </w:p>
        </w:tc>
        <w:tc>
          <w:tcPr>
            <w:tcW w:w="1830" w:type="dxa"/>
            <w:tcBorders>
              <w:tl2br w:val="nil"/>
              <w:tr2bl w:val="nil"/>
            </w:tcBorders>
          </w:tcPr>
          <w:p>
            <w:pPr>
              <w:pStyle w:val="31"/>
              <w:spacing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1625</w:t>
            </w:r>
          </w:p>
        </w:tc>
        <w:tc>
          <w:tcPr>
            <w:tcW w:w="1302" w:type="dxa"/>
            <w:tcBorders>
              <w:tl2br w:val="nil"/>
              <w:tr2bl w:val="nil"/>
            </w:tcBorders>
          </w:tcPr>
          <w:p>
            <w:pPr>
              <w:pStyle w:val="31"/>
              <w:spacing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340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 w:line="251"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二寺坑</w:t>
            </w:r>
          </w:p>
        </w:tc>
        <w:tc>
          <w:tcPr>
            <w:tcW w:w="1276" w:type="dxa"/>
            <w:tcBorders>
              <w:tl2br w:val="nil"/>
              <w:tr2bl w:val="nil"/>
            </w:tcBorders>
          </w:tcPr>
          <w:p>
            <w:pPr>
              <w:pStyle w:val="31"/>
              <w:spacing w:before="1" w:line="251"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西北</w:t>
            </w:r>
          </w:p>
        </w:tc>
        <w:tc>
          <w:tcPr>
            <w:tcW w:w="1830" w:type="dxa"/>
            <w:tcBorders>
              <w:tl2br w:val="nil"/>
              <w:tr2bl w:val="nil"/>
            </w:tcBorders>
          </w:tcPr>
          <w:p>
            <w:pPr>
              <w:pStyle w:val="31"/>
              <w:spacing w:before="1" w:line="251"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1780</w:t>
            </w:r>
          </w:p>
        </w:tc>
        <w:tc>
          <w:tcPr>
            <w:tcW w:w="1302" w:type="dxa"/>
            <w:tcBorders>
              <w:tl2br w:val="nil"/>
              <w:tr2bl w:val="nil"/>
            </w:tcBorders>
          </w:tcPr>
          <w:p>
            <w:pPr>
              <w:pStyle w:val="31"/>
              <w:spacing w:before="1" w:line="251"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350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0" w:line="26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方家</w:t>
            </w:r>
          </w:p>
        </w:tc>
        <w:tc>
          <w:tcPr>
            <w:tcW w:w="1276" w:type="dxa"/>
            <w:tcBorders>
              <w:tl2br w:val="nil"/>
              <w:tr2bl w:val="nil"/>
            </w:tcBorders>
          </w:tcPr>
          <w:p>
            <w:pPr>
              <w:pStyle w:val="31"/>
              <w:spacing w:before="10" w:line="262" w:lineRule="exact"/>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w:t>
            </w:r>
          </w:p>
        </w:tc>
        <w:tc>
          <w:tcPr>
            <w:tcW w:w="1830" w:type="dxa"/>
            <w:tcBorders>
              <w:tl2br w:val="nil"/>
              <w:tr2bl w:val="nil"/>
            </w:tcBorders>
          </w:tcPr>
          <w:p>
            <w:pPr>
              <w:pStyle w:val="31"/>
              <w:spacing w:before="10" w:line="26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1300</w:t>
            </w:r>
          </w:p>
        </w:tc>
        <w:tc>
          <w:tcPr>
            <w:tcW w:w="1302" w:type="dxa"/>
            <w:tcBorders>
              <w:tl2br w:val="nil"/>
              <w:tr2bl w:val="nil"/>
            </w:tcBorders>
          </w:tcPr>
          <w:p>
            <w:pPr>
              <w:pStyle w:val="31"/>
              <w:spacing w:before="10" w:line="26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85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阳坑村</w:t>
            </w:r>
          </w:p>
        </w:tc>
        <w:tc>
          <w:tcPr>
            <w:tcW w:w="1276" w:type="dxa"/>
            <w:tcBorders>
              <w:tl2br w:val="nil"/>
              <w:tr2bl w:val="nil"/>
            </w:tcBorders>
          </w:tcPr>
          <w:p>
            <w:pPr>
              <w:pStyle w:val="31"/>
              <w:spacing w:line="252"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西南</w:t>
            </w:r>
          </w:p>
        </w:tc>
        <w:tc>
          <w:tcPr>
            <w:tcW w:w="1830" w:type="dxa"/>
            <w:tcBorders>
              <w:tl2br w:val="nil"/>
              <w:tr2bl w:val="nil"/>
            </w:tcBorders>
          </w:tcPr>
          <w:p>
            <w:pPr>
              <w:pStyle w:val="31"/>
              <w:spacing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1140</w:t>
            </w:r>
          </w:p>
        </w:tc>
        <w:tc>
          <w:tcPr>
            <w:tcW w:w="1302" w:type="dxa"/>
            <w:tcBorders>
              <w:tl2br w:val="nil"/>
              <w:tr2bl w:val="nil"/>
            </w:tcBorders>
          </w:tcPr>
          <w:p>
            <w:pPr>
              <w:pStyle w:val="31"/>
              <w:spacing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42</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51"/>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泉公上</w:t>
            </w:r>
          </w:p>
        </w:tc>
        <w:tc>
          <w:tcPr>
            <w:tcW w:w="1276" w:type="dxa"/>
            <w:tcBorders>
              <w:tl2br w:val="nil"/>
              <w:tr2bl w:val="nil"/>
            </w:tcBorders>
          </w:tcPr>
          <w:p>
            <w:pPr>
              <w:pStyle w:val="31"/>
              <w:spacing w:before="51"/>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西南</w:t>
            </w:r>
          </w:p>
        </w:tc>
        <w:tc>
          <w:tcPr>
            <w:tcW w:w="1830" w:type="dxa"/>
            <w:tcBorders>
              <w:tl2br w:val="nil"/>
              <w:tr2bl w:val="nil"/>
            </w:tcBorders>
          </w:tcPr>
          <w:p>
            <w:pPr>
              <w:pStyle w:val="31"/>
              <w:spacing w:before="51"/>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1200</w:t>
            </w:r>
          </w:p>
        </w:tc>
        <w:tc>
          <w:tcPr>
            <w:tcW w:w="1302" w:type="dxa"/>
            <w:tcBorders>
              <w:tl2br w:val="nil"/>
              <w:tr2bl w:val="nil"/>
            </w:tcBorders>
          </w:tcPr>
          <w:p>
            <w:pPr>
              <w:pStyle w:val="31"/>
              <w:spacing w:before="51"/>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42</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25"/>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一寺村</w:t>
            </w:r>
          </w:p>
        </w:tc>
        <w:tc>
          <w:tcPr>
            <w:tcW w:w="1276" w:type="dxa"/>
            <w:tcBorders>
              <w:tl2br w:val="nil"/>
              <w:tr2bl w:val="nil"/>
            </w:tcBorders>
          </w:tcPr>
          <w:p>
            <w:pPr>
              <w:pStyle w:val="31"/>
              <w:spacing w:before="25"/>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西南</w:t>
            </w:r>
          </w:p>
        </w:tc>
        <w:tc>
          <w:tcPr>
            <w:tcW w:w="1830" w:type="dxa"/>
            <w:tcBorders>
              <w:tl2br w:val="nil"/>
              <w:tr2bl w:val="nil"/>
            </w:tcBorders>
          </w:tcPr>
          <w:p>
            <w:pPr>
              <w:pStyle w:val="31"/>
              <w:spacing w:before="25"/>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2100</w:t>
            </w:r>
          </w:p>
        </w:tc>
        <w:tc>
          <w:tcPr>
            <w:tcW w:w="1302" w:type="dxa"/>
            <w:tcBorders>
              <w:tl2br w:val="nil"/>
              <w:tr2bl w:val="nil"/>
            </w:tcBorders>
          </w:tcPr>
          <w:p>
            <w:pPr>
              <w:pStyle w:val="31"/>
              <w:spacing w:before="25"/>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61</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 w:line="251"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安山下</w:t>
            </w:r>
          </w:p>
        </w:tc>
        <w:tc>
          <w:tcPr>
            <w:tcW w:w="1276" w:type="dxa"/>
            <w:tcBorders>
              <w:tl2br w:val="nil"/>
              <w:tr2bl w:val="nil"/>
            </w:tcBorders>
          </w:tcPr>
          <w:p>
            <w:pPr>
              <w:pStyle w:val="31"/>
              <w:spacing w:before="1" w:line="251"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西南</w:t>
            </w:r>
          </w:p>
        </w:tc>
        <w:tc>
          <w:tcPr>
            <w:tcW w:w="1830" w:type="dxa"/>
            <w:tcBorders>
              <w:tl2br w:val="nil"/>
              <w:tr2bl w:val="nil"/>
            </w:tcBorders>
          </w:tcPr>
          <w:p>
            <w:pPr>
              <w:pStyle w:val="31"/>
              <w:spacing w:before="1" w:line="251"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1800</w:t>
            </w:r>
          </w:p>
        </w:tc>
        <w:tc>
          <w:tcPr>
            <w:tcW w:w="1302" w:type="dxa"/>
            <w:tcBorders>
              <w:tl2br w:val="nil"/>
              <w:tr2bl w:val="nil"/>
            </w:tcBorders>
          </w:tcPr>
          <w:p>
            <w:pPr>
              <w:pStyle w:val="31"/>
              <w:spacing w:before="1" w:line="251"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210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茶山背</w:t>
            </w:r>
          </w:p>
        </w:tc>
        <w:tc>
          <w:tcPr>
            <w:tcW w:w="1276" w:type="dxa"/>
            <w:tcBorders>
              <w:tl2br w:val="nil"/>
              <w:tr2bl w:val="nil"/>
            </w:tcBorders>
          </w:tcPr>
          <w:p>
            <w:pPr>
              <w:pStyle w:val="31"/>
              <w:spacing w:line="252" w:lineRule="exact"/>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南</w:t>
            </w:r>
          </w:p>
        </w:tc>
        <w:tc>
          <w:tcPr>
            <w:tcW w:w="1830" w:type="dxa"/>
            <w:tcBorders>
              <w:tl2br w:val="nil"/>
              <w:tr2bl w:val="nil"/>
            </w:tcBorders>
          </w:tcPr>
          <w:p>
            <w:pPr>
              <w:pStyle w:val="31"/>
              <w:spacing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500</w:t>
            </w:r>
          </w:p>
        </w:tc>
        <w:tc>
          <w:tcPr>
            <w:tcW w:w="1302" w:type="dxa"/>
            <w:tcBorders>
              <w:tl2br w:val="nil"/>
              <w:tr2bl w:val="nil"/>
            </w:tcBorders>
          </w:tcPr>
          <w:p>
            <w:pPr>
              <w:pStyle w:val="31"/>
              <w:spacing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110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1" w:line="252" w:lineRule="exact"/>
              <w:ind w:left="225" w:right="218"/>
              <w:rPr>
                <w:rFonts w:ascii="宋体" w:hAnsi="宋体" w:eastAsia="宋体" w:cs="宋体"/>
                <w:sz w:val="21"/>
                <w:szCs w:val="22"/>
                <w:lang w:val="zh-CN" w:eastAsia="zh-CN" w:bidi="zh-CN"/>
              </w:rPr>
            </w:pPr>
            <w:r>
              <w:rPr>
                <w:rFonts w:ascii="宋体" w:hAnsi="宋体" w:eastAsia="宋体" w:cs="宋体"/>
                <w:sz w:val="21"/>
                <w:szCs w:val="22"/>
                <w:lang w:val="zh-CN" w:eastAsia="zh-CN" w:bidi="zh-CN"/>
              </w:rPr>
              <w:t>李家屋场</w:t>
            </w:r>
          </w:p>
        </w:tc>
        <w:tc>
          <w:tcPr>
            <w:tcW w:w="1276" w:type="dxa"/>
            <w:tcBorders>
              <w:tl2br w:val="nil"/>
              <w:tr2bl w:val="nil"/>
            </w:tcBorders>
          </w:tcPr>
          <w:p>
            <w:pPr>
              <w:pStyle w:val="31"/>
              <w:spacing w:before="1" w:line="252" w:lineRule="exact"/>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南</w:t>
            </w:r>
          </w:p>
        </w:tc>
        <w:tc>
          <w:tcPr>
            <w:tcW w:w="1830" w:type="dxa"/>
            <w:tcBorders>
              <w:tl2br w:val="nil"/>
              <w:tr2bl w:val="nil"/>
            </w:tcBorders>
          </w:tcPr>
          <w:p>
            <w:pPr>
              <w:pStyle w:val="31"/>
              <w:spacing w:before="1"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1300</w:t>
            </w:r>
          </w:p>
        </w:tc>
        <w:tc>
          <w:tcPr>
            <w:tcW w:w="1302" w:type="dxa"/>
            <w:tcBorders>
              <w:tl2br w:val="nil"/>
              <w:tr2bl w:val="nil"/>
            </w:tcBorders>
          </w:tcPr>
          <w:p>
            <w:pPr>
              <w:pStyle w:val="31"/>
              <w:spacing w:before="1"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65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32"/>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竹山下</w:t>
            </w:r>
          </w:p>
        </w:tc>
        <w:tc>
          <w:tcPr>
            <w:tcW w:w="1276" w:type="dxa"/>
            <w:tcBorders>
              <w:tl2br w:val="nil"/>
              <w:tr2bl w:val="nil"/>
            </w:tcBorders>
          </w:tcPr>
          <w:p>
            <w:pPr>
              <w:pStyle w:val="31"/>
              <w:spacing w:before="32"/>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南</w:t>
            </w:r>
          </w:p>
        </w:tc>
        <w:tc>
          <w:tcPr>
            <w:tcW w:w="1830" w:type="dxa"/>
            <w:tcBorders>
              <w:tl2br w:val="nil"/>
              <w:tr2bl w:val="nil"/>
            </w:tcBorders>
          </w:tcPr>
          <w:p>
            <w:pPr>
              <w:pStyle w:val="31"/>
              <w:spacing w:before="32"/>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2000</w:t>
            </w:r>
          </w:p>
        </w:tc>
        <w:tc>
          <w:tcPr>
            <w:tcW w:w="1302" w:type="dxa"/>
            <w:tcBorders>
              <w:tl2br w:val="nil"/>
              <w:tr2bl w:val="nil"/>
            </w:tcBorders>
          </w:tcPr>
          <w:p>
            <w:pPr>
              <w:pStyle w:val="31"/>
              <w:spacing w:before="32"/>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125</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7" w:line="260"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宋山下</w:t>
            </w:r>
          </w:p>
        </w:tc>
        <w:tc>
          <w:tcPr>
            <w:tcW w:w="1276" w:type="dxa"/>
            <w:tcBorders>
              <w:tl2br w:val="nil"/>
              <w:tr2bl w:val="nil"/>
            </w:tcBorders>
          </w:tcPr>
          <w:p>
            <w:pPr>
              <w:pStyle w:val="31"/>
              <w:spacing w:before="7" w:line="260" w:lineRule="exact"/>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东南</w:t>
            </w:r>
          </w:p>
        </w:tc>
        <w:tc>
          <w:tcPr>
            <w:tcW w:w="1830" w:type="dxa"/>
            <w:tcBorders>
              <w:tl2br w:val="nil"/>
              <w:tr2bl w:val="nil"/>
            </w:tcBorders>
          </w:tcPr>
          <w:p>
            <w:pPr>
              <w:pStyle w:val="31"/>
              <w:spacing w:before="7" w:line="260"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2000</w:t>
            </w:r>
          </w:p>
        </w:tc>
        <w:tc>
          <w:tcPr>
            <w:tcW w:w="1302" w:type="dxa"/>
            <w:tcBorders>
              <w:tl2br w:val="nil"/>
              <w:tr2bl w:val="nil"/>
            </w:tcBorders>
          </w:tcPr>
          <w:p>
            <w:pPr>
              <w:pStyle w:val="31"/>
              <w:spacing w:before="7" w:line="260"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98</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1"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下楼源</w:t>
            </w:r>
          </w:p>
        </w:tc>
        <w:tc>
          <w:tcPr>
            <w:tcW w:w="1276" w:type="dxa"/>
            <w:tcBorders>
              <w:tl2br w:val="nil"/>
              <w:tr2bl w:val="nil"/>
            </w:tcBorders>
          </w:tcPr>
          <w:p>
            <w:pPr>
              <w:pStyle w:val="31"/>
              <w:spacing w:line="251" w:lineRule="exact"/>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南</w:t>
            </w:r>
          </w:p>
        </w:tc>
        <w:tc>
          <w:tcPr>
            <w:tcW w:w="1830" w:type="dxa"/>
            <w:tcBorders>
              <w:tl2br w:val="nil"/>
              <w:tr2bl w:val="nil"/>
            </w:tcBorders>
          </w:tcPr>
          <w:p>
            <w:pPr>
              <w:pStyle w:val="31"/>
              <w:spacing w:line="251"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2800</w:t>
            </w:r>
          </w:p>
        </w:tc>
        <w:tc>
          <w:tcPr>
            <w:tcW w:w="1302" w:type="dxa"/>
            <w:tcBorders>
              <w:tl2br w:val="nil"/>
              <w:tr2bl w:val="nil"/>
            </w:tcBorders>
          </w:tcPr>
          <w:p>
            <w:pPr>
              <w:pStyle w:val="31"/>
              <w:jc w:val="left"/>
              <w:rPr>
                <w:rFonts w:ascii="宋体" w:hAnsi="宋体" w:eastAsia="宋体" w:cs="宋体"/>
                <w:sz w:val="21"/>
                <w:szCs w:val="22"/>
                <w:lang w:val="zh-CN" w:eastAsia="zh-CN" w:bidi="zh-CN"/>
              </w:rPr>
            </w:pP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before="2" w:line="250"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罗家塘</w:t>
            </w:r>
          </w:p>
        </w:tc>
        <w:tc>
          <w:tcPr>
            <w:tcW w:w="1276" w:type="dxa"/>
            <w:tcBorders>
              <w:tl2br w:val="nil"/>
              <w:tr2bl w:val="nil"/>
            </w:tcBorders>
          </w:tcPr>
          <w:p>
            <w:pPr>
              <w:pStyle w:val="31"/>
              <w:spacing w:before="2" w:line="250" w:lineRule="exact"/>
              <w:ind w:left="10"/>
              <w:rPr>
                <w:rFonts w:ascii="宋体" w:hAnsi="宋体" w:eastAsia="宋体" w:cs="宋体"/>
                <w:sz w:val="21"/>
                <w:szCs w:val="22"/>
                <w:lang w:val="zh-CN" w:eastAsia="zh-CN" w:bidi="zh-CN"/>
              </w:rPr>
            </w:pPr>
            <w:r>
              <w:rPr>
                <w:rFonts w:ascii="宋体" w:hAnsi="宋体" w:eastAsia="宋体" w:cs="宋体"/>
                <w:sz w:val="21"/>
                <w:szCs w:val="22"/>
                <w:lang w:val="zh-CN" w:eastAsia="zh-CN" w:bidi="zh-CN"/>
              </w:rPr>
              <w:t>南</w:t>
            </w:r>
          </w:p>
        </w:tc>
        <w:tc>
          <w:tcPr>
            <w:tcW w:w="1830" w:type="dxa"/>
            <w:tcBorders>
              <w:tl2br w:val="nil"/>
              <w:tr2bl w:val="nil"/>
            </w:tcBorders>
          </w:tcPr>
          <w:p>
            <w:pPr>
              <w:pStyle w:val="31"/>
              <w:spacing w:before="2" w:line="250"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2850</w:t>
            </w:r>
          </w:p>
        </w:tc>
        <w:tc>
          <w:tcPr>
            <w:tcW w:w="1302" w:type="dxa"/>
            <w:tcBorders>
              <w:tl2br w:val="nil"/>
              <w:tr2bl w:val="nil"/>
            </w:tcBorders>
          </w:tcPr>
          <w:p>
            <w:pPr>
              <w:pStyle w:val="31"/>
              <w:jc w:val="left"/>
              <w:rPr>
                <w:rFonts w:ascii="宋体" w:hAnsi="宋体" w:eastAsia="宋体" w:cs="宋体"/>
                <w:sz w:val="21"/>
                <w:szCs w:val="22"/>
                <w:lang w:val="zh-CN" w:eastAsia="zh-CN" w:bidi="zh-CN"/>
              </w:rPr>
            </w:pP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vMerge w:val="continue"/>
            <w:tcBorders>
              <w:tl2br w:val="nil"/>
              <w:tr2bl w:val="nil"/>
            </w:tcBorders>
          </w:tcPr>
          <w:p>
            <w:pPr>
              <w:rPr>
                <w:rFonts w:ascii="宋体" w:hAnsi="宋体" w:eastAsia="宋体" w:cs="宋体"/>
                <w:sz w:val="21"/>
                <w:szCs w:val="22"/>
                <w:lang w:val="zh-CN" w:eastAsia="zh-CN" w:bidi="zh-CN"/>
              </w:rPr>
            </w:pPr>
          </w:p>
        </w:tc>
        <w:tc>
          <w:tcPr>
            <w:tcW w:w="1755" w:type="dxa"/>
            <w:tcBorders>
              <w:tl2br w:val="nil"/>
              <w:tr2bl w:val="nil"/>
            </w:tcBorders>
          </w:tcPr>
          <w:p>
            <w:pPr>
              <w:pStyle w:val="31"/>
              <w:spacing w:line="252" w:lineRule="exact"/>
              <w:ind w:left="225" w:right="220"/>
              <w:rPr>
                <w:rFonts w:ascii="宋体" w:hAnsi="宋体" w:eastAsia="宋体" w:cs="宋体"/>
                <w:sz w:val="21"/>
                <w:szCs w:val="22"/>
                <w:lang w:val="zh-CN" w:eastAsia="zh-CN" w:bidi="zh-CN"/>
              </w:rPr>
            </w:pPr>
            <w:r>
              <w:rPr>
                <w:rFonts w:ascii="宋体" w:hAnsi="宋体" w:eastAsia="宋体" w:cs="宋体"/>
                <w:sz w:val="21"/>
                <w:szCs w:val="22"/>
                <w:lang w:val="zh-CN" w:eastAsia="zh-CN" w:bidi="zh-CN"/>
              </w:rPr>
              <w:t>下家店</w:t>
            </w:r>
          </w:p>
        </w:tc>
        <w:tc>
          <w:tcPr>
            <w:tcW w:w="1276" w:type="dxa"/>
            <w:tcBorders>
              <w:tl2br w:val="nil"/>
              <w:tr2bl w:val="nil"/>
            </w:tcBorders>
          </w:tcPr>
          <w:p>
            <w:pPr>
              <w:pStyle w:val="31"/>
              <w:spacing w:line="252" w:lineRule="exact"/>
              <w:ind w:left="190"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西北偏西</w:t>
            </w:r>
          </w:p>
        </w:tc>
        <w:tc>
          <w:tcPr>
            <w:tcW w:w="1830" w:type="dxa"/>
            <w:tcBorders>
              <w:tl2br w:val="nil"/>
              <w:tr2bl w:val="nil"/>
            </w:tcBorders>
          </w:tcPr>
          <w:p>
            <w:pPr>
              <w:pStyle w:val="31"/>
              <w:spacing w:line="252" w:lineRule="exact"/>
              <w:ind w:left="87" w:right="77"/>
              <w:rPr>
                <w:rFonts w:ascii="宋体" w:hAnsi="宋体" w:eastAsia="宋体" w:cs="宋体"/>
                <w:sz w:val="21"/>
                <w:szCs w:val="22"/>
                <w:lang w:val="zh-CN" w:eastAsia="zh-CN" w:bidi="zh-CN"/>
              </w:rPr>
            </w:pPr>
            <w:r>
              <w:rPr>
                <w:rFonts w:ascii="宋体" w:hAnsi="宋体" w:eastAsia="宋体" w:cs="宋体"/>
                <w:sz w:val="21"/>
                <w:szCs w:val="22"/>
                <w:lang w:val="zh-CN" w:eastAsia="zh-CN" w:bidi="zh-CN"/>
              </w:rPr>
              <w:t>2300</w:t>
            </w:r>
          </w:p>
        </w:tc>
        <w:tc>
          <w:tcPr>
            <w:tcW w:w="1302" w:type="dxa"/>
            <w:tcBorders>
              <w:tl2br w:val="nil"/>
              <w:tr2bl w:val="nil"/>
            </w:tcBorders>
          </w:tcPr>
          <w:p>
            <w:pPr>
              <w:pStyle w:val="31"/>
              <w:spacing w:line="252" w:lineRule="exact"/>
              <w:ind w:left="209"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370</w:t>
            </w:r>
          </w:p>
        </w:tc>
        <w:tc>
          <w:tcPr>
            <w:tcW w:w="2570" w:type="dxa"/>
            <w:vMerge w:val="continue"/>
            <w:tcBorders>
              <w:tl2br w:val="nil"/>
              <w:tr2bl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22"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声环境</w:t>
            </w:r>
          </w:p>
        </w:tc>
        <w:tc>
          <w:tcPr>
            <w:tcW w:w="3031" w:type="dxa"/>
            <w:gridSpan w:val="2"/>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拟建项目周边区域</w:t>
            </w:r>
          </w:p>
        </w:tc>
        <w:tc>
          <w:tcPr>
            <w:tcW w:w="3132" w:type="dxa"/>
            <w:gridSpan w:val="2"/>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厂界外一米</w:t>
            </w:r>
          </w:p>
        </w:tc>
        <w:tc>
          <w:tcPr>
            <w:tcW w:w="2570" w:type="dxa"/>
            <w:tcBorders>
              <w:tl2br w:val="nil"/>
              <w:tr2bl w:val="nil"/>
            </w:tcBorders>
          </w:tcPr>
          <w:p>
            <w:pPr>
              <w:pStyle w:val="31"/>
              <w:spacing w:before="24"/>
              <w:ind w:left="192" w:right="185"/>
              <w:rPr>
                <w:rFonts w:ascii="宋体" w:hAnsi="宋体" w:eastAsia="宋体" w:cs="宋体"/>
                <w:sz w:val="21"/>
                <w:szCs w:val="22"/>
                <w:lang w:val="zh-CN" w:eastAsia="zh-CN" w:bidi="zh-CN"/>
              </w:rPr>
            </w:pPr>
            <w:r>
              <w:rPr>
                <w:rFonts w:ascii="宋体" w:hAnsi="宋体" w:eastAsia="宋体" w:cs="宋体"/>
                <w:sz w:val="21"/>
                <w:szCs w:val="22"/>
                <w:lang w:val="zh-CN" w:eastAsia="zh-CN" w:bidi="zh-CN"/>
              </w:rPr>
              <w:t>（GB3096-2008）3 类</w:t>
            </w:r>
          </w:p>
        </w:tc>
      </w:tr>
    </w:tbl>
    <w:p>
      <w:pPr>
        <w:spacing w:after="0" w:line="251" w:lineRule="exact"/>
        <w:jc w:val="left"/>
        <w:rPr>
          <w:sz w:val="21"/>
        </w:rPr>
      </w:pPr>
    </w:p>
    <w:p>
      <w:pPr>
        <w:pStyle w:val="32"/>
        <w:rPr>
          <w:rFonts w:hint="eastAsia" w:ascii="宋体" w:hAnsi="宋体" w:eastAsia="宋体" w:cs="宋体"/>
          <w:b/>
          <w:bCs/>
          <w:color w:val="auto"/>
          <w:sz w:val="28"/>
          <w:szCs w:val="28"/>
          <w:lang w:val="en-US" w:eastAsia="zh-CN" w:bidi="zh-CN"/>
        </w:rPr>
      </w:pPr>
      <w:r>
        <w:rPr>
          <w:rFonts w:hint="eastAsia" w:ascii="宋体" w:hAnsi="宋体" w:eastAsia="宋体" w:cs="宋体"/>
          <w:b/>
          <w:bCs/>
          <w:color w:val="auto"/>
          <w:sz w:val="28"/>
          <w:szCs w:val="28"/>
          <w:lang w:val="en-US" w:eastAsia="zh-CN" w:bidi="zh-CN"/>
        </w:rPr>
        <w:t>2.11</w:t>
      </w:r>
      <w:r>
        <w:rPr>
          <w:rFonts w:hint="eastAsia" w:cs="宋体"/>
          <w:b/>
          <w:bCs/>
          <w:color w:val="auto"/>
          <w:sz w:val="28"/>
          <w:szCs w:val="28"/>
          <w:lang w:val="en-US" w:eastAsia="zh-CN" w:bidi="zh-CN"/>
        </w:rPr>
        <w:t xml:space="preserve"> </w:t>
      </w:r>
      <w:r>
        <w:rPr>
          <w:rFonts w:hint="eastAsia" w:ascii="宋体" w:hAnsi="宋体" w:eastAsia="宋体" w:cs="宋体"/>
          <w:b/>
          <w:bCs/>
          <w:color w:val="auto"/>
          <w:sz w:val="28"/>
          <w:szCs w:val="28"/>
          <w:lang w:val="en-US" w:eastAsia="zh-CN" w:bidi="zh-CN"/>
        </w:rPr>
        <w:t>项目三废排放汇总</w:t>
      </w:r>
    </w:p>
    <w:p>
      <w:pPr>
        <w:pStyle w:val="32"/>
        <w:ind w:firstLine="960" w:firstLineChars="400"/>
        <w:rPr>
          <w:color w:val="auto"/>
        </w:rPr>
      </w:pPr>
      <w:r>
        <w:rPr>
          <w:color w:val="auto"/>
        </w:rPr>
        <w:t>项目</w:t>
      </w:r>
      <w:r>
        <w:rPr>
          <w:rFonts w:hint="eastAsia"/>
          <w:color w:val="auto"/>
        </w:rPr>
        <w:t>“</w:t>
      </w:r>
      <w:r>
        <w:rPr>
          <w:color w:val="auto"/>
        </w:rPr>
        <w:t>三废</w:t>
      </w:r>
      <w:r>
        <w:rPr>
          <w:rFonts w:hint="eastAsia"/>
          <w:color w:val="auto"/>
        </w:rPr>
        <w:t>”</w:t>
      </w:r>
      <w:r>
        <w:rPr>
          <w:color w:val="auto"/>
        </w:rPr>
        <w:t>排放量情况汇总见表</w:t>
      </w:r>
      <w:r>
        <w:rPr>
          <w:rFonts w:hint="eastAsia"/>
          <w:color w:val="auto"/>
          <w:lang w:val="en-US" w:eastAsia="zh-CN"/>
        </w:rPr>
        <w:t>2-9</w:t>
      </w:r>
      <w:r>
        <w:rPr>
          <w:rFonts w:hint="eastAsia"/>
          <w:color w:val="auto"/>
        </w:rPr>
        <w:t>。</w:t>
      </w:r>
    </w:p>
    <w:p>
      <w:pPr>
        <w:jc w:val="center"/>
        <w:rPr>
          <w:b/>
          <w:color w:val="auto"/>
        </w:rPr>
      </w:pPr>
      <w:r>
        <w:rPr>
          <w:b/>
          <w:color w:val="auto"/>
        </w:rPr>
        <w:t>表</w:t>
      </w:r>
      <w:r>
        <w:rPr>
          <w:rFonts w:hint="eastAsia"/>
          <w:b/>
          <w:color w:val="auto"/>
          <w:lang w:val="en-US" w:eastAsia="zh-CN"/>
        </w:rPr>
        <w:t>2-9</w:t>
      </w:r>
      <w:r>
        <w:rPr>
          <w:b/>
          <w:color w:val="auto"/>
        </w:rPr>
        <w:t xml:space="preserve"> </w:t>
      </w:r>
      <w:r>
        <w:rPr>
          <w:rFonts w:hint="eastAsia"/>
          <w:b/>
          <w:color w:val="auto"/>
        </w:rPr>
        <w:t xml:space="preserve"> 项目</w:t>
      </w:r>
      <w:r>
        <w:rPr>
          <w:b/>
          <w:color w:val="auto"/>
        </w:rPr>
        <w:t xml:space="preserve">“三废”排放量情况汇总表        </w:t>
      </w:r>
    </w:p>
    <w:tbl>
      <w:tblPr>
        <w:tblStyle w:val="14"/>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
        <w:gridCol w:w="1749"/>
        <w:gridCol w:w="1425"/>
        <w:gridCol w:w="1260"/>
        <w:gridCol w:w="1161"/>
        <w:gridCol w:w="1455"/>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 w:hRule="atLeast"/>
          <w:jc w:val="center"/>
        </w:trPr>
        <w:tc>
          <w:tcPr>
            <w:tcW w:w="2197" w:type="dxa"/>
            <w:gridSpan w:val="2"/>
            <w:tcBorders>
              <w:tl2br w:val="nil"/>
              <w:tr2bl w:val="nil"/>
            </w:tcBorders>
            <w:vAlign w:val="center"/>
          </w:tcPr>
          <w:p>
            <w:pPr>
              <w:pStyle w:val="34"/>
              <w:rPr>
                <w:color w:val="auto"/>
              </w:rPr>
            </w:pPr>
            <w:r>
              <w:rPr>
                <w:color w:val="auto"/>
              </w:rPr>
              <w:t>污染物</w:t>
            </w:r>
          </w:p>
        </w:tc>
        <w:tc>
          <w:tcPr>
            <w:tcW w:w="1425" w:type="dxa"/>
            <w:tcBorders>
              <w:tl2br w:val="nil"/>
              <w:tr2bl w:val="nil"/>
            </w:tcBorders>
            <w:vAlign w:val="center"/>
          </w:tcPr>
          <w:p>
            <w:pPr>
              <w:pStyle w:val="34"/>
              <w:rPr>
                <w:color w:val="auto"/>
              </w:rPr>
            </w:pPr>
            <w:r>
              <w:rPr>
                <w:color w:val="auto"/>
              </w:rPr>
              <w:t>主要</w:t>
            </w:r>
          </w:p>
          <w:p>
            <w:pPr>
              <w:pStyle w:val="34"/>
              <w:rPr>
                <w:color w:val="auto"/>
              </w:rPr>
            </w:pPr>
            <w:r>
              <w:rPr>
                <w:color w:val="auto"/>
              </w:rPr>
              <w:t>污染物</w:t>
            </w:r>
          </w:p>
        </w:tc>
        <w:tc>
          <w:tcPr>
            <w:tcW w:w="1260" w:type="dxa"/>
            <w:tcBorders>
              <w:tl2br w:val="nil"/>
              <w:tr2bl w:val="nil"/>
            </w:tcBorders>
            <w:vAlign w:val="center"/>
          </w:tcPr>
          <w:p>
            <w:pPr>
              <w:pStyle w:val="34"/>
              <w:rPr>
                <w:color w:val="auto"/>
              </w:rPr>
            </w:pPr>
            <w:r>
              <w:rPr>
                <w:color w:val="auto"/>
              </w:rPr>
              <w:t>产生量</w:t>
            </w:r>
            <w:r>
              <w:rPr>
                <w:rFonts w:hint="eastAsia"/>
                <w:color w:val="auto"/>
              </w:rPr>
              <w:t>（t/a）</w:t>
            </w:r>
          </w:p>
        </w:tc>
        <w:tc>
          <w:tcPr>
            <w:tcW w:w="1161" w:type="dxa"/>
            <w:tcBorders>
              <w:tl2br w:val="nil"/>
              <w:tr2bl w:val="nil"/>
            </w:tcBorders>
            <w:vAlign w:val="center"/>
          </w:tcPr>
          <w:p>
            <w:pPr>
              <w:pStyle w:val="34"/>
              <w:rPr>
                <w:color w:val="auto"/>
              </w:rPr>
            </w:pPr>
            <w:r>
              <w:rPr>
                <w:rFonts w:hint="eastAsia"/>
                <w:color w:val="auto"/>
              </w:rPr>
              <w:t>厂区</w:t>
            </w:r>
            <w:r>
              <w:rPr>
                <w:color w:val="auto"/>
              </w:rPr>
              <w:t>削减量</w:t>
            </w:r>
            <w:r>
              <w:rPr>
                <w:rFonts w:hint="eastAsia"/>
                <w:color w:val="auto"/>
              </w:rPr>
              <w:t>（t/a）</w:t>
            </w:r>
          </w:p>
        </w:tc>
        <w:tc>
          <w:tcPr>
            <w:tcW w:w="1455" w:type="dxa"/>
            <w:tcBorders>
              <w:tl2br w:val="nil"/>
              <w:tr2bl w:val="nil"/>
            </w:tcBorders>
            <w:vAlign w:val="center"/>
          </w:tcPr>
          <w:p>
            <w:pPr>
              <w:pStyle w:val="34"/>
              <w:jc w:val="both"/>
              <w:rPr>
                <w:color w:val="auto"/>
              </w:rPr>
            </w:pPr>
            <w:r>
              <w:rPr>
                <w:rFonts w:hint="eastAsia"/>
                <w:color w:val="auto"/>
              </w:rPr>
              <w:t>纳管</w:t>
            </w:r>
            <w:r>
              <w:rPr>
                <w:color w:val="auto"/>
              </w:rPr>
              <w:t>排放量</w:t>
            </w:r>
            <w:r>
              <w:rPr>
                <w:rFonts w:hint="eastAsia"/>
                <w:color w:val="auto"/>
              </w:rPr>
              <w:t>（t/a）</w:t>
            </w:r>
          </w:p>
        </w:tc>
        <w:tc>
          <w:tcPr>
            <w:tcW w:w="1429" w:type="dxa"/>
            <w:tcBorders>
              <w:tl2br w:val="nil"/>
              <w:tr2bl w:val="nil"/>
            </w:tcBorders>
            <w:vAlign w:val="center"/>
          </w:tcPr>
          <w:p>
            <w:pPr>
              <w:pStyle w:val="34"/>
              <w:rPr>
                <w:color w:val="auto"/>
              </w:rPr>
            </w:pPr>
            <w:r>
              <w:rPr>
                <w:rFonts w:hint="eastAsia"/>
                <w:color w:val="auto"/>
              </w:rPr>
              <w:t>环境排入量（t/a）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2197" w:type="dxa"/>
            <w:gridSpan w:val="2"/>
            <w:vMerge w:val="restart"/>
            <w:tcBorders>
              <w:tl2br w:val="nil"/>
              <w:tr2bl w:val="nil"/>
            </w:tcBorders>
            <w:vAlign w:val="center"/>
          </w:tcPr>
          <w:p>
            <w:pPr>
              <w:pStyle w:val="34"/>
              <w:rPr>
                <w:color w:val="auto"/>
              </w:rPr>
            </w:pPr>
            <w:r>
              <w:rPr>
                <w:color w:val="auto"/>
              </w:rPr>
              <w:t>废水</w:t>
            </w:r>
          </w:p>
        </w:tc>
        <w:tc>
          <w:tcPr>
            <w:tcW w:w="1425" w:type="dxa"/>
            <w:tcBorders>
              <w:tl2br w:val="nil"/>
              <w:tr2bl w:val="nil"/>
            </w:tcBorders>
            <w:vAlign w:val="center"/>
          </w:tcPr>
          <w:p>
            <w:pPr>
              <w:pStyle w:val="34"/>
              <w:rPr>
                <w:color w:val="auto"/>
              </w:rPr>
            </w:pPr>
            <w:r>
              <w:rPr>
                <w:rFonts w:hint="eastAsia"/>
                <w:color w:val="auto"/>
              </w:rPr>
              <w:t>废水量</w:t>
            </w:r>
          </w:p>
        </w:tc>
        <w:tc>
          <w:tcPr>
            <w:tcW w:w="1260" w:type="dxa"/>
            <w:tcBorders>
              <w:tl2br w:val="nil"/>
              <w:tr2bl w:val="nil"/>
            </w:tcBorders>
            <w:vAlign w:val="center"/>
          </w:tcPr>
          <w:p>
            <w:pPr>
              <w:pStyle w:val="34"/>
              <w:rPr>
                <w:color w:val="auto"/>
              </w:rPr>
            </w:pPr>
            <w:r>
              <w:rPr>
                <w:rFonts w:hint="eastAsia"/>
                <w:color w:val="auto"/>
              </w:rPr>
              <w:t>317228</w:t>
            </w:r>
          </w:p>
        </w:tc>
        <w:tc>
          <w:tcPr>
            <w:tcW w:w="1161" w:type="dxa"/>
            <w:tcBorders>
              <w:tl2br w:val="nil"/>
              <w:tr2bl w:val="nil"/>
            </w:tcBorders>
            <w:vAlign w:val="bottom"/>
          </w:tcPr>
          <w:p>
            <w:pPr>
              <w:pStyle w:val="34"/>
              <w:rPr>
                <w:color w:val="auto"/>
              </w:rPr>
            </w:pPr>
            <w:r>
              <w:rPr>
                <w:rFonts w:hint="eastAsia"/>
                <w:color w:val="auto"/>
              </w:rPr>
              <w:t>/</w:t>
            </w:r>
          </w:p>
        </w:tc>
        <w:tc>
          <w:tcPr>
            <w:tcW w:w="1455" w:type="dxa"/>
            <w:tcBorders>
              <w:tl2br w:val="nil"/>
              <w:tr2bl w:val="nil"/>
            </w:tcBorders>
            <w:vAlign w:val="center"/>
          </w:tcPr>
          <w:p>
            <w:pPr>
              <w:pStyle w:val="34"/>
              <w:rPr>
                <w:color w:val="auto"/>
              </w:rPr>
            </w:pPr>
            <w:r>
              <w:rPr>
                <w:rFonts w:hint="eastAsia"/>
                <w:color w:val="auto"/>
              </w:rPr>
              <w:t>317228</w:t>
            </w:r>
          </w:p>
        </w:tc>
        <w:tc>
          <w:tcPr>
            <w:tcW w:w="1429" w:type="dxa"/>
            <w:tcBorders>
              <w:tl2br w:val="nil"/>
              <w:tr2bl w:val="nil"/>
            </w:tcBorders>
            <w:vAlign w:val="center"/>
          </w:tcPr>
          <w:p>
            <w:pPr>
              <w:pStyle w:val="34"/>
              <w:rPr>
                <w:color w:val="auto"/>
              </w:rPr>
            </w:pPr>
            <w:r>
              <w:rPr>
                <w:rFonts w:hint="eastAsia"/>
                <w:color w:val="auto"/>
              </w:rPr>
              <w:t>317228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color w:val="auto"/>
                <w:vertAlign w:val="subscript"/>
              </w:rPr>
            </w:pPr>
            <w:r>
              <w:rPr>
                <w:color w:val="auto"/>
              </w:rPr>
              <w:t>COD</w:t>
            </w:r>
          </w:p>
        </w:tc>
        <w:tc>
          <w:tcPr>
            <w:tcW w:w="1260" w:type="dxa"/>
            <w:tcBorders>
              <w:tl2br w:val="nil"/>
              <w:tr2bl w:val="nil"/>
            </w:tcBorders>
            <w:vAlign w:val="center"/>
          </w:tcPr>
          <w:p>
            <w:pPr>
              <w:pStyle w:val="34"/>
              <w:rPr>
                <w:color w:val="auto"/>
              </w:rPr>
            </w:pPr>
            <w:r>
              <w:rPr>
                <w:rFonts w:hint="eastAsia"/>
                <w:color w:val="auto"/>
              </w:rPr>
              <w:t>518</w:t>
            </w:r>
          </w:p>
        </w:tc>
        <w:tc>
          <w:tcPr>
            <w:tcW w:w="1161" w:type="dxa"/>
            <w:tcBorders>
              <w:tl2br w:val="nil"/>
              <w:tr2bl w:val="nil"/>
            </w:tcBorders>
            <w:vAlign w:val="bottom"/>
          </w:tcPr>
          <w:p>
            <w:pPr>
              <w:pStyle w:val="34"/>
              <w:rPr>
                <w:color w:val="auto"/>
              </w:rPr>
            </w:pPr>
            <w:r>
              <w:rPr>
                <w:rFonts w:hint="eastAsia"/>
                <w:color w:val="auto"/>
              </w:rPr>
              <w:t>391.4</w:t>
            </w:r>
          </w:p>
        </w:tc>
        <w:tc>
          <w:tcPr>
            <w:tcW w:w="1455" w:type="dxa"/>
            <w:tcBorders>
              <w:tl2br w:val="nil"/>
              <w:tr2bl w:val="nil"/>
            </w:tcBorders>
            <w:vAlign w:val="center"/>
          </w:tcPr>
          <w:p>
            <w:pPr>
              <w:pStyle w:val="34"/>
              <w:rPr>
                <w:color w:val="auto"/>
              </w:rPr>
            </w:pPr>
            <w:r>
              <w:rPr>
                <w:rFonts w:hint="eastAsia"/>
                <w:color w:val="auto"/>
              </w:rPr>
              <w:t>126.6</w:t>
            </w:r>
          </w:p>
        </w:tc>
        <w:tc>
          <w:tcPr>
            <w:tcW w:w="1429" w:type="dxa"/>
            <w:tcBorders>
              <w:tl2br w:val="nil"/>
              <w:tr2bl w:val="nil"/>
            </w:tcBorders>
            <w:vAlign w:val="center"/>
          </w:tcPr>
          <w:p>
            <w:pPr>
              <w:pStyle w:val="34"/>
              <w:rPr>
                <w:color w:val="auto"/>
              </w:rPr>
            </w:pPr>
            <w:r>
              <w:rPr>
                <w:rFonts w:hint="eastAsia"/>
                <w:color w:val="auto"/>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color w:val="auto"/>
              </w:rPr>
            </w:pPr>
            <w:r>
              <w:rPr>
                <w:color w:val="auto"/>
              </w:rPr>
              <w:t>BOD</w:t>
            </w:r>
            <w:r>
              <w:rPr>
                <w:color w:val="auto"/>
                <w:vertAlign w:val="subscript"/>
              </w:rPr>
              <w:t>5</w:t>
            </w:r>
          </w:p>
        </w:tc>
        <w:tc>
          <w:tcPr>
            <w:tcW w:w="1260" w:type="dxa"/>
            <w:tcBorders>
              <w:tl2br w:val="nil"/>
              <w:tr2bl w:val="nil"/>
            </w:tcBorders>
            <w:vAlign w:val="center"/>
          </w:tcPr>
          <w:p>
            <w:pPr>
              <w:pStyle w:val="34"/>
              <w:rPr>
                <w:color w:val="auto"/>
              </w:rPr>
            </w:pPr>
            <w:r>
              <w:rPr>
                <w:rFonts w:hint="eastAsia"/>
                <w:color w:val="auto"/>
              </w:rPr>
              <w:t>253</w:t>
            </w:r>
          </w:p>
        </w:tc>
        <w:tc>
          <w:tcPr>
            <w:tcW w:w="1161" w:type="dxa"/>
            <w:tcBorders>
              <w:tl2br w:val="nil"/>
              <w:tr2bl w:val="nil"/>
            </w:tcBorders>
            <w:vAlign w:val="bottom"/>
          </w:tcPr>
          <w:p>
            <w:pPr>
              <w:pStyle w:val="34"/>
              <w:rPr>
                <w:color w:val="auto"/>
              </w:rPr>
            </w:pPr>
            <w:r>
              <w:rPr>
                <w:rFonts w:hint="eastAsia"/>
                <w:color w:val="auto"/>
              </w:rPr>
              <w:t>209.5</w:t>
            </w:r>
          </w:p>
        </w:tc>
        <w:tc>
          <w:tcPr>
            <w:tcW w:w="1455" w:type="dxa"/>
            <w:tcBorders>
              <w:tl2br w:val="nil"/>
              <w:tr2bl w:val="nil"/>
            </w:tcBorders>
            <w:vAlign w:val="center"/>
          </w:tcPr>
          <w:p>
            <w:pPr>
              <w:pStyle w:val="34"/>
              <w:rPr>
                <w:color w:val="auto"/>
              </w:rPr>
            </w:pPr>
            <w:r>
              <w:rPr>
                <w:rFonts w:hint="eastAsia"/>
                <w:color w:val="auto"/>
              </w:rPr>
              <w:t>43.5</w:t>
            </w:r>
          </w:p>
        </w:tc>
        <w:tc>
          <w:tcPr>
            <w:tcW w:w="1429" w:type="dxa"/>
            <w:tcBorders>
              <w:tl2br w:val="nil"/>
              <w:tr2bl w:val="nil"/>
            </w:tcBorders>
            <w:vAlign w:val="center"/>
          </w:tcPr>
          <w:p>
            <w:pPr>
              <w:pStyle w:val="34"/>
              <w:rPr>
                <w:color w:val="auto"/>
              </w:rPr>
            </w:pPr>
            <w:r>
              <w:rPr>
                <w:rFonts w:hint="eastAsia"/>
                <w:color w:val="auto"/>
              </w:rPr>
              <w:t>6.34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color w:val="auto"/>
              </w:rPr>
            </w:pPr>
            <w:r>
              <w:rPr>
                <w:color w:val="auto"/>
              </w:rPr>
              <w:t>SS</w:t>
            </w:r>
          </w:p>
        </w:tc>
        <w:tc>
          <w:tcPr>
            <w:tcW w:w="1260" w:type="dxa"/>
            <w:tcBorders>
              <w:tl2br w:val="nil"/>
              <w:tr2bl w:val="nil"/>
            </w:tcBorders>
            <w:vAlign w:val="center"/>
          </w:tcPr>
          <w:p>
            <w:pPr>
              <w:pStyle w:val="34"/>
              <w:rPr>
                <w:color w:val="auto"/>
              </w:rPr>
            </w:pPr>
            <w:r>
              <w:rPr>
                <w:rFonts w:hint="eastAsia"/>
                <w:color w:val="auto"/>
              </w:rPr>
              <w:t>255</w:t>
            </w:r>
          </w:p>
        </w:tc>
        <w:tc>
          <w:tcPr>
            <w:tcW w:w="1161" w:type="dxa"/>
            <w:tcBorders>
              <w:tl2br w:val="nil"/>
              <w:tr2bl w:val="nil"/>
            </w:tcBorders>
            <w:vAlign w:val="bottom"/>
          </w:tcPr>
          <w:p>
            <w:pPr>
              <w:pStyle w:val="34"/>
              <w:rPr>
                <w:color w:val="auto"/>
              </w:rPr>
            </w:pPr>
            <w:r>
              <w:rPr>
                <w:rFonts w:hint="eastAsia"/>
                <w:color w:val="auto"/>
              </w:rPr>
              <w:t>219.2</w:t>
            </w:r>
          </w:p>
        </w:tc>
        <w:tc>
          <w:tcPr>
            <w:tcW w:w="1455" w:type="dxa"/>
            <w:tcBorders>
              <w:tl2br w:val="nil"/>
              <w:tr2bl w:val="nil"/>
            </w:tcBorders>
            <w:vAlign w:val="center"/>
          </w:tcPr>
          <w:p>
            <w:pPr>
              <w:pStyle w:val="34"/>
              <w:rPr>
                <w:color w:val="auto"/>
              </w:rPr>
            </w:pPr>
            <w:r>
              <w:rPr>
                <w:rFonts w:hint="eastAsia"/>
                <w:color w:val="auto"/>
              </w:rPr>
              <w:t>35.8</w:t>
            </w:r>
          </w:p>
        </w:tc>
        <w:tc>
          <w:tcPr>
            <w:tcW w:w="1429" w:type="dxa"/>
            <w:tcBorders>
              <w:tl2br w:val="nil"/>
              <w:tr2bl w:val="nil"/>
            </w:tcBorders>
            <w:vAlign w:val="center"/>
          </w:tcPr>
          <w:p>
            <w:pPr>
              <w:pStyle w:val="34"/>
              <w:rPr>
                <w:color w:val="auto"/>
              </w:rPr>
            </w:pPr>
            <w:r>
              <w:rPr>
                <w:rFonts w:hint="eastAsia"/>
                <w:color w:val="auto"/>
              </w:rPr>
              <w:t>6.34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color w:val="auto"/>
                <w:vertAlign w:val="subscript"/>
              </w:rPr>
            </w:pPr>
            <w:r>
              <w:rPr>
                <w:rFonts w:hint="eastAsia"/>
                <w:color w:val="auto"/>
              </w:rPr>
              <w:t>NH</w:t>
            </w:r>
            <w:r>
              <w:rPr>
                <w:rFonts w:hint="eastAsia"/>
                <w:color w:val="auto"/>
                <w:vertAlign w:val="subscript"/>
              </w:rPr>
              <w:t>3</w:t>
            </w:r>
            <w:r>
              <w:rPr>
                <w:rFonts w:hint="eastAsia"/>
                <w:color w:val="auto"/>
              </w:rPr>
              <w:t>-N</w:t>
            </w:r>
          </w:p>
        </w:tc>
        <w:tc>
          <w:tcPr>
            <w:tcW w:w="1260" w:type="dxa"/>
            <w:tcBorders>
              <w:tl2br w:val="nil"/>
              <w:tr2bl w:val="nil"/>
            </w:tcBorders>
            <w:vAlign w:val="center"/>
          </w:tcPr>
          <w:p>
            <w:pPr>
              <w:pStyle w:val="34"/>
              <w:rPr>
                <w:color w:val="auto"/>
              </w:rPr>
            </w:pPr>
            <w:r>
              <w:rPr>
                <w:rFonts w:hint="eastAsia"/>
                <w:color w:val="auto"/>
              </w:rPr>
              <w:t>28.3</w:t>
            </w:r>
          </w:p>
        </w:tc>
        <w:tc>
          <w:tcPr>
            <w:tcW w:w="1161" w:type="dxa"/>
            <w:tcBorders>
              <w:tl2br w:val="nil"/>
              <w:tr2bl w:val="nil"/>
            </w:tcBorders>
            <w:vAlign w:val="bottom"/>
          </w:tcPr>
          <w:p>
            <w:pPr>
              <w:pStyle w:val="34"/>
              <w:rPr>
                <w:color w:val="auto"/>
              </w:rPr>
            </w:pPr>
            <w:r>
              <w:rPr>
                <w:rFonts w:hint="eastAsia"/>
                <w:color w:val="auto"/>
              </w:rPr>
              <w:t>20.67</w:t>
            </w:r>
          </w:p>
        </w:tc>
        <w:tc>
          <w:tcPr>
            <w:tcW w:w="1455" w:type="dxa"/>
            <w:tcBorders>
              <w:tl2br w:val="nil"/>
              <w:tr2bl w:val="nil"/>
            </w:tcBorders>
            <w:vAlign w:val="center"/>
          </w:tcPr>
          <w:p>
            <w:pPr>
              <w:pStyle w:val="34"/>
              <w:rPr>
                <w:color w:val="auto"/>
              </w:rPr>
            </w:pPr>
            <w:r>
              <w:rPr>
                <w:rFonts w:hint="eastAsia"/>
                <w:color w:val="auto"/>
              </w:rPr>
              <w:t>7.63</w:t>
            </w:r>
          </w:p>
        </w:tc>
        <w:tc>
          <w:tcPr>
            <w:tcW w:w="1429" w:type="dxa"/>
            <w:tcBorders>
              <w:tl2br w:val="nil"/>
              <w:tr2bl w:val="nil"/>
            </w:tcBorders>
            <w:vAlign w:val="center"/>
          </w:tcPr>
          <w:p>
            <w:pPr>
              <w:pStyle w:val="34"/>
              <w:rPr>
                <w:color w:val="auto"/>
              </w:rPr>
            </w:pPr>
            <w:r>
              <w:rPr>
                <w:rFonts w:hint="eastAsia"/>
                <w:color w:val="auto"/>
              </w:rPr>
              <w:t>2.53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color w:val="auto"/>
              </w:rPr>
            </w:pPr>
            <w:r>
              <w:rPr>
                <w:rFonts w:hint="eastAsia"/>
                <w:color w:val="auto"/>
              </w:rPr>
              <w:t>动植物油</w:t>
            </w:r>
          </w:p>
        </w:tc>
        <w:tc>
          <w:tcPr>
            <w:tcW w:w="1260" w:type="dxa"/>
            <w:tcBorders>
              <w:tl2br w:val="nil"/>
              <w:tr2bl w:val="nil"/>
            </w:tcBorders>
            <w:vAlign w:val="center"/>
          </w:tcPr>
          <w:p>
            <w:pPr>
              <w:pStyle w:val="34"/>
              <w:rPr>
                <w:color w:val="auto"/>
              </w:rPr>
            </w:pPr>
            <w:r>
              <w:rPr>
                <w:rFonts w:hint="eastAsia"/>
                <w:color w:val="auto"/>
              </w:rPr>
              <w:t>34.9</w:t>
            </w:r>
          </w:p>
        </w:tc>
        <w:tc>
          <w:tcPr>
            <w:tcW w:w="1161" w:type="dxa"/>
            <w:tcBorders>
              <w:tl2br w:val="nil"/>
              <w:tr2bl w:val="nil"/>
            </w:tcBorders>
            <w:vAlign w:val="bottom"/>
          </w:tcPr>
          <w:p>
            <w:pPr>
              <w:pStyle w:val="34"/>
              <w:rPr>
                <w:color w:val="auto"/>
              </w:rPr>
            </w:pPr>
            <w:r>
              <w:rPr>
                <w:rFonts w:hint="eastAsia"/>
                <w:color w:val="auto"/>
              </w:rPr>
              <w:t>16.8</w:t>
            </w:r>
          </w:p>
        </w:tc>
        <w:tc>
          <w:tcPr>
            <w:tcW w:w="1455" w:type="dxa"/>
            <w:tcBorders>
              <w:tl2br w:val="nil"/>
              <w:tr2bl w:val="nil"/>
            </w:tcBorders>
            <w:vAlign w:val="center"/>
          </w:tcPr>
          <w:p>
            <w:pPr>
              <w:pStyle w:val="34"/>
              <w:rPr>
                <w:color w:val="auto"/>
              </w:rPr>
            </w:pPr>
            <w:r>
              <w:rPr>
                <w:rFonts w:hint="eastAsia"/>
                <w:color w:val="auto"/>
              </w:rPr>
              <w:t>18.1</w:t>
            </w:r>
          </w:p>
        </w:tc>
        <w:tc>
          <w:tcPr>
            <w:tcW w:w="1429" w:type="dxa"/>
            <w:tcBorders>
              <w:tl2br w:val="nil"/>
              <w:tr2bl w:val="nil"/>
            </w:tcBorders>
            <w:vAlign w:val="center"/>
          </w:tcPr>
          <w:p>
            <w:pPr>
              <w:pStyle w:val="34"/>
              <w:rPr>
                <w:color w:val="auto"/>
              </w:rPr>
            </w:pPr>
            <w:r>
              <w:rPr>
                <w:rFonts w:hint="eastAsia"/>
                <w:color w:val="auto"/>
              </w:rPr>
              <w:t>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448" w:type="dxa"/>
            <w:vMerge w:val="restart"/>
            <w:tcBorders>
              <w:tl2br w:val="nil"/>
              <w:tr2bl w:val="nil"/>
            </w:tcBorders>
            <w:vAlign w:val="center"/>
          </w:tcPr>
          <w:p>
            <w:pPr>
              <w:pStyle w:val="34"/>
              <w:rPr>
                <w:color w:val="auto"/>
              </w:rPr>
            </w:pPr>
            <w:r>
              <w:rPr>
                <w:rFonts w:hint="eastAsia"/>
                <w:color w:val="auto"/>
              </w:rPr>
              <w:t>废气</w:t>
            </w:r>
          </w:p>
        </w:tc>
        <w:tc>
          <w:tcPr>
            <w:tcW w:w="1749" w:type="dxa"/>
            <w:tcBorders>
              <w:tl2br w:val="nil"/>
              <w:tr2bl w:val="nil"/>
            </w:tcBorders>
            <w:vAlign w:val="center"/>
          </w:tcPr>
          <w:p>
            <w:pPr>
              <w:pStyle w:val="34"/>
              <w:rPr>
                <w:color w:val="auto"/>
              </w:rPr>
            </w:pPr>
            <w:r>
              <w:rPr>
                <w:rFonts w:hint="eastAsia"/>
                <w:color w:val="auto"/>
              </w:rPr>
              <w:t>烘干废气</w:t>
            </w:r>
          </w:p>
        </w:tc>
        <w:tc>
          <w:tcPr>
            <w:tcW w:w="1425" w:type="dxa"/>
            <w:tcBorders>
              <w:tl2br w:val="nil"/>
              <w:tr2bl w:val="nil"/>
            </w:tcBorders>
            <w:vAlign w:val="center"/>
          </w:tcPr>
          <w:p>
            <w:pPr>
              <w:pStyle w:val="34"/>
              <w:rPr>
                <w:color w:val="auto"/>
              </w:rPr>
            </w:pPr>
            <w:r>
              <w:rPr>
                <w:rFonts w:hint="eastAsia"/>
                <w:color w:val="auto"/>
              </w:rPr>
              <w:t xml:space="preserve">水蒸气 </w:t>
            </w:r>
          </w:p>
        </w:tc>
        <w:tc>
          <w:tcPr>
            <w:tcW w:w="1260" w:type="dxa"/>
            <w:tcBorders>
              <w:tl2br w:val="nil"/>
              <w:tr2bl w:val="nil"/>
            </w:tcBorders>
            <w:vAlign w:val="center"/>
          </w:tcPr>
          <w:p>
            <w:pPr>
              <w:pStyle w:val="34"/>
              <w:rPr>
                <w:color w:val="auto"/>
              </w:rPr>
            </w:pPr>
            <w:r>
              <w:rPr>
                <w:rFonts w:hint="eastAsia"/>
                <w:color w:val="auto"/>
              </w:rPr>
              <w:t>723</w:t>
            </w:r>
          </w:p>
        </w:tc>
        <w:tc>
          <w:tcPr>
            <w:tcW w:w="1161" w:type="dxa"/>
            <w:tcBorders>
              <w:tl2br w:val="nil"/>
              <w:tr2bl w:val="nil"/>
            </w:tcBorders>
            <w:vAlign w:val="center"/>
          </w:tcPr>
          <w:p>
            <w:pPr>
              <w:pStyle w:val="34"/>
              <w:rPr>
                <w:color w:val="auto"/>
              </w:rPr>
            </w:pPr>
            <w:r>
              <w:rPr>
                <w:rFonts w:hint="eastAsia"/>
                <w:color w:val="auto"/>
              </w:rPr>
              <w:t>/</w:t>
            </w:r>
          </w:p>
        </w:tc>
        <w:tc>
          <w:tcPr>
            <w:tcW w:w="1455" w:type="dxa"/>
            <w:tcBorders>
              <w:tl2br w:val="nil"/>
              <w:tr2bl w:val="nil"/>
            </w:tcBorders>
            <w:vAlign w:val="center"/>
          </w:tcPr>
          <w:p>
            <w:pPr>
              <w:pStyle w:val="34"/>
              <w:rPr>
                <w:color w:val="auto"/>
              </w:rPr>
            </w:pPr>
          </w:p>
        </w:tc>
        <w:tc>
          <w:tcPr>
            <w:tcW w:w="1429" w:type="dxa"/>
            <w:tcBorders>
              <w:tl2br w:val="nil"/>
              <w:tr2bl w:val="nil"/>
            </w:tcBorders>
            <w:vAlign w:val="center"/>
          </w:tcPr>
          <w:p>
            <w:pPr>
              <w:pStyle w:val="34"/>
              <w:rPr>
                <w:color w:val="auto"/>
              </w:rPr>
            </w:pPr>
            <w:r>
              <w:rPr>
                <w:rFonts w:hint="eastAsia"/>
                <w:color w:val="auto"/>
              </w:rPr>
              <w:t>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448" w:type="dxa"/>
            <w:vMerge w:val="continue"/>
            <w:tcBorders>
              <w:tl2br w:val="nil"/>
              <w:tr2bl w:val="nil"/>
            </w:tcBorders>
            <w:vAlign w:val="center"/>
          </w:tcPr>
          <w:p>
            <w:pPr>
              <w:pStyle w:val="34"/>
              <w:rPr>
                <w:color w:val="auto"/>
              </w:rPr>
            </w:pPr>
          </w:p>
        </w:tc>
        <w:tc>
          <w:tcPr>
            <w:tcW w:w="1749" w:type="dxa"/>
            <w:vMerge w:val="restart"/>
            <w:tcBorders>
              <w:tl2br w:val="nil"/>
              <w:tr2bl w:val="nil"/>
            </w:tcBorders>
            <w:vAlign w:val="center"/>
          </w:tcPr>
          <w:p>
            <w:pPr>
              <w:pStyle w:val="34"/>
              <w:rPr>
                <w:color w:val="auto"/>
              </w:rPr>
            </w:pPr>
            <w:r>
              <w:rPr>
                <w:rFonts w:hint="eastAsia"/>
                <w:color w:val="auto"/>
              </w:rPr>
              <w:t>锅炉烟气</w:t>
            </w:r>
          </w:p>
        </w:tc>
        <w:tc>
          <w:tcPr>
            <w:tcW w:w="1425" w:type="dxa"/>
            <w:tcBorders>
              <w:tl2br w:val="nil"/>
              <w:tr2bl w:val="nil"/>
            </w:tcBorders>
            <w:vAlign w:val="center"/>
          </w:tcPr>
          <w:p>
            <w:pPr>
              <w:pStyle w:val="36"/>
              <w:rPr>
                <w:color w:val="auto"/>
              </w:rPr>
            </w:pPr>
            <w:r>
              <w:rPr>
                <w:rFonts w:hint="eastAsia"/>
                <w:color w:val="auto"/>
              </w:rPr>
              <w:t>SO</w:t>
            </w:r>
            <w:r>
              <w:rPr>
                <w:rFonts w:hint="eastAsia"/>
                <w:color w:val="auto"/>
                <w:vertAlign w:val="subscript"/>
              </w:rPr>
              <w:t>2</w:t>
            </w:r>
          </w:p>
        </w:tc>
        <w:tc>
          <w:tcPr>
            <w:tcW w:w="1260" w:type="dxa"/>
            <w:tcBorders>
              <w:tl2br w:val="nil"/>
              <w:tr2bl w:val="nil"/>
            </w:tcBorders>
            <w:vAlign w:val="center"/>
          </w:tcPr>
          <w:p>
            <w:pPr>
              <w:pStyle w:val="34"/>
              <w:rPr>
                <w:color w:val="auto"/>
              </w:rPr>
            </w:pPr>
            <w:r>
              <w:rPr>
                <w:rFonts w:hint="eastAsia"/>
                <w:color w:val="auto"/>
              </w:rPr>
              <w:t>0.12</w:t>
            </w:r>
          </w:p>
        </w:tc>
        <w:tc>
          <w:tcPr>
            <w:tcW w:w="1161" w:type="dxa"/>
            <w:tcBorders>
              <w:tl2br w:val="nil"/>
              <w:tr2bl w:val="nil"/>
            </w:tcBorders>
            <w:vAlign w:val="center"/>
          </w:tcPr>
          <w:p>
            <w:pPr>
              <w:pStyle w:val="34"/>
              <w:rPr>
                <w:color w:val="auto"/>
              </w:rPr>
            </w:pPr>
            <w:r>
              <w:rPr>
                <w:rFonts w:hint="eastAsia"/>
                <w:color w:val="auto"/>
              </w:rPr>
              <w:t>/</w:t>
            </w:r>
          </w:p>
        </w:tc>
        <w:tc>
          <w:tcPr>
            <w:tcW w:w="1455" w:type="dxa"/>
            <w:tcBorders>
              <w:tl2br w:val="nil"/>
              <w:tr2bl w:val="nil"/>
            </w:tcBorders>
            <w:vAlign w:val="center"/>
          </w:tcPr>
          <w:p>
            <w:pPr>
              <w:pStyle w:val="34"/>
              <w:rPr>
                <w:color w:val="auto"/>
              </w:rPr>
            </w:pPr>
          </w:p>
        </w:tc>
        <w:tc>
          <w:tcPr>
            <w:tcW w:w="1429" w:type="dxa"/>
            <w:tcBorders>
              <w:tl2br w:val="nil"/>
              <w:tr2bl w:val="nil"/>
            </w:tcBorders>
            <w:vAlign w:val="center"/>
          </w:tcPr>
          <w:p>
            <w:pPr>
              <w:pStyle w:val="34"/>
              <w:rPr>
                <w:color w:val="auto"/>
              </w:rPr>
            </w:pPr>
            <w:r>
              <w:rPr>
                <w:rFonts w:hint="eastAsia"/>
                <w:color w:val="auto"/>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448" w:type="dxa"/>
            <w:vMerge w:val="continue"/>
            <w:tcBorders>
              <w:tl2br w:val="nil"/>
              <w:tr2bl w:val="nil"/>
            </w:tcBorders>
            <w:vAlign w:val="center"/>
          </w:tcPr>
          <w:p>
            <w:pPr>
              <w:pStyle w:val="34"/>
              <w:rPr>
                <w:color w:val="auto"/>
              </w:rPr>
            </w:pPr>
          </w:p>
        </w:tc>
        <w:tc>
          <w:tcPr>
            <w:tcW w:w="1749" w:type="dxa"/>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6"/>
              <w:rPr>
                <w:color w:val="auto"/>
              </w:rPr>
            </w:pPr>
            <w:r>
              <w:rPr>
                <w:rFonts w:hint="eastAsia"/>
                <w:color w:val="auto"/>
              </w:rPr>
              <w:t>颗粒物</w:t>
            </w:r>
          </w:p>
        </w:tc>
        <w:tc>
          <w:tcPr>
            <w:tcW w:w="1260" w:type="dxa"/>
            <w:tcBorders>
              <w:tl2br w:val="nil"/>
              <w:tr2bl w:val="nil"/>
            </w:tcBorders>
            <w:vAlign w:val="center"/>
          </w:tcPr>
          <w:p>
            <w:pPr>
              <w:pStyle w:val="34"/>
              <w:rPr>
                <w:color w:val="auto"/>
              </w:rPr>
            </w:pPr>
            <w:r>
              <w:rPr>
                <w:rFonts w:hint="eastAsia"/>
                <w:color w:val="auto"/>
              </w:rPr>
              <w:t>0.031</w:t>
            </w:r>
          </w:p>
        </w:tc>
        <w:tc>
          <w:tcPr>
            <w:tcW w:w="1161" w:type="dxa"/>
            <w:tcBorders>
              <w:tl2br w:val="nil"/>
              <w:tr2bl w:val="nil"/>
            </w:tcBorders>
            <w:vAlign w:val="center"/>
          </w:tcPr>
          <w:p>
            <w:pPr>
              <w:pStyle w:val="34"/>
              <w:rPr>
                <w:color w:val="auto"/>
              </w:rPr>
            </w:pPr>
            <w:r>
              <w:rPr>
                <w:rFonts w:hint="eastAsia"/>
                <w:color w:val="auto"/>
              </w:rPr>
              <w:t>/</w:t>
            </w:r>
          </w:p>
        </w:tc>
        <w:tc>
          <w:tcPr>
            <w:tcW w:w="1455" w:type="dxa"/>
            <w:tcBorders>
              <w:tl2br w:val="nil"/>
              <w:tr2bl w:val="nil"/>
            </w:tcBorders>
            <w:vAlign w:val="center"/>
          </w:tcPr>
          <w:p>
            <w:pPr>
              <w:pStyle w:val="34"/>
              <w:rPr>
                <w:color w:val="auto"/>
              </w:rPr>
            </w:pPr>
          </w:p>
        </w:tc>
        <w:tc>
          <w:tcPr>
            <w:tcW w:w="1429" w:type="dxa"/>
            <w:tcBorders>
              <w:tl2br w:val="nil"/>
              <w:tr2bl w:val="nil"/>
            </w:tcBorders>
            <w:vAlign w:val="center"/>
          </w:tcPr>
          <w:p>
            <w:pPr>
              <w:pStyle w:val="34"/>
              <w:rPr>
                <w:color w:val="auto"/>
              </w:rPr>
            </w:pPr>
            <w:r>
              <w:rPr>
                <w:rFonts w:hint="eastAsia"/>
                <w:color w:val="auto"/>
              </w:rPr>
              <w:t>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 w:hRule="atLeast"/>
          <w:jc w:val="center"/>
        </w:trPr>
        <w:tc>
          <w:tcPr>
            <w:tcW w:w="448" w:type="dxa"/>
            <w:vMerge w:val="continue"/>
            <w:tcBorders>
              <w:tl2br w:val="nil"/>
              <w:tr2bl w:val="nil"/>
            </w:tcBorders>
            <w:vAlign w:val="center"/>
          </w:tcPr>
          <w:p>
            <w:pPr>
              <w:pStyle w:val="34"/>
              <w:rPr>
                <w:color w:val="auto"/>
              </w:rPr>
            </w:pPr>
          </w:p>
        </w:tc>
        <w:tc>
          <w:tcPr>
            <w:tcW w:w="1749" w:type="dxa"/>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6"/>
              <w:rPr>
                <w:color w:val="auto"/>
              </w:rPr>
            </w:pPr>
            <w:r>
              <w:rPr>
                <w:rFonts w:hint="eastAsia"/>
                <w:color w:val="auto"/>
              </w:rPr>
              <w:t>NO</w:t>
            </w:r>
            <w:r>
              <w:rPr>
                <w:rFonts w:hint="eastAsia"/>
                <w:color w:val="auto"/>
                <w:vertAlign w:val="subscript"/>
              </w:rPr>
              <w:t>X</w:t>
            </w:r>
          </w:p>
        </w:tc>
        <w:tc>
          <w:tcPr>
            <w:tcW w:w="1260" w:type="dxa"/>
            <w:tcBorders>
              <w:tl2br w:val="nil"/>
              <w:tr2bl w:val="nil"/>
            </w:tcBorders>
            <w:vAlign w:val="center"/>
          </w:tcPr>
          <w:p>
            <w:pPr>
              <w:pStyle w:val="34"/>
              <w:rPr>
                <w:color w:val="auto"/>
              </w:rPr>
            </w:pPr>
            <w:r>
              <w:rPr>
                <w:rFonts w:hint="eastAsia"/>
                <w:color w:val="auto"/>
              </w:rPr>
              <w:t>0.561</w:t>
            </w:r>
          </w:p>
        </w:tc>
        <w:tc>
          <w:tcPr>
            <w:tcW w:w="1161" w:type="dxa"/>
            <w:tcBorders>
              <w:tl2br w:val="nil"/>
              <w:tr2bl w:val="nil"/>
            </w:tcBorders>
            <w:vAlign w:val="center"/>
          </w:tcPr>
          <w:p>
            <w:pPr>
              <w:pStyle w:val="34"/>
              <w:rPr>
                <w:color w:val="auto"/>
              </w:rPr>
            </w:pPr>
            <w:r>
              <w:rPr>
                <w:rFonts w:hint="eastAsia"/>
                <w:color w:val="auto"/>
              </w:rPr>
              <w:t>/</w:t>
            </w:r>
          </w:p>
        </w:tc>
        <w:tc>
          <w:tcPr>
            <w:tcW w:w="1455" w:type="dxa"/>
            <w:tcBorders>
              <w:tl2br w:val="nil"/>
              <w:tr2bl w:val="nil"/>
            </w:tcBorders>
            <w:vAlign w:val="center"/>
          </w:tcPr>
          <w:p>
            <w:pPr>
              <w:pStyle w:val="34"/>
              <w:rPr>
                <w:color w:val="auto"/>
              </w:rPr>
            </w:pPr>
          </w:p>
        </w:tc>
        <w:tc>
          <w:tcPr>
            <w:tcW w:w="1429" w:type="dxa"/>
            <w:tcBorders>
              <w:tl2br w:val="nil"/>
              <w:tr2bl w:val="nil"/>
            </w:tcBorders>
            <w:vAlign w:val="center"/>
          </w:tcPr>
          <w:p>
            <w:pPr>
              <w:pStyle w:val="34"/>
              <w:rPr>
                <w:color w:val="auto"/>
              </w:rPr>
            </w:pPr>
            <w:r>
              <w:rPr>
                <w:rFonts w:hint="eastAsia"/>
                <w:color w:val="auto"/>
              </w:rPr>
              <w:t>0.561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448" w:type="dxa"/>
            <w:vMerge w:val="continue"/>
            <w:tcBorders>
              <w:tl2br w:val="nil"/>
              <w:tr2bl w:val="nil"/>
            </w:tcBorders>
            <w:vAlign w:val="center"/>
          </w:tcPr>
          <w:p>
            <w:pPr>
              <w:pStyle w:val="11"/>
              <w:rPr>
                <w:color w:val="auto"/>
              </w:rPr>
            </w:pPr>
          </w:p>
        </w:tc>
        <w:tc>
          <w:tcPr>
            <w:tcW w:w="1749" w:type="dxa"/>
            <w:vMerge w:val="restart"/>
            <w:tcBorders>
              <w:tl2br w:val="nil"/>
              <w:tr2bl w:val="nil"/>
            </w:tcBorders>
            <w:vAlign w:val="center"/>
          </w:tcPr>
          <w:p>
            <w:pPr>
              <w:pStyle w:val="34"/>
              <w:rPr>
                <w:color w:val="auto"/>
              </w:rPr>
            </w:pPr>
            <w:r>
              <w:rPr>
                <w:rFonts w:hint="eastAsia"/>
                <w:color w:val="auto"/>
              </w:rPr>
              <w:t>恶臭</w:t>
            </w:r>
          </w:p>
        </w:tc>
        <w:tc>
          <w:tcPr>
            <w:tcW w:w="1425" w:type="dxa"/>
            <w:tcBorders>
              <w:tl2br w:val="nil"/>
              <w:tr2bl w:val="nil"/>
            </w:tcBorders>
            <w:vAlign w:val="center"/>
          </w:tcPr>
          <w:p>
            <w:pPr>
              <w:pStyle w:val="34"/>
              <w:rPr>
                <w:color w:val="auto"/>
              </w:rPr>
            </w:pPr>
            <w:r>
              <w:rPr>
                <w:rFonts w:hint="eastAsia"/>
                <w:color w:val="auto"/>
              </w:rPr>
              <w:t>NH</w:t>
            </w:r>
            <w:r>
              <w:rPr>
                <w:rFonts w:hint="eastAsia"/>
                <w:color w:val="auto"/>
                <w:vertAlign w:val="subscript"/>
              </w:rPr>
              <w:t>3</w:t>
            </w:r>
          </w:p>
        </w:tc>
        <w:tc>
          <w:tcPr>
            <w:tcW w:w="1260" w:type="dxa"/>
            <w:tcBorders>
              <w:tl2br w:val="nil"/>
              <w:tr2bl w:val="nil"/>
            </w:tcBorders>
            <w:vAlign w:val="center"/>
          </w:tcPr>
          <w:p>
            <w:pPr>
              <w:pStyle w:val="34"/>
              <w:rPr>
                <w:color w:val="auto"/>
              </w:rPr>
            </w:pPr>
            <w:r>
              <w:rPr>
                <w:rFonts w:hint="eastAsia"/>
                <w:color w:val="auto"/>
              </w:rPr>
              <w:t>4.1</w:t>
            </w:r>
          </w:p>
        </w:tc>
        <w:tc>
          <w:tcPr>
            <w:tcW w:w="1161" w:type="dxa"/>
            <w:tcBorders>
              <w:tl2br w:val="nil"/>
              <w:tr2bl w:val="nil"/>
            </w:tcBorders>
            <w:vAlign w:val="center"/>
          </w:tcPr>
          <w:p>
            <w:pPr>
              <w:pStyle w:val="34"/>
              <w:rPr>
                <w:color w:val="auto"/>
              </w:rPr>
            </w:pPr>
            <w:r>
              <w:rPr>
                <w:rFonts w:hint="eastAsia"/>
                <w:color w:val="auto"/>
              </w:rPr>
              <w:t>2.87</w:t>
            </w:r>
          </w:p>
        </w:tc>
        <w:tc>
          <w:tcPr>
            <w:tcW w:w="2884" w:type="dxa"/>
            <w:gridSpan w:val="2"/>
            <w:tcBorders>
              <w:tl2br w:val="nil"/>
              <w:tr2bl w:val="nil"/>
            </w:tcBorders>
            <w:vAlign w:val="center"/>
          </w:tcPr>
          <w:p>
            <w:pPr>
              <w:pStyle w:val="34"/>
              <w:rPr>
                <w:color w:val="auto"/>
              </w:rPr>
            </w:pPr>
            <w:r>
              <w:rPr>
                <w:rFonts w:hint="eastAsia"/>
                <w:color w:val="auto"/>
              </w:rPr>
              <w:t>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448" w:type="dxa"/>
            <w:vMerge w:val="continue"/>
            <w:tcBorders>
              <w:tl2br w:val="nil"/>
              <w:tr2bl w:val="nil"/>
            </w:tcBorders>
            <w:vAlign w:val="center"/>
          </w:tcPr>
          <w:p>
            <w:pPr>
              <w:pStyle w:val="11"/>
              <w:rPr>
                <w:color w:val="auto"/>
              </w:rPr>
            </w:pPr>
          </w:p>
        </w:tc>
        <w:tc>
          <w:tcPr>
            <w:tcW w:w="1749" w:type="dxa"/>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color w:val="auto"/>
              </w:rPr>
            </w:pPr>
            <w:r>
              <w:rPr>
                <w:rFonts w:hint="eastAsia"/>
                <w:color w:val="auto"/>
              </w:rPr>
              <w:t>H</w:t>
            </w:r>
            <w:r>
              <w:rPr>
                <w:rFonts w:hint="eastAsia"/>
                <w:color w:val="auto"/>
                <w:vertAlign w:val="subscript"/>
              </w:rPr>
              <w:t>2</w:t>
            </w:r>
            <w:r>
              <w:rPr>
                <w:rFonts w:hint="eastAsia"/>
                <w:color w:val="auto"/>
              </w:rPr>
              <w:t>S</w:t>
            </w:r>
          </w:p>
        </w:tc>
        <w:tc>
          <w:tcPr>
            <w:tcW w:w="1260" w:type="dxa"/>
            <w:tcBorders>
              <w:tl2br w:val="nil"/>
              <w:tr2bl w:val="nil"/>
            </w:tcBorders>
            <w:vAlign w:val="center"/>
          </w:tcPr>
          <w:p>
            <w:pPr>
              <w:pStyle w:val="34"/>
              <w:rPr>
                <w:color w:val="auto"/>
              </w:rPr>
            </w:pPr>
            <w:r>
              <w:rPr>
                <w:rFonts w:hint="eastAsia"/>
                <w:color w:val="auto"/>
              </w:rPr>
              <w:t>0.35</w:t>
            </w:r>
          </w:p>
        </w:tc>
        <w:tc>
          <w:tcPr>
            <w:tcW w:w="1161" w:type="dxa"/>
            <w:tcBorders>
              <w:tl2br w:val="nil"/>
              <w:tr2bl w:val="nil"/>
            </w:tcBorders>
            <w:vAlign w:val="center"/>
          </w:tcPr>
          <w:p>
            <w:pPr>
              <w:pStyle w:val="34"/>
              <w:rPr>
                <w:color w:val="auto"/>
              </w:rPr>
            </w:pPr>
            <w:r>
              <w:rPr>
                <w:rFonts w:hint="eastAsia"/>
                <w:color w:val="auto"/>
              </w:rPr>
              <w:t>0.24</w:t>
            </w:r>
          </w:p>
        </w:tc>
        <w:tc>
          <w:tcPr>
            <w:tcW w:w="2884" w:type="dxa"/>
            <w:gridSpan w:val="2"/>
            <w:tcBorders>
              <w:tl2br w:val="nil"/>
              <w:tr2bl w:val="nil"/>
            </w:tcBorders>
            <w:vAlign w:val="center"/>
          </w:tcPr>
          <w:p>
            <w:pPr>
              <w:pStyle w:val="34"/>
              <w:rPr>
                <w:color w:val="auto"/>
              </w:rPr>
            </w:pPr>
            <w:r>
              <w:rPr>
                <w:rFonts w:hint="eastAsia"/>
                <w:color w:val="auto"/>
              </w:rPr>
              <w:t>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448" w:type="dxa"/>
            <w:vMerge w:val="continue"/>
            <w:tcBorders>
              <w:tl2br w:val="nil"/>
              <w:tr2bl w:val="nil"/>
            </w:tcBorders>
            <w:vAlign w:val="center"/>
          </w:tcPr>
          <w:p>
            <w:pPr>
              <w:pStyle w:val="11"/>
              <w:rPr>
                <w:color w:val="auto"/>
              </w:rPr>
            </w:pPr>
          </w:p>
        </w:tc>
        <w:tc>
          <w:tcPr>
            <w:tcW w:w="1749" w:type="dxa"/>
            <w:tcBorders>
              <w:tl2br w:val="nil"/>
              <w:tr2bl w:val="nil"/>
            </w:tcBorders>
            <w:vAlign w:val="center"/>
          </w:tcPr>
          <w:p>
            <w:pPr>
              <w:pStyle w:val="34"/>
              <w:rPr>
                <w:color w:val="auto"/>
              </w:rPr>
            </w:pPr>
            <w:r>
              <w:rPr>
                <w:rFonts w:hint="eastAsia"/>
                <w:color w:val="auto"/>
              </w:rPr>
              <w:t>食堂油烟</w:t>
            </w:r>
          </w:p>
        </w:tc>
        <w:tc>
          <w:tcPr>
            <w:tcW w:w="1425" w:type="dxa"/>
            <w:tcBorders>
              <w:tl2br w:val="nil"/>
              <w:tr2bl w:val="nil"/>
            </w:tcBorders>
            <w:vAlign w:val="center"/>
          </w:tcPr>
          <w:p>
            <w:pPr>
              <w:pStyle w:val="34"/>
              <w:rPr>
                <w:color w:val="auto"/>
              </w:rPr>
            </w:pPr>
            <w:r>
              <w:rPr>
                <w:rFonts w:hint="eastAsia"/>
                <w:color w:val="auto"/>
              </w:rPr>
              <w:t>油烟</w:t>
            </w:r>
          </w:p>
        </w:tc>
        <w:tc>
          <w:tcPr>
            <w:tcW w:w="1260" w:type="dxa"/>
            <w:tcBorders>
              <w:tl2br w:val="nil"/>
              <w:tr2bl w:val="nil"/>
            </w:tcBorders>
            <w:vAlign w:val="center"/>
          </w:tcPr>
          <w:p>
            <w:pPr>
              <w:pStyle w:val="34"/>
              <w:rPr>
                <w:color w:val="auto"/>
              </w:rPr>
            </w:pPr>
            <w:r>
              <w:rPr>
                <w:rFonts w:hint="eastAsia"/>
                <w:color w:val="auto"/>
              </w:rPr>
              <w:t>16.8kg/a</w:t>
            </w:r>
          </w:p>
        </w:tc>
        <w:tc>
          <w:tcPr>
            <w:tcW w:w="1161" w:type="dxa"/>
            <w:tcBorders>
              <w:tl2br w:val="nil"/>
              <w:tr2bl w:val="nil"/>
            </w:tcBorders>
            <w:vAlign w:val="center"/>
          </w:tcPr>
          <w:p>
            <w:pPr>
              <w:pStyle w:val="34"/>
              <w:rPr>
                <w:color w:val="auto"/>
              </w:rPr>
            </w:pPr>
            <w:r>
              <w:rPr>
                <w:rFonts w:hint="eastAsia"/>
                <w:color w:val="auto"/>
              </w:rPr>
              <w:t>13.4kg/a</w:t>
            </w:r>
          </w:p>
        </w:tc>
        <w:tc>
          <w:tcPr>
            <w:tcW w:w="2884" w:type="dxa"/>
            <w:gridSpan w:val="2"/>
            <w:tcBorders>
              <w:tl2br w:val="nil"/>
              <w:tr2bl w:val="nil"/>
            </w:tcBorders>
            <w:vAlign w:val="center"/>
          </w:tcPr>
          <w:p>
            <w:pPr>
              <w:pStyle w:val="34"/>
              <w:rPr>
                <w:color w:val="auto"/>
              </w:rPr>
            </w:pPr>
            <w:r>
              <w:rPr>
                <w:rFonts w:hint="eastAsia"/>
                <w:color w:val="auto"/>
              </w:rPr>
              <w:t>3.4 kg/a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2197" w:type="dxa"/>
            <w:gridSpan w:val="2"/>
            <w:vMerge w:val="restart"/>
            <w:tcBorders>
              <w:tl2br w:val="nil"/>
              <w:tr2bl w:val="nil"/>
            </w:tcBorders>
            <w:vAlign w:val="center"/>
          </w:tcPr>
          <w:p>
            <w:pPr>
              <w:pStyle w:val="34"/>
              <w:rPr>
                <w:color w:val="auto"/>
              </w:rPr>
            </w:pPr>
            <w:r>
              <w:rPr>
                <w:rFonts w:hint="eastAsia"/>
                <w:color w:val="auto"/>
              </w:rPr>
              <w:t>固废</w:t>
            </w:r>
          </w:p>
        </w:tc>
        <w:tc>
          <w:tcPr>
            <w:tcW w:w="1425" w:type="dxa"/>
            <w:tcBorders>
              <w:tl2br w:val="nil"/>
              <w:tr2bl w:val="nil"/>
            </w:tcBorders>
            <w:vAlign w:val="center"/>
          </w:tcPr>
          <w:p>
            <w:pPr>
              <w:pStyle w:val="34"/>
              <w:rPr>
                <w:rFonts w:ascii="宋体" w:hAnsi="宋体"/>
                <w:color w:val="auto"/>
              </w:rPr>
            </w:pPr>
            <w:r>
              <w:rPr>
                <w:rFonts w:hint="eastAsia" w:ascii="宋体" w:hAnsi="宋体"/>
                <w:color w:val="auto"/>
              </w:rPr>
              <w:t>生活垃圾</w:t>
            </w:r>
          </w:p>
        </w:tc>
        <w:tc>
          <w:tcPr>
            <w:tcW w:w="1260" w:type="dxa"/>
            <w:tcBorders>
              <w:tl2br w:val="nil"/>
              <w:tr2bl w:val="nil"/>
            </w:tcBorders>
            <w:vAlign w:val="center"/>
          </w:tcPr>
          <w:p>
            <w:pPr>
              <w:pStyle w:val="34"/>
              <w:rPr>
                <w:color w:val="auto"/>
              </w:rPr>
            </w:pPr>
            <w:r>
              <w:rPr>
                <w:rFonts w:hint="eastAsia"/>
                <w:color w:val="auto"/>
              </w:rPr>
              <w:t>118</w:t>
            </w:r>
          </w:p>
        </w:tc>
        <w:tc>
          <w:tcPr>
            <w:tcW w:w="1161" w:type="dxa"/>
            <w:tcBorders>
              <w:tl2br w:val="nil"/>
              <w:tr2bl w:val="nil"/>
            </w:tcBorders>
            <w:vAlign w:val="center"/>
          </w:tcPr>
          <w:p>
            <w:pPr>
              <w:pStyle w:val="34"/>
              <w:rPr>
                <w:color w:val="auto"/>
              </w:rPr>
            </w:pPr>
            <w:r>
              <w:rPr>
                <w:rFonts w:hint="eastAsia"/>
                <w:color w:val="auto"/>
              </w:rPr>
              <w:t>118</w:t>
            </w:r>
          </w:p>
        </w:tc>
        <w:tc>
          <w:tcPr>
            <w:tcW w:w="2884" w:type="dxa"/>
            <w:gridSpan w:val="2"/>
            <w:tcBorders>
              <w:tl2br w:val="nil"/>
              <w:tr2bl w:val="nil"/>
            </w:tcBorders>
            <w:vAlign w:val="center"/>
          </w:tcPr>
          <w:p>
            <w:pPr>
              <w:pStyle w:val="34"/>
              <w:rPr>
                <w:color w:val="auto"/>
              </w:rPr>
            </w:pPr>
            <w:r>
              <w:rPr>
                <w:color w:val="aut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rFonts w:ascii="宋体" w:hAnsi="宋体"/>
                <w:color w:val="auto"/>
              </w:rPr>
            </w:pPr>
            <w:r>
              <w:rPr>
                <w:rFonts w:hint="eastAsia" w:ascii="宋体" w:hAnsi="宋体"/>
                <w:color w:val="auto"/>
              </w:rPr>
              <w:t>屠宰及熟食加工下脚料</w:t>
            </w:r>
          </w:p>
        </w:tc>
        <w:tc>
          <w:tcPr>
            <w:tcW w:w="1260" w:type="dxa"/>
            <w:tcBorders>
              <w:tl2br w:val="nil"/>
              <w:tr2bl w:val="nil"/>
            </w:tcBorders>
            <w:vAlign w:val="center"/>
          </w:tcPr>
          <w:p>
            <w:pPr>
              <w:pStyle w:val="34"/>
              <w:rPr>
                <w:color w:val="auto"/>
              </w:rPr>
            </w:pPr>
            <w:r>
              <w:rPr>
                <w:rFonts w:hint="eastAsia"/>
                <w:color w:val="auto"/>
              </w:rPr>
              <w:t>970</w:t>
            </w:r>
          </w:p>
        </w:tc>
        <w:tc>
          <w:tcPr>
            <w:tcW w:w="1161" w:type="dxa"/>
            <w:tcBorders>
              <w:tl2br w:val="nil"/>
              <w:tr2bl w:val="nil"/>
            </w:tcBorders>
            <w:vAlign w:val="center"/>
          </w:tcPr>
          <w:p>
            <w:pPr>
              <w:pStyle w:val="34"/>
              <w:rPr>
                <w:color w:val="auto"/>
              </w:rPr>
            </w:pPr>
            <w:r>
              <w:rPr>
                <w:rFonts w:hint="eastAsia"/>
                <w:color w:val="auto"/>
              </w:rPr>
              <w:t>970</w:t>
            </w:r>
          </w:p>
        </w:tc>
        <w:tc>
          <w:tcPr>
            <w:tcW w:w="2884" w:type="dxa"/>
            <w:gridSpan w:val="2"/>
            <w:tcBorders>
              <w:tl2br w:val="nil"/>
              <w:tr2bl w:val="nil"/>
            </w:tcBorders>
            <w:vAlign w:val="center"/>
          </w:tcPr>
          <w:p>
            <w:pPr>
              <w:pStyle w:val="34"/>
              <w:rPr>
                <w:color w:val="auto"/>
              </w:rPr>
            </w:pPr>
            <w:r>
              <w:rPr>
                <w:rFonts w:hint="eastAsia"/>
                <w:color w:val="aut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rFonts w:ascii="宋体" w:hAnsi="宋体"/>
                <w:color w:val="auto"/>
              </w:rPr>
            </w:pPr>
            <w:r>
              <w:rPr>
                <w:rFonts w:hint="eastAsia" w:ascii="宋体" w:hAnsi="宋体"/>
                <w:color w:val="auto"/>
              </w:rPr>
              <w:t>病死猪牛</w:t>
            </w:r>
          </w:p>
        </w:tc>
        <w:tc>
          <w:tcPr>
            <w:tcW w:w="1260" w:type="dxa"/>
            <w:tcBorders>
              <w:tl2br w:val="nil"/>
              <w:tr2bl w:val="nil"/>
            </w:tcBorders>
            <w:vAlign w:val="center"/>
          </w:tcPr>
          <w:p>
            <w:pPr>
              <w:pStyle w:val="34"/>
              <w:rPr>
                <w:color w:val="auto"/>
              </w:rPr>
            </w:pPr>
            <w:r>
              <w:rPr>
                <w:rFonts w:hint="eastAsia"/>
                <w:color w:val="auto"/>
              </w:rPr>
              <w:t>155</w:t>
            </w:r>
          </w:p>
        </w:tc>
        <w:tc>
          <w:tcPr>
            <w:tcW w:w="1161" w:type="dxa"/>
            <w:tcBorders>
              <w:tl2br w:val="nil"/>
              <w:tr2bl w:val="nil"/>
            </w:tcBorders>
            <w:vAlign w:val="center"/>
          </w:tcPr>
          <w:p>
            <w:pPr>
              <w:pStyle w:val="34"/>
              <w:rPr>
                <w:color w:val="auto"/>
              </w:rPr>
            </w:pPr>
            <w:r>
              <w:rPr>
                <w:rFonts w:hint="eastAsia"/>
                <w:color w:val="auto"/>
              </w:rPr>
              <w:t>155</w:t>
            </w:r>
          </w:p>
        </w:tc>
        <w:tc>
          <w:tcPr>
            <w:tcW w:w="2884" w:type="dxa"/>
            <w:gridSpan w:val="2"/>
            <w:tcBorders>
              <w:tl2br w:val="nil"/>
              <w:tr2bl w:val="nil"/>
            </w:tcBorders>
            <w:vAlign w:val="center"/>
          </w:tcPr>
          <w:p>
            <w:pPr>
              <w:pStyle w:val="34"/>
              <w:rPr>
                <w:color w:val="auto"/>
              </w:rPr>
            </w:pPr>
            <w:r>
              <w:rPr>
                <w:color w:val="aut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rFonts w:ascii="宋体" w:hAnsi="宋体"/>
                <w:color w:val="auto"/>
              </w:rPr>
            </w:pPr>
            <w:r>
              <w:rPr>
                <w:rFonts w:hint="eastAsia" w:ascii="宋体" w:hAnsi="宋体"/>
                <w:color w:val="auto"/>
              </w:rPr>
              <w:t>猪牛粪</w:t>
            </w:r>
          </w:p>
        </w:tc>
        <w:tc>
          <w:tcPr>
            <w:tcW w:w="1260" w:type="dxa"/>
            <w:tcBorders>
              <w:tl2br w:val="nil"/>
              <w:tr2bl w:val="nil"/>
            </w:tcBorders>
            <w:vAlign w:val="center"/>
          </w:tcPr>
          <w:p>
            <w:pPr>
              <w:pStyle w:val="34"/>
              <w:rPr>
                <w:color w:val="auto"/>
              </w:rPr>
            </w:pPr>
            <w:r>
              <w:rPr>
                <w:rFonts w:hint="eastAsia"/>
                <w:color w:val="auto"/>
              </w:rPr>
              <w:t>1586</w:t>
            </w:r>
          </w:p>
        </w:tc>
        <w:tc>
          <w:tcPr>
            <w:tcW w:w="1161" w:type="dxa"/>
            <w:tcBorders>
              <w:tl2br w:val="nil"/>
              <w:tr2bl w:val="nil"/>
            </w:tcBorders>
            <w:vAlign w:val="center"/>
          </w:tcPr>
          <w:p>
            <w:pPr>
              <w:pStyle w:val="34"/>
              <w:rPr>
                <w:color w:val="auto"/>
              </w:rPr>
            </w:pPr>
            <w:r>
              <w:rPr>
                <w:rFonts w:hint="eastAsia"/>
                <w:color w:val="auto"/>
              </w:rPr>
              <w:t>1586</w:t>
            </w:r>
          </w:p>
        </w:tc>
        <w:tc>
          <w:tcPr>
            <w:tcW w:w="2884" w:type="dxa"/>
            <w:gridSpan w:val="2"/>
            <w:tcBorders>
              <w:tl2br w:val="nil"/>
              <w:tr2bl w:val="nil"/>
            </w:tcBorders>
            <w:vAlign w:val="center"/>
          </w:tcPr>
          <w:p>
            <w:pPr>
              <w:pStyle w:val="34"/>
              <w:rPr>
                <w:color w:val="auto"/>
              </w:rPr>
            </w:pPr>
            <w:r>
              <w:rPr>
                <w:rFonts w:hint="eastAsia"/>
                <w:color w:val="aut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 w:hRule="atLeast"/>
          <w:jc w:val="center"/>
        </w:trPr>
        <w:tc>
          <w:tcPr>
            <w:tcW w:w="2197" w:type="dxa"/>
            <w:gridSpan w:val="2"/>
            <w:vMerge w:val="continue"/>
            <w:tcBorders>
              <w:tl2br w:val="nil"/>
              <w:tr2bl w:val="nil"/>
            </w:tcBorders>
            <w:vAlign w:val="center"/>
          </w:tcPr>
          <w:p>
            <w:pPr>
              <w:pStyle w:val="34"/>
              <w:rPr>
                <w:color w:val="auto"/>
              </w:rPr>
            </w:pPr>
          </w:p>
        </w:tc>
        <w:tc>
          <w:tcPr>
            <w:tcW w:w="1425" w:type="dxa"/>
            <w:tcBorders>
              <w:tl2br w:val="nil"/>
              <w:tr2bl w:val="nil"/>
            </w:tcBorders>
            <w:vAlign w:val="center"/>
          </w:tcPr>
          <w:p>
            <w:pPr>
              <w:pStyle w:val="34"/>
              <w:rPr>
                <w:rFonts w:ascii="宋体" w:hAnsi="宋体"/>
                <w:color w:val="auto"/>
              </w:rPr>
            </w:pPr>
            <w:r>
              <w:rPr>
                <w:rFonts w:hint="eastAsia" w:ascii="宋体" w:hAnsi="宋体"/>
                <w:color w:val="auto"/>
              </w:rPr>
              <w:t>污泥</w:t>
            </w:r>
          </w:p>
        </w:tc>
        <w:tc>
          <w:tcPr>
            <w:tcW w:w="1260" w:type="dxa"/>
            <w:tcBorders>
              <w:tl2br w:val="nil"/>
              <w:tr2bl w:val="nil"/>
            </w:tcBorders>
            <w:vAlign w:val="center"/>
          </w:tcPr>
          <w:p>
            <w:pPr>
              <w:pStyle w:val="34"/>
              <w:rPr>
                <w:color w:val="auto"/>
              </w:rPr>
            </w:pPr>
            <w:r>
              <w:rPr>
                <w:rFonts w:hint="eastAsia"/>
                <w:color w:val="auto"/>
              </w:rPr>
              <w:t>220</w:t>
            </w:r>
          </w:p>
        </w:tc>
        <w:tc>
          <w:tcPr>
            <w:tcW w:w="1161" w:type="dxa"/>
            <w:tcBorders>
              <w:tl2br w:val="nil"/>
              <w:tr2bl w:val="nil"/>
            </w:tcBorders>
            <w:vAlign w:val="center"/>
          </w:tcPr>
          <w:p>
            <w:pPr>
              <w:pStyle w:val="34"/>
              <w:rPr>
                <w:color w:val="auto"/>
              </w:rPr>
            </w:pPr>
            <w:r>
              <w:rPr>
                <w:rFonts w:hint="eastAsia"/>
                <w:color w:val="auto"/>
              </w:rPr>
              <w:t>220</w:t>
            </w:r>
          </w:p>
        </w:tc>
        <w:tc>
          <w:tcPr>
            <w:tcW w:w="2884" w:type="dxa"/>
            <w:gridSpan w:val="2"/>
            <w:tcBorders>
              <w:tl2br w:val="nil"/>
              <w:tr2bl w:val="nil"/>
            </w:tcBorders>
            <w:vAlign w:val="center"/>
          </w:tcPr>
          <w:p>
            <w:pPr>
              <w:pStyle w:val="34"/>
              <w:rPr>
                <w:color w:val="auto"/>
              </w:rPr>
            </w:pPr>
            <w:r>
              <w:rPr>
                <w:rFonts w:hint="eastAsia"/>
                <w:color w:val="auto"/>
              </w:rPr>
              <w:t>0</w:t>
            </w:r>
          </w:p>
        </w:tc>
      </w:tr>
    </w:tbl>
    <w:p>
      <w:pPr>
        <w:pStyle w:val="2"/>
        <w:rPr>
          <w:color w:val="auto"/>
          <w:sz w:val="21"/>
        </w:rPr>
        <w:sectPr>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11"/>
        <w:rPr>
          <w:b/>
          <w:color w:val="auto"/>
          <w:sz w:val="12"/>
        </w:rPr>
      </w:pPr>
    </w:p>
    <w:p>
      <w:pPr>
        <w:pStyle w:val="7"/>
        <w:numPr>
          <w:ilvl w:val="0"/>
          <w:numId w:val="9"/>
        </w:numPr>
        <w:tabs>
          <w:tab w:val="left" w:pos="1319"/>
          <w:tab w:val="left" w:pos="1320"/>
        </w:tabs>
        <w:spacing w:before="65" w:after="0" w:line="240" w:lineRule="auto"/>
        <w:ind w:left="1320" w:right="0" w:hanging="480"/>
        <w:jc w:val="left"/>
        <w:rPr>
          <w:color w:val="auto"/>
        </w:rPr>
      </w:pPr>
      <w:bookmarkStart w:id="113" w:name="_bookmark25"/>
      <w:bookmarkEnd w:id="113"/>
      <w:bookmarkStart w:id="114" w:name="3  企业环境风险评价"/>
      <w:bookmarkEnd w:id="114"/>
      <w:bookmarkStart w:id="115" w:name="_bookmark25"/>
      <w:bookmarkEnd w:id="115"/>
      <w:bookmarkStart w:id="116" w:name="_Toc15962"/>
      <w:bookmarkStart w:id="117" w:name="_Toc4601"/>
      <w:r>
        <w:rPr>
          <w:color w:val="auto"/>
        </w:rPr>
        <w:t>企业环境风险评价</w:t>
      </w:r>
      <w:bookmarkEnd w:id="116"/>
      <w:bookmarkEnd w:id="117"/>
    </w:p>
    <w:p>
      <w:pPr>
        <w:pStyle w:val="5"/>
        <w:spacing w:before="212" w:line="364" w:lineRule="auto"/>
        <w:ind w:left="840" w:right="932" w:firstLine="480"/>
        <w:jc w:val="both"/>
      </w:pPr>
      <w:r>
        <w:rPr>
          <w:color w:val="auto"/>
          <w:spacing w:val="-7"/>
        </w:rPr>
        <w:t>企业环境风</w:t>
      </w:r>
      <w:r>
        <w:rPr>
          <w:spacing w:val="-7"/>
        </w:rPr>
        <w:t>险等级根据《企业突发环境事件风险评估指南</w:t>
      </w:r>
      <w:r>
        <w:t>（试行</w:t>
      </w:r>
      <w:r>
        <w:rPr>
          <w:spacing w:val="-44"/>
        </w:rPr>
        <w:t>）</w:t>
      </w:r>
      <w:r>
        <w:rPr>
          <w:spacing w:val="-92"/>
        </w:rPr>
        <w:t>》</w:t>
      </w:r>
      <w:r>
        <w:t>（环办</w:t>
      </w:r>
      <w:r>
        <w:rPr>
          <w:spacing w:val="-3"/>
        </w:rPr>
        <w:t xml:space="preserve">[2014]34 </w:t>
      </w:r>
      <w:r>
        <w:t>号）</w:t>
      </w:r>
      <w:r>
        <w:rPr>
          <w:spacing w:val="-1"/>
        </w:rPr>
        <w:t>结合企业环境风险源的特性以及企业周边环境风险受体分布情况，基于“危险物质</w:t>
      </w:r>
      <w:r>
        <w:t>水平—企业风险水平—周边环境受体状况”体系进行分级。</w:t>
      </w:r>
    </w:p>
    <w:p>
      <w:pPr>
        <w:pStyle w:val="5"/>
        <w:spacing w:line="364" w:lineRule="auto"/>
        <w:ind w:left="840" w:right="932" w:firstLine="480"/>
        <w:jc w:val="both"/>
      </w:pPr>
      <w:r>
        <w:rPr>
          <w:spacing w:val="-1"/>
        </w:rPr>
        <w:t>环境风险评价的目的是分析和预测建设工程存在的潜在危险、有害因素，分析可能</w:t>
      </w:r>
      <w:r>
        <w:t>发生的突发性事件或事故（一般不包括人为破坏及自然灾害）</w:t>
      </w:r>
      <w:r>
        <w:rPr>
          <w:spacing w:val="-2"/>
        </w:rPr>
        <w:t>，引起有毒有害和易燃易</w:t>
      </w:r>
      <w:r>
        <w:rPr>
          <w:spacing w:val="-1"/>
        </w:rPr>
        <w:t>爆等物质泄漏可能造成的人身安全与环境影响和损害程度，提出合理可行的防范、应急与减缓措施，以使建设工程事故率、损失和环境影响达到可接受水平。环境风险评价关</w:t>
      </w:r>
      <w:r>
        <w:t>注点是事故对厂界外环境的影响。</w:t>
      </w:r>
    </w:p>
    <w:p>
      <w:pPr>
        <w:pStyle w:val="8"/>
        <w:numPr>
          <w:ilvl w:val="1"/>
          <w:numId w:val="9"/>
        </w:numPr>
        <w:tabs>
          <w:tab w:val="left" w:pos="1330"/>
        </w:tabs>
        <w:spacing w:before="0" w:after="0" w:line="358" w:lineRule="exact"/>
        <w:ind w:left="1329" w:right="0" w:hanging="490"/>
        <w:jc w:val="left"/>
      </w:pPr>
      <w:bookmarkStart w:id="118" w:name="_bookmark26"/>
      <w:bookmarkEnd w:id="118"/>
      <w:bookmarkStart w:id="119" w:name="_bookmark26"/>
      <w:bookmarkEnd w:id="119"/>
      <w:bookmarkStart w:id="120" w:name="3.1 环境风险识别"/>
      <w:bookmarkEnd w:id="120"/>
      <w:bookmarkStart w:id="121" w:name="_Toc6532"/>
      <w:bookmarkStart w:id="122" w:name="_Toc10456"/>
      <w:r>
        <w:rPr>
          <w:spacing w:val="-1"/>
          <w:w w:val="95"/>
        </w:rPr>
        <w:t>环境风险识别</w:t>
      </w:r>
      <w:bookmarkEnd w:id="121"/>
      <w:bookmarkEnd w:id="122"/>
    </w:p>
    <w:p>
      <w:pPr>
        <w:pStyle w:val="5"/>
        <w:spacing w:before="231" w:line="364" w:lineRule="auto"/>
        <w:ind w:left="840" w:right="927" w:firstLine="480"/>
        <w:jc w:val="both"/>
      </w:pPr>
      <w:r>
        <w:rPr>
          <w:spacing w:val="-4"/>
        </w:rPr>
        <w:t>依据《企业突发环境事件风险评估指南</w:t>
      </w:r>
      <w:r>
        <w:t>（试行</w:t>
      </w:r>
      <w:r>
        <w:rPr>
          <w:spacing w:val="-5"/>
        </w:rPr>
        <w:t>）</w:t>
      </w:r>
      <w:r>
        <w:rPr>
          <w:spacing w:val="-12"/>
        </w:rPr>
        <w:t>》</w:t>
      </w:r>
      <w:r>
        <w:t>（环办函[2014]34</w:t>
      </w:r>
      <w:r>
        <w:rPr>
          <w:spacing w:val="-30"/>
        </w:rPr>
        <w:t xml:space="preserve"> 号</w:t>
      </w:r>
      <w:r>
        <w:rPr>
          <w:spacing w:val="-5"/>
        </w:rPr>
        <w:t>）</w:t>
      </w:r>
      <w:r>
        <w:rPr>
          <w:spacing w:val="-7"/>
        </w:rPr>
        <w:t>、《建设</w:t>
      </w:r>
      <w:r>
        <w:rPr>
          <w:spacing w:val="-2"/>
        </w:rPr>
        <w:t>项目环境风险评价技术导则》</w:t>
      </w:r>
      <w:r>
        <w:t>（HJ/T</w:t>
      </w:r>
      <w:r>
        <w:rPr>
          <w:spacing w:val="-53"/>
        </w:rPr>
        <w:t xml:space="preserve"> </w:t>
      </w:r>
      <w:r>
        <w:rPr>
          <w:spacing w:val="-3"/>
        </w:rPr>
        <w:t>169-2004），企业的环境风险源及环境风险主要有</w:t>
      </w:r>
      <w:r>
        <w:t>以下几项：</w:t>
      </w:r>
    </w:p>
    <w:p>
      <w:pPr>
        <w:pStyle w:val="5"/>
        <w:spacing w:line="364" w:lineRule="auto"/>
        <w:ind w:left="840" w:right="932" w:firstLine="480"/>
      </w:pPr>
      <w:r>
        <w:t>①生产设施：生产设备设施发生事故导致其中的环境风险物质发生泄漏，火灾或者爆炸，诱发环境风险事件或次生环境风险事件。</w:t>
      </w:r>
    </w:p>
    <w:p>
      <w:pPr>
        <w:pStyle w:val="5"/>
        <w:spacing w:line="306" w:lineRule="exact"/>
        <w:ind w:left="1320"/>
      </w:pPr>
      <w:r>
        <w:t>②环保设施：环保设施在非正常工况或事故状态下排放污染物，直接污染环境。</w:t>
      </w:r>
    </w:p>
    <w:p>
      <w:pPr>
        <w:pStyle w:val="5"/>
        <w:spacing w:before="157" w:line="364" w:lineRule="auto"/>
        <w:ind w:left="840" w:right="932" w:firstLine="480"/>
      </w:pPr>
      <w:r>
        <w:t>③运输、装卸过程：危险化学品、危险废物等在厂内运输、装卸过程中因事故原因进入外界环境。</w:t>
      </w:r>
    </w:p>
    <w:p>
      <w:pPr>
        <w:pStyle w:val="9"/>
        <w:numPr>
          <w:ilvl w:val="2"/>
          <w:numId w:val="13"/>
        </w:numPr>
        <w:tabs>
          <w:tab w:val="left" w:pos="1440"/>
        </w:tabs>
        <w:spacing w:before="0" w:after="0" w:line="306" w:lineRule="exact"/>
        <w:ind w:left="1440" w:right="0" w:hanging="600"/>
        <w:jc w:val="left"/>
      </w:pPr>
      <w:bookmarkStart w:id="123" w:name="_bookmark27"/>
      <w:bookmarkEnd w:id="123"/>
      <w:bookmarkStart w:id="124" w:name="_bookmark27"/>
      <w:bookmarkEnd w:id="124"/>
      <w:bookmarkStart w:id="125" w:name="3.1.1 环境风险物质识别"/>
      <w:bookmarkEnd w:id="125"/>
      <w:r>
        <w:t>环境风险物质识别</w:t>
      </w:r>
    </w:p>
    <w:p>
      <w:pPr>
        <w:pStyle w:val="5"/>
        <w:spacing w:before="209" w:line="362" w:lineRule="auto"/>
        <w:ind w:left="840" w:right="932" w:firstLine="480"/>
      </w:pPr>
      <w:r>
        <w:t>根据企业实际生产情况，生产过程中涉及的化学品主要有</w:t>
      </w:r>
      <w:r>
        <w:rPr>
          <w:rFonts w:hint="eastAsia"/>
          <w:lang w:eastAsia="zh-CN"/>
        </w:rPr>
        <w:t>菌毒敌</w:t>
      </w:r>
      <w:r>
        <w:t>、</w:t>
      </w:r>
      <w:r>
        <w:rPr>
          <w:rFonts w:hint="eastAsia"/>
          <w:lang w:eastAsia="zh-CN"/>
        </w:rPr>
        <w:t>除臭消毒剂</w:t>
      </w:r>
      <w:r>
        <w:t>、氟利昂，其理化性质如下表 3-1 所示：</w:t>
      </w:r>
    </w:p>
    <w:p>
      <w:pPr>
        <w:pStyle w:val="9"/>
        <w:tabs>
          <w:tab w:val="left" w:pos="4720"/>
        </w:tabs>
        <w:spacing w:before="98" w:after="17"/>
        <w:ind w:left="3696" w:firstLine="0"/>
      </w:pPr>
      <w:bookmarkStart w:id="126" w:name="表3-1   涉及化学品理化性质一览表"/>
      <w:bookmarkEnd w:id="126"/>
      <w:r>
        <w:t>表</w:t>
      </w:r>
      <w:r>
        <w:rPr>
          <w:spacing w:val="-62"/>
        </w:rPr>
        <w:t xml:space="preserve"> </w:t>
      </w:r>
      <w:r>
        <w:t>3-1</w:t>
      </w:r>
      <w:r>
        <w:tab/>
      </w:r>
      <w:r>
        <w:t>涉及化学品理化性质一览表</w:t>
      </w:r>
    </w:p>
    <w:tbl>
      <w:tblPr>
        <w:tblStyle w:val="14"/>
        <w:tblW w:w="9145" w:type="dxa"/>
        <w:tblInd w:w="8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5"/>
        <w:gridCol w:w="5931"/>
        <w:gridCol w:w="24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805" w:type="dxa"/>
            <w:tcBorders>
              <w:tl2br w:val="nil"/>
              <w:tr2bl w:val="nil"/>
            </w:tcBorders>
          </w:tcPr>
          <w:p>
            <w:pPr>
              <w:pStyle w:val="31"/>
              <w:spacing w:before="142"/>
              <w:ind w:left="191"/>
              <w:jc w:val="left"/>
              <w:rPr>
                <w:sz w:val="21"/>
              </w:rPr>
            </w:pPr>
            <w:r>
              <w:rPr>
                <w:sz w:val="21"/>
              </w:rPr>
              <w:t>名称</w:t>
            </w:r>
          </w:p>
        </w:tc>
        <w:tc>
          <w:tcPr>
            <w:tcW w:w="5931" w:type="dxa"/>
            <w:tcBorders>
              <w:tl2br w:val="nil"/>
              <w:tr2bl w:val="nil"/>
            </w:tcBorders>
          </w:tcPr>
          <w:p>
            <w:pPr>
              <w:pStyle w:val="31"/>
              <w:spacing w:before="142"/>
              <w:ind w:left="22" w:right="15"/>
              <w:rPr>
                <w:sz w:val="21"/>
              </w:rPr>
            </w:pPr>
            <w:r>
              <w:rPr>
                <w:sz w:val="21"/>
              </w:rPr>
              <w:t>理化性质</w:t>
            </w:r>
          </w:p>
        </w:tc>
        <w:tc>
          <w:tcPr>
            <w:tcW w:w="2409" w:type="dxa"/>
            <w:tcBorders>
              <w:tl2br w:val="nil"/>
              <w:tr2bl w:val="nil"/>
            </w:tcBorders>
          </w:tcPr>
          <w:p>
            <w:pPr>
              <w:pStyle w:val="31"/>
              <w:spacing w:before="142"/>
              <w:ind w:left="783"/>
              <w:jc w:val="left"/>
              <w:rPr>
                <w:sz w:val="21"/>
              </w:rPr>
            </w:pPr>
            <w:r>
              <w:rPr>
                <w:sz w:val="21"/>
              </w:rPr>
              <w:t>危险特性</w:t>
            </w:r>
          </w:p>
        </w:tc>
      </w:tr>
    </w:tbl>
    <w:p>
      <w:pPr>
        <w:pStyle w:val="5"/>
        <w:rPr>
          <w:b/>
          <w:sz w:val="20"/>
        </w:rPr>
      </w:pPr>
    </w:p>
    <w:p>
      <w:pPr>
        <w:pStyle w:val="5"/>
        <w:rPr>
          <w:b/>
          <w:sz w:val="20"/>
        </w:rPr>
      </w:pPr>
    </w:p>
    <w:p>
      <w:pPr>
        <w:pStyle w:val="5"/>
        <w:rPr>
          <w:b/>
          <w:sz w:val="20"/>
        </w:rPr>
      </w:pPr>
    </w:p>
    <w:tbl>
      <w:tblPr>
        <w:tblStyle w:val="14"/>
        <w:tblW w:w="9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5"/>
        <w:gridCol w:w="5931"/>
        <w:gridCol w:w="24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2" w:hRule="atLeast"/>
          <w:jc w:val="center"/>
        </w:trPr>
        <w:tc>
          <w:tcPr>
            <w:tcW w:w="805" w:type="dxa"/>
            <w:tcBorders>
              <w:tl2br w:val="nil"/>
              <w:tr2bl w:val="nil"/>
            </w:tcBorders>
          </w:tcPr>
          <w:p>
            <w:pPr>
              <w:pStyle w:val="31"/>
              <w:jc w:val="left"/>
              <w:rPr>
                <w:b/>
                <w:sz w:val="20"/>
              </w:rPr>
            </w:pPr>
          </w:p>
          <w:p>
            <w:pPr>
              <w:pStyle w:val="31"/>
              <w:jc w:val="left"/>
              <w:rPr>
                <w:b/>
                <w:sz w:val="20"/>
              </w:rPr>
            </w:pPr>
          </w:p>
          <w:p>
            <w:pPr>
              <w:pStyle w:val="31"/>
              <w:jc w:val="left"/>
              <w:rPr>
                <w:b/>
                <w:sz w:val="20"/>
              </w:rPr>
            </w:pPr>
          </w:p>
          <w:p>
            <w:pPr>
              <w:pStyle w:val="31"/>
              <w:jc w:val="left"/>
              <w:rPr>
                <w:b/>
                <w:sz w:val="20"/>
              </w:rPr>
            </w:pPr>
          </w:p>
          <w:p>
            <w:pPr>
              <w:pStyle w:val="31"/>
              <w:jc w:val="left"/>
              <w:rPr>
                <w:b/>
                <w:sz w:val="20"/>
              </w:rPr>
            </w:pPr>
          </w:p>
          <w:p>
            <w:pPr>
              <w:pStyle w:val="31"/>
              <w:jc w:val="left"/>
              <w:rPr>
                <w:b/>
                <w:sz w:val="20"/>
              </w:rPr>
            </w:pPr>
          </w:p>
          <w:p>
            <w:pPr>
              <w:pStyle w:val="31"/>
              <w:spacing w:before="6"/>
              <w:jc w:val="left"/>
              <w:rPr>
                <w:b/>
                <w:sz w:val="25"/>
              </w:rPr>
            </w:pPr>
          </w:p>
          <w:p>
            <w:pPr>
              <w:pStyle w:val="31"/>
              <w:spacing w:line="242" w:lineRule="auto"/>
              <w:ind w:left="86" w:right="77"/>
              <w:jc w:val="left"/>
              <w:rPr>
                <w:sz w:val="21"/>
              </w:rPr>
            </w:pPr>
            <w:r>
              <w:rPr>
                <w:sz w:val="21"/>
              </w:rPr>
              <w:t>片状氢氧化钠</w:t>
            </w:r>
          </w:p>
        </w:tc>
        <w:tc>
          <w:tcPr>
            <w:tcW w:w="5931" w:type="dxa"/>
            <w:tcBorders>
              <w:tl2br w:val="nil"/>
              <w:tr2bl w:val="nil"/>
            </w:tcBorders>
          </w:tcPr>
          <w:p>
            <w:pPr>
              <w:pStyle w:val="31"/>
              <w:spacing w:before="1"/>
              <w:ind w:left="423"/>
              <w:jc w:val="left"/>
              <w:rPr>
                <w:color w:val="auto"/>
                <w:sz w:val="21"/>
              </w:rPr>
            </w:pPr>
            <w:r>
              <w:rPr>
                <w:color w:val="auto"/>
                <w:sz w:val="21"/>
              </w:rPr>
              <w:t>中文名称：氢氧化钠（烧碱）</w:t>
            </w:r>
          </w:p>
          <w:p>
            <w:pPr>
              <w:pStyle w:val="31"/>
              <w:spacing w:before="3" w:line="242" w:lineRule="auto"/>
              <w:ind w:left="3" w:right="-15" w:firstLine="420"/>
              <w:jc w:val="both"/>
              <w:rPr>
                <w:color w:val="auto"/>
                <w:sz w:val="21"/>
              </w:rPr>
            </w:pPr>
            <w:r>
              <w:rPr>
                <w:color w:val="auto"/>
                <w:sz w:val="21"/>
              </w:rPr>
              <w:t>英文名称：</w:t>
            </w:r>
            <w:r>
              <w:rPr>
                <w:rFonts w:ascii="Times New Roman" w:eastAsia="Times New Roman"/>
                <w:color w:val="auto"/>
                <w:sz w:val="21"/>
              </w:rPr>
              <w:t>sodiun hydroxide</w:t>
            </w:r>
            <w:r>
              <w:rPr>
                <w:color w:val="auto"/>
                <w:sz w:val="21"/>
              </w:rPr>
              <w:t>，健康危害：本品有强烈刺激和腐蚀性。粉尘刺激眼和呼吸道，腐蚀鼻中隔；皮肤和眼直接接触可引起灼伤；误服可造成消化道灼伤，粘膜糜烂、出血和休克</w:t>
            </w:r>
          </w:p>
          <w:p>
            <w:pPr>
              <w:pStyle w:val="31"/>
              <w:spacing w:line="244" w:lineRule="auto"/>
              <w:ind w:left="3" w:right="-15" w:firstLine="420"/>
              <w:jc w:val="both"/>
              <w:rPr>
                <w:color w:val="auto"/>
                <w:sz w:val="21"/>
              </w:rPr>
            </w:pPr>
            <w:r>
              <w:rPr>
                <w:color w:val="auto"/>
                <w:sz w:val="21"/>
              </w:rPr>
              <w:t xml:space="preserve">环境危害：对水体可造成污染。皮肤接触：立即脱去污染的衣着，用大量流动清水冲洗至少 </w:t>
            </w:r>
            <w:r>
              <w:rPr>
                <w:rFonts w:ascii="Times New Roman" w:eastAsia="Times New Roman"/>
                <w:color w:val="auto"/>
                <w:sz w:val="21"/>
              </w:rPr>
              <w:t xml:space="preserve">15 </w:t>
            </w:r>
            <w:r>
              <w:rPr>
                <w:color w:val="auto"/>
                <w:sz w:val="21"/>
              </w:rPr>
              <w:t>分钟。就医</w:t>
            </w:r>
          </w:p>
          <w:p>
            <w:pPr>
              <w:pStyle w:val="31"/>
              <w:spacing w:line="242" w:lineRule="auto"/>
              <w:ind w:left="3" w:right="-15" w:firstLine="420"/>
              <w:jc w:val="both"/>
              <w:rPr>
                <w:color w:val="auto"/>
                <w:sz w:val="21"/>
              </w:rPr>
            </w:pPr>
            <w:r>
              <w:rPr>
                <w:color w:val="auto"/>
                <w:sz w:val="21"/>
              </w:rPr>
              <w:t xml:space="preserve">眼睛接触：立即提起眼睑，用大量流动清水或生理盐水彻底冲洗至少 </w:t>
            </w:r>
            <w:r>
              <w:rPr>
                <w:rFonts w:ascii="Times New Roman" w:eastAsia="Times New Roman"/>
                <w:color w:val="auto"/>
                <w:sz w:val="21"/>
              </w:rPr>
              <w:t xml:space="preserve">15 </w:t>
            </w:r>
            <w:r>
              <w:rPr>
                <w:color w:val="auto"/>
                <w:sz w:val="21"/>
              </w:rPr>
              <w:t>分钟。就医</w:t>
            </w:r>
          </w:p>
          <w:p>
            <w:pPr>
              <w:pStyle w:val="31"/>
              <w:spacing w:line="244" w:lineRule="auto"/>
              <w:ind w:left="3" w:right="-15" w:firstLine="420"/>
              <w:jc w:val="left"/>
              <w:rPr>
                <w:color w:val="auto"/>
                <w:sz w:val="21"/>
              </w:rPr>
            </w:pPr>
            <w:r>
              <w:rPr>
                <w:color w:val="auto"/>
                <w:sz w:val="21"/>
              </w:rPr>
              <w:t>吸入：迅速脱离现场至空气新鲜处。保持呼吸道通畅。如呼吸困难，给输氧。如呼吸停止，立即进行人工呼吸。就医</w:t>
            </w:r>
          </w:p>
          <w:p>
            <w:pPr>
              <w:pStyle w:val="31"/>
              <w:spacing w:line="265" w:lineRule="exact"/>
              <w:ind w:left="423"/>
              <w:jc w:val="left"/>
              <w:rPr>
                <w:color w:val="auto"/>
                <w:sz w:val="21"/>
              </w:rPr>
            </w:pPr>
            <w:r>
              <w:rPr>
                <w:color w:val="auto"/>
                <w:sz w:val="21"/>
              </w:rPr>
              <w:t>食入：用水漱口，给饮牛奶或蛋清。就医</w:t>
            </w:r>
          </w:p>
          <w:p>
            <w:pPr>
              <w:pStyle w:val="31"/>
              <w:spacing w:before="2" w:line="242" w:lineRule="auto"/>
              <w:ind w:left="423" w:right="-15" w:hanging="346"/>
              <w:jc w:val="left"/>
              <w:rPr>
                <w:color w:val="auto"/>
                <w:sz w:val="21"/>
              </w:rPr>
            </w:pPr>
            <w:r>
              <w:rPr>
                <w:color w:val="auto"/>
                <w:sz w:val="21"/>
              </w:rPr>
              <w:t>燃爆危险：本品不燃，具强腐蚀性、强刺激性，可致人体灼伤危险特性：与酸发生中和反应并放热。遇潮时对铝、锌和锡</w:t>
            </w:r>
          </w:p>
          <w:p>
            <w:pPr>
              <w:pStyle w:val="31"/>
              <w:spacing w:before="1"/>
              <w:ind w:left="3" w:right="-15"/>
              <w:jc w:val="left"/>
              <w:rPr>
                <w:color w:val="auto"/>
                <w:sz w:val="21"/>
              </w:rPr>
            </w:pPr>
            <w:r>
              <w:rPr>
                <w:color w:val="auto"/>
                <w:spacing w:val="3"/>
                <w:sz w:val="21"/>
              </w:rPr>
              <w:t>有腐蚀性，并放出易燃易爆的氢气。本品不会燃烧</w:t>
            </w:r>
            <w:r>
              <w:rPr>
                <w:rFonts w:ascii="Times New Roman" w:eastAsia="Times New Roman"/>
                <w:color w:val="auto"/>
                <w:spacing w:val="15"/>
                <w:sz w:val="21"/>
              </w:rPr>
              <w:t xml:space="preserve">, </w:t>
            </w:r>
            <w:r>
              <w:rPr>
                <w:color w:val="auto"/>
                <w:spacing w:val="3"/>
                <w:sz w:val="21"/>
              </w:rPr>
              <w:t>遇水和水蒸</w:t>
            </w:r>
          </w:p>
          <w:p>
            <w:pPr>
              <w:pStyle w:val="31"/>
              <w:spacing w:before="3" w:line="199" w:lineRule="exact"/>
              <w:ind w:left="3"/>
              <w:jc w:val="left"/>
              <w:rPr>
                <w:color w:val="auto"/>
                <w:sz w:val="21"/>
              </w:rPr>
            </w:pPr>
            <w:r>
              <w:rPr>
                <w:color w:val="auto"/>
                <w:sz w:val="21"/>
              </w:rPr>
              <w:t>气大量放热</w:t>
            </w:r>
            <w:r>
              <w:rPr>
                <w:rFonts w:ascii="Times New Roman" w:eastAsia="Times New Roman"/>
                <w:color w:val="auto"/>
                <w:sz w:val="21"/>
              </w:rPr>
              <w:t xml:space="preserve">, </w:t>
            </w:r>
            <w:r>
              <w:rPr>
                <w:color w:val="auto"/>
                <w:sz w:val="21"/>
              </w:rPr>
              <w:t>形成腐蚀性溶液。具有强腐蚀性</w:t>
            </w:r>
          </w:p>
        </w:tc>
        <w:tc>
          <w:tcPr>
            <w:tcW w:w="2409" w:type="dxa"/>
            <w:tcBorders>
              <w:tl2br w:val="nil"/>
              <w:tr2bl w:val="nil"/>
            </w:tcBorders>
          </w:tcPr>
          <w:p>
            <w:pPr>
              <w:pStyle w:val="31"/>
              <w:spacing w:before="1"/>
              <w:ind w:left="52" w:right="39"/>
              <w:rPr>
                <w:rFonts w:ascii="Times New Roman" w:eastAsia="Times New Roman"/>
                <w:sz w:val="21"/>
              </w:rPr>
            </w:pPr>
            <w:r>
              <w:rPr>
                <w:rFonts w:ascii="Times New Roman" w:eastAsia="Times New Roman"/>
                <w:sz w:val="21"/>
              </w:rPr>
              <w:t xml:space="preserve">CAS </w:t>
            </w:r>
            <w:r>
              <w:rPr>
                <w:sz w:val="21"/>
              </w:rPr>
              <w:t>号：</w:t>
            </w:r>
            <w:r>
              <w:rPr>
                <w:rFonts w:ascii="Times New Roman" w:eastAsia="Times New Roman"/>
                <w:sz w:val="21"/>
              </w:rPr>
              <w:t>1310-73-2</w:t>
            </w:r>
          </w:p>
          <w:p>
            <w:pPr>
              <w:pStyle w:val="31"/>
              <w:spacing w:before="3"/>
              <w:ind w:left="100" w:right="39"/>
              <w:rPr>
                <w:rFonts w:ascii="Times New Roman" w:eastAsia="Times New Roman"/>
                <w:sz w:val="21"/>
              </w:rPr>
            </w:pPr>
            <w:r>
              <w:rPr>
                <w:sz w:val="21"/>
              </w:rPr>
              <w:t>危规号：</w:t>
            </w:r>
            <w:r>
              <w:rPr>
                <w:rFonts w:ascii="Times New Roman" w:eastAsia="Times New Roman"/>
                <w:sz w:val="21"/>
              </w:rPr>
              <w:t>82001</w:t>
            </w:r>
          </w:p>
          <w:p>
            <w:pPr>
              <w:pStyle w:val="31"/>
              <w:spacing w:before="2" w:line="244" w:lineRule="auto"/>
              <w:ind w:left="48" w:right="39"/>
              <w:rPr>
                <w:sz w:val="21"/>
              </w:rPr>
            </w:pPr>
            <w:r>
              <w:rPr>
                <w:spacing w:val="-7"/>
                <w:sz w:val="21"/>
              </w:rPr>
              <w:t xml:space="preserve">危险性类别：第 </w:t>
            </w:r>
            <w:r>
              <w:rPr>
                <w:rFonts w:ascii="Times New Roman" w:eastAsia="Times New Roman"/>
                <w:sz w:val="21"/>
              </w:rPr>
              <w:t xml:space="preserve">8.2 </w:t>
            </w:r>
            <w:r>
              <w:rPr>
                <w:spacing w:val="-7"/>
                <w:sz w:val="21"/>
              </w:rPr>
              <w:t>类碱</w:t>
            </w:r>
            <w:r>
              <w:rPr>
                <w:sz w:val="21"/>
              </w:rPr>
              <w:t>性腐蚀品</w:t>
            </w:r>
          </w:p>
          <w:p>
            <w:pPr>
              <w:pStyle w:val="31"/>
              <w:spacing w:line="265" w:lineRule="exact"/>
              <w:ind w:left="50" w:right="39"/>
              <w:rPr>
                <w:rFonts w:ascii="Times New Roman" w:eastAsia="Times New Roman"/>
                <w:sz w:val="21"/>
              </w:rPr>
            </w:pPr>
            <w:r>
              <w:rPr>
                <w:rFonts w:ascii="Times New Roman" w:eastAsia="Times New Roman"/>
                <w:sz w:val="21"/>
              </w:rPr>
              <w:t xml:space="preserve">UN </w:t>
            </w:r>
            <w:r>
              <w:rPr>
                <w:sz w:val="21"/>
              </w:rPr>
              <w:t>编号：</w:t>
            </w:r>
            <w:r>
              <w:rPr>
                <w:rFonts w:ascii="Times New Roman" w:eastAsia="Times New Roman"/>
                <w:sz w:val="21"/>
              </w:rPr>
              <w:t>1823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4" w:hRule="atLeast"/>
          <w:jc w:val="center"/>
        </w:trPr>
        <w:tc>
          <w:tcPr>
            <w:tcW w:w="805" w:type="dxa"/>
            <w:tcBorders>
              <w:tl2br w:val="nil"/>
              <w:tr2bl w:val="nil"/>
            </w:tcBorders>
          </w:tcPr>
          <w:p>
            <w:pPr>
              <w:pStyle w:val="31"/>
              <w:jc w:val="left"/>
              <w:rPr>
                <w:b/>
                <w:sz w:val="20"/>
              </w:rPr>
            </w:pPr>
          </w:p>
          <w:p>
            <w:pPr>
              <w:pStyle w:val="31"/>
              <w:jc w:val="left"/>
              <w:rPr>
                <w:b/>
                <w:sz w:val="20"/>
              </w:rPr>
            </w:pPr>
          </w:p>
          <w:p>
            <w:pPr>
              <w:pStyle w:val="31"/>
              <w:jc w:val="left"/>
              <w:rPr>
                <w:b/>
                <w:sz w:val="20"/>
              </w:rPr>
            </w:pPr>
          </w:p>
          <w:p>
            <w:pPr>
              <w:pStyle w:val="31"/>
              <w:spacing w:before="10"/>
              <w:jc w:val="left"/>
              <w:rPr>
                <w:b/>
                <w:sz w:val="15"/>
              </w:rPr>
            </w:pPr>
          </w:p>
          <w:p>
            <w:pPr>
              <w:pStyle w:val="31"/>
              <w:ind w:left="86"/>
              <w:jc w:val="left"/>
              <w:rPr>
                <w:rFonts w:hint="eastAsia" w:eastAsia="宋体"/>
                <w:sz w:val="21"/>
                <w:lang w:eastAsia="zh-CN"/>
              </w:rPr>
            </w:pPr>
            <w:r>
              <w:rPr>
                <w:rFonts w:hint="eastAsia"/>
                <w:sz w:val="21"/>
                <w:lang w:eastAsia="zh-CN"/>
              </w:rPr>
              <w:t>菌毒敌</w:t>
            </w:r>
          </w:p>
        </w:tc>
        <w:tc>
          <w:tcPr>
            <w:tcW w:w="5931" w:type="dxa"/>
            <w:tcBorders>
              <w:tl2br w:val="nil"/>
              <w:tr2bl w:val="nil"/>
            </w:tcBorders>
          </w:tcPr>
          <w:p>
            <w:pPr>
              <w:pStyle w:val="31"/>
              <w:spacing w:line="244" w:lineRule="auto"/>
              <w:ind w:left="3" w:right="-15" w:firstLine="420"/>
              <w:jc w:val="left"/>
              <w:rPr>
                <w:color w:val="auto"/>
                <w:sz w:val="21"/>
              </w:rPr>
            </w:pPr>
            <w:r>
              <w:rPr>
                <w:color w:val="auto"/>
                <w:sz w:val="21"/>
              </w:rPr>
              <w:t>主要成份及化学名称：复合酚、</w:t>
            </w:r>
            <w:r>
              <w:rPr>
                <w:color w:val="auto"/>
                <w:sz w:val="21"/>
              </w:rPr>
              <w:fldChar w:fldCharType="begin"/>
            </w:r>
            <w:r>
              <w:rPr>
                <w:color w:val="auto"/>
                <w:sz w:val="21"/>
              </w:rPr>
              <w:instrText xml:space="preserve"> HYPERLINK "https://baike.baidu.com/item/%E5%86%B0%E9%86%8B%E9%85%B8" \h </w:instrText>
            </w:r>
            <w:r>
              <w:rPr>
                <w:color w:val="auto"/>
                <w:sz w:val="21"/>
              </w:rPr>
              <w:fldChar w:fldCharType="separate"/>
            </w:r>
            <w:r>
              <w:rPr>
                <w:color w:val="auto"/>
                <w:sz w:val="21"/>
              </w:rPr>
              <w:t>冰醋酸</w:t>
            </w:r>
            <w:r>
              <w:rPr>
                <w:color w:val="auto"/>
                <w:sz w:val="21"/>
              </w:rPr>
              <w:fldChar w:fldCharType="end"/>
            </w:r>
            <w:r>
              <w:rPr>
                <w:color w:val="auto"/>
                <w:sz w:val="21"/>
              </w:rPr>
              <w:t>性状：棕色稠状液体</w:t>
            </w:r>
          </w:p>
          <w:p>
            <w:pPr>
              <w:pStyle w:val="31"/>
              <w:spacing w:line="244" w:lineRule="auto"/>
              <w:ind w:left="3" w:right="-15" w:firstLine="420"/>
              <w:jc w:val="left"/>
              <w:rPr>
                <w:color w:val="auto"/>
                <w:sz w:val="21"/>
              </w:rPr>
            </w:pPr>
            <w:r>
              <w:rPr>
                <w:color w:val="auto"/>
                <w:sz w:val="21"/>
              </w:rPr>
              <w:t>本品能预防</w:t>
            </w:r>
            <w:r>
              <w:rPr>
                <w:color w:val="auto"/>
                <w:sz w:val="21"/>
              </w:rPr>
              <w:fldChar w:fldCharType="begin"/>
            </w:r>
            <w:r>
              <w:rPr>
                <w:color w:val="auto"/>
                <w:sz w:val="21"/>
              </w:rPr>
              <w:instrText xml:space="preserve"> HYPERLINK "https://baike.baidu.com/item/%E5%8F%A3%E8%B9%84%E7%96%AB" \h </w:instrText>
            </w:r>
            <w:r>
              <w:rPr>
                <w:color w:val="auto"/>
                <w:sz w:val="21"/>
              </w:rPr>
              <w:fldChar w:fldCharType="separate"/>
            </w:r>
            <w:r>
              <w:rPr>
                <w:color w:val="auto"/>
                <w:sz w:val="21"/>
              </w:rPr>
              <w:t>口蹄疫</w:t>
            </w:r>
            <w:r>
              <w:rPr>
                <w:color w:val="auto"/>
                <w:sz w:val="21"/>
              </w:rPr>
              <w:fldChar w:fldCharType="end"/>
            </w:r>
            <w:r>
              <w:rPr>
                <w:color w:val="auto"/>
                <w:sz w:val="21"/>
              </w:rPr>
              <w:t>、</w:t>
            </w:r>
            <w:r>
              <w:rPr>
                <w:color w:val="auto"/>
                <w:sz w:val="21"/>
              </w:rPr>
              <w:fldChar w:fldCharType="begin"/>
            </w:r>
            <w:r>
              <w:rPr>
                <w:color w:val="auto"/>
                <w:sz w:val="21"/>
              </w:rPr>
              <w:instrText xml:space="preserve"> HYPERLINK "https://baike.baidu.com/item/%E9%B8%A1%E7%98%9F" \h </w:instrText>
            </w:r>
            <w:r>
              <w:rPr>
                <w:color w:val="auto"/>
                <w:sz w:val="21"/>
              </w:rPr>
              <w:fldChar w:fldCharType="separate"/>
            </w:r>
            <w:r>
              <w:rPr>
                <w:color w:val="auto"/>
                <w:sz w:val="21"/>
              </w:rPr>
              <w:t>鸡瘟</w:t>
            </w:r>
            <w:r>
              <w:rPr>
                <w:color w:val="auto"/>
                <w:sz w:val="21"/>
              </w:rPr>
              <w:fldChar w:fldCharType="end"/>
            </w:r>
            <w:r>
              <w:rPr>
                <w:color w:val="auto"/>
                <w:sz w:val="21"/>
              </w:rPr>
              <w:t>、</w:t>
            </w:r>
            <w:r>
              <w:rPr>
                <w:color w:val="auto"/>
                <w:sz w:val="21"/>
              </w:rPr>
              <w:fldChar w:fldCharType="begin"/>
            </w:r>
            <w:r>
              <w:rPr>
                <w:color w:val="auto"/>
                <w:sz w:val="21"/>
              </w:rPr>
              <w:instrText xml:space="preserve"> HYPERLINK "https://baike.baidu.com/item/%E7%8C%AA%E7%98%9F" \h </w:instrText>
            </w:r>
            <w:r>
              <w:rPr>
                <w:color w:val="auto"/>
                <w:sz w:val="21"/>
              </w:rPr>
              <w:fldChar w:fldCharType="separate"/>
            </w:r>
            <w:r>
              <w:rPr>
                <w:color w:val="auto"/>
                <w:sz w:val="21"/>
              </w:rPr>
              <w:t>猪瘟</w:t>
            </w:r>
            <w:r>
              <w:rPr>
                <w:color w:val="auto"/>
                <w:sz w:val="21"/>
              </w:rPr>
              <w:fldChar w:fldCharType="end"/>
            </w:r>
            <w:r>
              <w:rPr>
                <w:color w:val="auto"/>
                <w:sz w:val="21"/>
              </w:rPr>
              <w:t>、</w:t>
            </w:r>
            <w:r>
              <w:rPr>
                <w:color w:val="auto"/>
                <w:sz w:val="21"/>
              </w:rPr>
              <w:fldChar w:fldCharType="begin"/>
            </w:r>
            <w:r>
              <w:rPr>
                <w:color w:val="auto"/>
                <w:sz w:val="21"/>
              </w:rPr>
              <w:instrText xml:space="preserve"> HYPERLINK "https://baike.baidu.com/item/%E5%85%94%E7%98%9F" \h </w:instrText>
            </w:r>
            <w:r>
              <w:rPr>
                <w:color w:val="auto"/>
                <w:sz w:val="21"/>
              </w:rPr>
              <w:fldChar w:fldCharType="separate"/>
            </w:r>
            <w:r>
              <w:rPr>
                <w:color w:val="auto"/>
                <w:sz w:val="21"/>
              </w:rPr>
              <w:t>兔瘟</w:t>
            </w:r>
            <w:r>
              <w:rPr>
                <w:color w:val="auto"/>
                <w:sz w:val="21"/>
              </w:rPr>
              <w:fldChar w:fldCharType="end"/>
            </w:r>
            <w:r>
              <w:rPr>
                <w:color w:val="auto"/>
                <w:sz w:val="21"/>
              </w:rPr>
              <w:t>、</w:t>
            </w:r>
            <w:r>
              <w:rPr>
                <w:color w:val="auto"/>
                <w:sz w:val="21"/>
              </w:rPr>
              <w:fldChar w:fldCharType="begin"/>
            </w:r>
            <w:r>
              <w:rPr>
                <w:color w:val="auto"/>
                <w:sz w:val="21"/>
              </w:rPr>
              <w:instrText xml:space="preserve"> HYPERLINK "https://baike.baidu.com/item/%E9%A9%AC%E7%AB%8B%E5%85%8B%E6%B0%8F%E7%97%85" \h </w:instrText>
            </w:r>
            <w:r>
              <w:rPr>
                <w:color w:val="auto"/>
                <w:sz w:val="21"/>
              </w:rPr>
              <w:fldChar w:fldCharType="separate"/>
            </w:r>
            <w:r>
              <w:rPr>
                <w:color w:val="auto"/>
                <w:sz w:val="21"/>
              </w:rPr>
              <w:t>马立克氏病</w:t>
            </w:r>
            <w:r>
              <w:rPr>
                <w:color w:val="auto"/>
                <w:sz w:val="21"/>
              </w:rPr>
              <w:fldChar w:fldCharType="end"/>
            </w:r>
            <w:r>
              <w:rPr>
                <w:color w:val="auto"/>
                <w:sz w:val="21"/>
              </w:rPr>
              <w:t>、</w:t>
            </w:r>
            <w:r>
              <w:rPr>
                <w:color w:val="auto"/>
                <w:sz w:val="21"/>
              </w:rPr>
              <w:fldChar w:fldCharType="begin"/>
            </w:r>
            <w:r>
              <w:rPr>
                <w:color w:val="auto"/>
                <w:sz w:val="21"/>
              </w:rPr>
              <w:instrText xml:space="preserve"> HYPERLINK "https://baike.baidu.com/item/%E5%B0%8F%E9%B9%85%E7%98%9F" \h </w:instrText>
            </w:r>
            <w:r>
              <w:rPr>
                <w:color w:val="auto"/>
                <w:sz w:val="21"/>
              </w:rPr>
              <w:fldChar w:fldCharType="separate"/>
            </w:r>
            <w:r>
              <w:rPr>
                <w:color w:val="auto"/>
                <w:sz w:val="21"/>
              </w:rPr>
              <w:t>小鹅瘟</w:t>
            </w:r>
            <w:r>
              <w:rPr>
                <w:color w:val="auto"/>
                <w:sz w:val="21"/>
              </w:rPr>
              <w:fldChar w:fldCharType="end"/>
            </w:r>
            <w:r>
              <w:rPr>
                <w:color w:val="auto"/>
                <w:sz w:val="21"/>
              </w:rPr>
              <w:t>、 水泡病、胸膜性肺炎、细菌性下痢、传染性胃肠炎和支气管炎等 多种常见病。可杀灭</w:t>
            </w:r>
            <w:r>
              <w:rPr>
                <w:color w:val="auto"/>
                <w:sz w:val="21"/>
              </w:rPr>
              <w:fldChar w:fldCharType="begin"/>
            </w:r>
            <w:r>
              <w:rPr>
                <w:color w:val="auto"/>
                <w:sz w:val="21"/>
              </w:rPr>
              <w:instrText xml:space="preserve"> HYPERLINK "https://baike.baidu.com/item/%E5%8F%A3%E8%B9%84%E7%96%AB" \h </w:instrText>
            </w:r>
            <w:r>
              <w:rPr>
                <w:color w:val="auto"/>
                <w:sz w:val="21"/>
              </w:rPr>
              <w:fldChar w:fldCharType="separate"/>
            </w:r>
            <w:r>
              <w:rPr>
                <w:color w:val="auto"/>
                <w:sz w:val="21"/>
              </w:rPr>
              <w:t>口蹄疫</w:t>
            </w:r>
            <w:r>
              <w:rPr>
                <w:color w:val="auto"/>
                <w:sz w:val="21"/>
              </w:rPr>
              <w:fldChar w:fldCharType="end"/>
            </w:r>
            <w:r>
              <w:rPr>
                <w:color w:val="auto"/>
                <w:sz w:val="21"/>
              </w:rPr>
              <w:t>、</w:t>
            </w:r>
            <w:r>
              <w:rPr>
                <w:color w:val="auto"/>
                <w:sz w:val="21"/>
              </w:rPr>
              <w:fldChar w:fldCharType="begin"/>
            </w:r>
            <w:r>
              <w:rPr>
                <w:color w:val="auto"/>
                <w:sz w:val="21"/>
              </w:rPr>
              <w:instrText xml:space="preserve"> HYPERLINK "https://baike.baidu.com/item/%E9%B8%A1%E6%96%B0%E5%9F%8E%E7%96%AB" \h </w:instrText>
            </w:r>
            <w:r>
              <w:rPr>
                <w:color w:val="auto"/>
                <w:sz w:val="21"/>
              </w:rPr>
              <w:fldChar w:fldCharType="separate"/>
            </w:r>
            <w:r>
              <w:rPr>
                <w:color w:val="auto"/>
                <w:sz w:val="21"/>
              </w:rPr>
              <w:t>鸡新城疫</w:t>
            </w:r>
            <w:r>
              <w:rPr>
                <w:color w:val="auto"/>
                <w:sz w:val="21"/>
              </w:rPr>
              <w:fldChar w:fldCharType="end"/>
            </w:r>
            <w:r>
              <w:rPr>
                <w:color w:val="auto"/>
                <w:sz w:val="21"/>
              </w:rPr>
              <w:t>、马立克氏、狂犬、假性 狂犬等多种传染性强病毒和炭疽杆菌、</w:t>
            </w:r>
            <w:r>
              <w:rPr>
                <w:color w:val="auto"/>
                <w:sz w:val="21"/>
              </w:rPr>
              <w:fldChar w:fldCharType="begin"/>
            </w:r>
            <w:r>
              <w:rPr>
                <w:color w:val="auto"/>
                <w:sz w:val="21"/>
              </w:rPr>
              <w:instrText xml:space="preserve"> HYPERLINK "https://baike.baidu.com/item/%E7%8C%AA%E4%B8%B9%E6%AF%92" \h </w:instrText>
            </w:r>
            <w:r>
              <w:rPr>
                <w:color w:val="auto"/>
                <w:sz w:val="21"/>
              </w:rPr>
              <w:fldChar w:fldCharType="separate"/>
            </w:r>
            <w:r>
              <w:rPr>
                <w:color w:val="auto"/>
                <w:sz w:val="21"/>
              </w:rPr>
              <w:t>猪丹毒</w:t>
            </w:r>
            <w:r>
              <w:rPr>
                <w:color w:val="auto"/>
                <w:sz w:val="21"/>
              </w:rPr>
              <w:fldChar w:fldCharType="end"/>
            </w:r>
            <w:r>
              <w:rPr>
                <w:color w:val="auto"/>
                <w:sz w:val="21"/>
              </w:rPr>
              <w:t>杆菌、大肠杆菌、 沙门氏杆菌。主要用于畜禽养殖场、畜牧场、家庭养殖户的畜禽 和环境及运载畜禽的车辆笼具消毒。</w:t>
            </w:r>
          </w:p>
        </w:tc>
        <w:tc>
          <w:tcPr>
            <w:tcW w:w="2409" w:type="dxa"/>
            <w:tcBorders>
              <w:tl2br w:val="nil"/>
              <w:tr2bl w:val="nil"/>
            </w:tcBorders>
          </w:tcPr>
          <w:p>
            <w:pPr>
              <w:pStyle w:val="31"/>
              <w:jc w:val="left"/>
              <w:rPr>
                <w:b/>
                <w:sz w:val="20"/>
              </w:rPr>
            </w:pPr>
          </w:p>
          <w:p>
            <w:pPr>
              <w:pStyle w:val="31"/>
              <w:jc w:val="left"/>
              <w:rPr>
                <w:b/>
                <w:sz w:val="20"/>
              </w:rPr>
            </w:pPr>
          </w:p>
          <w:p>
            <w:pPr>
              <w:pStyle w:val="31"/>
              <w:jc w:val="left"/>
              <w:rPr>
                <w:b/>
                <w:sz w:val="20"/>
              </w:rPr>
            </w:pPr>
          </w:p>
          <w:p>
            <w:pPr>
              <w:pStyle w:val="31"/>
              <w:spacing w:before="5"/>
              <w:jc w:val="left"/>
              <w:rPr>
                <w:b/>
                <w:sz w:val="15"/>
              </w:rPr>
            </w:pPr>
          </w:p>
          <w:p>
            <w:pPr>
              <w:pStyle w:val="31"/>
              <w:spacing w:line="244" w:lineRule="auto"/>
              <w:ind w:left="783" w:right="51" w:hanging="778"/>
              <w:jc w:val="left"/>
              <w:rPr>
                <w:sz w:val="21"/>
              </w:rPr>
            </w:pPr>
            <w:r>
              <w:rPr>
                <w:sz w:val="21"/>
              </w:rPr>
              <w:t>不属于《危险化学品名录中的物质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05" w:type="dxa"/>
            <w:tcBorders>
              <w:tl2br w:val="nil"/>
              <w:tr2bl w:val="nil"/>
            </w:tcBorders>
            <w:vAlign w:val="center"/>
          </w:tcPr>
          <w:p>
            <w:pPr>
              <w:pStyle w:val="31"/>
              <w:ind w:left="86"/>
              <w:jc w:val="left"/>
              <w:rPr>
                <w:rFonts w:hint="eastAsia" w:eastAsia="宋体"/>
                <w:color w:val="FF0000"/>
                <w:sz w:val="21"/>
                <w:lang w:eastAsia="zh-CN"/>
              </w:rPr>
            </w:pPr>
            <w:r>
              <w:rPr>
                <w:rFonts w:hint="eastAsia"/>
                <w:color w:val="auto"/>
                <w:sz w:val="21"/>
                <w:lang w:eastAsia="zh-CN"/>
              </w:rPr>
              <w:t>制冷剂</w:t>
            </w:r>
          </w:p>
        </w:tc>
        <w:tc>
          <w:tcPr>
            <w:tcW w:w="5931" w:type="dxa"/>
            <w:tcBorders>
              <w:tl2br w:val="nil"/>
              <w:tr2bl w:val="nil"/>
            </w:tcBorders>
            <w:vAlign w:val="center"/>
          </w:tcPr>
          <w:p>
            <w:pPr>
              <w:pStyle w:val="31"/>
              <w:spacing w:line="244" w:lineRule="auto"/>
              <w:ind w:left="3" w:right="-15" w:firstLine="420"/>
              <w:jc w:val="left"/>
              <w:rPr>
                <w:rFonts w:hint="eastAsia"/>
                <w:color w:val="auto"/>
                <w:sz w:val="21"/>
                <w:lang w:val="en-US" w:eastAsia="zh-CN"/>
              </w:rPr>
            </w:pPr>
            <w:r>
              <w:rPr>
                <w:rFonts w:hint="eastAsia"/>
                <w:color w:val="auto"/>
                <w:sz w:val="21"/>
                <w:lang w:eastAsia="zh-CN"/>
              </w:rPr>
              <w:t>化学品中文名：制冷剂</w:t>
            </w:r>
            <w:r>
              <w:rPr>
                <w:rFonts w:hint="eastAsia"/>
                <w:color w:val="auto"/>
                <w:sz w:val="21"/>
                <w:lang w:val="en-US" w:eastAsia="zh-CN"/>
              </w:rPr>
              <w:t>R404A</w:t>
            </w:r>
          </w:p>
          <w:p>
            <w:pPr>
              <w:pStyle w:val="31"/>
              <w:spacing w:line="244" w:lineRule="auto"/>
              <w:ind w:left="3" w:right="-15" w:firstLine="420"/>
              <w:jc w:val="left"/>
              <w:rPr>
                <w:rFonts w:hint="eastAsia"/>
                <w:color w:val="auto"/>
                <w:sz w:val="21"/>
              </w:rPr>
            </w:pPr>
            <w:r>
              <w:rPr>
                <w:rFonts w:hint="eastAsia"/>
                <w:color w:val="auto"/>
                <w:sz w:val="21"/>
              </w:rPr>
              <w:t>危险性说明:在空气中不发生燃烧爆炸。含压力下气体，如受加热可爆炸。</w:t>
            </w:r>
          </w:p>
          <w:p>
            <w:pPr>
              <w:pStyle w:val="31"/>
              <w:spacing w:line="244" w:lineRule="auto"/>
              <w:ind w:left="3" w:right="-15" w:firstLine="420"/>
              <w:jc w:val="left"/>
              <w:rPr>
                <w:rFonts w:hint="eastAsia"/>
                <w:color w:val="auto"/>
                <w:sz w:val="21"/>
              </w:rPr>
            </w:pPr>
            <w:r>
              <w:rPr>
                <w:rFonts w:hint="eastAsia"/>
                <w:color w:val="auto"/>
                <w:sz w:val="21"/>
              </w:rPr>
              <w:t>防范说明</w:t>
            </w:r>
          </w:p>
          <w:p>
            <w:pPr>
              <w:pStyle w:val="31"/>
              <w:spacing w:line="244" w:lineRule="auto"/>
              <w:ind w:left="3" w:right="-15" w:firstLine="420"/>
              <w:jc w:val="left"/>
              <w:rPr>
                <w:rFonts w:hint="eastAsia"/>
                <w:color w:val="auto"/>
                <w:sz w:val="21"/>
              </w:rPr>
            </w:pPr>
            <w:r>
              <w:rPr>
                <w:rFonts w:hint="eastAsia"/>
                <w:color w:val="auto"/>
                <w:sz w:val="21"/>
              </w:rPr>
              <w:t>[预防措施]</w:t>
            </w:r>
          </w:p>
          <w:p>
            <w:pPr>
              <w:pStyle w:val="31"/>
              <w:spacing w:line="244" w:lineRule="auto"/>
              <w:ind w:left="3" w:right="-15" w:firstLine="420"/>
              <w:jc w:val="left"/>
              <w:rPr>
                <w:rFonts w:hint="eastAsia"/>
                <w:color w:val="auto"/>
                <w:sz w:val="21"/>
              </w:rPr>
            </w:pPr>
            <w:r>
              <w:rPr>
                <w:rFonts w:hint="eastAsia"/>
                <w:color w:val="auto"/>
                <w:sz w:val="21"/>
              </w:rPr>
              <w:t>戴防护手套</w:t>
            </w:r>
          </w:p>
          <w:p>
            <w:pPr>
              <w:pStyle w:val="31"/>
              <w:spacing w:line="244" w:lineRule="auto"/>
              <w:ind w:left="3" w:right="-15" w:firstLine="420"/>
              <w:jc w:val="left"/>
              <w:rPr>
                <w:rFonts w:hint="eastAsia"/>
                <w:color w:val="auto"/>
                <w:sz w:val="21"/>
              </w:rPr>
            </w:pPr>
            <w:r>
              <w:rPr>
                <w:rFonts w:hint="eastAsia"/>
                <w:color w:val="auto"/>
                <w:sz w:val="21"/>
              </w:rPr>
              <w:t>作业后彻底清洗手等可能接触部位</w:t>
            </w:r>
          </w:p>
          <w:p>
            <w:pPr>
              <w:pStyle w:val="31"/>
              <w:spacing w:line="244" w:lineRule="auto"/>
              <w:ind w:left="3" w:right="-15" w:firstLine="420"/>
              <w:jc w:val="left"/>
              <w:rPr>
                <w:rFonts w:hint="eastAsia"/>
                <w:color w:val="auto"/>
                <w:sz w:val="21"/>
              </w:rPr>
            </w:pPr>
            <w:r>
              <w:rPr>
                <w:rFonts w:hint="eastAsia"/>
                <w:color w:val="auto"/>
                <w:sz w:val="21"/>
              </w:rPr>
              <w:t>禁止在工作场所内吸烟。</w:t>
            </w:r>
          </w:p>
          <w:p>
            <w:pPr>
              <w:pStyle w:val="31"/>
              <w:spacing w:line="244" w:lineRule="auto"/>
              <w:ind w:left="3" w:right="-15" w:firstLine="420"/>
              <w:jc w:val="left"/>
              <w:rPr>
                <w:rFonts w:hint="eastAsia"/>
                <w:color w:val="auto"/>
                <w:sz w:val="21"/>
              </w:rPr>
            </w:pPr>
            <w:r>
              <w:rPr>
                <w:rFonts w:hint="eastAsia"/>
                <w:color w:val="auto"/>
                <w:sz w:val="21"/>
              </w:rPr>
              <w:t>[事故响应]</w:t>
            </w:r>
          </w:p>
          <w:p>
            <w:pPr>
              <w:pStyle w:val="31"/>
              <w:spacing w:line="244" w:lineRule="auto"/>
              <w:ind w:left="3" w:right="-15" w:firstLine="420"/>
              <w:jc w:val="left"/>
              <w:rPr>
                <w:rFonts w:hint="eastAsia"/>
                <w:color w:val="auto"/>
                <w:sz w:val="21"/>
              </w:rPr>
            </w:pPr>
            <w:r>
              <w:rPr>
                <w:rFonts w:hint="eastAsia"/>
                <w:color w:val="auto"/>
                <w:sz w:val="21"/>
              </w:rPr>
              <w:t>皮肤接触:脱去污染衣着，用肥皂水和清水彻底冲洗皮肤至少15 分钟。如有冻伤，则必用温水擦洗。若当时没有水，则在冻伤皮肤上敷上干净柔软的毛巾或其类似的东西。-旦无好转，就医。</w:t>
            </w:r>
          </w:p>
          <w:p>
            <w:pPr>
              <w:pStyle w:val="31"/>
              <w:spacing w:line="244" w:lineRule="auto"/>
              <w:ind w:left="3" w:right="-15" w:firstLine="420"/>
              <w:jc w:val="left"/>
              <w:rPr>
                <w:rFonts w:hint="eastAsia"/>
                <w:color w:val="auto"/>
                <w:sz w:val="21"/>
              </w:rPr>
            </w:pPr>
            <w:r>
              <w:rPr>
                <w:rFonts w:hint="eastAsia"/>
                <w:color w:val="auto"/>
                <w:sz w:val="21"/>
              </w:rPr>
              <w:t>火灾时:使用雲状水、大量水。</w:t>
            </w:r>
          </w:p>
          <w:p>
            <w:pPr>
              <w:pStyle w:val="31"/>
              <w:spacing w:line="244" w:lineRule="auto"/>
              <w:ind w:left="3" w:right="-15" w:firstLine="420"/>
              <w:jc w:val="left"/>
              <w:rPr>
                <w:rFonts w:hint="eastAsia"/>
                <w:color w:val="auto"/>
                <w:sz w:val="21"/>
              </w:rPr>
            </w:pPr>
            <w:r>
              <w:rPr>
                <w:rFonts w:hint="eastAsia"/>
                <w:color w:val="auto"/>
                <w:sz w:val="21"/>
              </w:rPr>
              <w:t>食入:由于本物质之物理特性，一般不存在人体食入本物质的可能，即便发生对人体没有危险除非医生的指导下食入者呕吐外，不得采用该措施。</w:t>
            </w:r>
          </w:p>
          <w:p>
            <w:pPr>
              <w:pStyle w:val="31"/>
              <w:spacing w:line="244" w:lineRule="auto"/>
              <w:ind w:left="3" w:right="-15" w:firstLine="420"/>
              <w:jc w:val="left"/>
              <w:rPr>
                <w:rFonts w:hint="eastAsia"/>
                <w:color w:val="auto"/>
                <w:sz w:val="21"/>
              </w:rPr>
            </w:pPr>
            <w:r>
              <w:rPr>
                <w:rFonts w:hint="eastAsia"/>
                <w:color w:val="auto"/>
                <w:sz w:val="21"/>
              </w:rPr>
              <w:t>吸入:迅速脱离现场至空气新鲜处，保持呼吸道通畅。如果呼吸困难，输氧;如呼吸停止，立即进行人工呼吸。立即呼叫就医。</w:t>
            </w:r>
          </w:p>
          <w:p>
            <w:pPr>
              <w:pStyle w:val="31"/>
              <w:spacing w:line="244" w:lineRule="auto"/>
              <w:ind w:left="3" w:right="-15" w:firstLine="420"/>
              <w:jc w:val="left"/>
              <w:rPr>
                <w:rFonts w:hint="eastAsia"/>
                <w:color w:val="auto"/>
                <w:sz w:val="21"/>
              </w:rPr>
            </w:pPr>
            <w:r>
              <w:rPr>
                <w:rFonts w:hint="eastAsia"/>
                <w:color w:val="auto"/>
                <w:sz w:val="21"/>
              </w:rPr>
              <w:t>眼晴接:提起眼睑，用流动清水或生理盐水冲洗。就医</w:t>
            </w:r>
          </w:p>
          <w:p>
            <w:pPr>
              <w:pStyle w:val="31"/>
              <w:spacing w:line="244" w:lineRule="auto"/>
              <w:ind w:left="3" w:right="-15" w:firstLine="420"/>
              <w:jc w:val="left"/>
              <w:rPr>
                <w:rFonts w:hint="eastAsia"/>
                <w:color w:val="auto"/>
                <w:sz w:val="21"/>
              </w:rPr>
            </w:pPr>
            <w:r>
              <w:rPr>
                <w:rFonts w:hint="eastAsia"/>
                <w:color w:val="auto"/>
                <w:sz w:val="21"/>
              </w:rPr>
              <w:t>【安全储存】</w:t>
            </w:r>
          </w:p>
          <w:p>
            <w:pPr>
              <w:pStyle w:val="31"/>
              <w:spacing w:line="244" w:lineRule="auto"/>
              <w:ind w:left="3" w:right="-15" w:firstLine="420"/>
              <w:jc w:val="left"/>
              <w:rPr>
                <w:rFonts w:hint="eastAsia"/>
                <w:color w:val="auto"/>
                <w:sz w:val="21"/>
              </w:rPr>
            </w:pPr>
            <w:r>
              <w:rPr>
                <w:rFonts w:hint="eastAsia"/>
                <w:color w:val="auto"/>
                <w:sz w:val="21"/>
              </w:rPr>
              <w:t>储存于阴凉、通风的库房。远离火种、热源，禁止阳光直射。库温不直超过30℃，应与氧化剂、易燃物或可燃物分开存放，切忌混储。</w:t>
            </w:r>
          </w:p>
          <w:p>
            <w:pPr>
              <w:pStyle w:val="31"/>
              <w:spacing w:line="244" w:lineRule="auto"/>
              <w:ind w:left="3" w:right="-15" w:firstLine="420"/>
              <w:jc w:val="left"/>
              <w:rPr>
                <w:rFonts w:hint="eastAsia"/>
                <w:color w:val="auto"/>
                <w:sz w:val="21"/>
              </w:rPr>
            </w:pPr>
            <w:r>
              <w:rPr>
                <w:rFonts w:hint="eastAsia"/>
                <w:color w:val="auto"/>
                <w:sz w:val="21"/>
              </w:rPr>
              <w:t>【废弃处置】</w:t>
            </w:r>
          </w:p>
          <w:p>
            <w:pPr>
              <w:pStyle w:val="31"/>
              <w:spacing w:line="244" w:lineRule="auto"/>
              <w:ind w:left="3" w:right="-15" w:firstLine="420"/>
              <w:jc w:val="left"/>
              <w:rPr>
                <w:rFonts w:hint="eastAsia"/>
                <w:color w:val="auto"/>
                <w:sz w:val="21"/>
              </w:rPr>
            </w:pPr>
            <w:r>
              <w:rPr>
                <w:rFonts w:hint="eastAsia"/>
                <w:color w:val="auto"/>
                <w:sz w:val="21"/>
              </w:rPr>
              <w:t>根据国家和地方有关法规的要求处置或与厂商或制造商联系，定处置方法。根据国家有关法规控制排放。</w:t>
            </w:r>
          </w:p>
          <w:p>
            <w:pPr>
              <w:pStyle w:val="31"/>
              <w:spacing w:line="244" w:lineRule="auto"/>
              <w:ind w:left="3" w:right="-15" w:firstLine="420"/>
              <w:jc w:val="left"/>
              <w:rPr>
                <w:rFonts w:hint="eastAsia"/>
                <w:color w:val="auto"/>
                <w:sz w:val="21"/>
              </w:rPr>
            </w:pPr>
            <w:r>
              <w:rPr>
                <w:rFonts w:hint="eastAsia"/>
                <w:color w:val="auto"/>
                <w:sz w:val="21"/>
              </w:rPr>
              <w:t>主要症状:冻伤，皮肤会发红，严重时会起泡。</w:t>
            </w:r>
          </w:p>
          <w:p>
            <w:pPr>
              <w:pStyle w:val="31"/>
              <w:spacing w:line="244" w:lineRule="auto"/>
              <w:ind w:left="3" w:right="-15" w:firstLine="420"/>
              <w:jc w:val="left"/>
              <w:rPr>
                <w:color w:val="auto"/>
                <w:sz w:val="21"/>
              </w:rPr>
            </w:pPr>
            <w:r>
              <w:rPr>
                <w:rFonts w:hint="eastAsia"/>
                <w:color w:val="auto"/>
                <w:sz w:val="21"/>
              </w:rPr>
              <w:t>应急综述:在事故状态下或者您感觉不舒服的时候，立即就医(尽可能出示安全警示标签及SDS)。</w:t>
            </w:r>
          </w:p>
        </w:tc>
        <w:tc>
          <w:tcPr>
            <w:tcW w:w="2409" w:type="dxa"/>
            <w:tcBorders>
              <w:tl2br w:val="nil"/>
              <w:tr2bl w:val="nil"/>
            </w:tcBorders>
            <w:vAlign w:val="center"/>
          </w:tcPr>
          <w:p>
            <w:pPr>
              <w:pStyle w:val="31"/>
              <w:spacing w:before="1"/>
              <w:ind w:left="52" w:right="39"/>
              <w:rPr>
                <w:rFonts w:hint="eastAsia" w:eastAsia="宋体"/>
                <w:color w:val="FF0000"/>
                <w:sz w:val="21"/>
                <w:lang w:eastAsia="zh-CN"/>
              </w:rPr>
            </w:pPr>
            <w:r>
              <w:rPr>
                <w:sz w:val="21"/>
              </w:rPr>
              <w:t>不属于《危险化学品名录中的物质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4" w:hRule="atLeast"/>
          <w:jc w:val="center"/>
        </w:trPr>
        <w:tc>
          <w:tcPr>
            <w:tcW w:w="805" w:type="dxa"/>
            <w:tcBorders>
              <w:tl2br w:val="nil"/>
              <w:tr2bl w:val="nil"/>
            </w:tcBorders>
            <w:vAlign w:val="center"/>
          </w:tcPr>
          <w:p>
            <w:pPr>
              <w:pStyle w:val="31"/>
              <w:ind w:left="86"/>
              <w:jc w:val="left"/>
              <w:rPr>
                <w:rFonts w:hint="eastAsia"/>
                <w:color w:val="FF0000"/>
                <w:sz w:val="21"/>
                <w:lang w:eastAsia="zh-CN"/>
              </w:rPr>
            </w:pPr>
            <w:r>
              <w:rPr>
                <w:rFonts w:hint="eastAsia"/>
                <w:color w:val="auto"/>
                <w:sz w:val="21"/>
                <w:lang w:eastAsia="zh-CN"/>
              </w:rPr>
              <w:t>天然气</w:t>
            </w:r>
          </w:p>
        </w:tc>
        <w:tc>
          <w:tcPr>
            <w:tcW w:w="5931" w:type="dxa"/>
            <w:tcBorders>
              <w:tl2br w:val="nil"/>
              <w:tr2bl w:val="nil"/>
            </w:tcBorders>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240" w:lineRule="auto"/>
              <w:ind w:left="0" w:righ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shd w:val="clear" w:fill="FFFFFF"/>
                <w:lang w:val="en-US" w:eastAsia="zh-CN" w:bidi="ar"/>
              </w:rPr>
              <w:t>天然气是存在于地下岩石储集层中以烃为主体的</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"https://baike.baidu.com/item/%E6%B7%B7%E5%90%88%E6%B0%94%E4%BD%93"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混合气体</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的统称，</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"https://baike.baidu.com/item/%E6%AF%94%E9%87%8D"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比重</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约0.65，比空气轻，具有无色、无味、无毒之特性。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240" w:lineRule="auto"/>
              <w:ind w:left="0" w:righ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shd w:val="clear" w:fill="FFFFFF"/>
                <w:lang w:val="en-US" w:eastAsia="zh-CN" w:bidi="ar"/>
              </w:rPr>
              <w:t>天然气主要成分</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"https://baike.baidu.com/item/%E7%83%B7%E7%83%83"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烷烃</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，其中</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"https://baike.baidu.com/item/%E7%94%B2%E7%83%B7"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甲烷</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占绝大多数，另有少量的</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"https://baike.baidu.com/item/%E4%B9%99%E7%83%B7"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乙烷</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"https://baike.baidu.com/item/%E4%B8%99%E7%83%B7"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丙烷</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和</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"https://baike.baidu.com/item/%E4%B8%81%E7%83%B7"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丁烷</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，此外一般有</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"https://baike.baidu.com/item/%E7%A1%AB%E5%8C%96%E6%B0%A2"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硫化氢</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、二氧化碳、氮和水汽和少量一氧化碳及微量的稀有气体，如</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"https://baike.baidu.com/item/%E6%B0%A6"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氦</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和</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"https://baike.baidu.com/item/%E6%B0%A9"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氩</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等。天然气在送到最终用户之前，为助于泄漏检测，还要用硫醇、</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"https://baike.baidu.com/item/%E5%9B%9B%E6%B0%A2%E5%99%BB%E5%90%A9"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四氢噻吩</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等来给天然气添加气味。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240" w:lineRule="auto"/>
              <w:ind w:left="0" w:righ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shd w:val="clear" w:fill="FFFFFF"/>
                <w:lang w:val="en-US" w:eastAsia="zh-CN" w:bidi="ar"/>
              </w:rPr>
              <w:t>天然气不溶于</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"https://baike.baidu.com/item/%E6%B0%B4/34133"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水</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，密度为0.7174kg/Nm</w:t>
            </w:r>
            <w:r>
              <w:rPr>
                <w:rStyle w:val="40"/>
                <w:rFonts w:hint="eastAsia" w:ascii="宋体" w:hAnsi="宋体" w:eastAsia="宋体" w:cs="宋体"/>
                <w:color w:val="auto"/>
                <w:sz w:val="21"/>
                <w:szCs w:val="21"/>
                <w:shd w:val="clear" w:fill="FFFFFF"/>
                <w:lang w:val="en-US" w:eastAsia="zh-CN" w:bidi="ar"/>
              </w:rPr>
              <w:t>3</w:t>
            </w:r>
            <w:r>
              <w:rPr>
                <w:rFonts w:hint="eastAsia" w:ascii="宋体" w:hAnsi="宋体" w:eastAsia="宋体" w:cs="宋体"/>
                <w:color w:val="auto"/>
                <w:kern w:val="0"/>
                <w:sz w:val="21"/>
                <w:szCs w:val="21"/>
                <w:shd w:val="clear" w:fill="FFFFFF"/>
                <w:lang w:val="en-US" w:eastAsia="zh-CN" w:bidi="ar"/>
              </w:rPr>
              <w:t>，相对密度（水）为0.45（液化）燃点（℃）为650，</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"https://baike.baidu.com/item/%E7%88%86%E7%82%B8%E6%9E%81%E9%99%90"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爆炸极限</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（V%）为5-15。在</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"https://baike.baidu.com/item/%E6%A0%87%E5%87%86%E7%8A%B6%E5%86%B5"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标准状况</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下，甲烷至丁烷以气体状态存在，</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"https://baike.baidu.com/item/%E6%88%8A%E7%83%B7/16218"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戊烷</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以上为液体。甲烷是最短和最轻的</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"https://baike.baidu.com/item/%E7%83%83"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烃</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分子。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240" w:lineRule="auto"/>
              <w:ind w:left="0" w:righ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shd w:val="clear" w:fill="FFFFFF"/>
                <w:lang w:val="en-US" w:eastAsia="zh-CN" w:bidi="ar"/>
              </w:rPr>
              <w:t>有机硫化物和</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"https://baike.baidu.com/item/%E7%A1%AB%E5%8C%96%E6%B0%A2"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硫化氢</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（H₂S）是常见的杂质，在大多数利用天然气的情况下都必须预先除去。含硫杂质多的天然气用英文的专业术语形容为“sour（酸的）”。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240" w:lineRule="auto"/>
              <w:ind w:left="0" w:righ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shd w:val="clear" w:fill="FFFFFF"/>
                <w:lang w:val="en-US" w:eastAsia="zh-CN" w:bidi="ar"/>
              </w:rPr>
              <w:t>天然气每立方燃烧热值为8000大卡至8500大卡。每公斤</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"https://baike.baidu.com/item/%E6%B6%B2%E5%8C%96%E6%B0%94"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液化气</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燃烧热值为11000大卡。气态液化气的比重为0.55。每立方液化气燃烧</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"https://baike.baidu.com/item/%E7%83%AD%E5%80%BC"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热值</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为25200大卡。每瓶液化气重14.5公斤，总计燃烧热值159500</w:t>
            </w:r>
            <w:r>
              <w:rPr>
                <w:rFonts w:hint="eastAsia" w:ascii="宋体" w:hAnsi="宋体" w:eastAsia="宋体" w:cs="宋体"/>
                <w:color w:val="auto"/>
                <w:kern w:val="0"/>
                <w:sz w:val="21"/>
                <w:szCs w:val="21"/>
                <w:u w:val="none"/>
                <w:shd w:val="clear" w:fill="FFFFFF"/>
                <w:lang w:val="en-US" w:eastAsia="zh-CN" w:bidi="ar"/>
              </w:rPr>
              <w:fldChar w:fldCharType="begin"/>
            </w:r>
            <w:r>
              <w:rPr>
                <w:rFonts w:hint="eastAsia" w:ascii="宋体" w:hAnsi="宋体" w:eastAsia="宋体" w:cs="宋体"/>
                <w:color w:val="auto"/>
                <w:kern w:val="0"/>
                <w:sz w:val="21"/>
                <w:szCs w:val="21"/>
                <w:u w:val="none"/>
                <w:shd w:val="clear" w:fill="FFFFFF"/>
                <w:lang w:val="en-US" w:eastAsia="zh-CN" w:bidi="ar"/>
              </w:rPr>
              <w:instrText xml:space="preserve"> HYPERLINK "https://baike.baidu.com/item/%E5%A4%A7%E5%8D%A1" \t "https://baike.baidu.com/item/%E5%A4%A9%E7%84%B6%E6%B0%94/_blank" </w:instrText>
            </w:r>
            <w:r>
              <w:rPr>
                <w:rFonts w:hint="eastAsia" w:ascii="宋体" w:hAnsi="宋体" w:eastAsia="宋体" w:cs="宋体"/>
                <w:color w:val="auto"/>
                <w:kern w:val="0"/>
                <w:sz w:val="21"/>
                <w:szCs w:val="21"/>
                <w:u w:val="none"/>
                <w:shd w:val="clear" w:fill="FFFFFF"/>
                <w:lang w:val="en-US" w:eastAsia="zh-CN" w:bidi="ar"/>
              </w:rPr>
              <w:fldChar w:fldCharType="separate"/>
            </w:r>
            <w:r>
              <w:rPr>
                <w:rStyle w:val="22"/>
                <w:rFonts w:hint="eastAsia" w:ascii="宋体" w:hAnsi="宋体" w:eastAsia="宋体" w:cs="宋体"/>
                <w:color w:val="auto"/>
                <w:sz w:val="21"/>
                <w:szCs w:val="21"/>
                <w:u w:val="none"/>
                <w:shd w:val="clear" w:fill="FFFFFF"/>
              </w:rPr>
              <w:t>大卡</w:t>
            </w:r>
            <w:r>
              <w:rPr>
                <w:rFonts w:hint="eastAsia" w:ascii="宋体" w:hAnsi="宋体" w:eastAsia="宋体" w:cs="宋体"/>
                <w:color w:val="auto"/>
                <w:kern w:val="0"/>
                <w:sz w:val="21"/>
                <w:szCs w:val="21"/>
                <w:u w:val="none"/>
                <w:shd w:val="clear" w:fill="FFFFFF"/>
                <w:lang w:val="en-US" w:eastAsia="zh-CN" w:bidi="ar"/>
              </w:rPr>
              <w:fldChar w:fldCharType="end"/>
            </w:r>
            <w:r>
              <w:rPr>
                <w:rFonts w:hint="eastAsia" w:ascii="宋体" w:hAnsi="宋体" w:eastAsia="宋体" w:cs="宋体"/>
                <w:color w:val="auto"/>
                <w:kern w:val="0"/>
                <w:sz w:val="21"/>
                <w:szCs w:val="21"/>
                <w:shd w:val="clear" w:fill="FFFFFF"/>
                <w:lang w:val="en-US" w:eastAsia="zh-CN" w:bidi="ar"/>
              </w:rPr>
              <w:t>，相当于20立方天然气的燃烧热值。</w:t>
            </w:r>
          </w:p>
          <w:p>
            <w:pPr>
              <w:pStyle w:val="31"/>
              <w:spacing w:line="244" w:lineRule="auto"/>
              <w:ind w:left="3" w:right="-15" w:firstLine="420"/>
              <w:jc w:val="left"/>
              <w:rPr>
                <w:rFonts w:hint="eastAsia" w:eastAsia="宋体"/>
                <w:color w:val="auto"/>
                <w:sz w:val="21"/>
                <w:lang w:eastAsia="zh-CN"/>
              </w:rPr>
            </w:pPr>
          </w:p>
        </w:tc>
        <w:tc>
          <w:tcPr>
            <w:tcW w:w="2409" w:type="dxa"/>
            <w:tcBorders>
              <w:tl2br w:val="nil"/>
              <w:tr2bl w:val="nil"/>
            </w:tcBorders>
            <w:vAlign w:val="center"/>
          </w:tcPr>
          <w:p>
            <w:pPr>
              <w:pStyle w:val="31"/>
              <w:spacing w:line="244" w:lineRule="auto"/>
              <w:ind w:left="783" w:right="51" w:hanging="778"/>
              <w:jc w:val="center"/>
              <w:rPr>
                <w:color w:val="FF0000"/>
                <w:sz w:val="21"/>
              </w:rPr>
            </w:pPr>
            <w:r>
              <w:rPr>
                <w:rFonts w:ascii="Times New Roman" w:eastAsia="Times New Roman"/>
                <w:sz w:val="21"/>
              </w:rPr>
              <w:t xml:space="preserve">CAS </w:t>
            </w:r>
            <w:r>
              <w:rPr>
                <w:sz w:val="21"/>
              </w:rPr>
              <w:t>号：</w:t>
            </w:r>
            <w:r>
              <w:rPr>
                <w:rFonts w:hint="eastAsia" w:ascii="Times New Roman" w:eastAsia="宋体"/>
                <w:sz w:val="21"/>
                <w:lang w:val="en-US" w:eastAsia="zh-CN"/>
              </w:rPr>
              <w:t>74-82-8</w:t>
            </w:r>
          </w:p>
        </w:tc>
      </w:tr>
    </w:tbl>
    <w:p>
      <w:pPr>
        <w:pStyle w:val="5"/>
        <w:rPr>
          <w:b/>
          <w:sz w:val="20"/>
        </w:rPr>
      </w:pPr>
    </w:p>
    <w:p>
      <w:pPr>
        <w:pStyle w:val="9"/>
        <w:numPr>
          <w:ilvl w:val="2"/>
          <w:numId w:val="13"/>
        </w:numPr>
        <w:tabs>
          <w:tab w:val="left" w:pos="1380"/>
        </w:tabs>
        <w:spacing w:before="0" w:after="0" w:line="240" w:lineRule="auto"/>
        <w:ind w:left="1380" w:right="0" w:hanging="540"/>
        <w:jc w:val="left"/>
      </w:pPr>
      <w:bookmarkStart w:id="127" w:name="_bookmark28"/>
      <w:bookmarkEnd w:id="127"/>
      <w:bookmarkStart w:id="128" w:name="3.1.2生产工艺和设施风险识别"/>
      <w:bookmarkEnd w:id="128"/>
      <w:bookmarkStart w:id="129" w:name="_bookmark28"/>
      <w:bookmarkEnd w:id="129"/>
      <w:r>
        <w:t>生产工艺和设施风险识别</w:t>
      </w:r>
    </w:p>
    <w:p>
      <w:pPr>
        <w:pStyle w:val="5"/>
        <w:spacing w:before="209" w:line="364" w:lineRule="auto"/>
        <w:ind w:left="840" w:right="812" w:firstLine="480"/>
      </w:pPr>
      <w:r>
        <w:rPr>
          <w:spacing w:val="-9"/>
        </w:rPr>
        <w:t>生产工艺和设施风险识别范围：主要是生产工艺流程的各个阶段以及各种生产设备、</w:t>
      </w:r>
      <w:r>
        <w:rPr>
          <w:spacing w:val="6"/>
        </w:rPr>
        <w:t>储存设备等。根据《关于开展重大危险源监控管理工作的指导意见》</w:t>
      </w:r>
      <w:r>
        <w:rPr>
          <w:spacing w:val="4"/>
        </w:rPr>
        <w:t>（</w:t>
      </w:r>
      <w:r>
        <w:rPr>
          <w:spacing w:val="5"/>
        </w:rPr>
        <w:t>安监管协调字[2004]56</w:t>
      </w:r>
      <w:r>
        <w:rPr>
          <w:spacing w:val="-30"/>
        </w:rPr>
        <w:t xml:space="preserve"> 号</w:t>
      </w:r>
      <w:r>
        <w:t>）（以下简称“指导意见”）对企业生产工艺和设施进行辨识。</w:t>
      </w:r>
    </w:p>
    <w:p>
      <w:pPr>
        <w:pStyle w:val="9"/>
        <w:spacing w:line="304" w:lineRule="exact"/>
        <w:ind w:left="1320" w:firstLine="0"/>
      </w:pPr>
      <w:r>
        <w:t>1、生产工艺和设施风险因素分析</w:t>
      </w:r>
    </w:p>
    <w:p>
      <w:pPr>
        <w:pStyle w:val="5"/>
        <w:spacing w:before="160" w:line="364" w:lineRule="auto"/>
        <w:ind w:left="840" w:right="932" w:firstLine="480"/>
      </w:pPr>
      <w:r>
        <w:t>本公司生产工艺主要包括生产设施及储存设施，其中存在环境风险的主要有含危险化学品的存储设施如氢氧化钠储存区。其风险因素分析见表所示：</w:t>
      </w:r>
    </w:p>
    <w:p>
      <w:pPr>
        <w:pStyle w:val="9"/>
        <w:tabs>
          <w:tab w:val="left" w:pos="4900"/>
        </w:tabs>
        <w:spacing w:before="95" w:after="15"/>
        <w:ind w:left="3996" w:firstLine="0"/>
      </w:pPr>
      <w:bookmarkStart w:id="130" w:name="表3-3  生产区域风险因素分析"/>
      <w:bookmarkEnd w:id="130"/>
      <w:r>
        <w:t>表</w:t>
      </w:r>
      <w:r>
        <w:rPr>
          <w:spacing w:val="-62"/>
        </w:rPr>
        <w:t xml:space="preserve"> </w:t>
      </w:r>
      <w:r>
        <w:t>3-</w:t>
      </w:r>
      <w:r>
        <w:rPr>
          <w:rFonts w:hint="eastAsia"/>
          <w:lang w:val="en-US" w:eastAsia="zh-CN"/>
        </w:rPr>
        <w:t>2</w:t>
      </w:r>
      <w:r>
        <w:tab/>
      </w:r>
      <w:r>
        <w:t>生产区域风险因素分析</w:t>
      </w:r>
    </w:p>
    <w:tbl>
      <w:tblPr>
        <w:tblStyle w:val="14"/>
        <w:tblW w:w="9145" w:type="dxa"/>
        <w:tblInd w:w="8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671"/>
        <w:gridCol w:w="1058"/>
        <w:gridCol w:w="1057"/>
        <w:gridCol w:w="1695"/>
        <w:gridCol w:w="29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50" w:type="dxa"/>
            <w:tcBorders>
              <w:tl2br w:val="nil"/>
              <w:tr2bl w:val="nil"/>
            </w:tcBorders>
          </w:tcPr>
          <w:p>
            <w:pPr>
              <w:pStyle w:val="31"/>
              <w:spacing w:before="137"/>
              <w:ind w:left="128" w:right="118"/>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生产</w:t>
            </w:r>
          </w:p>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lang w:val="zh-CN" w:eastAsia="zh-CN"/>
              </w:rPr>
              <w:t>设施</w:t>
            </w:r>
          </w:p>
        </w:tc>
        <w:tc>
          <w:tcPr>
            <w:tcW w:w="1671"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风险源情况</w:t>
            </w:r>
          </w:p>
        </w:tc>
        <w:tc>
          <w:tcPr>
            <w:tcW w:w="1058"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风险物质</w:t>
            </w:r>
          </w:p>
        </w:tc>
        <w:tc>
          <w:tcPr>
            <w:tcW w:w="1057"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风险部位</w:t>
            </w:r>
          </w:p>
        </w:tc>
        <w:tc>
          <w:tcPr>
            <w:tcW w:w="1695"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事故原因</w:t>
            </w:r>
          </w:p>
        </w:tc>
        <w:tc>
          <w:tcPr>
            <w:tcW w:w="2914"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危害性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50"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氢氧化钠储存区</w:t>
            </w:r>
          </w:p>
        </w:tc>
        <w:tc>
          <w:tcPr>
            <w:tcW w:w="1671" w:type="dxa"/>
            <w:tcBorders>
              <w:tl2br w:val="nil"/>
              <w:tr2bl w:val="nil"/>
            </w:tcBorders>
          </w:tcPr>
          <w:p>
            <w:pPr>
              <w:pStyle w:val="31"/>
              <w:spacing w:before="137"/>
              <w:ind w:left="128" w:right="118"/>
              <w:rPr>
                <w:rFonts w:hint="eastAsia" w:ascii="宋体" w:hAnsi="宋体" w:eastAsia="宋体" w:cs="宋体"/>
                <w:sz w:val="21"/>
                <w:szCs w:val="21"/>
              </w:rPr>
            </w:pPr>
          </w:p>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氢氧化钠包装桶</w:t>
            </w:r>
          </w:p>
        </w:tc>
        <w:tc>
          <w:tcPr>
            <w:tcW w:w="1058" w:type="dxa"/>
            <w:tcBorders>
              <w:tl2br w:val="nil"/>
              <w:tr2bl w:val="nil"/>
            </w:tcBorders>
          </w:tcPr>
          <w:p>
            <w:pPr>
              <w:pStyle w:val="31"/>
              <w:spacing w:before="137"/>
              <w:ind w:left="128" w:right="118"/>
              <w:rPr>
                <w:rFonts w:hint="eastAsia" w:ascii="宋体" w:hAnsi="宋体" w:eastAsia="宋体" w:cs="宋体"/>
                <w:sz w:val="21"/>
                <w:szCs w:val="21"/>
              </w:rPr>
            </w:pPr>
          </w:p>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氢氧化钠</w:t>
            </w:r>
          </w:p>
        </w:tc>
        <w:tc>
          <w:tcPr>
            <w:tcW w:w="1057" w:type="dxa"/>
            <w:tcBorders>
              <w:tl2br w:val="nil"/>
              <w:tr2bl w:val="nil"/>
            </w:tcBorders>
          </w:tcPr>
          <w:p>
            <w:pPr>
              <w:pStyle w:val="31"/>
              <w:spacing w:before="137"/>
              <w:ind w:left="128" w:right="118"/>
              <w:rPr>
                <w:rFonts w:hint="eastAsia" w:ascii="宋体" w:hAnsi="宋体" w:eastAsia="宋体" w:cs="宋体"/>
                <w:sz w:val="21"/>
                <w:szCs w:val="21"/>
              </w:rPr>
            </w:pPr>
          </w:p>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包装桶</w:t>
            </w:r>
          </w:p>
        </w:tc>
        <w:tc>
          <w:tcPr>
            <w:tcW w:w="1695"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安全隐患导致火灾；包装桶腐蚀、破损突然泄漏等原</w:t>
            </w:r>
          </w:p>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因</w:t>
            </w:r>
          </w:p>
        </w:tc>
        <w:tc>
          <w:tcPr>
            <w:tcW w:w="2914" w:type="dxa"/>
            <w:tcBorders>
              <w:tl2br w:val="nil"/>
              <w:tr2bl w:val="nil"/>
            </w:tcBorders>
          </w:tcPr>
          <w:p>
            <w:pPr>
              <w:pStyle w:val="31"/>
              <w:spacing w:before="137"/>
              <w:ind w:left="128" w:right="118"/>
              <w:rPr>
                <w:rFonts w:hint="eastAsia" w:ascii="宋体" w:hAnsi="宋体" w:eastAsia="宋体" w:cs="宋体"/>
                <w:sz w:val="21"/>
                <w:szCs w:val="21"/>
              </w:rPr>
            </w:pPr>
            <w:r>
              <w:rPr>
                <w:rFonts w:hint="eastAsia" w:ascii="宋体" w:hAnsi="宋体" w:eastAsia="宋体" w:cs="宋体"/>
                <w:sz w:val="21"/>
                <w:szCs w:val="21"/>
              </w:rPr>
              <w:t>消防灭火产生的消防废水会被围堰收容，不会进入雨水系统； 储存区设有围堰，发生泄漏时泄漏物会流至围堰内，不会进入雨水系统。</w:t>
            </w:r>
          </w:p>
        </w:tc>
      </w:tr>
    </w:tbl>
    <w:p>
      <w:pPr>
        <w:pStyle w:val="30"/>
        <w:numPr>
          <w:ilvl w:val="2"/>
          <w:numId w:val="13"/>
        </w:numPr>
        <w:tabs>
          <w:tab w:val="left" w:pos="1380"/>
        </w:tabs>
        <w:spacing w:before="74" w:after="0" w:line="240" w:lineRule="auto"/>
        <w:ind w:left="1380" w:right="0" w:hanging="540"/>
        <w:jc w:val="both"/>
        <w:rPr>
          <w:b/>
          <w:sz w:val="24"/>
        </w:rPr>
      </w:pPr>
      <w:bookmarkStart w:id="131" w:name="3.1.3环保设施风险识别"/>
      <w:bookmarkEnd w:id="131"/>
      <w:bookmarkStart w:id="132" w:name="_bookmark29"/>
      <w:bookmarkEnd w:id="132"/>
      <w:bookmarkStart w:id="133" w:name="_bookmark29"/>
      <w:bookmarkEnd w:id="133"/>
      <w:r>
        <w:rPr>
          <w:b/>
          <w:sz w:val="24"/>
        </w:rPr>
        <w:t>环保设施风险识别</w:t>
      </w:r>
    </w:p>
    <w:p>
      <w:pPr>
        <w:pStyle w:val="5"/>
        <w:spacing w:before="208"/>
        <w:ind w:left="1320"/>
      </w:pPr>
      <w:r>
        <w:t>本公司环保设施存在风险的主要有：污水处理站等，其风险辨识情况见表 3-</w:t>
      </w:r>
      <w:r>
        <w:rPr>
          <w:rFonts w:hint="eastAsia"/>
          <w:lang w:val="en-US" w:eastAsia="zh-CN"/>
        </w:rPr>
        <w:t>3</w:t>
      </w:r>
      <w:r>
        <w:t xml:space="preserve"> 所示：</w:t>
      </w:r>
    </w:p>
    <w:p>
      <w:pPr>
        <w:pStyle w:val="9"/>
        <w:tabs>
          <w:tab w:val="left" w:pos="904"/>
        </w:tabs>
        <w:spacing w:before="209"/>
        <w:ind w:left="0" w:right="73" w:firstLine="0"/>
        <w:jc w:val="center"/>
      </w:pPr>
      <w:r>
        <w:t>表</w:t>
      </w:r>
      <w:r>
        <w:rPr>
          <w:spacing w:val="-62"/>
        </w:rPr>
        <w:t xml:space="preserve"> </w:t>
      </w:r>
      <w:r>
        <w:t>3-</w:t>
      </w:r>
      <w:r>
        <w:rPr>
          <w:rFonts w:hint="eastAsia"/>
          <w:lang w:val="en-US" w:eastAsia="zh-CN"/>
        </w:rPr>
        <w:t>3</w:t>
      </w:r>
      <w:r>
        <w:tab/>
      </w:r>
      <w:r>
        <w:t>企业存在环境风险的环保设施情况一览表</w:t>
      </w:r>
    </w:p>
    <w:tbl>
      <w:tblPr>
        <w:tblStyle w:val="14"/>
        <w:tblW w:w="9351" w:type="dxa"/>
        <w:tblInd w:w="74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893"/>
        <w:gridCol w:w="1335"/>
        <w:gridCol w:w="1708"/>
        <w:gridCol w:w="1841"/>
        <w:gridCol w:w="1335"/>
        <w:gridCol w:w="123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32" w:hRule="atLeast"/>
        </w:trPr>
        <w:tc>
          <w:tcPr>
            <w:tcW w:w="1893" w:type="dxa"/>
            <w:tcBorders>
              <w:bottom w:val="single" w:color="000000" w:sz="4" w:space="0"/>
              <w:right w:val="single" w:color="000000" w:sz="4" w:space="0"/>
            </w:tcBorders>
          </w:tcPr>
          <w:p>
            <w:pPr>
              <w:pStyle w:val="31"/>
              <w:jc w:val="left"/>
              <w:rPr>
                <w:b/>
                <w:sz w:val="14"/>
              </w:rPr>
            </w:pPr>
          </w:p>
          <w:p>
            <w:pPr>
              <w:pStyle w:val="31"/>
              <w:ind w:left="295" w:right="283"/>
              <w:rPr>
                <w:sz w:val="21"/>
              </w:rPr>
            </w:pPr>
            <w:r>
              <w:rPr>
                <w:sz w:val="21"/>
              </w:rPr>
              <w:t>环保设施名称</w:t>
            </w:r>
          </w:p>
        </w:tc>
        <w:tc>
          <w:tcPr>
            <w:tcW w:w="1335" w:type="dxa"/>
            <w:tcBorders>
              <w:left w:val="single" w:color="000000" w:sz="4" w:space="0"/>
              <w:bottom w:val="single" w:color="000000" w:sz="4" w:space="0"/>
              <w:right w:val="single" w:color="000000" w:sz="4" w:space="0"/>
            </w:tcBorders>
          </w:tcPr>
          <w:p>
            <w:pPr>
              <w:pStyle w:val="31"/>
              <w:jc w:val="left"/>
              <w:rPr>
                <w:b/>
                <w:sz w:val="14"/>
              </w:rPr>
            </w:pPr>
          </w:p>
          <w:p>
            <w:pPr>
              <w:pStyle w:val="31"/>
              <w:ind w:left="124" w:right="109"/>
              <w:rPr>
                <w:sz w:val="21"/>
              </w:rPr>
            </w:pPr>
            <w:r>
              <w:rPr>
                <w:sz w:val="21"/>
              </w:rPr>
              <w:t>排放源</w:t>
            </w:r>
          </w:p>
        </w:tc>
        <w:tc>
          <w:tcPr>
            <w:tcW w:w="1708" w:type="dxa"/>
            <w:tcBorders>
              <w:left w:val="single" w:color="000000" w:sz="4" w:space="0"/>
              <w:bottom w:val="single" w:color="000000" w:sz="4" w:space="0"/>
              <w:right w:val="single" w:color="000000" w:sz="4" w:space="0"/>
            </w:tcBorders>
          </w:tcPr>
          <w:p>
            <w:pPr>
              <w:pStyle w:val="31"/>
              <w:spacing w:before="43" w:line="244" w:lineRule="auto"/>
              <w:ind w:left="439" w:right="419" w:firstLine="208"/>
              <w:jc w:val="left"/>
              <w:rPr>
                <w:sz w:val="21"/>
              </w:rPr>
            </w:pPr>
            <w:r>
              <w:rPr>
                <w:sz w:val="21"/>
              </w:rPr>
              <w:t>主 要 污染因子</w:t>
            </w:r>
          </w:p>
        </w:tc>
        <w:tc>
          <w:tcPr>
            <w:tcW w:w="1841" w:type="dxa"/>
            <w:tcBorders>
              <w:left w:val="single" w:color="000000" w:sz="4" w:space="0"/>
              <w:bottom w:val="single" w:color="000000" w:sz="4" w:space="0"/>
              <w:right w:val="single" w:color="000000" w:sz="4" w:space="0"/>
            </w:tcBorders>
          </w:tcPr>
          <w:p>
            <w:pPr>
              <w:pStyle w:val="31"/>
              <w:jc w:val="left"/>
              <w:rPr>
                <w:b/>
                <w:sz w:val="14"/>
              </w:rPr>
            </w:pPr>
          </w:p>
          <w:p>
            <w:pPr>
              <w:pStyle w:val="31"/>
              <w:ind w:left="220" w:right="205"/>
              <w:rPr>
                <w:sz w:val="21"/>
              </w:rPr>
            </w:pPr>
            <w:r>
              <w:rPr>
                <w:sz w:val="21"/>
              </w:rPr>
              <w:t>处理方法</w:t>
            </w:r>
          </w:p>
        </w:tc>
        <w:tc>
          <w:tcPr>
            <w:tcW w:w="1335" w:type="dxa"/>
            <w:tcBorders>
              <w:left w:val="single" w:color="000000" w:sz="4" w:space="0"/>
              <w:bottom w:val="single" w:color="000000" w:sz="4" w:space="0"/>
              <w:right w:val="single" w:color="000000" w:sz="4" w:space="0"/>
            </w:tcBorders>
          </w:tcPr>
          <w:p>
            <w:pPr>
              <w:pStyle w:val="31"/>
              <w:jc w:val="left"/>
              <w:rPr>
                <w:b/>
                <w:sz w:val="14"/>
              </w:rPr>
            </w:pPr>
          </w:p>
          <w:p>
            <w:pPr>
              <w:pStyle w:val="31"/>
              <w:ind w:left="126" w:right="109"/>
              <w:rPr>
                <w:sz w:val="21"/>
              </w:rPr>
            </w:pPr>
            <w:r>
              <w:rPr>
                <w:sz w:val="21"/>
              </w:rPr>
              <w:t>污染物去向</w:t>
            </w:r>
          </w:p>
        </w:tc>
        <w:tc>
          <w:tcPr>
            <w:tcW w:w="1239" w:type="dxa"/>
            <w:tcBorders>
              <w:left w:val="single" w:color="000000" w:sz="4" w:space="0"/>
              <w:bottom w:val="single" w:color="000000" w:sz="4" w:space="0"/>
            </w:tcBorders>
          </w:tcPr>
          <w:p>
            <w:pPr>
              <w:pStyle w:val="31"/>
              <w:spacing w:before="2" w:line="242" w:lineRule="auto"/>
              <w:ind w:left="203" w:right="180"/>
              <w:jc w:val="left"/>
              <w:rPr>
                <w:sz w:val="21"/>
              </w:rPr>
            </w:pPr>
            <w:r>
              <w:rPr>
                <w:sz w:val="21"/>
              </w:rPr>
              <w:t>是否为环境风险源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3" w:hRule="atLeast"/>
        </w:trPr>
        <w:tc>
          <w:tcPr>
            <w:tcW w:w="1893" w:type="dxa"/>
            <w:tcBorders>
              <w:top w:val="single" w:color="000000" w:sz="4" w:space="0"/>
              <w:right w:val="single" w:color="000000" w:sz="4" w:space="0"/>
            </w:tcBorders>
          </w:tcPr>
          <w:p>
            <w:pPr>
              <w:pStyle w:val="31"/>
              <w:spacing w:before="70"/>
              <w:ind w:left="293" w:right="283"/>
              <w:rPr>
                <w:rFonts w:hint="eastAsia" w:eastAsia="宋体"/>
                <w:sz w:val="21"/>
                <w:lang w:eastAsia="zh-CN"/>
              </w:rPr>
            </w:pPr>
            <w:r>
              <w:rPr>
                <w:rFonts w:hint="eastAsia"/>
                <w:sz w:val="21"/>
                <w:lang w:eastAsia="zh-CN"/>
              </w:rPr>
              <w:t>废气处理设施失灵</w:t>
            </w:r>
          </w:p>
        </w:tc>
        <w:tc>
          <w:tcPr>
            <w:tcW w:w="1335" w:type="dxa"/>
            <w:tcBorders>
              <w:top w:val="single" w:color="000000" w:sz="4" w:space="0"/>
              <w:left w:val="single" w:color="000000" w:sz="4" w:space="0"/>
              <w:right w:val="single" w:color="000000" w:sz="4" w:space="0"/>
            </w:tcBorders>
          </w:tcPr>
          <w:p>
            <w:pPr>
              <w:pStyle w:val="31"/>
              <w:spacing w:before="70"/>
              <w:ind w:left="126" w:right="109"/>
              <w:rPr>
                <w:rFonts w:hint="eastAsia" w:eastAsia="宋体"/>
                <w:sz w:val="21"/>
                <w:lang w:eastAsia="zh-CN"/>
              </w:rPr>
            </w:pPr>
            <w:r>
              <w:rPr>
                <w:rFonts w:hint="eastAsia"/>
                <w:sz w:val="21"/>
                <w:lang w:eastAsia="zh-CN"/>
              </w:rPr>
              <w:t>除臭系统</w:t>
            </w:r>
          </w:p>
        </w:tc>
        <w:tc>
          <w:tcPr>
            <w:tcW w:w="1708" w:type="dxa"/>
            <w:tcBorders>
              <w:top w:val="single" w:color="000000" w:sz="4" w:space="0"/>
              <w:left w:val="single" w:color="000000" w:sz="4" w:space="0"/>
              <w:right w:val="single" w:color="000000" w:sz="4" w:space="0"/>
            </w:tcBorders>
          </w:tcPr>
          <w:p>
            <w:pPr>
              <w:pStyle w:val="31"/>
              <w:spacing w:before="70"/>
              <w:ind w:left="386"/>
              <w:jc w:val="left"/>
              <w:rPr>
                <w:sz w:val="21"/>
              </w:rPr>
            </w:pPr>
            <w:r>
              <w:rPr>
                <w:rFonts w:hint="eastAsia" w:ascii="宋体" w:hAnsi="宋体"/>
                <w:color w:val="000000" w:themeColor="text1"/>
                <w:szCs w:val="21"/>
              </w:rPr>
              <w:t>H</w:t>
            </w:r>
            <w:r>
              <w:rPr>
                <w:rFonts w:hint="eastAsia" w:ascii="宋体" w:hAnsi="宋体"/>
                <w:color w:val="000000" w:themeColor="text1"/>
                <w:szCs w:val="21"/>
                <w:vertAlign w:val="subscript"/>
              </w:rPr>
              <w:t>2</w:t>
            </w:r>
            <w:r>
              <w:rPr>
                <w:rFonts w:hint="eastAsia" w:ascii="宋体" w:hAnsi="宋体"/>
                <w:color w:val="000000" w:themeColor="text1"/>
                <w:szCs w:val="21"/>
              </w:rPr>
              <w:t>S、NH</w:t>
            </w:r>
            <w:r>
              <w:rPr>
                <w:rFonts w:hint="eastAsia" w:ascii="宋体" w:hAnsi="宋体"/>
                <w:color w:val="000000" w:themeColor="text1"/>
                <w:szCs w:val="21"/>
                <w:vertAlign w:val="subscript"/>
              </w:rPr>
              <w:t>3</w:t>
            </w:r>
            <w:r>
              <w:rPr>
                <w:rFonts w:hint="eastAsia" w:ascii="宋体" w:hAnsi="宋体"/>
                <w:color w:val="000000" w:themeColor="text1"/>
                <w:szCs w:val="21"/>
              </w:rPr>
              <w:t>、臭气浓度</w:t>
            </w:r>
          </w:p>
        </w:tc>
        <w:tc>
          <w:tcPr>
            <w:tcW w:w="1841" w:type="dxa"/>
            <w:tcBorders>
              <w:top w:val="single" w:color="000000" w:sz="4" w:space="0"/>
              <w:left w:val="single" w:color="000000" w:sz="4" w:space="0"/>
              <w:right w:val="single" w:color="000000" w:sz="4" w:space="0"/>
            </w:tcBorders>
          </w:tcPr>
          <w:p>
            <w:pPr>
              <w:pStyle w:val="31"/>
              <w:spacing w:before="70"/>
              <w:ind w:left="220" w:right="205"/>
              <w:rPr>
                <w:sz w:val="21"/>
              </w:rPr>
            </w:pPr>
            <w:r>
              <w:rPr>
                <w:rFonts w:hint="eastAsia" w:ascii="宋体" w:hAnsi="宋体"/>
                <w:color w:val="000000" w:themeColor="text1"/>
                <w:szCs w:val="21"/>
              </w:rPr>
              <w:t>简易喷淋除臭装置</w:t>
            </w:r>
          </w:p>
        </w:tc>
        <w:tc>
          <w:tcPr>
            <w:tcW w:w="1335" w:type="dxa"/>
            <w:tcBorders>
              <w:top w:val="single" w:color="000000" w:sz="4" w:space="0"/>
              <w:left w:val="single" w:color="000000" w:sz="4" w:space="0"/>
              <w:right w:val="single" w:color="000000" w:sz="4" w:space="0"/>
            </w:tcBorders>
          </w:tcPr>
          <w:p>
            <w:pPr>
              <w:pStyle w:val="31"/>
              <w:spacing w:before="70"/>
              <w:ind w:left="126" w:right="109"/>
              <w:rPr>
                <w:rFonts w:hint="eastAsia" w:eastAsia="宋体"/>
                <w:sz w:val="21"/>
                <w:lang w:eastAsia="zh-CN"/>
              </w:rPr>
            </w:pPr>
            <w:r>
              <w:rPr>
                <w:rFonts w:hint="eastAsia"/>
                <w:sz w:val="21"/>
                <w:lang w:eastAsia="zh-CN"/>
              </w:rPr>
              <w:t>大气</w:t>
            </w:r>
          </w:p>
        </w:tc>
        <w:tc>
          <w:tcPr>
            <w:tcW w:w="1239" w:type="dxa"/>
            <w:tcBorders>
              <w:top w:val="single" w:color="000000" w:sz="4" w:space="0"/>
              <w:left w:val="single" w:color="000000" w:sz="4" w:space="0"/>
            </w:tcBorders>
          </w:tcPr>
          <w:p>
            <w:pPr>
              <w:pStyle w:val="31"/>
              <w:ind w:left="126" w:right="109"/>
              <w:rPr>
                <w:rFonts w:hint="eastAsia"/>
                <w:sz w:val="21"/>
                <w:lang w:eastAsia="zh-CN"/>
              </w:rPr>
            </w:pPr>
            <w:r>
              <w:rPr>
                <w:rFonts w:hint="eastAsia"/>
                <w:sz w:val="21"/>
                <w:lang w:eastAsia="zh-CN"/>
              </w:rPr>
              <w:t>是</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3" w:hRule="atLeast"/>
        </w:trPr>
        <w:tc>
          <w:tcPr>
            <w:tcW w:w="1893" w:type="dxa"/>
            <w:tcBorders>
              <w:top w:val="single" w:color="000000" w:sz="4" w:space="0"/>
              <w:right w:val="single" w:color="000000" w:sz="4" w:space="0"/>
            </w:tcBorders>
          </w:tcPr>
          <w:p>
            <w:pPr>
              <w:pStyle w:val="31"/>
              <w:spacing w:before="70"/>
              <w:ind w:left="293" w:right="283"/>
              <w:rPr>
                <w:sz w:val="21"/>
              </w:rPr>
            </w:pPr>
            <w:r>
              <w:rPr>
                <w:sz w:val="21"/>
              </w:rPr>
              <w:t>污水处理站</w:t>
            </w:r>
          </w:p>
        </w:tc>
        <w:tc>
          <w:tcPr>
            <w:tcW w:w="1335" w:type="dxa"/>
            <w:tcBorders>
              <w:top w:val="single" w:color="000000" w:sz="4" w:space="0"/>
              <w:left w:val="single" w:color="000000" w:sz="4" w:space="0"/>
              <w:right w:val="single" w:color="000000" w:sz="4" w:space="0"/>
            </w:tcBorders>
          </w:tcPr>
          <w:p>
            <w:pPr>
              <w:pStyle w:val="31"/>
              <w:spacing w:before="70"/>
              <w:ind w:left="126" w:right="109"/>
              <w:rPr>
                <w:sz w:val="21"/>
              </w:rPr>
            </w:pPr>
            <w:r>
              <w:rPr>
                <w:sz w:val="21"/>
              </w:rPr>
              <w:t>污水处理站</w:t>
            </w:r>
          </w:p>
        </w:tc>
        <w:tc>
          <w:tcPr>
            <w:tcW w:w="1708" w:type="dxa"/>
            <w:tcBorders>
              <w:top w:val="single" w:color="000000" w:sz="4" w:space="0"/>
              <w:left w:val="single" w:color="000000" w:sz="4" w:space="0"/>
              <w:right w:val="single" w:color="000000" w:sz="4" w:space="0"/>
            </w:tcBorders>
          </w:tcPr>
          <w:p>
            <w:pPr>
              <w:pStyle w:val="31"/>
              <w:spacing w:before="70"/>
              <w:ind w:left="386"/>
              <w:jc w:val="left"/>
              <w:rPr>
                <w:sz w:val="21"/>
              </w:rPr>
            </w:pPr>
            <w:r>
              <w:rPr>
                <w:sz w:val="21"/>
              </w:rPr>
              <w:t>COD、氨氮</w:t>
            </w:r>
          </w:p>
        </w:tc>
        <w:tc>
          <w:tcPr>
            <w:tcW w:w="1841" w:type="dxa"/>
            <w:tcBorders>
              <w:top w:val="single" w:color="000000" w:sz="4" w:space="0"/>
              <w:left w:val="single" w:color="000000" w:sz="4" w:space="0"/>
              <w:right w:val="single" w:color="000000" w:sz="4" w:space="0"/>
            </w:tcBorders>
          </w:tcPr>
          <w:p>
            <w:pPr>
              <w:pStyle w:val="31"/>
              <w:spacing w:before="70"/>
              <w:ind w:left="220" w:right="205"/>
              <w:rPr>
                <w:sz w:val="21"/>
              </w:rPr>
            </w:pPr>
            <w:r>
              <w:rPr>
                <w:sz w:val="21"/>
              </w:rPr>
              <w:t>UASB 处理工艺</w:t>
            </w:r>
          </w:p>
        </w:tc>
        <w:tc>
          <w:tcPr>
            <w:tcW w:w="1335" w:type="dxa"/>
            <w:tcBorders>
              <w:top w:val="single" w:color="000000" w:sz="4" w:space="0"/>
              <w:left w:val="single" w:color="000000" w:sz="4" w:space="0"/>
              <w:right w:val="single" w:color="000000" w:sz="4" w:space="0"/>
            </w:tcBorders>
          </w:tcPr>
          <w:p>
            <w:pPr>
              <w:pStyle w:val="31"/>
              <w:spacing w:before="70"/>
              <w:ind w:left="126" w:right="109"/>
              <w:rPr>
                <w:sz w:val="21"/>
              </w:rPr>
            </w:pPr>
            <w:r>
              <w:rPr>
                <w:sz w:val="21"/>
              </w:rPr>
              <w:t>污水管网</w:t>
            </w:r>
          </w:p>
        </w:tc>
        <w:tc>
          <w:tcPr>
            <w:tcW w:w="1239" w:type="dxa"/>
            <w:tcBorders>
              <w:top w:val="single" w:color="000000" w:sz="4" w:space="0"/>
              <w:left w:val="single" w:color="000000" w:sz="4" w:space="0"/>
            </w:tcBorders>
          </w:tcPr>
          <w:p>
            <w:pPr>
              <w:pStyle w:val="31"/>
              <w:ind w:left="126" w:right="109"/>
              <w:rPr>
                <w:sz w:val="21"/>
              </w:rPr>
            </w:pPr>
            <w:r>
              <w:rPr>
                <w:sz w:val="21"/>
              </w:rPr>
              <w:t>是</w:t>
            </w:r>
          </w:p>
        </w:tc>
      </w:tr>
    </w:tbl>
    <w:p>
      <w:pPr>
        <w:pStyle w:val="30"/>
        <w:numPr>
          <w:ilvl w:val="2"/>
          <w:numId w:val="13"/>
        </w:numPr>
        <w:tabs>
          <w:tab w:val="left" w:pos="1380"/>
        </w:tabs>
        <w:spacing w:before="3" w:after="0" w:line="240" w:lineRule="auto"/>
        <w:ind w:left="1380" w:right="0" w:hanging="540"/>
        <w:jc w:val="both"/>
        <w:rPr>
          <w:b/>
          <w:sz w:val="24"/>
        </w:rPr>
      </w:pPr>
      <w:bookmarkStart w:id="134" w:name="_bookmark30"/>
      <w:bookmarkEnd w:id="134"/>
      <w:bookmarkStart w:id="135" w:name="3.1.4物料运输、装卸风险识别"/>
      <w:bookmarkEnd w:id="135"/>
      <w:bookmarkStart w:id="136" w:name="_bookmark30"/>
      <w:bookmarkEnd w:id="136"/>
      <w:r>
        <w:rPr>
          <w:b/>
          <w:sz w:val="24"/>
        </w:rPr>
        <w:t>物料运输、装卸风险识别</w:t>
      </w:r>
    </w:p>
    <w:p>
      <w:pPr>
        <w:pStyle w:val="5"/>
        <w:spacing w:before="206" w:line="364" w:lineRule="auto"/>
        <w:ind w:left="840" w:right="932" w:firstLine="480"/>
        <w:jc w:val="both"/>
      </w:pPr>
      <w:r>
        <w:t>公司原辅材料由供应商运输至厂区内，产品由专业运输单位运送；危险化学品由销售单位委托有资质的运输单位运送，固体废物回收由回收单位运送。其运输、装卸存在的风险主要是危险化学品如氢氧化钠等在厂区内运输和装卸过程发生的突发事故。</w:t>
      </w:r>
    </w:p>
    <w:p>
      <w:pPr>
        <w:pStyle w:val="8"/>
        <w:numPr>
          <w:ilvl w:val="1"/>
          <w:numId w:val="9"/>
        </w:numPr>
        <w:tabs>
          <w:tab w:val="left" w:pos="1330"/>
        </w:tabs>
        <w:spacing w:before="0" w:after="0" w:line="357" w:lineRule="exact"/>
        <w:ind w:left="1329" w:right="0" w:hanging="490"/>
        <w:jc w:val="both"/>
      </w:pPr>
      <w:bookmarkStart w:id="137" w:name="_bookmark31"/>
      <w:bookmarkEnd w:id="137"/>
      <w:bookmarkStart w:id="138" w:name="3.2 环境风险评估程序"/>
      <w:bookmarkEnd w:id="138"/>
      <w:bookmarkStart w:id="139" w:name="_bookmark31"/>
      <w:bookmarkEnd w:id="139"/>
      <w:bookmarkStart w:id="140" w:name="_Toc26915"/>
      <w:bookmarkStart w:id="141" w:name="_Toc23183"/>
      <w:r>
        <w:t>环境风险评估程序</w:t>
      </w:r>
      <w:bookmarkEnd w:id="140"/>
      <w:bookmarkEnd w:id="141"/>
    </w:p>
    <w:p>
      <w:pPr>
        <w:pStyle w:val="5"/>
        <w:spacing w:before="233"/>
        <w:ind w:left="1320"/>
      </w:pPr>
      <w:r>
        <w:t>本公司环境风险等级确定根据《企业突发环境事件风险评估指南(试行)》中附录 A</w:t>
      </w:r>
    </w:p>
    <w:p>
      <w:pPr>
        <w:pStyle w:val="5"/>
        <w:spacing w:before="161" w:line="364" w:lineRule="auto"/>
        <w:ind w:left="840" w:right="810"/>
      </w:pPr>
      <w:r>
        <w:rPr>
          <w:spacing w:val="-11"/>
        </w:rPr>
        <w:t>《企业突发环境事件风险等级划分方法》中规定，企业环境事件风险等级划分方法需“通</w:t>
      </w:r>
      <w:r>
        <w:rPr>
          <w:spacing w:val="-23"/>
        </w:rPr>
        <w:t>过定量分析企业生产、加工、使用、存储的所有环境风险物质数量与其临界量的比值</w:t>
      </w:r>
      <w:r>
        <w:rPr>
          <w:spacing w:val="-4"/>
        </w:rPr>
        <w:t>（Q</w:t>
      </w:r>
      <w:r>
        <w:rPr>
          <w:spacing w:val="-124"/>
        </w:rPr>
        <w:t>）</w:t>
      </w:r>
      <w:r>
        <w:rPr>
          <w:spacing w:val="-4"/>
        </w:rPr>
        <w:t>，</w:t>
      </w:r>
      <w:r>
        <w:t>评估工艺过程与环境风险控制水平（M）以及环境风险受体敏感性（E），按照矩阵法对企业突发环境事件风险（以下简称环境风险）</w:t>
      </w:r>
      <w:r>
        <w:rPr>
          <w:spacing w:val="-4"/>
        </w:rPr>
        <w:t xml:space="preserve">进行等级划分”。其评估程序见图 </w:t>
      </w:r>
      <w:r>
        <w:t>3-1。</w:t>
      </w:r>
    </w:p>
    <w:p>
      <w:pPr>
        <w:pStyle w:val="5"/>
        <w:spacing w:before="12"/>
        <w:rPr>
          <w:sz w:val="22"/>
        </w:rPr>
      </w:pPr>
      <w:r>
        <w:drawing>
          <wp:anchor distT="0" distB="0" distL="0" distR="0" simplePos="0" relativeHeight="251659264" behindDoc="0" locked="0" layoutInCell="1" allowOverlap="1">
            <wp:simplePos x="0" y="0"/>
            <wp:positionH relativeFrom="page">
              <wp:posOffset>1679575</wp:posOffset>
            </wp:positionH>
            <wp:positionV relativeFrom="paragraph">
              <wp:posOffset>211455</wp:posOffset>
            </wp:positionV>
            <wp:extent cx="4315460" cy="3666490"/>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23" cstate="print"/>
                    <a:stretch>
                      <a:fillRect/>
                    </a:stretch>
                  </pic:blipFill>
                  <pic:spPr>
                    <a:xfrm>
                      <a:off x="0" y="0"/>
                      <a:ext cx="4315483" cy="3666744"/>
                    </a:xfrm>
                    <a:prstGeom prst="rect">
                      <a:avLst/>
                    </a:prstGeom>
                  </pic:spPr>
                </pic:pic>
              </a:graphicData>
            </a:graphic>
          </wp:anchor>
        </w:drawing>
      </w:r>
    </w:p>
    <w:p>
      <w:pPr>
        <w:pStyle w:val="5"/>
        <w:spacing w:before="9"/>
        <w:rPr>
          <w:sz w:val="15"/>
        </w:rPr>
      </w:pPr>
    </w:p>
    <w:p>
      <w:pPr>
        <w:pStyle w:val="9"/>
        <w:tabs>
          <w:tab w:val="left" w:pos="1251"/>
        </w:tabs>
        <w:spacing w:before="66"/>
        <w:ind w:left="406" w:firstLine="0"/>
        <w:jc w:val="center"/>
      </w:pPr>
      <w:r>
        <w:t>图3-1</w:t>
      </w:r>
      <w:r>
        <w:tab/>
      </w:r>
      <w:r>
        <w:t>企业突发环境事件风险等级划分流程示意图</w:t>
      </w:r>
    </w:p>
    <w:p>
      <w:pPr>
        <w:pStyle w:val="5"/>
        <w:rPr>
          <w:b/>
        </w:rPr>
      </w:pPr>
    </w:p>
    <w:p>
      <w:pPr>
        <w:pStyle w:val="5"/>
        <w:spacing w:before="2"/>
        <w:rPr>
          <w:b/>
          <w:sz w:val="19"/>
        </w:rPr>
      </w:pPr>
    </w:p>
    <w:p>
      <w:pPr>
        <w:pStyle w:val="8"/>
        <w:numPr>
          <w:ilvl w:val="1"/>
          <w:numId w:val="9"/>
        </w:numPr>
        <w:tabs>
          <w:tab w:val="left" w:pos="1330"/>
        </w:tabs>
        <w:spacing w:before="0" w:after="0" w:line="240" w:lineRule="auto"/>
        <w:ind w:left="1329" w:right="0" w:hanging="490"/>
        <w:jc w:val="left"/>
      </w:pPr>
      <w:bookmarkStart w:id="142" w:name="3.3 环境风险等级确定"/>
      <w:bookmarkEnd w:id="142"/>
      <w:bookmarkStart w:id="143" w:name="_bookmark32"/>
      <w:bookmarkEnd w:id="143"/>
      <w:bookmarkStart w:id="144" w:name="_bookmark32"/>
      <w:bookmarkEnd w:id="144"/>
      <w:bookmarkStart w:id="145" w:name="_Toc4575"/>
      <w:bookmarkStart w:id="146" w:name="_Toc8474"/>
      <w:r>
        <w:t>环境风险等级确定</w:t>
      </w:r>
      <w:bookmarkEnd w:id="145"/>
      <w:bookmarkEnd w:id="146"/>
    </w:p>
    <w:p>
      <w:pPr>
        <w:pStyle w:val="30"/>
        <w:numPr>
          <w:ilvl w:val="2"/>
          <w:numId w:val="14"/>
        </w:numPr>
        <w:tabs>
          <w:tab w:val="left" w:pos="1380"/>
        </w:tabs>
        <w:spacing w:before="233" w:after="0" w:line="240" w:lineRule="auto"/>
        <w:ind w:left="1380" w:right="0" w:hanging="540"/>
        <w:jc w:val="left"/>
        <w:rPr>
          <w:b/>
          <w:sz w:val="24"/>
        </w:rPr>
      </w:pPr>
      <w:bookmarkStart w:id="147" w:name="_bookmark33"/>
      <w:bookmarkEnd w:id="147"/>
      <w:bookmarkStart w:id="148" w:name="_bookmark33"/>
      <w:bookmarkEnd w:id="148"/>
      <w:bookmarkStart w:id="149" w:name="3.3.1环境风险物质数量与临界量比值（Q）"/>
      <w:bookmarkEnd w:id="149"/>
      <w:r>
        <w:rPr>
          <w:b/>
          <w:sz w:val="24"/>
        </w:rPr>
        <w:t>环境风险物质数量与临界量比值（</w:t>
      </w:r>
      <w:r>
        <w:rPr>
          <w:rFonts w:ascii="Times New Roman" w:eastAsia="Times New Roman"/>
          <w:b/>
          <w:sz w:val="24"/>
        </w:rPr>
        <w:t>Q</w:t>
      </w:r>
      <w:r>
        <w:rPr>
          <w:b/>
          <w:sz w:val="24"/>
        </w:rPr>
        <w:t>）</w:t>
      </w:r>
    </w:p>
    <w:p>
      <w:pPr>
        <w:pStyle w:val="5"/>
        <w:spacing w:before="206" w:line="364" w:lineRule="auto"/>
        <w:ind w:left="840" w:right="932" w:firstLine="480"/>
        <w:jc w:val="both"/>
        <w:rPr>
          <w:rFonts w:hint="eastAsia"/>
        </w:rPr>
      </w:pPr>
      <w:r>
        <w:rPr>
          <w:rFonts w:hint="eastAsia"/>
        </w:rPr>
        <w:t>重大危险源辨识主要根据《危险化学品重大危险源辨识》（</w:t>
      </w:r>
      <w:r>
        <w:t>GB18218-2009</w:t>
      </w:r>
      <w:r>
        <w:rPr>
          <w:rFonts w:hint="eastAsia"/>
        </w:rPr>
        <w:t>）进行： 项目单元内存在的危险物质为多品种，按下式计算，若满足下面公式，则划分为重大危险源：</w:t>
      </w:r>
    </w:p>
    <w:p>
      <w:pPr>
        <w:pStyle w:val="5"/>
        <w:spacing w:before="206" w:line="364" w:lineRule="auto"/>
        <w:ind w:left="840" w:right="932" w:firstLine="480"/>
        <w:jc w:val="both"/>
      </w:pPr>
      <w:r>
        <w:t>q1/Q1+q2/Q2+……+qn/Qn≥1</w:t>
      </w:r>
    </w:p>
    <w:p>
      <w:pPr>
        <w:pStyle w:val="5"/>
        <w:spacing w:before="206" w:line="364" w:lineRule="auto"/>
        <w:ind w:left="840" w:right="932" w:firstLine="480"/>
        <w:jc w:val="both"/>
        <w:rPr>
          <w:rFonts w:hint="eastAsia"/>
        </w:rPr>
      </w:pPr>
      <w:r>
        <w:rPr>
          <w:rFonts w:hint="eastAsia"/>
        </w:rPr>
        <w:t>式中：</w:t>
      </w:r>
      <w:r>
        <w:t>q1,q2…qn——</w:t>
      </w:r>
      <w:r>
        <w:rPr>
          <w:rFonts w:hint="eastAsia"/>
        </w:rPr>
        <w:t>每种危险物质实际存在量（</w:t>
      </w:r>
      <w:r>
        <w:t>t</w:t>
      </w:r>
      <w:r>
        <w:rPr>
          <w:rFonts w:hint="eastAsia"/>
        </w:rPr>
        <w:t>）；</w:t>
      </w:r>
    </w:p>
    <w:p>
      <w:pPr>
        <w:pStyle w:val="5"/>
        <w:spacing w:before="206" w:line="364" w:lineRule="auto"/>
        <w:ind w:left="840" w:right="932" w:firstLine="480"/>
        <w:jc w:val="both"/>
        <w:rPr>
          <w:rFonts w:hint="eastAsia"/>
        </w:rPr>
      </w:pPr>
      <w:r>
        <w:t>Q1,Q2…Qn——</w:t>
      </w:r>
      <w:r>
        <w:rPr>
          <w:rFonts w:hint="eastAsia"/>
        </w:rPr>
        <w:t>与各种物质相对应的生产场所或贮存区的临界量（</w:t>
      </w:r>
      <w:r>
        <w:t>t</w:t>
      </w:r>
      <w:r>
        <w:rPr>
          <w:rFonts w:hint="eastAsia"/>
        </w:rPr>
        <w:t xml:space="preserve">）。项目各原辅材料储存情况详见表 </w:t>
      </w:r>
      <w:r>
        <w:rPr>
          <w:rFonts w:hint="eastAsia"/>
          <w:lang w:val="en-US" w:eastAsia="zh-CN"/>
        </w:rPr>
        <w:t>3-4</w:t>
      </w:r>
      <w:r>
        <w:rPr>
          <w:rFonts w:hint="eastAsia"/>
        </w:rPr>
        <w:t>。</w:t>
      </w:r>
    </w:p>
    <w:p>
      <w:pPr>
        <w:pStyle w:val="5"/>
        <w:spacing w:before="206" w:line="364" w:lineRule="auto"/>
        <w:ind w:left="840" w:right="932" w:firstLine="480"/>
        <w:jc w:val="center"/>
        <w:rPr>
          <w:rFonts w:hint="eastAsia"/>
        </w:rPr>
      </w:pPr>
      <w:bookmarkStart w:id="150" w:name="表4-3  企业主要危险物质的储存情况表"/>
      <w:bookmarkEnd w:id="150"/>
      <w:r>
        <w:rPr>
          <w:rFonts w:hint="eastAsia"/>
          <w:b/>
          <w:bCs/>
        </w:rPr>
        <w:t xml:space="preserve">表 </w:t>
      </w:r>
      <w:r>
        <w:rPr>
          <w:rFonts w:hint="eastAsia"/>
          <w:b/>
          <w:bCs/>
          <w:lang w:val="en-US" w:eastAsia="zh-CN"/>
        </w:rPr>
        <w:t>3-4</w:t>
      </w:r>
      <w:r>
        <w:rPr>
          <w:b/>
          <w:bCs/>
        </w:rPr>
        <w:tab/>
      </w:r>
      <w:r>
        <w:rPr>
          <w:rFonts w:hint="eastAsia"/>
          <w:b/>
          <w:bCs/>
        </w:rPr>
        <w:t>企业主要危险物质的储存情况表</w:t>
      </w:r>
    </w:p>
    <w:tbl>
      <w:tblPr>
        <w:tblStyle w:val="14"/>
        <w:tblW w:w="80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0"/>
        <w:gridCol w:w="1422"/>
        <w:gridCol w:w="1276"/>
        <w:gridCol w:w="1276"/>
        <w:gridCol w:w="1682"/>
        <w:gridCol w:w="15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860"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rPr>
            </w:pPr>
            <w:r>
              <w:rPr>
                <w:rFonts w:hint="eastAsia"/>
              </w:rPr>
              <w:t>序号</w:t>
            </w:r>
          </w:p>
        </w:tc>
        <w:tc>
          <w:tcPr>
            <w:tcW w:w="1422"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rPr>
            </w:pPr>
            <w:r>
              <w:rPr>
                <w:rFonts w:hint="eastAsia"/>
              </w:rPr>
              <w:t>物质名称</w:t>
            </w:r>
          </w:p>
        </w:tc>
        <w:tc>
          <w:tcPr>
            <w:tcW w:w="1276"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rPr>
                <w:rFonts w:hint="eastAsia"/>
              </w:rPr>
              <w:t>存储量</w:t>
            </w:r>
            <w:r>
              <w:t>(t)</w:t>
            </w:r>
          </w:p>
        </w:tc>
        <w:tc>
          <w:tcPr>
            <w:tcW w:w="1276"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rPr>
                <w:rFonts w:hint="eastAsia"/>
              </w:rPr>
              <w:t>临界量</w:t>
            </w:r>
            <w:r>
              <w:t>(t)</w:t>
            </w:r>
          </w:p>
        </w:tc>
        <w:tc>
          <w:tcPr>
            <w:tcW w:w="1682"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rPr>
            </w:pPr>
            <w:r>
              <w:t xml:space="preserve">Q </w:t>
            </w:r>
            <w:r>
              <w:rPr>
                <w:rFonts w:hint="eastAsia"/>
              </w:rPr>
              <w:t>值</w:t>
            </w:r>
          </w:p>
        </w:tc>
        <w:tc>
          <w:tcPr>
            <w:tcW w:w="1565"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rPr>
            </w:pPr>
            <w:r>
              <w:rPr>
                <w:rFonts w:hint="eastAsia"/>
              </w:rPr>
              <w:t>大气环境事件</w:t>
            </w:r>
          </w:p>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rPr>
            </w:pPr>
            <w:r>
              <w:rPr>
                <w:rFonts w:hint="eastAsia"/>
              </w:rPr>
              <w:t>风险等级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jc w:val="center"/>
        </w:trPr>
        <w:tc>
          <w:tcPr>
            <w:tcW w:w="860"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eastAsia="宋体"/>
                <w:lang w:eastAsia="zh-CN"/>
              </w:rPr>
            </w:pPr>
            <w:r>
              <w:rPr>
                <w:rFonts w:hint="eastAsia"/>
                <w:lang w:val="en-US" w:eastAsia="zh-CN"/>
              </w:rPr>
              <w:t>1</w:t>
            </w:r>
          </w:p>
        </w:tc>
        <w:tc>
          <w:tcPr>
            <w:tcW w:w="1422"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rPr>
            </w:pPr>
            <w:r>
              <w:rPr>
                <w:rFonts w:hint="eastAsia"/>
              </w:rPr>
              <w:t>氢氧化钠</w:t>
            </w:r>
          </w:p>
        </w:tc>
        <w:tc>
          <w:tcPr>
            <w:tcW w:w="1276"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eastAsia" w:eastAsia="宋体"/>
                <w:lang w:eastAsia="zh-CN"/>
              </w:rPr>
            </w:pPr>
            <w:r>
              <w:rPr>
                <w:rFonts w:hint="eastAsia"/>
                <w:lang w:val="en-US" w:eastAsia="zh-CN"/>
              </w:rPr>
              <w:t>4</w:t>
            </w:r>
          </w:p>
        </w:tc>
        <w:tc>
          <w:tcPr>
            <w:tcW w:w="1276"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t>50</w:t>
            </w:r>
          </w:p>
        </w:tc>
        <w:tc>
          <w:tcPr>
            <w:tcW w:w="1682"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t>0.06</w:t>
            </w:r>
          </w:p>
        </w:tc>
        <w:tc>
          <w:tcPr>
            <w:tcW w:w="1565" w:type="dxa"/>
            <w:vMerge w:val="restart"/>
            <w:tcBorders>
              <w:top w:val="nil"/>
            </w:tcBorders>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834" w:type="dxa"/>
            <w:gridSpan w:val="4"/>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t>Σqn/Q</w:t>
            </w:r>
          </w:p>
        </w:tc>
        <w:tc>
          <w:tcPr>
            <w:tcW w:w="1682" w:type="dxa"/>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t>0.08&lt;1</w:t>
            </w:r>
          </w:p>
        </w:tc>
        <w:tc>
          <w:tcPr>
            <w:tcW w:w="1565" w:type="dxa"/>
            <w:vMerge w:val="continue"/>
            <w:tcBorders>
              <w:top w:val="nil"/>
            </w:tcBorders>
            <w:vAlign w:val="center"/>
          </w:tcPr>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p>
        </w:tc>
      </w:tr>
    </w:tbl>
    <w:p>
      <w:pPr>
        <w:pStyle w:val="5"/>
        <w:spacing w:before="206" w:line="364" w:lineRule="auto"/>
        <w:ind w:left="840" w:right="932" w:firstLine="480"/>
        <w:jc w:val="both"/>
        <w:rPr>
          <w:rFonts w:hint="eastAsia"/>
        </w:rPr>
      </w:pPr>
      <w:r>
        <w:rPr>
          <w:rFonts w:hint="eastAsia"/>
        </w:rPr>
        <w:t xml:space="preserve">由表 </w:t>
      </w:r>
      <w:r>
        <w:rPr>
          <w:rFonts w:hint="eastAsia"/>
          <w:lang w:val="en-US" w:eastAsia="zh-CN"/>
        </w:rPr>
        <w:t>3-4</w:t>
      </w:r>
      <w:r>
        <w:t xml:space="preserve"> </w:t>
      </w:r>
      <w:r>
        <w:rPr>
          <w:rFonts w:hint="eastAsia"/>
        </w:rPr>
        <w:t xml:space="preserve">可知，本项目计算得到的总的 </w:t>
      </w:r>
      <w:r>
        <w:t>qn/Qn=0.08</w:t>
      </w:r>
      <w:r>
        <w:rPr>
          <w:rFonts w:hint="eastAsia"/>
        </w:rPr>
        <w:t xml:space="preserve">，小于 </w:t>
      </w:r>
      <w:r>
        <w:t>1</w:t>
      </w:r>
      <w:r>
        <w:rPr>
          <w:rFonts w:hint="eastAsia"/>
        </w:rPr>
        <w:t>，企业不存在重大危险源。</w:t>
      </w:r>
    </w:p>
    <w:p>
      <w:pPr>
        <w:pStyle w:val="9"/>
        <w:numPr>
          <w:ilvl w:val="2"/>
          <w:numId w:val="14"/>
        </w:numPr>
        <w:tabs>
          <w:tab w:val="left" w:pos="1380"/>
        </w:tabs>
        <w:spacing w:before="161" w:after="0" w:line="240" w:lineRule="auto"/>
        <w:ind w:left="1380" w:right="0" w:hanging="540"/>
        <w:jc w:val="both"/>
      </w:pPr>
      <w:bookmarkStart w:id="151" w:name="_bookmark34"/>
      <w:bookmarkEnd w:id="151"/>
      <w:bookmarkStart w:id="152" w:name="_bookmark34"/>
      <w:bookmarkEnd w:id="152"/>
      <w:bookmarkStart w:id="153" w:name="3.3.2生产工艺过程与环境风险控制水平（M）分析"/>
      <w:bookmarkEnd w:id="153"/>
      <w:r>
        <w:t>生产工艺过程与环境风险控制水平（</w:t>
      </w:r>
      <w:r>
        <w:rPr>
          <w:rFonts w:ascii="Times New Roman" w:eastAsia="Times New Roman"/>
        </w:rPr>
        <w:t>M</w:t>
      </w:r>
      <w:r>
        <w:t>）分析</w:t>
      </w:r>
    </w:p>
    <w:p>
      <w:pPr>
        <w:pStyle w:val="5"/>
        <w:spacing w:before="206" w:line="364" w:lineRule="auto"/>
        <w:ind w:left="840" w:right="932" w:firstLine="480"/>
        <w:jc w:val="both"/>
      </w:pPr>
      <w:r>
        <w:t>根据《企业突发环境事件风险评估指南（试行）》，采用评分法对企业生产工艺、安全生产控制、环境风险防控措施、环评及批复落实情况、废水排放去向等指标进行评估汇总，确定企业生产过程与环境风险防控水平（M）；M 值分级标准见表 3-</w:t>
      </w:r>
      <w:r>
        <w:rPr>
          <w:rFonts w:hint="eastAsia"/>
          <w:lang w:val="en-US" w:eastAsia="zh-CN"/>
        </w:rPr>
        <w:t>5</w:t>
      </w:r>
      <w:r>
        <w:t xml:space="preserve"> 所示：</w:t>
      </w:r>
    </w:p>
    <w:p>
      <w:pPr>
        <w:pStyle w:val="5"/>
        <w:spacing w:line="307" w:lineRule="exact"/>
        <w:ind w:left="1320"/>
        <w:jc w:val="both"/>
      </w:pPr>
      <w:r>
        <w:t>本公司生产工艺过程与环境风险控制水平分析及评估见表 3-</w:t>
      </w:r>
      <w:r>
        <w:rPr>
          <w:rFonts w:hint="eastAsia"/>
          <w:lang w:val="en-US" w:eastAsia="zh-CN"/>
        </w:rPr>
        <w:t>6</w:t>
      </w:r>
      <w:r>
        <w:t xml:space="preserve"> 所示：</w:t>
      </w:r>
    </w:p>
    <w:p>
      <w:pPr>
        <w:pStyle w:val="9"/>
        <w:spacing w:before="4" w:after="2"/>
        <w:ind w:left="3177" w:firstLine="0"/>
        <w:jc w:val="both"/>
      </w:pPr>
      <w:bookmarkStart w:id="154" w:name="表3-4  企业生产工艺过程与环境风险控制水平"/>
      <w:bookmarkEnd w:id="154"/>
      <w:r>
        <w:t xml:space="preserve">表 </w:t>
      </w:r>
      <w:r>
        <w:rPr>
          <w:rFonts w:ascii="Times New Roman" w:eastAsia="Times New Roman"/>
        </w:rPr>
        <w:t>3-</w:t>
      </w:r>
      <w:r>
        <w:rPr>
          <w:rFonts w:hint="eastAsia" w:ascii="Times New Roman" w:eastAsia="宋体"/>
          <w:lang w:val="en-US" w:eastAsia="zh-CN"/>
        </w:rPr>
        <w:t>5</w:t>
      </w:r>
      <w:r>
        <w:rPr>
          <w:rFonts w:ascii="Times New Roman" w:eastAsia="Times New Roman"/>
        </w:rPr>
        <w:t xml:space="preserve"> </w:t>
      </w:r>
      <w:r>
        <w:t>企业生产工艺过程与环境风险控制水平</w:t>
      </w:r>
    </w:p>
    <w:tbl>
      <w:tblPr>
        <w:tblStyle w:val="14"/>
        <w:tblW w:w="9351" w:type="dxa"/>
        <w:tblInd w:w="7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92"/>
        <w:gridCol w:w="46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4692" w:type="dxa"/>
          </w:tcPr>
          <w:p>
            <w:pPr>
              <w:pStyle w:val="31"/>
              <w:spacing w:before="47"/>
              <w:ind w:left="592" w:right="585"/>
              <w:rPr>
                <w:sz w:val="21"/>
              </w:rPr>
            </w:pPr>
            <w:r>
              <w:rPr>
                <w:sz w:val="21"/>
              </w:rPr>
              <w:t>工艺过程与环境风险控制水平值（M）</w:t>
            </w:r>
          </w:p>
        </w:tc>
        <w:tc>
          <w:tcPr>
            <w:tcW w:w="4659" w:type="dxa"/>
          </w:tcPr>
          <w:p>
            <w:pPr>
              <w:pStyle w:val="31"/>
              <w:spacing w:before="47"/>
              <w:ind w:left="944" w:right="935"/>
              <w:rPr>
                <w:sz w:val="21"/>
              </w:rPr>
            </w:pPr>
            <w:r>
              <w:rPr>
                <w:sz w:val="21"/>
              </w:rPr>
              <w:t>工艺过程与环境风险控制水平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4692" w:type="dxa"/>
          </w:tcPr>
          <w:p>
            <w:pPr>
              <w:pStyle w:val="31"/>
              <w:spacing w:before="47"/>
              <w:ind w:left="592" w:right="584"/>
              <w:rPr>
                <w:sz w:val="21"/>
              </w:rPr>
            </w:pPr>
            <w:r>
              <w:rPr>
                <w:sz w:val="21"/>
              </w:rPr>
              <w:t>M≤25</w:t>
            </w:r>
          </w:p>
        </w:tc>
        <w:tc>
          <w:tcPr>
            <w:tcW w:w="4659" w:type="dxa"/>
          </w:tcPr>
          <w:p>
            <w:pPr>
              <w:pStyle w:val="31"/>
              <w:spacing w:before="47"/>
              <w:ind w:left="944" w:right="935"/>
              <w:rPr>
                <w:sz w:val="21"/>
              </w:rPr>
            </w:pPr>
            <w:r>
              <w:rPr>
                <w:sz w:val="21"/>
              </w:rPr>
              <w:t>M1 类水平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4692" w:type="dxa"/>
          </w:tcPr>
          <w:p>
            <w:pPr>
              <w:pStyle w:val="31"/>
              <w:spacing w:before="47"/>
              <w:ind w:left="592" w:right="584"/>
              <w:rPr>
                <w:sz w:val="21"/>
              </w:rPr>
            </w:pPr>
            <w:r>
              <w:rPr>
                <w:sz w:val="21"/>
              </w:rPr>
              <w:t>25＜M≤45</w:t>
            </w:r>
          </w:p>
        </w:tc>
        <w:tc>
          <w:tcPr>
            <w:tcW w:w="4659" w:type="dxa"/>
          </w:tcPr>
          <w:p>
            <w:pPr>
              <w:pStyle w:val="31"/>
              <w:spacing w:before="47"/>
              <w:ind w:left="944" w:right="935"/>
              <w:rPr>
                <w:sz w:val="21"/>
              </w:rPr>
            </w:pPr>
            <w:r>
              <w:rPr>
                <w:sz w:val="21"/>
              </w:rPr>
              <w:t>M2 类水平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4692" w:type="dxa"/>
          </w:tcPr>
          <w:p>
            <w:pPr>
              <w:pStyle w:val="31"/>
              <w:spacing w:before="47"/>
              <w:ind w:left="592" w:right="584"/>
              <w:rPr>
                <w:sz w:val="21"/>
              </w:rPr>
            </w:pPr>
            <w:r>
              <w:rPr>
                <w:sz w:val="21"/>
              </w:rPr>
              <w:t>45＜M≤60</w:t>
            </w:r>
          </w:p>
        </w:tc>
        <w:tc>
          <w:tcPr>
            <w:tcW w:w="4659" w:type="dxa"/>
          </w:tcPr>
          <w:p>
            <w:pPr>
              <w:pStyle w:val="31"/>
              <w:spacing w:before="47"/>
              <w:ind w:left="944" w:right="935"/>
              <w:rPr>
                <w:sz w:val="21"/>
              </w:rPr>
            </w:pPr>
            <w:r>
              <w:rPr>
                <w:sz w:val="21"/>
              </w:rPr>
              <w:t>M3 类水平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4692" w:type="dxa"/>
          </w:tcPr>
          <w:p>
            <w:pPr>
              <w:pStyle w:val="31"/>
              <w:spacing w:before="48"/>
              <w:ind w:left="592" w:right="584"/>
              <w:rPr>
                <w:sz w:val="21"/>
              </w:rPr>
            </w:pPr>
            <w:r>
              <w:rPr>
                <w:sz w:val="21"/>
              </w:rPr>
              <w:t>M＞60</w:t>
            </w:r>
          </w:p>
        </w:tc>
        <w:tc>
          <w:tcPr>
            <w:tcW w:w="4659" w:type="dxa"/>
          </w:tcPr>
          <w:p>
            <w:pPr>
              <w:pStyle w:val="31"/>
              <w:spacing w:before="48"/>
              <w:ind w:left="944" w:right="935"/>
              <w:rPr>
                <w:sz w:val="21"/>
              </w:rPr>
            </w:pPr>
            <w:r>
              <w:rPr>
                <w:sz w:val="21"/>
              </w:rPr>
              <w:t>M4 类水平</w:t>
            </w:r>
          </w:p>
        </w:tc>
      </w:tr>
    </w:tbl>
    <w:p>
      <w:pPr>
        <w:pStyle w:val="5"/>
        <w:spacing w:before="1" w:line="362" w:lineRule="auto"/>
        <w:ind w:left="840" w:right="932" w:firstLine="480"/>
        <w:jc w:val="both"/>
      </w:pPr>
      <w:r>
        <w:rPr>
          <w:spacing w:val="-15"/>
        </w:rPr>
        <w:t xml:space="preserve">根据表 </w:t>
      </w:r>
      <w:r>
        <w:t>3-4</w:t>
      </w:r>
      <w:r>
        <w:rPr>
          <w:spacing w:val="-30"/>
        </w:rPr>
        <w:t xml:space="preserve"> 和表 </w:t>
      </w:r>
      <w:r>
        <w:t>3-5</w:t>
      </w:r>
      <w:r>
        <w:rPr>
          <w:spacing w:val="-14"/>
        </w:rPr>
        <w:t xml:space="preserve"> 可知：企业生产工艺过程和环境风险控制水平得分为</w:t>
      </w:r>
      <w:r>
        <w:rPr>
          <w:color w:val="FF0000"/>
          <w:spacing w:val="-14"/>
        </w:rPr>
        <w:t xml:space="preserve"> </w:t>
      </w:r>
      <w:r>
        <w:rPr>
          <w:rFonts w:hint="eastAsia"/>
          <w:color w:val="FF0000"/>
          <w:lang w:val="en-US" w:eastAsia="zh-CN"/>
        </w:rPr>
        <w:t>24</w:t>
      </w:r>
      <w:r>
        <w:rPr>
          <w:spacing w:val="-33"/>
        </w:rPr>
        <w:t xml:space="preserve"> 分，为</w:t>
      </w:r>
      <w:r>
        <w:t>M1。</w:t>
      </w:r>
    </w:p>
    <w:p>
      <w:pPr>
        <w:spacing w:after="0" w:line="362" w:lineRule="auto"/>
        <w:jc w:val="both"/>
        <w:sectPr>
          <w:footerReference r:id="rId8" w:type="default"/>
          <w:pgSz w:w="11910" w:h="16840"/>
          <w:pgMar w:top="1140" w:right="400" w:bottom="920" w:left="600" w:header="905" w:footer="720" w:gutter="0"/>
          <w:pgBorders>
            <w:top w:val="none" w:sz="0" w:space="0"/>
            <w:left w:val="none" w:sz="0" w:space="0"/>
            <w:bottom w:val="none" w:sz="0" w:space="0"/>
            <w:right w:val="none" w:sz="0" w:space="0"/>
          </w:pgBorders>
          <w:cols w:space="720" w:num="1"/>
        </w:sectPr>
      </w:pPr>
    </w:p>
    <w:p>
      <w:pPr>
        <w:pStyle w:val="5"/>
        <w:spacing w:before="11"/>
        <w:rPr>
          <w:sz w:val="18"/>
        </w:rPr>
      </w:pPr>
    </w:p>
    <w:p>
      <w:pPr>
        <w:pStyle w:val="9"/>
        <w:tabs>
          <w:tab w:val="left" w:pos="921"/>
        </w:tabs>
        <w:spacing w:before="66" w:after="3"/>
        <w:ind w:left="18" w:firstLine="0"/>
        <w:jc w:val="center"/>
      </w:pPr>
      <w:r>
        <w:t>表</w:t>
      </w:r>
      <w:r>
        <w:rPr>
          <w:spacing w:val="-62"/>
        </w:rPr>
        <w:t xml:space="preserve"> </w:t>
      </w:r>
      <w:r>
        <w:t>3-</w:t>
      </w:r>
      <w:r>
        <w:rPr>
          <w:rFonts w:hint="eastAsia"/>
          <w:lang w:val="en-US" w:eastAsia="zh-CN"/>
        </w:rPr>
        <w:t>6</w:t>
      </w:r>
      <w:r>
        <w:tab/>
      </w:r>
      <w:r>
        <w:t>企业生产工艺过程及环境风险控制水平（M）评估</w:t>
      </w:r>
    </w:p>
    <w:tbl>
      <w:tblPr>
        <w:tblStyle w:val="14"/>
        <w:tblW w:w="14355"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1"/>
        <w:gridCol w:w="1681"/>
        <w:gridCol w:w="5461"/>
        <w:gridCol w:w="759"/>
        <w:gridCol w:w="3871"/>
        <w:gridCol w:w="9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tcPr>
          <w:p>
            <w:pPr>
              <w:pStyle w:val="31"/>
              <w:spacing w:before="61"/>
              <w:ind w:left="102" w:right="94"/>
              <w:rPr>
                <w:sz w:val="21"/>
              </w:rPr>
            </w:pPr>
            <w:r>
              <w:rPr>
                <w:sz w:val="21"/>
              </w:rPr>
              <w:t>评估</w:t>
            </w:r>
          </w:p>
          <w:p>
            <w:pPr>
              <w:pStyle w:val="31"/>
              <w:spacing w:before="61"/>
              <w:ind w:left="102" w:right="94"/>
              <w:rPr>
                <w:sz w:val="21"/>
              </w:rPr>
            </w:pPr>
            <w:r>
              <w:rPr>
                <w:sz w:val="21"/>
              </w:rPr>
              <w:t>指标</w:t>
            </w:r>
          </w:p>
        </w:tc>
        <w:tc>
          <w:tcPr>
            <w:tcW w:w="7142" w:type="dxa"/>
            <w:gridSpan w:val="2"/>
          </w:tcPr>
          <w:p>
            <w:pPr>
              <w:pStyle w:val="31"/>
              <w:spacing w:before="61"/>
              <w:ind w:left="102" w:right="94"/>
              <w:rPr>
                <w:sz w:val="21"/>
              </w:rPr>
            </w:pPr>
            <w:r>
              <w:rPr>
                <w:sz w:val="21"/>
              </w:rPr>
              <w:t>评估依据</w:t>
            </w:r>
          </w:p>
        </w:tc>
        <w:tc>
          <w:tcPr>
            <w:tcW w:w="759" w:type="dxa"/>
          </w:tcPr>
          <w:p>
            <w:pPr>
              <w:pStyle w:val="31"/>
              <w:spacing w:before="61"/>
              <w:ind w:left="102" w:right="94"/>
              <w:rPr>
                <w:sz w:val="21"/>
              </w:rPr>
            </w:pPr>
            <w:r>
              <w:rPr>
                <w:sz w:val="21"/>
              </w:rPr>
              <w:t>分值</w:t>
            </w:r>
          </w:p>
        </w:tc>
        <w:tc>
          <w:tcPr>
            <w:tcW w:w="3871" w:type="dxa"/>
          </w:tcPr>
          <w:p>
            <w:pPr>
              <w:pStyle w:val="31"/>
              <w:spacing w:before="61"/>
              <w:ind w:left="102" w:right="94"/>
              <w:rPr>
                <w:sz w:val="21"/>
              </w:rPr>
            </w:pPr>
            <w:r>
              <w:rPr>
                <w:sz w:val="21"/>
              </w:rPr>
              <w:t>企业实际情况</w:t>
            </w:r>
          </w:p>
        </w:tc>
        <w:tc>
          <w:tcPr>
            <w:tcW w:w="962" w:type="dxa"/>
          </w:tcPr>
          <w:p>
            <w:pPr>
              <w:pStyle w:val="31"/>
              <w:spacing w:before="61"/>
              <w:ind w:left="102" w:right="94"/>
              <w:rPr>
                <w:sz w:val="21"/>
              </w:rPr>
            </w:pPr>
            <w:r>
              <w:rPr>
                <w:sz w:val="21"/>
              </w:rPr>
              <w:t>企业</w:t>
            </w:r>
          </w:p>
          <w:p>
            <w:pPr>
              <w:pStyle w:val="31"/>
              <w:spacing w:before="61"/>
              <w:ind w:left="102" w:right="94"/>
              <w:rPr>
                <w:sz w:val="21"/>
              </w:rPr>
            </w:pPr>
            <w:r>
              <w:rPr>
                <w:sz w:val="21"/>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1621" w:type="dxa"/>
            <w:vMerge w:val="restart"/>
          </w:tcPr>
          <w:p>
            <w:pPr>
              <w:pStyle w:val="31"/>
              <w:spacing w:before="61"/>
              <w:ind w:left="102" w:right="94"/>
              <w:rPr>
                <w:sz w:val="21"/>
              </w:rPr>
            </w:pPr>
          </w:p>
          <w:p>
            <w:pPr>
              <w:pStyle w:val="31"/>
              <w:spacing w:before="61"/>
              <w:ind w:left="102" w:right="94"/>
              <w:rPr>
                <w:sz w:val="21"/>
              </w:rPr>
            </w:pPr>
          </w:p>
          <w:p>
            <w:pPr>
              <w:pStyle w:val="31"/>
              <w:spacing w:before="61"/>
              <w:ind w:left="102" w:right="94"/>
              <w:rPr>
                <w:sz w:val="21"/>
              </w:rPr>
            </w:pPr>
          </w:p>
          <w:p>
            <w:pPr>
              <w:pStyle w:val="31"/>
              <w:spacing w:before="61"/>
              <w:ind w:left="102" w:right="94"/>
              <w:rPr>
                <w:sz w:val="21"/>
              </w:rPr>
            </w:pPr>
            <w:r>
              <w:rPr>
                <w:sz w:val="21"/>
              </w:rPr>
              <w:t>生产工艺过程</w:t>
            </w:r>
          </w:p>
        </w:tc>
        <w:tc>
          <w:tcPr>
            <w:tcW w:w="7142" w:type="dxa"/>
            <w:gridSpan w:val="2"/>
          </w:tcPr>
          <w:p>
            <w:pPr>
              <w:pStyle w:val="31"/>
              <w:spacing w:before="61"/>
              <w:ind w:left="102" w:right="94"/>
              <w:rPr>
                <w:sz w:val="21"/>
              </w:rPr>
            </w:pPr>
            <w:r>
              <w:rPr>
                <w:sz w:val="21"/>
              </w:rPr>
              <w:t>涉及光气及光气化工艺、电解工艺（氯碱）、氯化工艺、硝化工艺、合成氨  工艺、裂解（裂化）工艺、氟化工艺、加氢工艺、重氮化工艺、氧化工艺、</w:t>
            </w:r>
          </w:p>
          <w:p>
            <w:pPr>
              <w:pStyle w:val="31"/>
              <w:spacing w:before="61"/>
              <w:ind w:left="102" w:right="94"/>
              <w:rPr>
                <w:sz w:val="21"/>
              </w:rPr>
            </w:pPr>
            <w:r>
              <w:rPr>
                <w:sz w:val="21"/>
              </w:rPr>
              <w:t>过氧化工艺、胺基化工艺、磺化工艺、聚合工艺、烷基化工艺</w:t>
            </w:r>
          </w:p>
        </w:tc>
        <w:tc>
          <w:tcPr>
            <w:tcW w:w="759" w:type="dxa"/>
          </w:tcPr>
          <w:p>
            <w:pPr>
              <w:pStyle w:val="31"/>
              <w:spacing w:before="61"/>
              <w:ind w:left="102" w:right="94"/>
              <w:rPr>
                <w:sz w:val="21"/>
              </w:rPr>
            </w:pPr>
          </w:p>
          <w:p>
            <w:pPr>
              <w:pStyle w:val="31"/>
              <w:spacing w:before="61"/>
              <w:ind w:left="102" w:right="94"/>
              <w:rPr>
                <w:sz w:val="21"/>
              </w:rPr>
            </w:pPr>
            <w:r>
              <w:rPr>
                <w:sz w:val="21"/>
              </w:rPr>
              <w:t>10/套</w:t>
            </w:r>
          </w:p>
        </w:tc>
        <w:tc>
          <w:tcPr>
            <w:tcW w:w="3871" w:type="dxa"/>
            <w:vMerge w:val="restart"/>
          </w:tcPr>
          <w:p>
            <w:pPr>
              <w:pStyle w:val="31"/>
              <w:spacing w:before="61"/>
              <w:ind w:left="102" w:right="94"/>
              <w:rPr>
                <w:sz w:val="21"/>
              </w:rPr>
            </w:pPr>
          </w:p>
          <w:p>
            <w:pPr>
              <w:pStyle w:val="31"/>
              <w:spacing w:before="61"/>
              <w:ind w:left="102" w:right="94"/>
              <w:rPr>
                <w:sz w:val="21"/>
              </w:rPr>
            </w:pPr>
            <w:r>
              <w:rPr>
                <w:sz w:val="21"/>
              </w:rPr>
              <w:t>生产工艺中不涉及左侧表中危险工艺过程或国家规定的禁用工艺/设备</w:t>
            </w:r>
          </w:p>
        </w:tc>
        <w:tc>
          <w:tcPr>
            <w:tcW w:w="962" w:type="dxa"/>
            <w:vMerge w:val="restart"/>
          </w:tcPr>
          <w:p>
            <w:pPr>
              <w:pStyle w:val="31"/>
              <w:spacing w:before="61"/>
              <w:ind w:left="102" w:right="94"/>
              <w:rPr>
                <w:sz w:val="21"/>
              </w:rPr>
            </w:pPr>
          </w:p>
          <w:p>
            <w:pPr>
              <w:pStyle w:val="31"/>
              <w:spacing w:before="61"/>
              <w:ind w:left="102" w:right="94"/>
              <w:rPr>
                <w:sz w:val="21"/>
              </w:rPr>
            </w:pPr>
          </w:p>
          <w:p>
            <w:pPr>
              <w:pStyle w:val="31"/>
              <w:spacing w:before="61"/>
              <w:ind w:left="102" w:right="94"/>
              <w:rPr>
                <w:sz w:val="21"/>
              </w:rPr>
            </w:pPr>
          </w:p>
          <w:p>
            <w:pPr>
              <w:pStyle w:val="31"/>
              <w:spacing w:before="61"/>
              <w:ind w:left="102" w:right="94"/>
              <w:rPr>
                <w:sz w:val="21"/>
              </w:rPr>
            </w:pPr>
            <w:r>
              <w:rPr>
                <w:sz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7142" w:type="dxa"/>
            <w:gridSpan w:val="2"/>
          </w:tcPr>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其他高温或高压、涉及易燃易爆等物质的工艺过程</w:t>
            </w:r>
          </w:p>
        </w:tc>
        <w:tc>
          <w:tcPr>
            <w:tcW w:w="759" w:type="dxa"/>
          </w:tcPr>
          <w:p>
            <w:pPr>
              <w:pStyle w:val="31"/>
              <w:spacing w:before="61"/>
              <w:ind w:left="96" w:right="88"/>
              <w:rPr>
                <w:rFonts w:ascii="宋体" w:hAnsi="宋体" w:eastAsia="宋体" w:cs="宋体"/>
                <w:sz w:val="21"/>
                <w:szCs w:val="22"/>
                <w:lang w:val="zh-CN" w:eastAsia="zh-CN" w:bidi="zh-CN"/>
              </w:rPr>
            </w:pPr>
            <w:r>
              <w:rPr>
                <w:rFonts w:ascii="宋体" w:hAnsi="宋体" w:eastAsia="宋体" w:cs="宋体"/>
                <w:sz w:val="21"/>
                <w:szCs w:val="22"/>
                <w:lang w:val="zh-CN" w:eastAsia="zh-CN" w:bidi="zh-CN"/>
              </w:rPr>
              <w:t>5/套</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7142" w:type="dxa"/>
            <w:gridSpan w:val="2"/>
          </w:tcPr>
          <w:p>
            <w:pPr>
              <w:pStyle w:val="31"/>
              <w:spacing w:before="62"/>
              <w:ind w:left="1681"/>
              <w:jc w:val="left"/>
              <w:rPr>
                <w:rFonts w:ascii="宋体" w:hAnsi="宋体" w:eastAsia="宋体" w:cs="宋体"/>
                <w:sz w:val="21"/>
                <w:szCs w:val="22"/>
                <w:lang w:val="zh-CN" w:eastAsia="zh-CN" w:bidi="zh-CN"/>
              </w:rPr>
            </w:pPr>
            <w:r>
              <w:rPr>
                <w:rFonts w:ascii="宋体" w:hAnsi="宋体" w:eastAsia="宋体" w:cs="宋体"/>
                <w:sz w:val="21"/>
                <w:szCs w:val="22"/>
                <w:lang w:val="zh-CN" w:eastAsia="zh-CN" w:bidi="zh-CN"/>
              </w:rPr>
              <w:t>具有国家规定禁止采用的工艺名录和设备</w:t>
            </w:r>
          </w:p>
        </w:tc>
        <w:tc>
          <w:tcPr>
            <w:tcW w:w="759" w:type="dxa"/>
          </w:tcPr>
          <w:p>
            <w:pPr>
              <w:pStyle w:val="31"/>
              <w:spacing w:before="62"/>
              <w:ind w:left="96" w:right="88"/>
              <w:rPr>
                <w:rFonts w:ascii="宋体" w:hAnsi="宋体" w:eastAsia="宋体" w:cs="宋体"/>
                <w:sz w:val="21"/>
                <w:szCs w:val="22"/>
                <w:lang w:val="zh-CN" w:eastAsia="zh-CN" w:bidi="zh-CN"/>
              </w:rPr>
            </w:pPr>
            <w:r>
              <w:rPr>
                <w:rFonts w:ascii="宋体" w:hAnsi="宋体" w:eastAsia="宋体" w:cs="宋体"/>
                <w:sz w:val="21"/>
                <w:szCs w:val="22"/>
                <w:lang w:val="zh-CN" w:eastAsia="zh-CN" w:bidi="zh-CN"/>
              </w:rPr>
              <w:t>5/套</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7142" w:type="dxa"/>
            <w:gridSpan w:val="2"/>
          </w:tcPr>
          <w:p>
            <w:pPr>
              <w:pStyle w:val="31"/>
              <w:spacing w:before="63"/>
              <w:ind w:left="100"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不涉及以上危险工艺过程或国家规定的禁用工艺/设备</w:t>
            </w:r>
          </w:p>
        </w:tc>
        <w:tc>
          <w:tcPr>
            <w:tcW w:w="759" w:type="dxa"/>
          </w:tcPr>
          <w:p>
            <w:pPr>
              <w:pStyle w:val="31"/>
              <w:spacing w:before="63"/>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vMerge w:val="restart"/>
          </w:tcPr>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安全生产管理情况</w:t>
            </w:r>
          </w:p>
        </w:tc>
        <w:tc>
          <w:tcPr>
            <w:tcW w:w="1681" w:type="dxa"/>
            <w:vMerge w:val="restart"/>
          </w:tcPr>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消防验收</w:t>
            </w:r>
          </w:p>
        </w:tc>
        <w:tc>
          <w:tcPr>
            <w:tcW w:w="5461" w:type="dxa"/>
          </w:tcPr>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消防验收为合格，</w:t>
            </w:r>
          </w:p>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且最近一次消防检查合格</w:t>
            </w:r>
          </w:p>
        </w:tc>
        <w:tc>
          <w:tcPr>
            <w:tcW w:w="759" w:type="dxa"/>
          </w:tcPr>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c>
          <w:tcPr>
            <w:tcW w:w="3871" w:type="dxa"/>
            <w:vMerge w:val="restart"/>
          </w:tcPr>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已经完成消防验收，且最近一次消防检查合格</w:t>
            </w:r>
          </w:p>
        </w:tc>
        <w:tc>
          <w:tcPr>
            <w:tcW w:w="962" w:type="dxa"/>
            <w:vMerge w:val="restart"/>
          </w:tcPr>
          <w:p>
            <w:pPr>
              <w:pStyle w:val="31"/>
              <w:spacing w:before="61"/>
              <w:ind w:left="102" w:right="94"/>
              <w:rPr>
                <w:rFonts w:ascii="宋体" w:hAnsi="宋体" w:eastAsia="宋体" w:cs="宋体"/>
                <w:sz w:val="21"/>
                <w:szCs w:val="22"/>
                <w:lang w:val="zh-CN" w:eastAsia="zh-CN" w:bidi="zh-CN"/>
              </w:rPr>
            </w:pPr>
          </w:p>
          <w:p>
            <w:pPr>
              <w:pStyle w:val="31"/>
              <w:spacing w:before="61"/>
              <w:ind w:left="102" w:right="94"/>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1681" w:type="dxa"/>
            <w:vMerge w:val="continue"/>
            <w:tcBorders>
              <w:top w:val="nil"/>
            </w:tcBorders>
          </w:tcPr>
          <w:p>
            <w:pPr>
              <w:rPr>
                <w:rFonts w:ascii="宋体" w:hAnsi="宋体" w:eastAsia="宋体" w:cs="宋体"/>
                <w:sz w:val="21"/>
                <w:szCs w:val="22"/>
                <w:lang w:val="zh-CN" w:eastAsia="zh-CN" w:bidi="zh-CN"/>
              </w:rPr>
            </w:pPr>
          </w:p>
        </w:tc>
        <w:tc>
          <w:tcPr>
            <w:tcW w:w="5461" w:type="dxa"/>
          </w:tcPr>
          <w:p>
            <w:pPr>
              <w:pStyle w:val="31"/>
              <w:spacing w:before="1"/>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消防验收为不合格，</w:t>
            </w:r>
          </w:p>
          <w:p>
            <w:pPr>
              <w:pStyle w:val="31"/>
              <w:spacing w:before="2" w:line="252" w:lineRule="exact"/>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或最近一次消防检查不合格</w:t>
            </w:r>
          </w:p>
        </w:tc>
        <w:tc>
          <w:tcPr>
            <w:tcW w:w="759" w:type="dxa"/>
          </w:tcPr>
          <w:p>
            <w:pPr>
              <w:pStyle w:val="31"/>
              <w:spacing w:before="135"/>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2</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1681" w:type="dxa"/>
            <w:vMerge w:val="restart"/>
          </w:tcPr>
          <w:p>
            <w:pPr>
              <w:pStyle w:val="31"/>
              <w:spacing w:before="8"/>
              <w:jc w:val="left"/>
              <w:rPr>
                <w:rFonts w:ascii="宋体" w:hAnsi="宋体" w:eastAsia="宋体" w:cs="宋体"/>
                <w:sz w:val="21"/>
                <w:szCs w:val="22"/>
                <w:lang w:val="zh-CN" w:eastAsia="zh-CN" w:bidi="zh-CN"/>
              </w:rPr>
            </w:pPr>
          </w:p>
          <w:p>
            <w:pPr>
              <w:pStyle w:val="31"/>
              <w:spacing w:line="244" w:lineRule="auto"/>
              <w:ind w:left="630" w:right="412" w:hanging="212"/>
              <w:jc w:val="left"/>
              <w:rPr>
                <w:rFonts w:ascii="宋体" w:hAnsi="宋体" w:eastAsia="宋体" w:cs="宋体"/>
                <w:sz w:val="21"/>
                <w:szCs w:val="22"/>
                <w:lang w:val="zh-CN" w:eastAsia="zh-CN" w:bidi="zh-CN"/>
              </w:rPr>
            </w:pPr>
            <w:r>
              <w:rPr>
                <w:rFonts w:ascii="宋体" w:hAnsi="宋体" w:eastAsia="宋体" w:cs="宋体"/>
                <w:sz w:val="21"/>
                <w:szCs w:val="22"/>
                <w:lang w:val="zh-CN" w:eastAsia="zh-CN" w:bidi="zh-CN"/>
              </w:rPr>
              <w:t>安全生产许可</w:t>
            </w:r>
          </w:p>
        </w:tc>
        <w:tc>
          <w:tcPr>
            <w:tcW w:w="5461" w:type="dxa"/>
          </w:tcPr>
          <w:p>
            <w:pPr>
              <w:pStyle w:val="31"/>
              <w:spacing w:before="1"/>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非危险化学品生产企业，或危险化学品生产企业取得安全</w:t>
            </w:r>
          </w:p>
          <w:p>
            <w:pPr>
              <w:pStyle w:val="31"/>
              <w:spacing w:before="2" w:line="252" w:lineRule="exact"/>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生产许可</w:t>
            </w:r>
          </w:p>
        </w:tc>
        <w:tc>
          <w:tcPr>
            <w:tcW w:w="759" w:type="dxa"/>
          </w:tcPr>
          <w:p>
            <w:pPr>
              <w:pStyle w:val="31"/>
              <w:spacing w:before="135"/>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c>
          <w:tcPr>
            <w:tcW w:w="3871" w:type="dxa"/>
            <w:vMerge w:val="restart"/>
          </w:tcPr>
          <w:p>
            <w:pPr>
              <w:pStyle w:val="31"/>
              <w:jc w:val="left"/>
              <w:rPr>
                <w:rFonts w:ascii="宋体" w:hAnsi="宋体" w:eastAsia="宋体" w:cs="宋体"/>
                <w:sz w:val="21"/>
                <w:szCs w:val="22"/>
                <w:lang w:val="zh-CN" w:eastAsia="zh-CN" w:bidi="zh-CN"/>
              </w:rPr>
            </w:pPr>
          </w:p>
          <w:p>
            <w:pPr>
              <w:pStyle w:val="31"/>
              <w:spacing w:before="158"/>
              <w:ind w:left="884"/>
              <w:jc w:val="left"/>
              <w:rPr>
                <w:rFonts w:ascii="宋体" w:hAnsi="宋体" w:eastAsia="宋体" w:cs="宋体"/>
                <w:sz w:val="21"/>
                <w:szCs w:val="22"/>
                <w:lang w:val="zh-CN" w:eastAsia="zh-CN" w:bidi="zh-CN"/>
              </w:rPr>
            </w:pPr>
            <w:r>
              <w:rPr>
                <w:rFonts w:ascii="宋体" w:hAnsi="宋体" w:eastAsia="宋体" w:cs="宋体"/>
                <w:sz w:val="21"/>
                <w:szCs w:val="22"/>
                <w:lang w:val="zh-CN" w:eastAsia="zh-CN" w:bidi="zh-CN"/>
              </w:rPr>
              <w:t>非危险化学品生产企业</w:t>
            </w:r>
          </w:p>
        </w:tc>
        <w:tc>
          <w:tcPr>
            <w:tcW w:w="962" w:type="dxa"/>
            <w:vMerge w:val="restart"/>
          </w:tcPr>
          <w:p>
            <w:pPr>
              <w:pStyle w:val="31"/>
              <w:jc w:val="left"/>
              <w:rPr>
                <w:rFonts w:ascii="宋体" w:hAnsi="宋体" w:eastAsia="宋体" w:cs="宋体"/>
                <w:sz w:val="21"/>
                <w:szCs w:val="22"/>
                <w:lang w:val="zh-CN" w:eastAsia="zh-CN" w:bidi="zh-CN"/>
              </w:rPr>
            </w:pPr>
          </w:p>
          <w:p>
            <w:pPr>
              <w:pStyle w:val="31"/>
              <w:spacing w:before="158"/>
              <w:ind w:left="9"/>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1681" w:type="dxa"/>
            <w:vMerge w:val="continue"/>
            <w:tcBorders>
              <w:top w:val="nil"/>
            </w:tcBorders>
          </w:tcPr>
          <w:p>
            <w:pPr>
              <w:rPr>
                <w:rFonts w:ascii="宋体" w:hAnsi="宋体" w:eastAsia="宋体" w:cs="宋体"/>
                <w:sz w:val="21"/>
                <w:szCs w:val="22"/>
                <w:lang w:val="zh-CN" w:eastAsia="zh-CN" w:bidi="zh-CN"/>
              </w:rPr>
            </w:pPr>
          </w:p>
        </w:tc>
        <w:tc>
          <w:tcPr>
            <w:tcW w:w="5461" w:type="dxa"/>
          </w:tcPr>
          <w:p>
            <w:pPr>
              <w:pStyle w:val="31"/>
              <w:ind w:left="1783"/>
              <w:jc w:val="left"/>
              <w:rPr>
                <w:rFonts w:ascii="宋体" w:hAnsi="宋体" w:eastAsia="宋体" w:cs="宋体"/>
                <w:sz w:val="21"/>
                <w:szCs w:val="22"/>
                <w:lang w:val="zh-CN" w:eastAsia="zh-CN" w:bidi="zh-CN"/>
              </w:rPr>
            </w:pPr>
            <w:r>
              <w:rPr>
                <w:rFonts w:ascii="宋体" w:hAnsi="宋体" w:eastAsia="宋体" w:cs="宋体"/>
                <w:sz w:val="21"/>
                <w:szCs w:val="22"/>
                <w:lang w:val="zh-CN" w:eastAsia="zh-CN" w:bidi="zh-CN"/>
              </w:rPr>
              <w:t>危险化学品生产企业</w:t>
            </w:r>
          </w:p>
          <w:p>
            <w:pPr>
              <w:pStyle w:val="31"/>
              <w:spacing w:before="3" w:line="253" w:lineRule="exact"/>
              <w:ind w:left="1783"/>
              <w:jc w:val="left"/>
              <w:rPr>
                <w:rFonts w:ascii="宋体" w:hAnsi="宋体" w:eastAsia="宋体" w:cs="宋体"/>
                <w:sz w:val="21"/>
                <w:szCs w:val="22"/>
                <w:lang w:val="zh-CN" w:eastAsia="zh-CN" w:bidi="zh-CN"/>
              </w:rPr>
            </w:pPr>
            <w:r>
              <w:rPr>
                <w:rFonts w:ascii="宋体" w:hAnsi="宋体" w:eastAsia="宋体" w:cs="宋体"/>
                <w:sz w:val="21"/>
                <w:szCs w:val="22"/>
                <w:lang w:val="zh-CN" w:eastAsia="zh-CN" w:bidi="zh-CN"/>
              </w:rPr>
              <w:t>未取得安全生产许可</w:t>
            </w:r>
          </w:p>
        </w:tc>
        <w:tc>
          <w:tcPr>
            <w:tcW w:w="759" w:type="dxa"/>
          </w:tcPr>
          <w:p>
            <w:pPr>
              <w:pStyle w:val="31"/>
              <w:spacing w:before="135"/>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2</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1681" w:type="dxa"/>
            <w:vMerge w:val="restart"/>
          </w:tcPr>
          <w:p>
            <w:pPr>
              <w:pStyle w:val="31"/>
              <w:spacing w:before="7"/>
              <w:jc w:val="left"/>
              <w:rPr>
                <w:rFonts w:ascii="宋体" w:hAnsi="宋体" w:eastAsia="宋体" w:cs="宋体"/>
                <w:sz w:val="21"/>
                <w:szCs w:val="22"/>
                <w:lang w:val="zh-CN" w:eastAsia="zh-CN" w:bidi="zh-CN"/>
              </w:rPr>
            </w:pPr>
          </w:p>
          <w:p>
            <w:pPr>
              <w:pStyle w:val="31"/>
              <w:spacing w:line="244" w:lineRule="auto"/>
              <w:ind w:left="418" w:right="304" w:hanging="104"/>
              <w:jc w:val="left"/>
              <w:rPr>
                <w:rFonts w:ascii="宋体" w:hAnsi="宋体" w:eastAsia="宋体" w:cs="宋体"/>
                <w:sz w:val="21"/>
                <w:szCs w:val="22"/>
                <w:lang w:val="zh-CN" w:eastAsia="zh-CN" w:bidi="zh-CN"/>
              </w:rPr>
            </w:pPr>
            <w:r>
              <w:rPr>
                <w:rFonts w:ascii="宋体" w:hAnsi="宋体" w:eastAsia="宋体" w:cs="宋体"/>
                <w:sz w:val="21"/>
                <w:szCs w:val="22"/>
                <w:lang w:val="zh-CN" w:eastAsia="zh-CN" w:bidi="zh-CN"/>
              </w:rPr>
              <w:t>危险化学品安全评价</w:t>
            </w:r>
          </w:p>
        </w:tc>
        <w:tc>
          <w:tcPr>
            <w:tcW w:w="5461" w:type="dxa"/>
          </w:tcPr>
          <w:p>
            <w:pPr>
              <w:pStyle w:val="31"/>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开展危险化学品安全评价；</w:t>
            </w:r>
          </w:p>
          <w:p>
            <w:pPr>
              <w:pStyle w:val="31"/>
              <w:spacing w:before="2" w:line="253" w:lineRule="exact"/>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通过安全设施竣工验收，或无要求</w:t>
            </w:r>
          </w:p>
        </w:tc>
        <w:tc>
          <w:tcPr>
            <w:tcW w:w="759" w:type="dxa"/>
          </w:tcPr>
          <w:p>
            <w:pPr>
              <w:pStyle w:val="31"/>
              <w:spacing w:before="134"/>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c>
          <w:tcPr>
            <w:tcW w:w="3871" w:type="dxa"/>
            <w:vMerge w:val="restart"/>
          </w:tcPr>
          <w:p>
            <w:pPr>
              <w:pStyle w:val="31"/>
              <w:jc w:val="left"/>
              <w:rPr>
                <w:rFonts w:ascii="宋体" w:hAnsi="宋体" w:eastAsia="宋体" w:cs="宋体"/>
                <w:sz w:val="21"/>
                <w:szCs w:val="22"/>
                <w:lang w:val="zh-CN" w:eastAsia="zh-CN" w:bidi="zh-CN"/>
              </w:rPr>
            </w:pPr>
          </w:p>
          <w:p>
            <w:pPr>
              <w:pStyle w:val="31"/>
              <w:spacing w:before="156"/>
              <w:ind w:left="145" w:right="140"/>
              <w:rPr>
                <w:rFonts w:ascii="宋体" w:hAnsi="宋体" w:eastAsia="宋体" w:cs="宋体"/>
                <w:sz w:val="21"/>
                <w:szCs w:val="22"/>
                <w:lang w:val="zh-CN" w:eastAsia="zh-CN" w:bidi="zh-CN"/>
              </w:rPr>
            </w:pPr>
            <w:r>
              <w:rPr>
                <w:rFonts w:ascii="宋体" w:hAnsi="宋体" w:eastAsia="宋体" w:cs="宋体"/>
                <w:sz w:val="21"/>
                <w:szCs w:val="22"/>
                <w:lang w:val="zh-CN" w:eastAsia="zh-CN" w:bidi="zh-CN"/>
              </w:rPr>
              <w:t>无要求</w:t>
            </w:r>
          </w:p>
        </w:tc>
        <w:tc>
          <w:tcPr>
            <w:tcW w:w="962" w:type="dxa"/>
            <w:vMerge w:val="restart"/>
          </w:tcPr>
          <w:p>
            <w:pPr>
              <w:pStyle w:val="31"/>
              <w:jc w:val="left"/>
              <w:rPr>
                <w:rFonts w:ascii="宋体" w:hAnsi="宋体" w:eastAsia="宋体" w:cs="宋体"/>
                <w:sz w:val="21"/>
                <w:szCs w:val="22"/>
                <w:lang w:val="zh-CN" w:eastAsia="zh-CN" w:bidi="zh-CN"/>
              </w:rPr>
            </w:pPr>
          </w:p>
          <w:p>
            <w:pPr>
              <w:pStyle w:val="31"/>
              <w:spacing w:before="156"/>
              <w:ind w:left="9"/>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1681" w:type="dxa"/>
            <w:vMerge w:val="continue"/>
            <w:tcBorders>
              <w:top w:val="nil"/>
            </w:tcBorders>
          </w:tcPr>
          <w:p>
            <w:pPr>
              <w:rPr>
                <w:rFonts w:ascii="宋体" w:hAnsi="宋体" w:eastAsia="宋体" w:cs="宋体"/>
                <w:sz w:val="21"/>
                <w:szCs w:val="22"/>
                <w:lang w:val="zh-CN" w:eastAsia="zh-CN" w:bidi="zh-CN"/>
              </w:rPr>
            </w:pPr>
          </w:p>
        </w:tc>
        <w:tc>
          <w:tcPr>
            <w:tcW w:w="5461" w:type="dxa"/>
          </w:tcPr>
          <w:p>
            <w:pPr>
              <w:pStyle w:val="31"/>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未开展危险化学品安全评价，</w:t>
            </w:r>
          </w:p>
          <w:p>
            <w:pPr>
              <w:pStyle w:val="31"/>
              <w:spacing w:before="5" w:line="251" w:lineRule="exact"/>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或未通过安全设施竣工验收</w:t>
            </w:r>
          </w:p>
        </w:tc>
        <w:tc>
          <w:tcPr>
            <w:tcW w:w="759" w:type="dxa"/>
          </w:tcPr>
          <w:p>
            <w:pPr>
              <w:pStyle w:val="31"/>
              <w:spacing w:before="135"/>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2</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621" w:type="dxa"/>
            <w:vMerge w:val="continue"/>
            <w:tcBorders>
              <w:top w:val="nil"/>
            </w:tcBorders>
          </w:tcPr>
          <w:p>
            <w:pPr>
              <w:rPr>
                <w:rFonts w:ascii="宋体" w:hAnsi="宋体" w:eastAsia="宋体" w:cs="宋体"/>
                <w:sz w:val="21"/>
                <w:szCs w:val="22"/>
                <w:lang w:val="zh-CN" w:eastAsia="zh-CN" w:bidi="zh-CN"/>
              </w:rPr>
            </w:pPr>
          </w:p>
        </w:tc>
        <w:tc>
          <w:tcPr>
            <w:tcW w:w="1681" w:type="dxa"/>
            <w:vMerge w:val="restart"/>
          </w:tcPr>
          <w:p>
            <w:pPr>
              <w:pStyle w:val="31"/>
              <w:ind w:left="208"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危险化学品</w:t>
            </w:r>
          </w:p>
          <w:p>
            <w:pPr>
              <w:pStyle w:val="31"/>
              <w:spacing w:before="3" w:line="270" w:lineRule="atLeast"/>
              <w:ind w:left="210" w:right="201"/>
              <w:rPr>
                <w:rFonts w:ascii="宋体" w:hAnsi="宋体" w:eastAsia="宋体" w:cs="宋体"/>
                <w:sz w:val="21"/>
                <w:szCs w:val="22"/>
                <w:lang w:val="zh-CN" w:eastAsia="zh-CN" w:bidi="zh-CN"/>
              </w:rPr>
            </w:pPr>
            <w:r>
              <w:rPr>
                <w:rFonts w:ascii="宋体" w:hAnsi="宋体" w:eastAsia="宋体" w:cs="宋体"/>
                <w:sz w:val="21"/>
                <w:szCs w:val="22"/>
                <w:lang w:val="zh-CN" w:eastAsia="zh-CN" w:bidi="zh-CN"/>
              </w:rPr>
              <w:t>重大危险源备案</w:t>
            </w:r>
          </w:p>
        </w:tc>
        <w:tc>
          <w:tcPr>
            <w:tcW w:w="5461" w:type="dxa"/>
          </w:tcPr>
          <w:p>
            <w:pPr>
              <w:pStyle w:val="31"/>
              <w:spacing w:before="62"/>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无重大危险源，或所有危险化学品重大危险源均已备案</w:t>
            </w:r>
          </w:p>
        </w:tc>
        <w:tc>
          <w:tcPr>
            <w:tcW w:w="759" w:type="dxa"/>
          </w:tcPr>
          <w:p>
            <w:pPr>
              <w:pStyle w:val="31"/>
              <w:spacing w:before="62"/>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c>
          <w:tcPr>
            <w:tcW w:w="3871" w:type="dxa"/>
            <w:vMerge w:val="restart"/>
          </w:tcPr>
          <w:p>
            <w:pPr>
              <w:pStyle w:val="31"/>
              <w:spacing w:before="4"/>
              <w:jc w:val="left"/>
              <w:rPr>
                <w:rFonts w:ascii="宋体" w:hAnsi="宋体" w:eastAsia="宋体" w:cs="宋体"/>
                <w:sz w:val="21"/>
                <w:szCs w:val="22"/>
                <w:lang w:val="zh-CN" w:eastAsia="zh-CN" w:bidi="zh-CN"/>
              </w:rPr>
            </w:pPr>
          </w:p>
          <w:p>
            <w:pPr>
              <w:pStyle w:val="31"/>
              <w:ind w:left="145" w:right="140"/>
              <w:rPr>
                <w:rFonts w:ascii="宋体" w:hAnsi="宋体" w:eastAsia="宋体" w:cs="宋体"/>
                <w:sz w:val="21"/>
                <w:szCs w:val="22"/>
                <w:lang w:val="zh-CN" w:eastAsia="zh-CN" w:bidi="zh-CN"/>
              </w:rPr>
            </w:pPr>
            <w:r>
              <w:rPr>
                <w:rFonts w:ascii="宋体" w:hAnsi="宋体" w:eastAsia="宋体" w:cs="宋体"/>
                <w:sz w:val="21"/>
                <w:szCs w:val="22"/>
                <w:lang w:val="zh-CN" w:eastAsia="zh-CN" w:bidi="zh-CN"/>
              </w:rPr>
              <w:t>无重大危险源</w:t>
            </w:r>
          </w:p>
        </w:tc>
        <w:tc>
          <w:tcPr>
            <w:tcW w:w="962" w:type="dxa"/>
            <w:vMerge w:val="restart"/>
          </w:tcPr>
          <w:p>
            <w:pPr>
              <w:pStyle w:val="31"/>
              <w:spacing w:before="4"/>
              <w:jc w:val="left"/>
              <w:rPr>
                <w:rFonts w:ascii="宋体" w:hAnsi="宋体" w:eastAsia="宋体" w:cs="宋体"/>
                <w:sz w:val="21"/>
                <w:szCs w:val="22"/>
                <w:lang w:val="zh-CN" w:eastAsia="zh-CN" w:bidi="zh-CN"/>
              </w:rPr>
            </w:pPr>
          </w:p>
          <w:p>
            <w:pPr>
              <w:pStyle w:val="31"/>
              <w:ind w:left="9"/>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621" w:type="dxa"/>
            <w:vMerge w:val="continue"/>
            <w:tcBorders>
              <w:top w:val="nil"/>
            </w:tcBorders>
          </w:tcPr>
          <w:p>
            <w:pPr>
              <w:rPr>
                <w:sz w:val="2"/>
                <w:szCs w:val="2"/>
              </w:rPr>
            </w:pPr>
          </w:p>
        </w:tc>
        <w:tc>
          <w:tcPr>
            <w:tcW w:w="1681" w:type="dxa"/>
            <w:vMerge w:val="continue"/>
            <w:tcBorders>
              <w:top w:val="nil"/>
            </w:tcBorders>
          </w:tcPr>
          <w:p>
            <w:pPr>
              <w:rPr>
                <w:sz w:val="2"/>
                <w:szCs w:val="2"/>
              </w:rPr>
            </w:pPr>
          </w:p>
        </w:tc>
        <w:tc>
          <w:tcPr>
            <w:tcW w:w="5461" w:type="dxa"/>
          </w:tcPr>
          <w:p>
            <w:pPr>
              <w:pStyle w:val="31"/>
              <w:spacing w:before="68"/>
              <w:ind w:left="70" w:right="63"/>
              <w:rPr>
                <w:sz w:val="21"/>
              </w:rPr>
            </w:pPr>
            <w:r>
              <w:rPr>
                <w:sz w:val="21"/>
              </w:rPr>
              <w:t>有危险化学品重大危险源未备案</w:t>
            </w:r>
          </w:p>
        </w:tc>
        <w:tc>
          <w:tcPr>
            <w:tcW w:w="759" w:type="dxa"/>
          </w:tcPr>
          <w:p>
            <w:pPr>
              <w:pStyle w:val="31"/>
              <w:spacing w:before="68"/>
              <w:ind w:left="7"/>
              <w:rPr>
                <w:sz w:val="21"/>
              </w:rPr>
            </w:pPr>
            <w:r>
              <w:rPr>
                <w:w w:val="99"/>
                <w:sz w:val="21"/>
              </w:rPr>
              <w:t>2</w:t>
            </w:r>
          </w:p>
        </w:tc>
        <w:tc>
          <w:tcPr>
            <w:tcW w:w="3871" w:type="dxa"/>
            <w:vMerge w:val="continue"/>
            <w:tcBorders>
              <w:top w:val="nil"/>
            </w:tcBorders>
          </w:tcPr>
          <w:p>
            <w:pPr>
              <w:rPr>
                <w:sz w:val="2"/>
                <w:szCs w:val="2"/>
              </w:rPr>
            </w:pPr>
          </w:p>
        </w:tc>
        <w:tc>
          <w:tcPr>
            <w:tcW w:w="962"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tcPr>
          <w:p>
            <w:pPr>
              <w:pStyle w:val="31"/>
              <w:spacing w:before="1" w:line="270" w:lineRule="atLeast"/>
              <w:ind w:left="599" w:right="591"/>
              <w:rPr>
                <w:sz w:val="21"/>
              </w:rPr>
            </w:pPr>
            <w:r>
              <w:rPr>
                <w:sz w:val="21"/>
              </w:rPr>
              <w:t>评估指标</w:t>
            </w:r>
          </w:p>
        </w:tc>
        <w:tc>
          <w:tcPr>
            <w:tcW w:w="7142" w:type="dxa"/>
            <w:gridSpan w:val="2"/>
          </w:tcPr>
          <w:p>
            <w:pPr>
              <w:pStyle w:val="31"/>
              <w:spacing w:before="136"/>
              <w:ind w:left="100" w:right="94"/>
              <w:rPr>
                <w:sz w:val="21"/>
              </w:rPr>
            </w:pPr>
            <w:r>
              <w:rPr>
                <w:sz w:val="21"/>
              </w:rPr>
              <w:t>评估依据</w:t>
            </w:r>
          </w:p>
        </w:tc>
        <w:tc>
          <w:tcPr>
            <w:tcW w:w="759" w:type="dxa"/>
          </w:tcPr>
          <w:p>
            <w:pPr>
              <w:pStyle w:val="31"/>
              <w:spacing w:before="136"/>
              <w:ind w:left="96" w:right="88"/>
              <w:rPr>
                <w:sz w:val="21"/>
              </w:rPr>
            </w:pPr>
            <w:r>
              <w:rPr>
                <w:sz w:val="21"/>
              </w:rPr>
              <w:t>分值</w:t>
            </w:r>
          </w:p>
        </w:tc>
        <w:tc>
          <w:tcPr>
            <w:tcW w:w="3871" w:type="dxa"/>
          </w:tcPr>
          <w:p>
            <w:pPr>
              <w:pStyle w:val="31"/>
              <w:spacing w:before="136"/>
              <w:ind w:left="145" w:right="140"/>
              <w:rPr>
                <w:sz w:val="21"/>
              </w:rPr>
            </w:pPr>
            <w:r>
              <w:rPr>
                <w:sz w:val="21"/>
              </w:rPr>
              <w:t>企业实际情况</w:t>
            </w:r>
          </w:p>
        </w:tc>
        <w:tc>
          <w:tcPr>
            <w:tcW w:w="962" w:type="dxa"/>
          </w:tcPr>
          <w:p>
            <w:pPr>
              <w:pStyle w:val="31"/>
              <w:spacing w:before="1" w:line="270" w:lineRule="atLeast"/>
              <w:ind w:left="270" w:right="262"/>
              <w:jc w:val="left"/>
              <w:rPr>
                <w:sz w:val="21"/>
              </w:rPr>
            </w:pPr>
            <w:r>
              <w:rPr>
                <w:sz w:val="21"/>
              </w:rPr>
              <w:t>企业得分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0" w:hRule="atLeast"/>
        </w:trPr>
        <w:tc>
          <w:tcPr>
            <w:tcW w:w="1621" w:type="dxa"/>
            <w:vMerge w:val="restart"/>
          </w:tcPr>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jc w:val="left"/>
              <w:rPr>
                <w:rFonts w:ascii="Times New Roman"/>
                <w:sz w:val="20"/>
              </w:rPr>
            </w:pPr>
          </w:p>
          <w:p>
            <w:pPr>
              <w:pStyle w:val="31"/>
              <w:spacing w:before="10"/>
              <w:jc w:val="left"/>
              <w:rPr>
                <w:rFonts w:ascii="Times New Roman"/>
                <w:sz w:val="23"/>
              </w:rPr>
            </w:pPr>
          </w:p>
          <w:p>
            <w:pPr>
              <w:pStyle w:val="31"/>
              <w:spacing w:line="244" w:lineRule="auto"/>
              <w:ind w:left="388" w:right="171" w:hanging="209"/>
              <w:jc w:val="left"/>
              <w:rPr>
                <w:sz w:val="21"/>
              </w:rPr>
            </w:pPr>
            <w:r>
              <w:rPr>
                <w:sz w:val="21"/>
              </w:rPr>
              <w:t>企业环境风险防控措施</w:t>
            </w:r>
          </w:p>
        </w:tc>
        <w:tc>
          <w:tcPr>
            <w:tcW w:w="1681" w:type="dxa"/>
            <w:vMerge w:val="restart"/>
          </w:tcPr>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r>
              <w:rPr>
                <w:sz w:val="21"/>
              </w:rPr>
              <w:t>截流措施</w:t>
            </w:r>
          </w:p>
        </w:tc>
        <w:tc>
          <w:tcPr>
            <w:tcW w:w="5461" w:type="dxa"/>
          </w:tcPr>
          <w:p>
            <w:pPr>
              <w:pStyle w:val="31"/>
              <w:spacing w:before="68"/>
              <w:ind w:left="70" w:right="63"/>
              <w:rPr>
                <w:sz w:val="21"/>
              </w:rPr>
            </w:pPr>
          </w:p>
          <w:p>
            <w:pPr>
              <w:pStyle w:val="31"/>
              <w:spacing w:before="68"/>
              <w:ind w:left="70" w:right="63"/>
              <w:rPr>
                <w:sz w:val="21"/>
              </w:rPr>
            </w:pPr>
            <w:r>
              <w:rPr>
                <w:sz w:val="21"/>
              </w:rPr>
              <w:t>1)各环境风险单元设防渗漏、防腐蚀、防流失措施，设防 初期雨水、泄漏物、消防水（溢）流入雨水和清净下水系 统的导流围挡收集措施（如防火堤、围堰等），且相关措 施符合设计规范；且 2)装置围堰与罐区防火堤（围堰）外设排水切换阀，正常情况下通向雨水系统的阀门关闭，通 向事故存液池、应急事故水池、清净下水排放缓冲池或污 水处理系统的阀门打开；且 3)前述措施日常管理及维护良好，设专人负责阀门切换，保证初期雨水、泄漏物和消防 水排入污水系统。</w:t>
            </w:r>
          </w:p>
        </w:tc>
        <w:tc>
          <w:tcPr>
            <w:tcW w:w="759" w:type="dxa"/>
          </w:tcPr>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r>
              <w:rPr>
                <w:sz w:val="21"/>
              </w:rPr>
              <w:t>0</w:t>
            </w:r>
          </w:p>
        </w:tc>
        <w:tc>
          <w:tcPr>
            <w:tcW w:w="3871" w:type="dxa"/>
            <w:vMerge w:val="restart"/>
          </w:tcPr>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r>
              <w:rPr>
                <w:sz w:val="21"/>
              </w:rPr>
              <w:t>企业目前无应急事故池及相应的阀门切换系统</w:t>
            </w:r>
          </w:p>
        </w:tc>
        <w:tc>
          <w:tcPr>
            <w:tcW w:w="962" w:type="dxa"/>
            <w:vMerge w:val="restart"/>
          </w:tcPr>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p>
          <w:p>
            <w:pPr>
              <w:pStyle w:val="31"/>
              <w:spacing w:before="68"/>
              <w:ind w:left="70" w:right="63"/>
              <w:rPr>
                <w:sz w:val="21"/>
              </w:rPr>
            </w:pPr>
            <w:r>
              <w:rPr>
                <w:sz w:val="21"/>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1621" w:type="dxa"/>
            <w:vMerge w:val="continue"/>
            <w:tcBorders>
              <w:top w:val="nil"/>
            </w:tcBorders>
          </w:tcPr>
          <w:p>
            <w:pPr>
              <w:rPr>
                <w:sz w:val="2"/>
                <w:szCs w:val="2"/>
              </w:rPr>
            </w:pPr>
          </w:p>
        </w:tc>
        <w:tc>
          <w:tcPr>
            <w:tcW w:w="1681" w:type="dxa"/>
            <w:vMerge w:val="continue"/>
            <w:tcBorders>
              <w:top w:val="nil"/>
            </w:tcBorders>
          </w:tcPr>
          <w:p>
            <w:pPr>
              <w:rPr>
                <w:rFonts w:ascii="宋体" w:hAnsi="宋体" w:eastAsia="宋体" w:cs="宋体"/>
                <w:sz w:val="21"/>
                <w:szCs w:val="22"/>
                <w:lang w:val="zh-CN" w:eastAsia="zh-CN" w:bidi="zh-CN"/>
              </w:rPr>
            </w:pPr>
          </w:p>
        </w:tc>
        <w:tc>
          <w:tcPr>
            <w:tcW w:w="5461" w:type="dxa"/>
          </w:tcPr>
          <w:p>
            <w:pPr>
              <w:pStyle w:val="31"/>
              <w:spacing w:line="269" w:lineRule="exact"/>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有任意一个环境风险单元的截流措施不符合上述任意一</w:t>
            </w:r>
          </w:p>
          <w:p>
            <w:pPr>
              <w:pStyle w:val="31"/>
              <w:spacing w:before="2" w:line="253" w:lineRule="exact"/>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条要求的。</w:t>
            </w:r>
          </w:p>
        </w:tc>
        <w:tc>
          <w:tcPr>
            <w:tcW w:w="759" w:type="dxa"/>
          </w:tcPr>
          <w:p>
            <w:pPr>
              <w:pStyle w:val="31"/>
              <w:spacing w:before="134"/>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8</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9" w:hRule="atLeast"/>
        </w:trPr>
        <w:tc>
          <w:tcPr>
            <w:tcW w:w="1621" w:type="dxa"/>
            <w:vMerge w:val="continue"/>
            <w:tcBorders>
              <w:top w:val="nil"/>
            </w:tcBorders>
          </w:tcPr>
          <w:p>
            <w:pPr>
              <w:rPr>
                <w:sz w:val="2"/>
                <w:szCs w:val="2"/>
              </w:rPr>
            </w:pPr>
          </w:p>
        </w:tc>
        <w:tc>
          <w:tcPr>
            <w:tcW w:w="1681" w:type="dxa"/>
            <w:vMerge w:val="restart"/>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事故排水收集措施</w:t>
            </w:r>
          </w:p>
        </w:tc>
        <w:tc>
          <w:tcPr>
            <w:tcW w:w="5461" w:type="dxa"/>
          </w:tcPr>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1)按相关设计规范设置应急事故水池、事故存液池或清净 下水排放缓冲池等事故排放收集设施，并根据下游环境风 险受体敏感程度和易发生极端天气情况，设置事故排水收 集设施的容量；且 2) 应急事故水池、事故存液池或清净下水排放缓冲池等事故排放收集设施位置合理，能自流式 或确保事故状态下顺利收集泄漏液和消防水，日常保持足 够的事故排水缓冲容量，且 3)设抽水设施，并与污水管线连接，能将所收集物送至厂区内污水处理设施处理。</w:t>
            </w:r>
          </w:p>
        </w:tc>
        <w:tc>
          <w:tcPr>
            <w:tcW w:w="759" w:type="dxa"/>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c>
          <w:tcPr>
            <w:tcW w:w="3871" w:type="dxa"/>
            <w:vMerge w:val="restart"/>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企业目前无应急事故池及相应的阀门切换系统</w:t>
            </w:r>
          </w:p>
        </w:tc>
        <w:tc>
          <w:tcPr>
            <w:tcW w:w="962" w:type="dxa"/>
            <w:vMerge w:val="restart"/>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vMerge w:val="continue"/>
            <w:tcBorders>
              <w:top w:val="nil"/>
            </w:tcBorders>
          </w:tcPr>
          <w:p>
            <w:pPr>
              <w:rPr>
                <w:sz w:val="2"/>
                <w:szCs w:val="2"/>
              </w:rPr>
            </w:pPr>
          </w:p>
        </w:tc>
        <w:tc>
          <w:tcPr>
            <w:tcW w:w="1681" w:type="dxa"/>
            <w:vMerge w:val="continue"/>
            <w:tcBorders>
              <w:top w:val="nil"/>
            </w:tcBorders>
          </w:tcPr>
          <w:p>
            <w:pPr>
              <w:rPr>
                <w:rFonts w:ascii="宋体" w:hAnsi="宋体" w:eastAsia="宋体" w:cs="宋体"/>
                <w:sz w:val="21"/>
                <w:szCs w:val="22"/>
                <w:lang w:val="zh-CN" w:eastAsia="zh-CN" w:bidi="zh-CN"/>
              </w:rPr>
            </w:pPr>
          </w:p>
        </w:tc>
        <w:tc>
          <w:tcPr>
            <w:tcW w:w="5461" w:type="dxa"/>
          </w:tcPr>
          <w:p>
            <w:pPr>
              <w:pStyle w:val="31"/>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有任意一个环境风险单元的事故排水收集措施不符合上</w:t>
            </w:r>
          </w:p>
          <w:p>
            <w:pPr>
              <w:pStyle w:val="31"/>
              <w:spacing w:before="4" w:line="251" w:lineRule="exact"/>
              <w:ind w:left="68"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述任意一条要求的。</w:t>
            </w:r>
          </w:p>
        </w:tc>
        <w:tc>
          <w:tcPr>
            <w:tcW w:w="759" w:type="dxa"/>
          </w:tcPr>
          <w:p>
            <w:pPr>
              <w:pStyle w:val="31"/>
              <w:spacing w:before="136"/>
              <w:ind w:left="7"/>
              <w:rPr>
                <w:rFonts w:ascii="宋体" w:hAnsi="宋体" w:eastAsia="宋体" w:cs="宋体"/>
                <w:sz w:val="21"/>
                <w:szCs w:val="22"/>
                <w:lang w:val="zh-CN" w:eastAsia="zh-CN" w:bidi="zh-CN"/>
              </w:rPr>
            </w:pPr>
            <w:r>
              <w:rPr>
                <w:rFonts w:ascii="宋体" w:hAnsi="宋体" w:eastAsia="宋体" w:cs="宋体"/>
                <w:sz w:val="21"/>
                <w:szCs w:val="22"/>
                <w:lang w:val="zh-CN" w:eastAsia="zh-CN" w:bidi="zh-CN"/>
              </w:rPr>
              <w:t>8</w:t>
            </w:r>
          </w:p>
        </w:tc>
        <w:tc>
          <w:tcPr>
            <w:tcW w:w="3871" w:type="dxa"/>
            <w:vMerge w:val="continue"/>
            <w:tcBorders>
              <w:top w:val="nil"/>
            </w:tcBorders>
          </w:tcPr>
          <w:p>
            <w:pPr>
              <w:rPr>
                <w:rFonts w:ascii="宋体" w:hAnsi="宋体" w:eastAsia="宋体" w:cs="宋体"/>
                <w:sz w:val="21"/>
                <w:szCs w:val="22"/>
                <w:lang w:val="zh-CN" w:eastAsia="zh-CN" w:bidi="zh-CN"/>
              </w:rPr>
            </w:pPr>
          </w:p>
        </w:tc>
        <w:tc>
          <w:tcPr>
            <w:tcW w:w="962" w:type="dxa"/>
            <w:vMerge w:val="continue"/>
            <w:tcBorders>
              <w:top w:val="nil"/>
            </w:tcBorders>
          </w:tcPr>
          <w:p>
            <w:pPr>
              <w:rPr>
                <w:rFonts w:ascii="宋体" w:hAnsi="宋体" w:eastAsia="宋体" w:cs="宋体"/>
                <w:sz w:val="21"/>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1621" w:type="dxa"/>
            <w:vMerge w:val="continue"/>
            <w:tcBorders>
              <w:top w:val="nil"/>
            </w:tcBorders>
          </w:tcPr>
          <w:p>
            <w:pPr>
              <w:rPr>
                <w:sz w:val="2"/>
                <w:szCs w:val="2"/>
              </w:rPr>
            </w:pPr>
          </w:p>
        </w:tc>
        <w:tc>
          <w:tcPr>
            <w:tcW w:w="1681" w:type="dxa"/>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清净下水系统防控措施</w:t>
            </w:r>
          </w:p>
        </w:tc>
        <w:tc>
          <w:tcPr>
            <w:tcW w:w="5461" w:type="dxa"/>
          </w:tcPr>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1)不涉及清净下水；或 2)厂区内清净下水均进入废水处理系统；或清污分流，且清净下水系统具有下述所有措施：</w:t>
            </w: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①具有收集受污染的清净下水、雨水和消防水功能的清净 下水排放缓冲池（或雨水收集池），日常保持足够的事故 排水缓冲容量；池内设有提升设施，能将所集物送至厂区 内污水处理设施处理；且②具有清净下水系统（或排入雨</w:t>
            </w: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水系统）的总排口监视及关闭设施，设专人在紧急情况下 关闭清净下水总排口，防止受污染的雨水、清净下水、消</w:t>
            </w:r>
          </w:p>
        </w:tc>
        <w:tc>
          <w:tcPr>
            <w:tcW w:w="759" w:type="dxa"/>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c>
          <w:tcPr>
            <w:tcW w:w="3871" w:type="dxa"/>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不涉及清净下水</w:t>
            </w:r>
          </w:p>
        </w:tc>
        <w:tc>
          <w:tcPr>
            <w:tcW w:w="962" w:type="dxa"/>
          </w:tcPr>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p>
          <w:p>
            <w:pPr>
              <w:pStyle w:val="31"/>
              <w:spacing w:before="68"/>
              <w:ind w:left="70" w:right="63"/>
              <w:rPr>
                <w:rFonts w:ascii="宋体" w:hAnsi="宋体" w:eastAsia="宋体" w:cs="宋体"/>
                <w:sz w:val="21"/>
                <w:szCs w:val="22"/>
                <w:lang w:val="zh-CN" w:eastAsia="zh-CN" w:bidi="zh-CN"/>
              </w:rPr>
            </w:pPr>
            <w:r>
              <w:rPr>
                <w:rFonts w:ascii="宋体" w:hAnsi="宋体" w:eastAsia="宋体" w:cs="宋体"/>
                <w:sz w:val="21"/>
                <w:szCs w:val="22"/>
                <w:lang w:val="zh-CN" w:eastAsia="zh-CN" w:bidi="zh-CN"/>
              </w:rPr>
              <w:t>0</w:t>
            </w:r>
          </w:p>
        </w:tc>
      </w:tr>
    </w:tbl>
    <w:p>
      <w:pPr>
        <w:spacing w:after="0"/>
        <w:rPr>
          <w:sz w:val="21"/>
        </w:rPr>
        <w:sectPr>
          <w:headerReference r:id="rId9" w:type="default"/>
          <w:footerReference r:id="rId10" w:type="default"/>
          <w:pgSz w:w="16840" w:h="11920" w:orient="landscape"/>
          <w:pgMar w:top="1180" w:right="1140" w:bottom="920" w:left="1100" w:header="905" w:footer="721" w:gutter="0"/>
          <w:pgBorders>
            <w:top w:val="none" w:sz="0" w:space="0"/>
            <w:left w:val="none" w:sz="0" w:space="0"/>
            <w:bottom w:val="none" w:sz="0" w:space="0"/>
            <w:right w:val="none" w:sz="0" w:space="0"/>
          </w:pgBorders>
          <w:cols w:space="720" w:num="1"/>
        </w:sectPr>
      </w:pPr>
    </w:p>
    <w:p>
      <w:pPr>
        <w:pStyle w:val="5"/>
        <w:spacing w:before="5" w:after="1"/>
        <w:rPr>
          <w:rFonts w:ascii="Times New Roman"/>
          <w:sz w:val="22"/>
        </w:rPr>
      </w:pPr>
    </w:p>
    <w:tbl>
      <w:tblPr>
        <w:tblStyle w:val="14"/>
        <w:tblW w:w="14355"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1"/>
        <w:gridCol w:w="1681"/>
        <w:gridCol w:w="5461"/>
        <w:gridCol w:w="759"/>
        <w:gridCol w:w="3871"/>
        <w:gridCol w:w="9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tcPr>
          <w:p>
            <w:pPr>
              <w:pStyle w:val="31"/>
              <w:spacing w:before="1" w:line="270" w:lineRule="atLeast"/>
              <w:ind w:left="599" w:right="591"/>
              <w:rPr>
                <w:sz w:val="21"/>
              </w:rPr>
            </w:pPr>
            <w:r>
              <w:rPr>
                <w:sz w:val="21"/>
              </w:rPr>
              <w:t>评估指标</w:t>
            </w:r>
          </w:p>
        </w:tc>
        <w:tc>
          <w:tcPr>
            <w:tcW w:w="7142" w:type="dxa"/>
            <w:gridSpan w:val="2"/>
          </w:tcPr>
          <w:p>
            <w:pPr>
              <w:pStyle w:val="31"/>
              <w:spacing w:before="136"/>
              <w:ind w:left="100" w:right="94"/>
              <w:rPr>
                <w:sz w:val="21"/>
              </w:rPr>
            </w:pPr>
            <w:r>
              <w:rPr>
                <w:sz w:val="21"/>
              </w:rPr>
              <w:t>评估依据</w:t>
            </w:r>
          </w:p>
        </w:tc>
        <w:tc>
          <w:tcPr>
            <w:tcW w:w="759" w:type="dxa"/>
          </w:tcPr>
          <w:p>
            <w:pPr>
              <w:pStyle w:val="31"/>
              <w:spacing w:before="136"/>
              <w:ind w:left="96" w:right="88"/>
              <w:rPr>
                <w:sz w:val="21"/>
              </w:rPr>
            </w:pPr>
            <w:r>
              <w:rPr>
                <w:sz w:val="21"/>
              </w:rPr>
              <w:t>分值</w:t>
            </w:r>
          </w:p>
        </w:tc>
        <w:tc>
          <w:tcPr>
            <w:tcW w:w="3871" w:type="dxa"/>
          </w:tcPr>
          <w:p>
            <w:pPr>
              <w:pStyle w:val="31"/>
              <w:spacing w:before="136"/>
              <w:ind w:left="145" w:right="140"/>
              <w:rPr>
                <w:sz w:val="21"/>
              </w:rPr>
            </w:pPr>
            <w:r>
              <w:rPr>
                <w:sz w:val="21"/>
              </w:rPr>
              <w:t>企业实际情况</w:t>
            </w:r>
          </w:p>
        </w:tc>
        <w:tc>
          <w:tcPr>
            <w:tcW w:w="962" w:type="dxa"/>
          </w:tcPr>
          <w:p>
            <w:pPr>
              <w:pStyle w:val="31"/>
              <w:spacing w:before="1" w:line="270" w:lineRule="atLeast"/>
              <w:ind w:left="270" w:right="262"/>
              <w:jc w:val="left"/>
              <w:rPr>
                <w:sz w:val="21"/>
              </w:rPr>
            </w:pPr>
            <w:r>
              <w:rPr>
                <w:sz w:val="21"/>
              </w:rPr>
              <w:t>企业得分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restart"/>
          </w:tcPr>
          <w:p>
            <w:pPr>
              <w:pStyle w:val="31"/>
              <w:spacing w:before="136"/>
              <w:ind w:left="100" w:right="94"/>
              <w:rPr>
                <w:sz w:val="21"/>
              </w:rPr>
            </w:pPr>
          </w:p>
        </w:tc>
        <w:tc>
          <w:tcPr>
            <w:tcW w:w="1681" w:type="dxa"/>
            <w:vMerge w:val="restart"/>
          </w:tcPr>
          <w:p>
            <w:pPr>
              <w:pStyle w:val="31"/>
              <w:spacing w:before="136"/>
              <w:ind w:left="100" w:right="94"/>
              <w:rPr>
                <w:sz w:val="21"/>
              </w:rPr>
            </w:pPr>
          </w:p>
        </w:tc>
        <w:tc>
          <w:tcPr>
            <w:tcW w:w="5461" w:type="dxa"/>
          </w:tcPr>
          <w:p>
            <w:pPr>
              <w:pStyle w:val="31"/>
              <w:spacing w:before="136"/>
              <w:ind w:left="100" w:right="94"/>
              <w:rPr>
                <w:sz w:val="21"/>
              </w:rPr>
            </w:pPr>
            <w:r>
              <w:rPr>
                <w:sz w:val="21"/>
              </w:rPr>
              <w:t>防水和泄漏物进入外环境。</w:t>
            </w:r>
          </w:p>
        </w:tc>
        <w:tc>
          <w:tcPr>
            <w:tcW w:w="759" w:type="dxa"/>
          </w:tcPr>
          <w:p>
            <w:pPr>
              <w:pStyle w:val="31"/>
              <w:spacing w:before="136"/>
              <w:ind w:left="100" w:right="94"/>
              <w:rPr>
                <w:sz w:val="21"/>
              </w:rPr>
            </w:pPr>
          </w:p>
        </w:tc>
        <w:tc>
          <w:tcPr>
            <w:tcW w:w="3871" w:type="dxa"/>
            <w:vMerge w:val="restart"/>
          </w:tcPr>
          <w:p>
            <w:pPr>
              <w:pStyle w:val="31"/>
              <w:spacing w:before="136"/>
              <w:ind w:left="100" w:right="94"/>
              <w:rPr>
                <w:sz w:val="21"/>
              </w:rPr>
            </w:pPr>
          </w:p>
        </w:tc>
        <w:tc>
          <w:tcPr>
            <w:tcW w:w="962" w:type="dxa"/>
            <w:vMerge w:val="restart"/>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1621" w:type="dxa"/>
            <w:vMerge w:val="continue"/>
            <w:tcBorders>
              <w:top w:val="nil"/>
            </w:tcBorders>
          </w:tcPr>
          <w:p>
            <w:pPr>
              <w:pStyle w:val="31"/>
              <w:spacing w:before="136"/>
              <w:ind w:left="100" w:right="94"/>
              <w:rPr>
                <w:sz w:val="21"/>
              </w:rPr>
            </w:pPr>
          </w:p>
        </w:tc>
        <w:tc>
          <w:tcPr>
            <w:tcW w:w="1681" w:type="dxa"/>
            <w:vMerge w:val="continue"/>
            <w:tcBorders>
              <w:top w:val="nil"/>
            </w:tcBorders>
          </w:tcPr>
          <w:p>
            <w:pPr>
              <w:pStyle w:val="31"/>
              <w:spacing w:before="136"/>
              <w:ind w:left="100" w:right="94"/>
              <w:rPr>
                <w:sz w:val="21"/>
              </w:rPr>
            </w:pPr>
          </w:p>
        </w:tc>
        <w:tc>
          <w:tcPr>
            <w:tcW w:w="5461" w:type="dxa"/>
          </w:tcPr>
          <w:p>
            <w:pPr>
              <w:pStyle w:val="31"/>
              <w:spacing w:before="136"/>
              <w:ind w:left="100" w:right="94"/>
              <w:rPr>
                <w:sz w:val="21"/>
              </w:rPr>
            </w:pPr>
            <w:r>
              <w:rPr>
                <w:sz w:val="21"/>
              </w:rPr>
              <w:t>涉及清净下水，有任意一个环境风险单元的清净下水防控</w:t>
            </w:r>
          </w:p>
          <w:p>
            <w:pPr>
              <w:pStyle w:val="31"/>
              <w:spacing w:before="136"/>
              <w:ind w:left="100" w:right="94"/>
              <w:rPr>
                <w:sz w:val="21"/>
              </w:rPr>
            </w:pPr>
            <w:r>
              <w:rPr>
                <w:sz w:val="21"/>
              </w:rPr>
              <w:t>措施不符合上述 2）要求的。</w:t>
            </w:r>
          </w:p>
        </w:tc>
        <w:tc>
          <w:tcPr>
            <w:tcW w:w="759" w:type="dxa"/>
          </w:tcPr>
          <w:p>
            <w:pPr>
              <w:pStyle w:val="31"/>
              <w:spacing w:before="136"/>
              <w:ind w:left="100" w:right="94"/>
              <w:rPr>
                <w:sz w:val="21"/>
              </w:rPr>
            </w:pPr>
            <w:r>
              <w:rPr>
                <w:sz w:val="21"/>
              </w:rPr>
              <w:t>8</w:t>
            </w: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6" w:hRule="atLeast"/>
        </w:trPr>
        <w:tc>
          <w:tcPr>
            <w:tcW w:w="1621" w:type="dxa"/>
            <w:vMerge w:val="continue"/>
            <w:tcBorders>
              <w:top w:val="nil"/>
            </w:tcBorders>
          </w:tcPr>
          <w:p>
            <w:pPr>
              <w:pStyle w:val="31"/>
              <w:spacing w:before="136"/>
              <w:ind w:left="100" w:right="94"/>
              <w:rPr>
                <w:sz w:val="21"/>
              </w:rPr>
            </w:pPr>
          </w:p>
        </w:tc>
        <w:tc>
          <w:tcPr>
            <w:tcW w:w="168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雨排水系统防控措施</w:t>
            </w:r>
          </w:p>
        </w:tc>
        <w:tc>
          <w:tcPr>
            <w:tcW w:w="5461" w:type="dxa"/>
          </w:tcPr>
          <w:p>
            <w:pPr>
              <w:pStyle w:val="31"/>
              <w:spacing w:before="136"/>
              <w:ind w:left="100" w:right="94"/>
              <w:rPr>
                <w:sz w:val="21"/>
              </w:rPr>
            </w:pPr>
            <w:r>
              <w:rPr>
                <w:sz w:val="21"/>
              </w:rPr>
              <w:t>厂区内雨水均进入废水处理系统；或雨污分流，且雨水系 统具有下述所有措施：</w:t>
            </w:r>
          </w:p>
          <w:p>
            <w:pPr>
              <w:pStyle w:val="31"/>
              <w:spacing w:before="136"/>
              <w:ind w:left="100" w:right="94"/>
              <w:rPr>
                <w:sz w:val="21"/>
              </w:rPr>
            </w:pPr>
            <w:r>
              <w:rPr>
                <w:sz w:val="21"/>
              </w:rPr>
              <w:t>①具有收集初期雨水的收集池或雨水监控池；池出水管上设置切换阀，正常情况下阀门关闭，防止受污染的水外排； 池内设有提升设施，能将所集物送至厂区内污水处理设施处理；②具有雨水系统外排总排口（含泄洪渠）监视及关闭设施，设专人负责在紧急情况下封堵雨水排口（含与清净下水共用一套排水系统情况），防止雨水、消防水和泄漏物进入外环境；③如果有区域排洪沟，排洪沟不通过生产区、罐区，具有防止泄漏物、消防水流入区域排洪沟的 措施。</w:t>
            </w:r>
          </w:p>
        </w:tc>
        <w:tc>
          <w:tcPr>
            <w:tcW w:w="759" w:type="dxa"/>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0</w:t>
            </w:r>
          </w:p>
        </w:tc>
        <w:tc>
          <w:tcPr>
            <w:tcW w:w="387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无初期雨水收集池或雨水监控池</w:t>
            </w:r>
          </w:p>
        </w:tc>
        <w:tc>
          <w:tcPr>
            <w:tcW w:w="962"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rFonts w:hint="eastAsia" w:eastAsia="宋体"/>
                <w:sz w:val="21"/>
                <w:lang w:eastAsia="zh-CN"/>
              </w:rPr>
            </w:pPr>
            <w:r>
              <w:rPr>
                <w:rFonts w:hint="eastAsia"/>
                <w:color w:val="FF0000"/>
                <w:sz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pStyle w:val="31"/>
              <w:spacing w:before="136"/>
              <w:ind w:left="100" w:right="94"/>
              <w:rPr>
                <w:sz w:val="21"/>
              </w:rPr>
            </w:pPr>
          </w:p>
        </w:tc>
        <w:tc>
          <w:tcPr>
            <w:tcW w:w="1681" w:type="dxa"/>
            <w:vMerge w:val="continue"/>
            <w:tcBorders>
              <w:top w:val="nil"/>
            </w:tcBorders>
          </w:tcPr>
          <w:p>
            <w:pPr>
              <w:pStyle w:val="31"/>
              <w:spacing w:before="136"/>
              <w:ind w:left="100" w:right="94"/>
              <w:rPr>
                <w:sz w:val="21"/>
              </w:rPr>
            </w:pPr>
          </w:p>
        </w:tc>
        <w:tc>
          <w:tcPr>
            <w:tcW w:w="5461" w:type="dxa"/>
          </w:tcPr>
          <w:p>
            <w:pPr>
              <w:pStyle w:val="31"/>
              <w:spacing w:before="136"/>
              <w:ind w:left="100" w:right="94"/>
              <w:rPr>
                <w:sz w:val="21"/>
              </w:rPr>
            </w:pPr>
            <w:r>
              <w:rPr>
                <w:sz w:val="21"/>
              </w:rPr>
              <w:t>不符合上述要求的。</w:t>
            </w:r>
          </w:p>
        </w:tc>
        <w:tc>
          <w:tcPr>
            <w:tcW w:w="759" w:type="dxa"/>
          </w:tcPr>
          <w:p>
            <w:pPr>
              <w:pStyle w:val="31"/>
              <w:spacing w:before="136"/>
              <w:ind w:left="100" w:right="94"/>
              <w:rPr>
                <w:sz w:val="21"/>
              </w:rPr>
            </w:pPr>
            <w:r>
              <w:rPr>
                <w:sz w:val="21"/>
              </w:rPr>
              <w:t>8</w:t>
            </w: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1" w:hRule="atLeast"/>
        </w:trPr>
        <w:tc>
          <w:tcPr>
            <w:tcW w:w="1621" w:type="dxa"/>
            <w:vMerge w:val="continue"/>
            <w:tcBorders>
              <w:top w:val="nil"/>
            </w:tcBorders>
          </w:tcPr>
          <w:p>
            <w:pPr>
              <w:pStyle w:val="31"/>
              <w:spacing w:before="136"/>
              <w:ind w:left="100" w:right="94"/>
              <w:rPr>
                <w:sz w:val="21"/>
              </w:rPr>
            </w:pPr>
          </w:p>
        </w:tc>
        <w:tc>
          <w:tcPr>
            <w:tcW w:w="168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生产废水系统防控措施</w:t>
            </w:r>
          </w:p>
        </w:tc>
        <w:tc>
          <w:tcPr>
            <w:tcW w:w="5461" w:type="dxa"/>
          </w:tcPr>
          <w:p>
            <w:pPr>
              <w:pStyle w:val="31"/>
              <w:spacing w:before="136"/>
              <w:ind w:left="100" w:right="94"/>
              <w:rPr>
                <w:sz w:val="21"/>
              </w:rPr>
            </w:pPr>
            <w:r>
              <w:rPr>
                <w:sz w:val="21"/>
              </w:rPr>
              <w:t>1）无生产废水产生或外排；或</w:t>
            </w:r>
          </w:p>
          <w:p>
            <w:pPr>
              <w:pStyle w:val="31"/>
              <w:spacing w:before="136"/>
              <w:ind w:left="100" w:right="94"/>
              <w:rPr>
                <w:sz w:val="21"/>
              </w:rPr>
            </w:pPr>
            <w:r>
              <w:rPr>
                <w:sz w:val="21"/>
              </w:rPr>
              <w:t>2）有废水产生或外排时：</w:t>
            </w:r>
          </w:p>
          <w:p>
            <w:pPr>
              <w:pStyle w:val="31"/>
              <w:spacing w:before="136"/>
              <w:ind w:left="100" w:right="94"/>
              <w:rPr>
                <w:sz w:val="21"/>
              </w:rPr>
            </w:pPr>
            <w:r>
              <w:rPr>
                <w:sz w:val="21"/>
              </w:rPr>
              <w:t>①受污染的循环冷却水、雨水、消防水等排入生产污水系 统或独立处理系统；且②生产废水排放前设监控池，能够 将不合格废水送污水处理设施重新处理；且③如企业清净 下水或雨水进入废水处理系统处理，则生产废水系统应设 置事故水缓冲设施。④具有生产废水总排口监视及关闭设</w:t>
            </w:r>
          </w:p>
          <w:p>
            <w:pPr>
              <w:pStyle w:val="31"/>
              <w:spacing w:before="136"/>
              <w:ind w:left="100" w:right="94"/>
              <w:rPr>
                <w:sz w:val="21"/>
              </w:rPr>
            </w:pPr>
            <w:r>
              <w:rPr>
                <w:sz w:val="21"/>
              </w:rPr>
              <w:t>施，有专人负责关闭，确保泄漏物、受污染的消防水、不 合格废水不排出厂外；</w:t>
            </w:r>
          </w:p>
        </w:tc>
        <w:tc>
          <w:tcPr>
            <w:tcW w:w="759" w:type="dxa"/>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0</w:t>
            </w:r>
          </w:p>
        </w:tc>
        <w:tc>
          <w:tcPr>
            <w:tcW w:w="387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有生产废水产生，厂区工艺废水收集后经污水处理站处理，再经市政污水管网送工业园区污水处理厂处理</w:t>
            </w:r>
          </w:p>
        </w:tc>
        <w:tc>
          <w:tcPr>
            <w:tcW w:w="962"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vMerge w:val="continue"/>
            <w:tcBorders>
              <w:top w:val="nil"/>
            </w:tcBorders>
          </w:tcPr>
          <w:p>
            <w:pPr>
              <w:pStyle w:val="31"/>
              <w:spacing w:before="136"/>
              <w:ind w:left="100" w:right="94"/>
              <w:rPr>
                <w:sz w:val="21"/>
              </w:rPr>
            </w:pPr>
          </w:p>
        </w:tc>
        <w:tc>
          <w:tcPr>
            <w:tcW w:w="1681" w:type="dxa"/>
            <w:vMerge w:val="continue"/>
            <w:tcBorders>
              <w:top w:val="nil"/>
            </w:tcBorders>
          </w:tcPr>
          <w:p>
            <w:pPr>
              <w:pStyle w:val="31"/>
              <w:spacing w:before="136"/>
              <w:ind w:left="100" w:right="94"/>
              <w:rPr>
                <w:sz w:val="21"/>
              </w:rPr>
            </w:pPr>
          </w:p>
        </w:tc>
        <w:tc>
          <w:tcPr>
            <w:tcW w:w="5461" w:type="dxa"/>
          </w:tcPr>
          <w:p>
            <w:pPr>
              <w:pStyle w:val="31"/>
              <w:spacing w:before="136"/>
              <w:ind w:left="100" w:right="94"/>
              <w:rPr>
                <w:sz w:val="21"/>
              </w:rPr>
            </w:pPr>
            <w:r>
              <w:rPr>
                <w:sz w:val="21"/>
              </w:rPr>
              <w:t>涉及废水产生或外排，但不符合上述 2）中任意一条要求</w:t>
            </w:r>
          </w:p>
          <w:p>
            <w:pPr>
              <w:pStyle w:val="31"/>
              <w:spacing w:before="136"/>
              <w:ind w:left="100" w:right="94"/>
              <w:rPr>
                <w:sz w:val="21"/>
              </w:rPr>
            </w:pPr>
            <w:r>
              <w:rPr>
                <w:sz w:val="21"/>
              </w:rPr>
              <w:t>的。</w:t>
            </w:r>
          </w:p>
        </w:tc>
        <w:tc>
          <w:tcPr>
            <w:tcW w:w="759" w:type="dxa"/>
          </w:tcPr>
          <w:p>
            <w:pPr>
              <w:pStyle w:val="31"/>
              <w:spacing w:before="136"/>
              <w:ind w:left="100" w:right="94"/>
              <w:rPr>
                <w:sz w:val="21"/>
              </w:rPr>
            </w:pPr>
            <w:r>
              <w:rPr>
                <w:sz w:val="21"/>
              </w:rPr>
              <w:t>8</w:t>
            </w: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1621" w:type="dxa"/>
            <w:vMerge w:val="continue"/>
            <w:tcBorders>
              <w:top w:val="nil"/>
            </w:tcBorders>
          </w:tcPr>
          <w:p>
            <w:pPr>
              <w:pStyle w:val="31"/>
              <w:spacing w:before="136"/>
              <w:ind w:left="100" w:right="94"/>
              <w:rPr>
                <w:sz w:val="21"/>
              </w:rPr>
            </w:pPr>
          </w:p>
        </w:tc>
        <w:tc>
          <w:tcPr>
            <w:tcW w:w="1681" w:type="dxa"/>
          </w:tcPr>
          <w:p>
            <w:pPr>
              <w:pStyle w:val="31"/>
              <w:spacing w:before="136"/>
              <w:ind w:left="100" w:right="94"/>
              <w:rPr>
                <w:sz w:val="21"/>
              </w:rPr>
            </w:pPr>
          </w:p>
          <w:p>
            <w:pPr>
              <w:pStyle w:val="31"/>
              <w:spacing w:before="136"/>
              <w:ind w:left="100" w:right="94"/>
              <w:rPr>
                <w:sz w:val="21"/>
              </w:rPr>
            </w:pPr>
            <w:r>
              <w:rPr>
                <w:sz w:val="21"/>
              </w:rPr>
              <w:t>毒性气体泄漏紧急处置装置</w:t>
            </w:r>
          </w:p>
        </w:tc>
        <w:tc>
          <w:tcPr>
            <w:tcW w:w="5461" w:type="dxa"/>
          </w:tcPr>
          <w:p>
            <w:pPr>
              <w:pStyle w:val="31"/>
              <w:spacing w:before="136"/>
              <w:ind w:left="100" w:right="94"/>
              <w:rPr>
                <w:sz w:val="21"/>
              </w:rPr>
            </w:pPr>
            <w:r>
              <w:rPr>
                <w:sz w:val="21"/>
              </w:rPr>
              <w:t>1）不涉及有毒有害气体的；或</w:t>
            </w:r>
          </w:p>
          <w:p>
            <w:pPr>
              <w:pStyle w:val="31"/>
              <w:spacing w:before="136"/>
              <w:ind w:left="100" w:right="94"/>
              <w:rPr>
                <w:sz w:val="21"/>
              </w:rPr>
            </w:pPr>
            <w:r>
              <w:rPr>
                <w:sz w:val="21"/>
              </w:rPr>
              <w:t>2）根据实际情况，具有针对有毒有害气体（如硫化氢、氰化氢、氯化氢、光气、氯气、氨气、苯等）的泄漏紧急</w:t>
            </w:r>
          </w:p>
          <w:p>
            <w:pPr>
              <w:pStyle w:val="31"/>
              <w:spacing w:before="136"/>
              <w:ind w:left="100" w:right="94"/>
              <w:rPr>
                <w:sz w:val="21"/>
              </w:rPr>
            </w:pPr>
            <w:r>
              <w:rPr>
                <w:sz w:val="21"/>
              </w:rPr>
              <w:t>处置措施。</w:t>
            </w:r>
          </w:p>
        </w:tc>
        <w:tc>
          <w:tcPr>
            <w:tcW w:w="759" w:type="dxa"/>
          </w:tcPr>
          <w:p>
            <w:pPr>
              <w:pStyle w:val="31"/>
              <w:spacing w:before="136"/>
              <w:ind w:left="100" w:right="94"/>
              <w:rPr>
                <w:sz w:val="21"/>
              </w:rPr>
            </w:pPr>
          </w:p>
          <w:p>
            <w:pPr>
              <w:pStyle w:val="31"/>
              <w:spacing w:before="136"/>
              <w:ind w:left="100" w:right="94"/>
              <w:rPr>
                <w:sz w:val="21"/>
              </w:rPr>
            </w:pPr>
            <w:r>
              <w:rPr>
                <w:sz w:val="21"/>
              </w:rPr>
              <w:t>0</w:t>
            </w:r>
          </w:p>
        </w:tc>
        <w:tc>
          <w:tcPr>
            <w:tcW w:w="3871" w:type="dxa"/>
          </w:tcPr>
          <w:p>
            <w:pPr>
              <w:pStyle w:val="31"/>
              <w:spacing w:before="136"/>
              <w:ind w:left="100" w:right="94"/>
              <w:rPr>
                <w:sz w:val="21"/>
              </w:rPr>
            </w:pPr>
          </w:p>
          <w:p>
            <w:pPr>
              <w:pStyle w:val="31"/>
              <w:spacing w:before="136"/>
              <w:ind w:left="100" w:right="94"/>
              <w:rPr>
                <w:sz w:val="21"/>
              </w:rPr>
            </w:pPr>
            <w:r>
              <w:rPr>
                <w:sz w:val="21"/>
              </w:rPr>
              <w:t>不涉及有毒有害气体</w:t>
            </w:r>
          </w:p>
        </w:tc>
        <w:tc>
          <w:tcPr>
            <w:tcW w:w="962" w:type="dxa"/>
          </w:tcPr>
          <w:p>
            <w:pPr>
              <w:pStyle w:val="31"/>
              <w:spacing w:before="136"/>
              <w:ind w:left="100" w:right="94"/>
              <w:rPr>
                <w:sz w:val="21"/>
              </w:rPr>
            </w:pPr>
          </w:p>
          <w:p>
            <w:pPr>
              <w:pStyle w:val="31"/>
              <w:spacing w:before="136"/>
              <w:ind w:left="100" w:right="94"/>
              <w:rPr>
                <w:sz w:val="21"/>
              </w:rPr>
            </w:pPr>
            <w:r>
              <w:rPr>
                <w:sz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621" w:type="dxa"/>
          </w:tcPr>
          <w:p>
            <w:pPr>
              <w:pStyle w:val="31"/>
              <w:spacing w:before="136"/>
              <w:ind w:left="100" w:right="94"/>
              <w:rPr>
                <w:sz w:val="21"/>
              </w:rPr>
            </w:pPr>
            <w:r>
              <w:rPr>
                <w:sz w:val="21"/>
              </w:rPr>
              <w:t>评估指标</w:t>
            </w:r>
          </w:p>
        </w:tc>
        <w:tc>
          <w:tcPr>
            <w:tcW w:w="7142" w:type="dxa"/>
            <w:gridSpan w:val="2"/>
          </w:tcPr>
          <w:p>
            <w:pPr>
              <w:pStyle w:val="31"/>
              <w:spacing w:before="136"/>
              <w:ind w:left="100" w:right="94"/>
              <w:rPr>
                <w:sz w:val="21"/>
              </w:rPr>
            </w:pPr>
            <w:r>
              <w:rPr>
                <w:sz w:val="21"/>
              </w:rPr>
              <w:t>评估依据</w:t>
            </w:r>
          </w:p>
        </w:tc>
        <w:tc>
          <w:tcPr>
            <w:tcW w:w="759" w:type="dxa"/>
          </w:tcPr>
          <w:p>
            <w:pPr>
              <w:pStyle w:val="31"/>
              <w:spacing w:before="136"/>
              <w:ind w:left="100" w:right="94"/>
              <w:rPr>
                <w:sz w:val="21"/>
              </w:rPr>
            </w:pPr>
            <w:r>
              <w:rPr>
                <w:sz w:val="21"/>
              </w:rPr>
              <w:t>分值</w:t>
            </w:r>
          </w:p>
        </w:tc>
        <w:tc>
          <w:tcPr>
            <w:tcW w:w="3871" w:type="dxa"/>
          </w:tcPr>
          <w:p>
            <w:pPr>
              <w:pStyle w:val="31"/>
              <w:spacing w:before="136"/>
              <w:ind w:left="100" w:right="94"/>
              <w:rPr>
                <w:sz w:val="21"/>
              </w:rPr>
            </w:pPr>
            <w:r>
              <w:rPr>
                <w:sz w:val="21"/>
              </w:rPr>
              <w:t>企业实际情况</w:t>
            </w:r>
          </w:p>
        </w:tc>
        <w:tc>
          <w:tcPr>
            <w:tcW w:w="962" w:type="dxa"/>
          </w:tcPr>
          <w:p>
            <w:pPr>
              <w:pStyle w:val="31"/>
              <w:spacing w:before="136"/>
              <w:ind w:left="100" w:right="94"/>
              <w:rPr>
                <w:sz w:val="21"/>
              </w:rPr>
            </w:pPr>
            <w:r>
              <w:rPr>
                <w:sz w:val="21"/>
              </w:rPr>
              <w:t>企业得分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restart"/>
          </w:tcPr>
          <w:p>
            <w:pPr>
              <w:pStyle w:val="31"/>
              <w:spacing w:before="136"/>
              <w:ind w:left="100" w:right="94"/>
              <w:rPr>
                <w:sz w:val="21"/>
              </w:rPr>
            </w:pPr>
          </w:p>
        </w:tc>
        <w:tc>
          <w:tcPr>
            <w:tcW w:w="1681" w:type="dxa"/>
          </w:tcPr>
          <w:p>
            <w:pPr>
              <w:pStyle w:val="31"/>
              <w:spacing w:before="136"/>
              <w:ind w:left="100" w:right="94"/>
              <w:rPr>
                <w:sz w:val="21"/>
              </w:rPr>
            </w:pPr>
          </w:p>
        </w:tc>
        <w:tc>
          <w:tcPr>
            <w:tcW w:w="5461" w:type="dxa"/>
          </w:tcPr>
          <w:p>
            <w:pPr>
              <w:pStyle w:val="31"/>
              <w:spacing w:before="136"/>
              <w:ind w:left="100" w:right="94"/>
              <w:rPr>
                <w:sz w:val="21"/>
              </w:rPr>
            </w:pPr>
            <w:r>
              <w:rPr>
                <w:sz w:val="21"/>
              </w:rPr>
              <w:t>不具备有毒有害气体泄漏紧急处置装置的。</w:t>
            </w:r>
          </w:p>
        </w:tc>
        <w:tc>
          <w:tcPr>
            <w:tcW w:w="759" w:type="dxa"/>
          </w:tcPr>
          <w:p>
            <w:pPr>
              <w:pStyle w:val="31"/>
              <w:spacing w:before="136"/>
              <w:ind w:left="100" w:right="94"/>
              <w:rPr>
                <w:sz w:val="21"/>
              </w:rPr>
            </w:pPr>
            <w:r>
              <w:rPr>
                <w:sz w:val="21"/>
              </w:rPr>
              <w:t>8</w:t>
            </w:r>
          </w:p>
        </w:tc>
        <w:tc>
          <w:tcPr>
            <w:tcW w:w="3871" w:type="dxa"/>
          </w:tcPr>
          <w:p>
            <w:pPr>
              <w:pStyle w:val="31"/>
              <w:spacing w:before="136"/>
              <w:ind w:left="100" w:right="94"/>
              <w:rPr>
                <w:sz w:val="21"/>
              </w:rPr>
            </w:pPr>
          </w:p>
        </w:tc>
        <w:tc>
          <w:tcPr>
            <w:tcW w:w="962" w:type="dxa"/>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1621" w:type="dxa"/>
            <w:vMerge w:val="continue"/>
            <w:tcBorders>
              <w:top w:val="nil"/>
            </w:tcBorders>
          </w:tcPr>
          <w:p>
            <w:pPr>
              <w:pStyle w:val="31"/>
              <w:spacing w:before="136"/>
              <w:ind w:left="100" w:right="94"/>
              <w:rPr>
                <w:sz w:val="21"/>
              </w:rPr>
            </w:pPr>
          </w:p>
        </w:tc>
        <w:tc>
          <w:tcPr>
            <w:tcW w:w="168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毒性气体泄漏监控预警措施</w:t>
            </w:r>
          </w:p>
        </w:tc>
        <w:tc>
          <w:tcPr>
            <w:tcW w:w="5461" w:type="dxa"/>
          </w:tcPr>
          <w:p>
            <w:pPr>
              <w:pStyle w:val="31"/>
              <w:spacing w:before="136"/>
              <w:ind w:left="100" w:right="94"/>
              <w:rPr>
                <w:sz w:val="21"/>
              </w:rPr>
            </w:pPr>
            <w:r>
              <w:rPr>
                <w:sz w:val="21"/>
              </w:rPr>
              <w:t>1）不涉及有毒有害气体泄漏或排放的；或</w:t>
            </w:r>
          </w:p>
          <w:p>
            <w:pPr>
              <w:pStyle w:val="31"/>
              <w:spacing w:before="136"/>
              <w:ind w:left="100" w:right="94"/>
              <w:rPr>
                <w:sz w:val="21"/>
              </w:rPr>
            </w:pPr>
            <w:r>
              <w:rPr>
                <w:sz w:val="21"/>
              </w:rPr>
              <w:t>2）根据实际情况，具有针对有毒有害气体（如硫化氢、</w:t>
            </w:r>
          </w:p>
          <w:p>
            <w:pPr>
              <w:pStyle w:val="31"/>
              <w:spacing w:before="136"/>
              <w:ind w:left="100" w:right="94"/>
              <w:rPr>
                <w:sz w:val="21"/>
              </w:rPr>
            </w:pPr>
            <w:r>
              <w:rPr>
                <w:sz w:val="21"/>
              </w:rPr>
              <w:t>氰化氢、氯化氢、光气、氯气、氨气、苯等）设置生产区 域或厂界泄漏监控预警措施。</w:t>
            </w:r>
          </w:p>
        </w:tc>
        <w:tc>
          <w:tcPr>
            <w:tcW w:w="759" w:type="dxa"/>
          </w:tcPr>
          <w:p>
            <w:pPr>
              <w:pStyle w:val="31"/>
              <w:spacing w:before="136"/>
              <w:ind w:left="100" w:right="94"/>
              <w:rPr>
                <w:sz w:val="21"/>
              </w:rPr>
            </w:pPr>
          </w:p>
          <w:p>
            <w:pPr>
              <w:pStyle w:val="31"/>
              <w:spacing w:before="136"/>
              <w:ind w:left="100" w:right="94"/>
              <w:rPr>
                <w:sz w:val="21"/>
              </w:rPr>
            </w:pPr>
            <w:r>
              <w:rPr>
                <w:sz w:val="21"/>
              </w:rPr>
              <w:t>0</w:t>
            </w:r>
          </w:p>
        </w:tc>
        <w:tc>
          <w:tcPr>
            <w:tcW w:w="387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不涉及有毒有害气体泄漏或排放</w:t>
            </w:r>
          </w:p>
        </w:tc>
        <w:tc>
          <w:tcPr>
            <w:tcW w:w="962"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pStyle w:val="31"/>
              <w:spacing w:before="136"/>
              <w:ind w:left="100" w:right="94"/>
              <w:rPr>
                <w:sz w:val="21"/>
              </w:rPr>
            </w:pPr>
          </w:p>
        </w:tc>
        <w:tc>
          <w:tcPr>
            <w:tcW w:w="1681" w:type="dxa"/>
            <w:vMerge w:val="continue"/>
            <w:tcBorders>
              <w:top w:val="nil"/>
            </w:tcBorders>
          </w:tcPr>
          <w:p>
            <w:pPr>
              <w:pStyle w:val="31"/>
              <w:spacing w:before="136"/>
              <w:ind w:left="100" w:right="94"/>
              <w:rPr>
                <w:sz w:val="21"/>
              </w:rPr>
            </w:pPr>
          </w:p>
        </w:tc>
        <w:tc>
          <w:tcPr>
            <w:tcW w:w="5461" w:type="dxa"/>
          </w:tcPr>
          <w:p>
            <w:pPr>
              <w:pStyle w:val="31"/>
              <w:spacing w:before="136"/>
              <w:ind w:left="100" w:right="94"/>
              <w:rPr>
                <w:sz w:val="21"/>
              </w:rPr>
            </w:pPr>
            <w:r>
              <w:rPr>
                <w:sz w:val="21"/>
              </w:rPr>
              <w:t>不具备生产区域或厂界毒性气体泄漏监控预警措施的。</w:t>
            </w:r>
          </w:p>
        </w:tc>
        <w:tc>
          <w:tcPr>
            <w:tcW w:w="759" w:type="dxa"/>
          </w:tcPr>
          <w:p>
            <w:pPr>
              <w:pStyle w:val="31"/>
              <w:spacing w:before="136"/>
              <w:ind w:left="100" w:right="94"/>
              <w:rPr>
                <w:sz w:val="21"/>
              </w:rPr>
            </w:pPr>
            <w:r>
              <w:rPr>
                <w:sz w:val="21"/>
              </w:rPr>
              <w:t>4</w:t>
            </w: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621" w:type="dxa"/>
            <w:vMerge w:val="continue"/>
            <w:tcBorders>
              <w:top w:val="nil"/>
            </w:tcBorders>
          </w:tcPr>
          <w:p>
            <w:pPr>
              <w:pStyle w:val="31"/>
              <w:spacing w:before="136"/>
              <w:ind w:left="100" w:right="94"/>
              <w:rPr>
                <w:sz w:val="21"/>
              </w:rPr>
            </w:pPr>
          </w:p>
        </w:tc>
        <w:tc>
          <w:tcPr>
            <w:tcW w:w="1681" w:type="dxa"/>
            <w:vMerge w:val="restart"/>
          </w:tcPr>
          <w:p>
            <w:pPr>
              <w:pStyle w:val="31"/>
              <w:spacing w:before="136"/>
              <w:ind w:left="100" w:right="94"/>
              <w:rPr>
                <w:sz w:val="21"/>
              </w:rPr>
            </w:pPr>
          </w:p>
          <w:p>
            <w:pPr>
              <w:pStyle w:val="31"/>
              <w:spacing w:before="136"/>
              <w:ind w:left="100" w:right="94"/>
              <w:rPr>
                <w:sz w:val="21"/>
              </w:rPr>
            </w:pPr>
            <w:r>
              <w:rPr>
                <w:sz w:val="21"/>
              </w:rPr>
              <w:t>环评批复的其它风险防控措施落实情况</w:t>
            </w:r>
          </w:p>
        </w:tc>
        <w:tc>
          <w:tcPr>
            <w:tcW w:w="5461" w:type="dxa"/>
          </w:tcPr>
          <w:p>
            <w:pPr>
              <w:pStyle w:val="31"/>
              <w:spacing w:before="136"/>
              <w:ind w:left="100" w:right="94"/>
              <w:rPr>
                <w:sz w:val="21"/>
              </w:rPr>
            </w:pPr>
            <w:r>
              <w:rPr>
                <w:sz w:val="21"/>
              </w:rPr>
              <w:t>按环评及批复文件的要求建设环境风险防控设施的</w:t>
            </w:r>
          </w:p>
        </w:tc>
        <w:tc>
          <w:tcPr>
            <w:tcW w:w="759" w:type="dxa"/>
          </w:tcPr>
          <w:p>
            <w:pPr>
              <w:pStyle w:val="31"/>
              <w:spacing w:before="136"/>
              <w:ind w:left="100" w:right="94"/>
              <w:rPr>
                <w:sz w:val="21"/>
              </w:rPr>
            </w:pPr>
            <w:r>
              <w:rPr>
                <w:sz w:val="21"/>
              </w:rPr>
              <w:t>0</w:t>
            </w:r>
          </w:p>
        </w:tc>
        <w:tc>
          <w:tcPr>
            <w:tcW w:w="3871" w:type="dxa"/>
            <w:vMerge w:val="restart"/>
          </w:tcPr>
          <w:p>
            <w:pPr>
              <w:pStyle w:val="31"/>
              <w:spacing w:before="136"/>
              <w:ind w:left="100" w:right="94"/>
              <w:rPr>
                <w:sz w:val="21"/>
              </w:rPr>
            </w:pPr>
          </w:p>
          <w:p>
            <w:pPr>
              <w:pStyle w:val="31"/>
              <w:spacing w:before="136"/>
              <w:ind w:left="100" w:right="94"/>
              <w:rPr>
                <w:sz w:val="21"/>
              </w:rPr>
            </w:pPr>
            <w:r>
              <w:rPr>
                <w:sz w:val="21"/>
              </w:rPr>
              <w:t>已落实环评及批复文件中建设环境风险防控设施要求</w:t>
            </w:r>
          </w:p>
        </w:tc>
        <w:tc>
          <w:tcPr>
            <w:tcW w:w="962"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1621" w:type="dxa"/>
            <w:vMerge w:val="continue"/>
            <w:tcBorders>
              <w:top w:val="nil"/>
            </w:tcBorders>
          </w:tcPr>
          <w:p>
            <w:pPr>
              <w:pStyle w:val="31"/>
              <w:spacing w:before="136"/>
              <w:ind w:left="100" w:right="94"/>
              <w:rPr>
                <w:sz w:val="21"/>
              </w:rPr>
            </w:pPr>
          </w:p>
        </w:tc>
        <w:tc>
          <w:tcPr>
            <w:tcW w:w="1681" w:type="dxa"/>
            <w:vMerge w:val="continue"/>
            <w:tcBorders>
              <w:top w:val="nil"/>
            </w:tcBorders>
          </w:tcPr>
          <w:p>
            <w:pPr>
              <w:pStyle w:val="31"/>
              <w:spacing w:before="136"/>
              <w:ind w:left="100" w:right="94"/>
              <w:rPr>
                <w:sz w:val="21"/>
              </w:rPr>
            </w:pPr>
          </w:p>
        </w:tc>
        <w:tc>
          <w:tcPr>
            <w:tcW w:w="5461" w:type="dxa"/>
          </w:tcPr>
          <w:p>
            <w:pPr>
              <w:pStyle w:val="31"/>
              <w:spacing w:before="136"/>
              <w:ind w:left="100" w:right="94"/>
              <w:rPr>
                <w:sz w:val="21"/>
              </w:rPr>
            </w:pPr>
          </w:p>
          <w:p>
            <w:pPr>
              <w:pStyle w:val="31"/>
              <w:spacing w:before="136"/>
              <w:ind w:left="100" w:right="94"/>
              <w:rPr>
                <w:sz w:val="21"/>
              </w:rPr>
            </w:pPr>
            <w:r>
              <w:rPr>
                <w:sz w:val="21"/>
              </w:rPr>
              <w:t>未落实环评及批复文件中建设环境风险防控设施要求的</w:t>
            </w:r>
          </w:p>
        </w:tc>
        <w:tc>
          <w:tcPr>
            <w:tcW w:w="759" w:type="dxa"/>
          </w:tcPr>
          <w:p>
            <w:pPr>
              <w:pStyle w:val="31"/>
              <w:spacing w:before="136"/>
              <w:ind w:left="100" w:right="94"/>
              <w:rPr>
                <w:sz w:val="21"/>
              </w:rPr>
            </w:pPr>
          </w:p>
          <w:p>
            <w:pPr>
              <w:pStyle w:val="31"/>
              <w:spacing w:before="136"/>
              <w:ind w:left="100" w:right="94"/>
              <w:rPr>
                <w:sz w:val="21"/>
              </w:rPr>
            </w:pPr>
            <w:r>
              <w:rPr>
                <w:sz w:val="21"/>
              </w:rPr>
              <w:t>10</w:t>
            </w: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企业废水排放去向</w:t>
            </w:r>
          </w:p>
        </w:tc>
        <w:tc>
          <w:tcPr>
            <w:tcW w:w="7142" w:type="dxa"/>
            <w:gridSpan w:val="2"/>
          </w:tcPr>
          <w:p>
            <w:pPr>
              <w:pStyle w:val="31"/>
              <w:spacing w:before="136"/>
              <w:ind w:left="100" w:right="94"/>
              <w:rPr>
                <w:sz w:val="21"/>
              </w:rPr>
            </w:pPr>
            <w:r>
              <w:rPr>
                <w:sz w:val="21"/>
              </w:rPr>
              <w:t>不产生废水</w:t>
            </w:r>
          </w:p>
        </w:tc>
        <w:tc>
          <w:tcPr>
            <w:tcW w:w="759" w:type="dxa"/>
          </w:tcPr>
          <w:p>
            <w:pPr>
              <w:pStyle w:val="31"/>
              <w:spacing w:before="136"/>
              <w:ind w:left="100" w:right="94"/>
              <w:rPr>
                <w:sz w:val="21"/>
              </w:rPr>
            </w:pPr>
            <w:r>
              <w:rPr>
                <w:sz w:val="21"/>
              </w:rPr>
              <w:t>0</w:t>
            </w:r>
          </w:p>
        </w:tc>
        <w:tc>
          <w:tcPr>
            <w:tcW w:w="3871"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生产废水收集后经污水处理站处理，再经污水管网送</w:t>
            </w:r>
            <w:r>
              <w:rPr>
                <w:rFonts w:hint="eastAsia"/>
                <w:sz w:val="21"/>
                <w:lang w:eastAsia="zh-CN"/>
              </w:rPr>
              <w:t>园区</w:t>
            </w:r>
            <w:r>
              <w:rPr>
                <w:sz w:val="21"/>
              </w:rPr>
              <w:t>污水处理厂处理； 生活废水经化粪池处理达标后回用，不外排</w:t>
            </w:r>
          </w:p>
        </w:tc>
        <w:tc>
          <w:tcPr>
            <w:tcW w:w="962"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pStyle w:val="31"/>
              <w:spacing w:before="136"/>
              <w:ind w:left="100" w:right="94"/>
              <w:rPr>
                <w:sz w:val="21"/>
              </w:rPr>
            </w:pPr>
          </w:p>
        </w:tc>
        <w:tc>
          <w:tcPr>
            <w:tcW w:w="7142" w:type="dxa"/>
            <w:gridSpan w:val="2"/>
          </w:tcPr>
          <w:p>
            <w:pPr>
              <w:pStyle w:val="31"/>
              <w:spacing w:before="136"/>
              <w:ind w:left="100" w:right="94"/>
              <w:rPr>
                <w:sz w:val="21"/>
              </w:rPr>
            </w:pPr>
            <w:r>
              <w:rPr>
                <w:sz w:val="21"/>
              </w:rPr>
              <w:t>进入城市污水处理厂或工业废水集中处理厂</w:t>
            </w:r>
          </w:p>
        </w:tc>
        <w:tc>
          <w:tcPr>
            <w:tcW w:w="759" w:type="dxa"/>
            <w:vMerge w:val="restart"/>
          </w:tcPr>
          <w:p>
            <w:pPr>
              <w:pStyle w:val="31"/>
              <w:spacing w:before="136"/>
              <w:ind w:left="100" w:right="94"/>
              <w:rPr>
                <w:sz w:val="21"/>
              </w:rPr>
            </w:pPr>
          </w:p>
          <w:p>
            <w:pPr>
              <w:pStyle w:val="31"/>
              <w:spacing w:before="136"/>
              <w:ind w:left="100" w:right="94"/>
              <w:rPr>
                <w:sz w:val="21"/>
              </w:rPr>
            </w:pPr>
          </w:p>
          <w:p>
            <w:pPr>
              <w:pStyle w:val="31"/>
              <w:spacing w:before="136"/>
              <w:ind w:left="100" w:right="94"/>
              <w:rPr>
                <w:sz w:val="21"/>
              </w:rPr>
            </w:pPr>
            <w:r>
              <w:rPr>
                <w:sz w:val="21"/>
              </w:rPr>
              <w:t>7</w:t>
            </w: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621" w:type="dxa"/>
            <w:vMerge w:val="continue"/>
            <w:tcBorders>
              <w:top w:val="nil"/>
            </w:tcBorders>
          </w:tcPr>
          <w:p>
            <w:pPr>
              <w:pStyle w:val="31"/>
              <w:spacing w:before="136"/>
              <w:ind w:left="100" w:right="94"/>
              <w:rPr>
                <w:sz w:val="21"/>
              </w:rPr>
            </w:pPr>
          </w:p>
        </w:tc>
        <w:tc>
          <w:tcPr>
            <w:tcW w:w="7142" w:type="dxa"/>
            <w:gridSpan w:val="2"/>
          </w:tcPr>
          <w:p>
            <w:pPr>
              <w:pStyle w:val="31"/>
              <w:spacing w:before="136"/>
              <w:ind w:left="100" w:right="94"/>
              <w:rPr>
                <w:sz w:val="21"/>
              </w:rPr>
            </w:pPr>
            <w:r>
              <w:rPr>
                <w:sz w:val="21"/>
              </w:rPr>
              <w:t>进入其它单位</w:t>
            </w:r>
          </w:p>
        </w:tc>
        <w:tc>
          <w:tcPr>
            <w:tcW w:w="759" w:type="dxa"/>
            <w:vMerge w:val="continue"/>
            <w:tcBorders>
              <w:top w:val="nil"/>
            </w:tcBorders>
          </w:tcPr>
          <w:p>
            <w:pPr>
              <w:pStyle w:val="31"/>
              <w:spacing w:before="136"/>
              <w:ind w:left="100" w:right="94"/>
              <w:rPr>
                <w:sz w:val="21"/>
              </w:rPr>
            </w:pP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pStyle w:val="31"/>
              <w:spacing w:before="136"/>
              <w:ind w:left="100" w:right="94"/>
              <w:rPr>
                <w:sz w:val="21"/>
              </w:rPr>
            </w:pPr>
          </w:p>
        </w:tc>
        <w:tc>
          <w:tcPr>
            <w:tcW w:w="7142" w:type="dxa"/>
            <w:gridSpan w:val="2"/>
          </w:tcPr>
          <w:p>
            <w:pPr>
              <w:pStyle w:val="31"/>
              <w:spacing w:before="136"/>
              <w:ind w:left="100" w:right="94"/>
              <w:rPr>
                <w:sz w:val="21"/>
              </w:rPr>
            </w:pPr>
            <w:r>
              <w:rPr>
                <w:sz w:val="21"/>
              </w:rPr>
              <w:t>其它（包括回喷、回灌、回用等）</w:t>
            </w:r>
          </w:p>
        </w:tc>
        <w:tc>
          <w:tcPr>
            <w:tcW w:w="759" w:type="dxa"/>
            <w:vMerge w:val="continue"/>
            <w:tcBorders>
              <w:top w:val="nil"/>
            </w:tcBorders>
          </w:tcPr>
          <w:p>
            <w:pPr>
              <w:pStyle w:val="31"/>
              <w:spacing w:before="136"/>
              <w:ind w:left="100" w:right="94"/>
              <w:rPr>
                <w:sz w:val="21"/>
              </w:rPr>
            </w:pP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621" w:type="dxa"/>
            <w:vMerge w:val="continue"/>
            <w:tcBorders>
              <w:top w:val="nil"/>
            </w:tcBorders>
          </w:tcPr>
          <w:p>
            <w:pPr>
              <w:pStyle w:val="31"/>
              <w:spacing w:before="136"/>
              <w:ind w:left="100" w:right="94"/>
              <w:rPr>
                <w:sz w:val="21"/>
              </w:rPr>
            </w:pPr>
          </w:p>
        </w:tc>
        <w:tc>
          <w:tcPr>
            <w:tcW w:w="7142" w:type="dxa"/>
            <w:gridSpan w:val="2"/>
          </w:tcPr>
          <w:p>
            <w:pPr>
              <w:pStyle w:val="31"/>
              <w:spacing w:before="136"/>
              <w:ind w:left="100" w:right="94"/>
              <w:rPr>
                <w:sz w:val="21"/>
              </w:rPr>
            </w:pPr>
            <w:r>
              <w:rPr>
                <w:sz w:val="21"/>
              </w:rPr>
              <w:t>直接进入海域或江河、湖、库等水环境</w:t>
            </w:r>
          </w:p>
        </w:tc>
        <w:tc>
          <w:tcPr>
            <w:tcW w:w="759" w:type="dxa"/>
            <w:vMerge w:val="restart"/>
          </w:tcPr>
          <w:p>
            <w:pPr>
              <w:pStyle w:val="31"/>
              <w:spacing w:before="136"/>
              <w:ind w:left="100" w:right="94"/>
              <w:rPr>
                <w:sz w:val="21"/>
              </w:rPr>
            </w:pPr>
          </w:p>
          <w:p>
            <w:pPr>
              <w:pStyle w:val="31"/>
              <w:spacing w:before="136"/>
              <w:ind w:left="100" w:right="94"/>
              <w:rPr>
                <w:sz w:val="21"/>
              </w:rPr>
            </w:pPr>
            <w:r>
              <w:rPr>
                <w:sz w:val="21"/>
              </w:rPr>
              <w:t>10</w:t>
            </w: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621" w:type="dxa"/>
            <w:vMerge w:val="continue"/>
            <w:tcBorders>
              <w:top w:val="nil"/>
            </w:tcBorders>
          </w:tcPr>
          <w:p>
            <w:pPr>
              <w:pStyle w:val="31"/>
              <w:spacing w:before="136"/>
              <w:ind w:left="100" w:right="94"/>
              <w:rPr>
                <w:sz w:val="21"/>
              </w:rPr>
            </w:pPr>
          </w:p>
        </w:tc>
        <w:tc>
          <w:tcPr>
            <w:tcW w:w="7142" w:type="dxa"/>
            <w:gridSpan w:val="2"/>
          </w:tcPr>
          <w:p>
            <w:pPr>
              <w:pStyle w:val="31"/>
              <w:spacing w:before="136"/>
              <w:ind w:left="100" w:right="94"/>
              <w:rPr>
                <w:sz w:val="21"/>
              </w:rPr>
            </w:pPr>
            <w:r>
              <w:rPr>
                <w:sz w:val="21"/>
              </w:rPr>
              <w:t>进入城市下水道再入江河湖库或进入城市下水道再入沿海海域</w:t>
            </w:r>
          </w:p>
        </w:tc>
        <w:tc>
          <w:tcPr>
            <w:tcW w:w="759" w:type="dxa"/>
            <w:vMerge w:val="continue"/>
            <w:tcBorders>
              <w:top w:val="nil"/>
            </w:tcBorders>
          </w:tcPr>
          <w:p>
            <w:pPr>
              <w:pStyle w:val="31"/>
              <w:spacing w:before="136"/>
              <w:ind w:left="100" w:right="94"/>
              <w:rPr>
                <w:sz w:val="21"/>
              </w:rPr>
            </w:pP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621" w:type="dxa"/>
            <w:vMerge w:val="continue"/>
            <w:tcBorders>
              <w:top w:val="nil"/>
            </w:tcBorders>
          </w:tcPr>
          <w:p>
            <w:pPr>
              <w:pStyle w:val="31"/>
              <w:spacing w:before="136"/>
              <w:ind w:left="100" w:right="94"/>
              <w:rPr>
                <w:sz w:val="21"/>
              </w:rPr>
            </w:pPr>
          </w:p>
        </w:tc>
        <w:tc>
          <w:tcPr>
            <w:tcW w:w="7142" w:type="dxa"/>
            <w:gridSpan w:val="2"/>
          </w:tcPr>
          <w:p>
            <w:pPr>
              <w:pStyle w:val="31"/>
              <w:spacing w:before="136"/>
              <w:ind w:left="100" w:right="94"/>
              <w:rPr>
                <w:sz w:val="21"/>
              </w:rPr>
            </w:pPr>
            <w:r>
              <w:rPr>
                <w:sz w:val="21"/>
              </w:rPr>
              <w:t>直接进入污灌农田或进入地渗或蒸发地</w:t>
            </w:r>
          </w:p>
        </w:tc>
        <w:tc>
          <w:tcPr>
            <w:tcW w:w="759" w:type="dxa"/>
            <w:vMerge w:val="continue"/>
            <w:tcBorders>
              <w:top w:val="nil"/>
            </w:tcBorders>
          </w:tcPr>
          <w:p>
            <w:pPr>
              <w:pStyle w:val="31"/>
              <w:spacing w:before="136"/>
              <w:ind w:left="100" w:right="94"/>
              <w:rPr>
                <w:sz w:val="21"/>
              </w:rPr>
            </w:pPr>
          </w:p>
        </w:tc>
        <w:tc>
          <w:tcPr>
            <w:tcW w:w="3871" w:type="dxa"/>
            <w:vMerge w:val="continue"/>
            <w:tcBorders>
              <w:top w:val="nil"/>
            </w:tcBorders>
          </w:tcPr>
          <w:p>
            <w:pPr>
              <w:pStyle w:val="31"/>
              <w:spacing w:before="136"/>
              <w:ind w:left="100" w:right="94"/>
              <w:rPr>
                <w:sz w:val="21"/>
              </w:rPr>
            </w:pPr>
          </w:p>
        </w:tc>
        <w:tc>
          <w:tcPr>
            <w:tcW w:w="962" w:type="dxa"/>
            <w:vMerge w:val="continue"/>
            <w:tcBorders>
              <w:top w:val="nil"/>
            </w:tcBorders>
          </w:tcPr>
          <w:p>
            <w:pPr>
              <w:pStyle w:val="31"/>
              <w:spacing w:before="136"/>
              <w:ind w:left="100" w:right="9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3393" w:type="dxa"/>
            <w:gridSpan w:val="5"/>
          </w:tcPr>
          <w:p>
            <w:pPr>
              <w:pStyle w:val="31"/>
              <w:spacing w:before="136"/>
              <w:ind w:left="100" w:right="94"/>
              <w:rPr>
                <w:sz w:val="21"/>
              </w:rPr>
            </w:pPr>
            <w:r>
              <w:rPr>
                <w:sz w:val="21"/>
              </w:rPr>
              <w:t>企业 M 值</w:t>
            </w:r>
          </w:p>
        </w:tc>
        <w:tc>
          <w:tcPr>
            <w:tcW w:w="962" w:type="dxa"/>
          </w:tcPr>
          <w:p>
            <w:pPr>
              <w:pStyle w:val="31"/>
              <w:spacing w:before="136"/>
              <w:ind w:left="100" w:right="94"/>
              <w:rPr>
                <w:sz w:val="21"/>
              </w:rPr>
            </w:pPr>
            <w:r>
              <w:rPr>
                <w:sz w:val="21"/>
              </w:rPr>
              <w:t>15</w:t>
            </w:r>
          </w:p>
        </w:tc>
      </w:tr>
    </w:tbl>
    <w:p>
      <w:pPr>
        <w:spacing w:after="0"/>
        <w:rPr>
          <w:sz w:val="21"/>
        </w:rPr>
        <w:sectPr>
          <w:pgSz w:w="16840" w:h="11920" w:orient="landscape"/>
          <w:pgMar w:top="1180" w:right="1140" w:bottom="920" w:left="1100" w:header="905" w:footer="721" w:gutter="0"/>
          <w:pgBorders>
            <w:top w:val="none" w:sz="0" w:space="0"/>
            <w:left w:val="none" w:sz="0" w:space="0"/>
            <w:bottom w:val="none" w:sz="0" w:space="0"/>
            <w:right w:val="none" w:sz="0" w:space="0"/>
          </w:pgBorders>
          <w:cols w:space="720" w:num="1"/>
        </w:sectPr>
      </w:pPr>
    </w:p>
    <w:p>
      <w:pPr>
        <w:pStyle w:val="30"/>
        <w:numPr>
          <w:ilvl w:val="2"/>
          <w:numId w:val="14"/>
        </w:numPr>
        <w:tabs>
          <w:tab w:val="left" w:pos="800"/>
        </w:tabs>
        <w:spacing w:before="64" w:after="0" w:line="240" w:lineRule="auto"/>
        <w:ind w:left="800" w:right="0" w:hanging="540"/>
        <w:jc w:val="both"/>
        <w:rPr>
          <w:b/>
          <w:sz w:val="24"/>
        </w:rPr>
      </w:pPr>
      <w:bookmarkStart w:id="155" w:name="_bookmark35"/>
      <w:bookmarkEnd w:id="155"/>
      <w:bookmarkStart w:id="156" w:name="_bookmark35"/>
      <w:bookmarkEnd w:id="156"/>
      <w:bookmarkStart w:id="157" w:name="3.3.3环境风险受体敏感性(E)评估"/>
      <w:bookmarkEnd w:id="157"/>
      <w:r>
        <w:rPr>
          <w:b/>
          <w:sz w:val="24"/>
        </w:rPr>
        <w:t>环境风险受体敏感性</w:t>
      </w:r>
      <w:r>
        <w:rPr>
          <w:rFonts w:ascii="Times New Roman" w:eastAsia="Times New Roman"/>
          <w:b/>
          <w:sz w:val="24"/>
        </w:rPr>
        <w:t>(E)</w:t>
      </w:r>
      <w:r>
        <w:rPr>
          <w:b/>
          <w:sz w:val="24"/>
        </w:rPr>
        <w:t>评估</w:t>
      </w:r>
    </w:p>
    <w:p>
      <w:pPr>
        <w:pStyle w:val="5"/>
        <w:spacing w:before="206" w:line="364" w:lineRule="auto"/>
        <w:ind w:left="260" w:right="229" w:firstLine="480"/>
        <w:jc w:val="both"/>
      </w:pPr>
      <w:r>
        <w:rPr>
          <w:spacing w:val="-2"/>
        </w:rPr>
        <w:t>根据《企业突发环境事件风险评估指南(试行)》中的规定，按照环境风险受体的敏</w:t>
      </w:r>
      <w:r>
        <w:rPr>
          <w:spacing w:val="-4"/>
        </w:rPr>
        <w:t xml:space="preserve">感程度，将企业周边的环境风险受体分为 </w:t>
      </w:r>
      <w:r>
        <w:t>3</w:t>
      </w:r>
      <w:r>
        <w:rPr>
          <w:spacing w:val="-17"/>
        </w:rPr>
        <w:t xml:space="preserve"> 类，分别以 </w:t>
      </w:r>
      <w:r>
        <w:t>E1、E2</w:t>
      </w:r>
      <w:r>
        <w:rPr>
          <w:spacing w:val="-39"/>
        </w:rPr>
        <w:t xml:space="preserve"> 和 </w:t>
      </w:r>
      <w:r>
        <w:t>E3</w:t>
      </w:r>
      <w:r>
        <w:rPr>
          <w:spacing w:val="-17"/>
        </w:rPr>
        <w:t xml:space="preserve"> 表示，见表 </w:t>
      </w:r>
      <w:r>
        <w:t>3-6</w:t>
      </w:r>
      <w:r>
        <w:rPr>
          <w:spacing w:val="-35"/>
        </w:rPr>
        <w:t xml:space="preserve"> 所</w:t>
      </w:r>
      <w:r>
        <w:t>示：</w:t>
      </w:r>
    </w:p>
    <w:p>
      <w:pPr>
        <w:pStyle w:val="9"/>
        <w:spacing w:before="47" w:after="3"/>
        <w:ind w:left="2698" w:firstLine="0"/>
        <w:jc w:val="both"/>
      </w:pPr>
      <w:r>
        <w:t>表 3-</w:t>
      </w:r>
      <w:r>
        <w:rPr>
          <w:rFonts w:hint="eastAsia"/>
          <w:lang w:val="en-US" w:eastAsia="zh-CN"/>
        </w:rPr>
        <w:t>7</w:t>
      </w:r>
      <w:r>
        <w:t xml:space="preserve">  企业周边环境风险受体情况划分</w:t>
      </w:r>
    </w:p>
    <w:tbl>
      <w:tblPr>
        <w:tblStyle w:val="14"/>
        <w:tblW w:w="9355"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0"/>
        <w:gridCol w:w="79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400" w:type="dxa"/>
            <w:vAlign w:val="center"/>
          </w:tcPr>
          <w:p>
            <w:pPr>
              <w:pStyle w:val="31"/>
              <w:spacing w:line="242" w:lineRule="auto"/>
              <w:ind w:left="106" w:right="-15" w:firstLine="38"/>
              <w:jc w:val="center"/>
              <w:rPr>
                <w:spacing w:val="-8"/>
                <w:sz w:val="21"/>
              </w:rPr>
            </w:pPr>
            <w:r>
              <w:rPr>
                <w:spacing w:val="-8"/>
                <w:sz w:val="21"/>
              </w:rPr>
              <w:t>类别</w:t>
            </w:r>
          </w:p>
        </w:tc>
        <w:tc>
          <w:tcPr>
            <w:tcW w:w="7955" w:type="dxa"/>
            <w:vAlign w:val="center"/>
          </w:tcPr>
          <w:p>
            <w:pPr>
              <w:pStyle w:val="31"/>
              <w:spacing w:line="242" w:lineRule="auto"/>
              <w:ind w:left="106" w:right="-15" w:firstLine="38"/>
              <w:jc w:val="center"/>
              <w:rPr>
                <w:spacing w:val="-8"/>
                <w:sz w:val="21"/>
              </w:rPr>
            </w:pPr>
            <w:r>
              <w:rPr>
                <w:spacing w:val="-8"/>
                <w:sz w:val="21"/>
              </w:rPr>
              <w:t>环境风险受体情况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8" w:hRule="atLeast"/>
        </w:trPr>
        <w:tc>
          <w:tcPr>
            <w:tcW w:w="1400" w:type="dxa"/>
            <w:vAlign w:val="center"/>
          </w:tcPr>
          <w:p>
            <w:pPr>
              <w:pStyle w:val="31"/>
              <w:spacing w:line="242" w:lineRule="auto"/>
              <w:ind w:left="106" w:right="-15" w:firstLine="38"/>
              <w:jc w:val="center"/>
              <w:rPr>
                <w:spacing w:val="-8"/>
                <w:sz w:val="21"/>
              </w:rPr>
            </w:pPr>
          </w:p>
          <w:p>
            <w:pPr>
              <w:pStyle w:val="31"/>
              <w:spacing w:line="242" w:lineRule="auto"/>
              <w:ind w:left="106" w:right="-15" w:firstLine="38"/>
              <w:jc w:val="center"/>
              <w:rPr>
                <w:spacing w:val="-8"/>
                <w:sz w:val="21"/>
              </w:rPr>
            </w:pPr>
          </w:p>
          <w:p>
            <w:pPr>
              <w:pStyle w:val="31"/>
              <w:spacing w:line="242" w:lineRule="auto"/>
              <w:ind w:left="106" w:right="-15" w:firstLine="38"/>
              <w:jc w:val="center"/>
              <w:rPr>
                <w:spacing w:val="-8"/>
                <w:sz w:val="21"/>
              </w:rPr>
            </w:pPr>
          </w:p>
          <w:p>
            <w:pPr>
              <w:pStyle w:val="31"/>
              <w:spacing w:line="242" w:lineRule="auto"/>
              <w:ind w:left="106" w:right="-15" w:firstLine="38"/>
              <w:jc w:val="center"/>
              <w:rPr>
                <w:spacing w:val="-8"/>
                <w:sz w:val="21"/>
              </w:rPr>
            </w:pPr>
          </w:p>
          <w:p>
            <w:pPr>
              <w:pStyle w:val="31"/>
              <w:spacing w:line="242" w:lineRule="auto"/>
              <w:ind w:left="106" w:right="-15" w:firstLine="38"/>
              <w:jc w:val="center"/>
              <w:rPr>
                <w:spacing w:val="-8"/>
                <w:sz w:val="21"/>
              </w:rPr>
            </w:pPr>
          </w:p>
          <w:p>
            <w:pPr>
              <w:pStyle w:val="31"/>
              <w:spacing w:line="242" w:lineRule="auto"/>
              <w:ind w:left="106" w:right="-15" w:firstLine="38"/>
              <w:jc w:val="center"/>
              <w:rPr>
                <w:spacing w:val="-8"/>
                <w:sz w:val="21"/>
              </w:rPr>
            </w:pPr>
            <w:r>
              <w:rPr>
                <w:spacing w:val="-8"/>
                <w:sz w:val="21"/>
              </w:rPr>
              <w:t>类型 1</w:t>
            </w:r>
          </w:p>
          <w:p>
            <w:pPr>
              <w:pStyle w:val="31"/>
              <w:spacing w:line="242" w:lineRule="auto"/>
              <w:ind w:left="106" w:right="-15" w:firstLine="38"/>
              <w:jc w:val="center"/>
              <w:rPr>
                <w:spacing w:val="-8"/>
                <w:sz w:val="21"/>
              </w:rPr>
            </w:pPr>
            <w:r>
              <w:rPr>
                <w:spacing w:val="-8"/>
                <w:sz w:val="21"/>
              </w:rPr>
              <w:t>（E1）</w:t>
            </w:r>
          </w:p>
        </w:tc>
        <w:tc>
          <w:tcPr>
            <w:tcW w:w="7955" w:type="dxa"/>
            <w:vAlign w:val="center"/>
          </w:tcPr>
          <w:p>
            <w:pPr>
              <w:pStyle w:val="31"/>
              <w:spacing w:line="242" w:lineRule="auto"/>
              <w:ind w:left="106" w:right="-15" w:firstLine="38"/>
              <w:jc w:val="center"/>
              <w:rPr>
                <w:spacing w:val="-8"/>
                <w:sz w:val="21"/>
              </w:rPr>
            </w:pPr>
            <w:r>
              <w:rPr>
                <w:spacing w:val="-8"/>
                <w:sz w:val="21"/>
              </w:rPr>
              <w:t>企业雨水排口、清净下水排口、污水排口下游 10 公里范围内有如下一类或多类环境风险受体：乡镇及以上城镇饮用水水源（地表水或地下水）保护区；自来水厂取水口；  水源涵养区；自然保护区；重要湿地；珍稀濒危野生动植物天然集中分布区；重要水生生物的自然产卵场及索饵场、越冬场和洄游通道；风景名胜区；特殊生态系统；世界文化和自然遗产地；红树林、珊瑚礁等滨海湿地生态系统；珍稀、濒危海洋生物的天然集中分布区；海洋特别保护区；海上自然保护区；盐场保护区；海水浴场；海洋自然历史遗迹；或以企业雨水排口（含泄洪渠）、清净下水排口、废水总排口算起， 排水进入受纳河流最大流速时，24 小时流经范围内涉跨国界或省界的；或企业周边现状不满足环评批复的卫生防护距离或大气环境防护距离等要求的；或企业周边半径 5</w:t>
            </w:r>
          </w:p>
          <w:p>
            <w:pPr>
              <w:pStyle w:val="31"/>
              <w:spacing w:line="242" w:lineRule="auto"/>
              <w:ind w:left="106" w:right="-15" w:firstLine="38"/>
              <w:jc w:val="center"/>
              <w:rPr>
                <w:spacing w:val="-8"/>
                <w:sz w:val="21"/>
              </w:rPr>
            </w:pPr>
            <w:r>
              <w:rPr>
                <w:spacing w:val="-8"/>
                <w:sz w:val="21"/>
              </w:rPr>
              <w:t>公里范围内居住区、医疗卫生、文化教育、科研、行政办公等机构人口总数大于 5 万</w:t>
            </w:r>
          </w:p>
          <w:p>
            <w:pPr>
              <w:pStyle w:val="31"/>
              <w:spacing w:line="242" w:lineRule="auto"/>
              <w:ind w:left="106" w:right="-15" w:firstLine="38"/>
              <w:jc w:val="center"/>
              <w:rPr>
                <w:spacing w:val="-8"/>
                <w:sz w:val="21"/>
              </w:rPr>
            </w:pPr>
            <w:r>
              <w:rPr>
                <w:spacing w:val="-8"/>
                <w:sz w:val="21"/>
              </w:rPr>
              <w:t>人，或企业周边半径 500 米范围内人口总数大于 1000 人，或企业周边 5 公里涉及军事禁区、军事管理区、国家相关保密区域；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4" w:hRule="atLeast"/>
        </w:trPr>
        <w:tc>
          <w:tcPr>
            <w:tcW w:w="1400" w:type="dxa"/>
            <w:vAlign w:val="center"/>
          </w:tcPr>
          <w:p>
            <w:pPr>
              <w:pStyle w:val="31"/>
              <w:spacing w:line="242" w:lineRule="auto"/>
              <w:ind w:left="106" w:right="-15" w:firstLine="38"/>
              <w:jc w:val="center"/>
              <w:rPr>
                <w:spacing w:val="-8"/>
                <w:sz w:val="21"/>
              </w:rPr>
            </w:pPr>
          </w:p>
          <w:p>
            <w:pPr>
              <w:pStyle w:val="31"/>
              <w:spacing w:line="242" w:lineRule="auto"/>
              <w:ind w:left="106" w:right="-15" w:firstLine="38"/>
              <w:jc w:val="center"/>
              <w:rPr>
                <w:spacing w:val="-8"/>
                <w:sz w:val="21"/>
              </w:rPr>
            </w:pPr>
          </w:p>
          <w:p>
            <w:pPr>
              <w:pStyle w:val="31"/>
              <w:spacing w:line="242" w:lineRule="auto"/>
              <w:ind w:left="106" w:right="-15" w:firstLine="38"/>
              <w:jc w:val="center"/>
              <w:rPr>
                <w:spacing w:val="-8"/>
                <w:sz w:val="21"/>
              </w:rPr>
            </w:pPr>
            <w:r>
              <w:rPr>
                <w:spacing w:val="-8"/>
                <w:sz w:val="21"/>
              </w:rPr>
              <w:t>类型 2</w:t>
            </w:r>
          </w:p>
          <w:p>
            <w:pPr>
              <w:pStyle w:val="31"/>
              <w:spacing w:line="242" w:lineRule="auto"/>
              <w:ind w:left="106" w:right="-15" w:firstLine="38"/>
              <w:jc w:val="center"/>
              <w:rPr>
                <w:spacing w:val="-8"/>
                <w:sz w:val="21"/>
              </w:rPr>
            </w:pPr>
            <w:r>
              <w:rPr>
                <w:spacing w:val="-8"/>
                <w:sz w:val="21"/>
              </w:rPr>
              <w:t>（E2）</w:t>
            </w:r>
          </w:p>
        </w:tc>
        <w:tc>
          <w:tcPr>
            <w:tcW w:w="7955" w:type="dxa"/>
            <w:vAlign w:val="center"/>
          </w:tcPr>
          <w:p>
            <w:pPr>
              <w:pStyle w:val="31"/>
              <w:spacing w:line="242" w:lineRule="auto"/>
              <w:ind w:left="106" w:right="-15" w:firstLine="38"/>
              <w:jc w:val="center"/>
              <w:rPr>
                <w:spacing w:val="-8"/>
                <w:sz w:val="21"/>
              </w:rPr>
            </w:pPr>
            <w:r>
              <w:rPr>
                <w:spacing w:val="-8"/>
                <w:sz w:val="21"/>
              </w:rPr>
              <w:t>企业雨水排口、清净下水排口、污水排口下游 10 公里范围内有如下一类或多类环境风险受体：水产养殖区；天然渔场；耕地、基本农田保护区；富营养化水域；基本草  原；森林公园；地质公园；天然林；海滨风景游览区；具有重要经济价值的海洋生物  生存区域；或企业周边半径 5 公里范围内居住区、医疗卫生、文化教育、科研、行政</w:t>
            </w:r>
          </w:p>
          <w:p>
            <w:pPr>
              <w:pStyle w:val="31"/>
              <w:spacing w:line="242" w:lineRule="auto"/>
              <w:ind w:left="106" w:right="-15" w:firstLine="38"/>
              <w:jc w:val="center"/>
              <w:rPr>
                <w:spacing w:val="-8"/>
                <w:sz w:val="21"/>
              </w:rPr>
            </w:pPr>
            <w:r>
              <w:rPr>
                <w:spacing w:val="-8"/>
                <w:sz w:val="21"/>
              </w:rPr>
              <w:t>办公等机构人口总数大于 1 万人，小于 5 万人，或企业周边半径 500 米范围内人口总</w:t>
            </w:r>
          </w:p>
          <w:p>
            <w:pPr>
              <w:pStyle w:val="31"/>
              <w:spacing w:line="242" w:lineRule="auto"/>
              <w:ind w:left="106" w:right="-15" w:firstLine="38"/>
              <w:jc w:val="center"/>
              <w:rPr>
                <w:spacing w:val="-8"/>
                <w:sz w:val="21"/>
              </w:rPr>
            </w:pPr>
            <w:r>
              <w:rPr>
                <w:spacing w:val="-8"/>
                <w:sz w:val="21"/>
              </w:rPr>
              <w:t>数大于 500 人，小于 1000 人；企业位于溶岩地貌、泄洪区、泥石流多发等地区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1400" w:type="dxa"/>
            <w:vAlign w:val="center"/>
          </w:tcPr>
          <w:p>
            <w:pPr>
              <w:pStyle w:val="31"/>
              <w:spacing w:line="242" w:lineRule="auto"/>
              <w:ind w:left="106" w:right="-15" w:firstLine="38"/>
              <w:jc w:val="center"/>
              <w:rPr>
                <w:spacing w:val="-8"/>
                <w:sz w:val="21"/>
              </w:rPr>
            </w:pPr>
            <w:r>
              <w:rPr>
                <w:spacing w:val="-8"/>
                <w:sz w:val="21"/>
              </w:rPr>
              <w:t>类型 3</w:t>
            </w:r>
          </w:p>
          <w:p>
            <w:pPr>
              <w:pStyle w:val="31"/>
              <w:spacing w:line="242" w:lineRule="auto"/>
              <w:ind w:left="106" w:right="-15" w:firstLine="38"/>
              <w:jc w:val="center"/>
              <w:rPr>
                <w:spacing w:val="-8"/>
                <w:sz w:val="21"/>
              </w:rPr>
            </w:pPr>
            <w:r>
              <w:rPr>
                <w:spacing w:val="-8"/>
                <w:sz w:val="21"/>
              </w:rPr>
              <w:t>（E3）</w:t>
            </w:r>
          </w:p>
        </w:tc>
        <w:tc>
          <w:tcPr>
            <w:tcW w:w="7955" w:type="dxa"/>
            <w:vAlign w:val="center"/>
          </w:tcPr>
          <w:p>
            <w:pPr>
              <w:pStyle w:val="31"/>
              <w:spacing w:line="242" w:lineRule="auto"/>
              <w:ind w:left="106" w:right="-15" w:firstLine="38"/>
              <w:jc w:val="center"/>
              <w:rPr>
                <w:spacing w:val="-8"/>
                <w:sz w:val="21"/>
              </w:rPr>
            </w:pPr>
            <w:r>
              <w:rPr>
                <w:spacing w:val="-8"/>
                <w:sz w:val="21"/>
              </w:rPr>
              <w:t>企业下游 10 公里范围无上述类型 1 和类型 2 包括的环境风险受体；或</w:t>
            </w:r>
          </w:p>
          <w:p>
            <w:pPr>
              <w:pStyle w:val="31"/>
              <w:spacing w:line="242" w:lineRule="auto"/>
              <w:ind w:left="106" w:right="-15" w:firstLine="38"/>
              <w:jc w:val="center"/>
              <w:rPr>
                <w:spacing w:val="-8"/>
                <w:sz w:val="21"/>
              </w:rPr>
            </w:pPr>
            <w:r>
              <w:rPr>
                <w:spacing w:val="-8"/>
                <w:sz w:val="21"/>
              </w:rPr>
              <w:t>企业周边半径 5 公里范围内居住区、医疗卫生、文化教育、科研、行政办公等机构人</w:t>
            </w:r>
          </w:p>
          <w:p>
            <w:pPr>
              <w:pStyle w:val="31"/>
              <w:spacing w:line="242" w:lineRule="auto"/>
              <w:ind w:left="106" w:right="-15" w:firstLine="38"/>
              <w:jc w:val="center"/>
              <w:rPr>
                <w:spacing w:val="-8"/>
                <w:sz w:val="21"/>
              </w:rPr>
            </w:pPr>
            <w:r>
              <w:rPr>
                <w:spacing w:val="-8"/>
                <w:sz w:val="21"/>
              </w:rPr>
              <w:t>口总数小于 1 万人，或企业周边半径 500 米范围内人口总数小于 500 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400" w:type="dxa"/>
            <w:vAlign w:val="center"/>
          </w:tcPr>
          <w:p>
            <w:pPr>
              <w:pStyle w:val="31"/>
              <w:spacing w:line="242" w:lineRule="auto"/>
              <w:ind w:left="106" w:right="-15" w:firstLine="38"/>
              <w:jc w:val="center"/>
              <w:rPr>
                <w:spacing w:val="-8"/>
                <w:sz w:val="21"/>
              </w:rPr>
            </w:pPr>
            <w:r>
              <w:rPr>
                <w:spacing w:val="-8"/>
                <w:sz w:val="21"/>
              </w:rPr>
              <w:t>企业周边环</w:t>
            </w:r>
          </w:p>
          <w:p>
            <w:pPr>
              <w:pStyle w:val="31"/>
              <w:spacing w:line="242" w:lineRule="auto"/>
              <w:ind w:left="106" w:right="-15" w:firstLine="38"/>
              <w:jc w:val="center"/>
              <w:rPr>
                <w:spacing w:val="-8"/>
                <w:sz w:val="21"/>
              </w:rPr>
            </w:pPr>
            <w:r>
              <w:rPr>
                <w:spacing w:val="-8"/>
                <w:sz w:val="21"/>
              </w:rPr>
              <w:t>境风险受体情况</w:t>
            </w:r>
          </w:p>
        </w:tc>
        <w:tc>
          <w:tcPr>
            <w:tcW w:w="7955" w:type="dxa"/>
            <w:vAlign w:val="center"/>
          </w:tcPr>
          <w:p>
            <w:pPr>
              <w:pStyle w:val="31"/>
              <w:spacing w:line="242" w:lineRule="auto"/>
              <w:ind w:left="106" w:right="-15" w:firstLine="38"/>
              <w:jc w:val="center"/>
              <w:rPr>
                <w:spacing w:val="-8"/>
                <w:sz w:val="21"/>
              </w:rPr>
            </w:pPr>
            <w:r>
              <w:rPr>
                <w:spacing w:val="-8"/>
                <w:sz w:val="21"/>
              </w:rPr>
              <w:t>佳绿公司雨水排口下游 10km 内为工业用水区，无饮用水源保护区等敏感区域；厂区</w:t>
            </w:r>
          </w:p>
          <w:p>
            <w:pPr>
              <w:pStyle w:val="31"/>
              <w:spacing w:line="242" w:lineRule="auto"/>
              <w:ind w:left="106" w:right="-15" w:firstLine="38"/>
              <w:jc w:val="center"/>
              <w:rPr>
                <w:spacing w:val="-8"/>
                <w:sz w:val="21"/>
              </w:rPr>
            </w:pPr>
            <w:r>
              <w:rPr>
                <w:spacing w:val="-8"/>
                <w:sz w:val="21"/>
              </w:rPr>
              <w:t>周边 500m 范围内总人口数小于 1000 人，企业 5km 范围内居住区、医疗卫生等机构人口总数小于 500 人，故佳绿公司周边环境风险受体敏感性为 E3。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400" w:type="dxa"/>
            <w:vAlign w:val="center"/>
          </w:tcPr>
          <w:p>
            <w:pPr>
              <w:pStyle w:val="31"/>
              <w:spacing w:line="242" w:lineRule="auto"/>
              <w:ind w:left="106" w:right="-15" w:firstLine="38"/>
              <w:jc w:val="center"/>
              <w:rPr>
                <w:spacing w:val="-8"/>
                <w:sz w:val="21"/>
              </w:rPr>
            </w:pPr>
            <w:r>
              <w:rPr>
                <w:spacing w:val="-8"/>
                <w:sz w:val="21"/>
              </w:rPr>
              <w:t>类型判定</w:t>
            </w:r>
          </w:p>
        </w:tc>
        <w:tc>
          <w:tcPr>
            <w:tcW w:w="7955" w:type="dxa"/>
            <w:vAlign w:val="center"/>
          </w:tcPr>
          <w:p>
            <w:pPr>
              <w:pStyle w:val="31"/>
              <w:spacing w:line="242" w:lineRule="auto"/>
              <w:ind w:left="106" w:right="-15" w:firstLine="38"/>
              <w:jc w:val="center"/>
              <w:rPr>
                <w:spacing w:val="-8"/>
                <w:sz w:val="21"/>
              </w:rPr>
            </w:pPr>
            <w:r>
              <w:rPr>
                <w:spacing w:val="-8"/>
                <w:sz w:val="21"/>
              </w:rPr>
              <w:t>E3</w:t>
            </w:r>
          </w:p>
        </w:tc>
      </w:tr>
    </w:tbl>
    <w:p>
      <w:pPr>
        <w:pStyle w:val="5"/>
        <w:spacing w:before="9"/>
        <w:rPr>
          <w:b/>
          <w:sz w:val="26"/>
        </w:rPr>
      </w:pPr>
    </w:p>
    <w:p>
      <w:pPr>
        <w:spacing w:before="0"/>
        <w:ind w:left="260" w:right="0" w:firstLine="0"/>
        <w:jc w:val="both"/>
        <w:rPr>
          <w:b/>
          <w:sz w:val="24"/>
        </w:rPr>
      </w:pPr>
      <w:bookmarkStart w:id="158" w:name="_bookmark36"/>
      <w:bookmarkEnd w:id="158"/>
      <w:bookmarkStart w:id="159" w:name="3.2.4企业环境风险等级确定"/>
      <w:bookmarkEnd w:id="159"/>
      <w:r>
        <w:rPr>
          <w:rFonts w:ascii="Times New Roman" w:eastAsia="Times New Roman"/>
          <w:b/>
          <w:sz w:val="24"/>
        </w:rPr>
        <w:t xml:space="preserve">3.2.4 </w:t>
      </w:r>
      <w:r>
        <w:rPr>
          <w:b/>
          <w:sz w:val="24"/>
        </w:rPr>
        <w:t>企业环境风险等级确定</w:t>
      </w:r>
    </w:p>
    <w:p>
      <w:pPr>
        <w:pStyle w:val="5"/>
        <w:spacing w:before="208" w:line="364" w:lineRule="auto"/>
        <w:ind w:left="260" w:right="229" w:firstLine="480"/>
        <w:jc w:val="both"/>
      </w:pPr>
      <w:r>
        <w:t>根据《企业突发环境事件风险评估指南（试行）</w:t>
      </w:r>
      <w:r>
        <w:rPr>
          <w:spacing w:val="-1"/>
        </w:rPr>
        <w:t>》，企业环境风险等级由化学物质</w:t>
      </w:r>
      <w:r>
        <w:rPr>
          <w:spacing w:val="-7"/>
        </w:rPr>
        <w:t xml:space="preserve">数量与临界量比值 </w:t>
      </w:r>
      <w:r>
        <w:t>Q</w:t>
      </w:r>
      <w:r>
        <w:rPr>
          <w:spacing w:val="-12"/>
        </w:rPr>
        <w:t xml:space="preserve">、生产工艺过程与环境风险控制水平 </w:t>
      </w:r>
      <w:r>
        <w:t>M</w:t>
      </w:r>
      <w:r>
        <w:rPr>
          <w:spacing w:val="-13"/>
        </w:rPr>
        <w:t xml:space="preserve">、环境风险受体敏感性 </w:t>
      </w:r>
      <w:r>
        <w:t>E</w:t>
      </w:r>
      <w:r>
        <w:rPr>
          <w:spacing w:val="-26"/>
        </w:rPr>
        <w:t xml:space="preserve"> 三个</w:t>
      </w:r>
      <w:r>
        <w:rPr>
          <w:spacing w:val="-16"/>
        </w:rPr>
        <w:t xml:space="preserve">因子决定。根据 </w:t>
      </w:r>
      <w:r>
        <w:t>3.2.3</w:t>
      </w:r>
      <w:r>
        <w:rPr>
          <w:spacing w:val="-12"/>
        </w:rPr>
        <w:t xml:space="preserve"> 节企业周边环境风险受体为 </w:t>
      </w:r>
      <w:r>
        <w:t>E3</w:t>
      </w:r>
      <w:r>
        <w:rPr>
          <w:spacing w:val="-13"/>
        </w:rPr>
        <w:t xml:space="preserve"> 型，所以企业的环境风险分级表选</w:t>
      </w:r>
      <w:r>
        <w:t>择《企业突发环境事件风险评估指南（试行）</w:t>
      </w:r>
      <w:r>
        <w:rPr>
          <w:spacing w:val="-1"/>
        </w:rPr>
        <w:t>》中的规定，环境风险物质数量与临界量</w:t>
      </w:r>
      <w:r>
        <w:rPr>
          <w:spacing w:val="-16"/>
        </w:rPr>
        <w:t xml:space="preserve">比值为 </w:t>
      </w:r>
      <w:r>
        <w:t>Q，企业直接评为</w:t>
      </w:r>
      <w:r>
        <w:rPr>
          <w:b/>
        </w:rPr>
        <w:t>一般环境风险单位</w:t>
      </w:r>
      <w:r>
        <w:t>。</w:t>
      </w:r>
    </w:p>
    <w:p>
      <w:pPr>
        <w:pStyle w:val="8"/>
        <w:numPr>
          <w:ilvl w:val="1"/>
          <w:numId w:val="9"/>
        </w:numPr>
        <w:tabs>
          <w:tab w:val="left" w:pos="750"/>
        </w:tabs>
        <w:spacing w:before="0" w:after="0" w:line="358" w:lineRule="exact"/>
        <w:ind w:left="749" w:right="0" w:hanging="490"/>
        <w:jc w:val="both"/>
      </w:pPr>
      <w:bookmarkStart w:id="160" w:name="_bookmark37"/>
      <w:bookmarkEnd w:id="160"/>
      <w:bookmarkStart w:id="161" w:name="3.4 环境风险情景分析"/>
      <w:bookmarkEnd w:id="161"/>
      <w:bookmarkStart w:id="162" w:name="_bookmark37"/>
      <w:bookmarkEnd w:id="162"/>
      <w:bookmarkStart w:id="163" w:name="_Toc24573"/>
      <w:bookmarkStart w:id="164" w:name="_Toc15977"/>
      <w:r>
        <w:t>环境风险情景分析</w:t>
      </w:r>
      <w:bookmarkEnd w:id="163"/>
      <w:bookmarkEnd w:id="164"/>
    </w:p>
    <w:p>
      <w:pPr>
        <w:pStyle w:val="5"/>
        <w:spacing w:before="11"/>
        <w:rPr>
          <w:b/>
          <w:sz w:val="26"/>
        </w:rPr>
      </w:pPr>
    </w:p>
    <w:p>
      <w:pPr>
        <w:pStyle w:val="5"/>
        <w:ind w:left="740"/>
      </w:pPr>
      <w:r>
        <w:t>根据企业实际情况，主要环境风险情景见表3-7。</w:t>
      </w:r>
    </w:p>
    <w:p>
      <w:pPr>
        <w:spacing w:after="0"/>
        <w:sectPr>
          <w:headerReference r:id="rId11" w:type="default"/>
          <w:footerReference r:id="rId12" w:type="default"/>
          <w:pgSz w:w="11920" w:h="16840"/>
          <w:pgMar w:top="1300" w:right="1100" w:bottom="1020" w:left="1180" w:header="905" w:footer="834" w:gutter="0"/>
          <w:pgBorders>
            <w:top w:val="none" w:sz="0" w:space="0"/>
            <w:left w:val="none" w:sz="0" w:space="0"/>
            <w:bottom w:val="none" w:sz="0" w:space="0"/>
            <w:right w:val="none" w:sz="0" w:space="0"/>
          </w:pgBorders>
          <w:pgNumType w:start="35"/>
          <w:cols w:space="720" w:num="1"/>
        </w:sectPr>
      </w:pPr>
    </w:p>
    <w:p>
      <w:pPr>
        <w:pStyle w:val="9"/>
        <w:tabs>
          <w:tab w:val="left" w:pos="1374"/>
        </w:tabs>
        <w:spacing w:before="160" w:after="15"/>
        <w:ind w:left="515" w:firstLine="0"/>
        <w:jc w:val="center"/>
      </w:pPr>
      <w:bookmarkStart w:id="165" w:name="表3-7  环境风险情景分析"/>
      <w:bookmarkEnd w:id="165"/>
      <w:r>
        <w:t>表</w:t>
      </w:r>
      <w:r>
        <w:rPr>
          <w:spacing w:val="-62"/>
        </w:rPr>
        <w:t xml:space="preserve"> </w:t>
      </w:r>
      <w:r>
        <w:rPr>
          <w:rFonts w:ascii="Times New Roman" w:eastAsia="Times New Roman"/>
        </w:rPr>
        <w:t>3-</w:t>
      </w:r>
      <w:r>
        <w:rPr>
          <w:rFonts w:hint="eastAsia" w:ascii="Times New Roman" w:eastAsia="宋体"/>
          <w:lang w:val="en-US" w:eastAsia="zh-CN"/>
        </w:rPr>
        <w:t>8</w:t>
      </w:r>
      <w:r>
        <w:rPr>
          <w:rFonts w:ascii="Times New Roman" w:eastAsia="Times New Roman"/>
        </w:rPr>
        <w:tab/>
      </w:r>
      <w:r>
        <w:t>环境风险情景分析</w:t>
      </w:r>
    </w:p>
    <w:tbl>
      <w:tblPr>
        <w:tblStyle w:val="14"/>
        <w:tblW w:w="8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5"/>
        <w:gridCol w:w="3390"/>
        <w:gridCol w:w="1485"/>
        <w:gridCol w:w="1335"/>
        <w:gridCol w:w="10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jc w:val="center"/>
        </w:trPr>
        <w:tc>
          <w:tcPr>
            <w:tcW w:w="1155" w:type="dxa"/>
            <w:vAlign w:val="center"/>
          </w:tcPr>
          <w:p>
            <w:pPr>
              <w:pStyle w:val="31"/>
              <w:spacing w:line="242" w:lineRule="auto"/>
              <w:ind w:left="107" w:right="76"/>
              <w:jc w:val="center"/>
              <w:rPr>
                <w:sz w:val="21"/>
              </w:rPr>
            </w:pPr>
          </w:p>
          <w:p>
            <w:pPr>
              <w:pStyle w:val="31"/>
              <w:spacing w:line="242" w:lineRule="auto"/>
              <w:ind w:left="107" w:right="76"/>
              <w:jc w:val="center"/>
              <w:rPr>
                <w:sz w:val="21"/>
              </w:rPr>
            </w:pPr>
            <w:r>
              <w:rPr>
                <w:sz w:val="21"/>
              </w:rPr>
              <w:t>风险事故</w:t>
            </w:r>
          </w:p>
        </w:tc>
        <w:tc>
          <w:tcPr>
            <w:tcW w:w="3390" w:type="dxa"/>
            <w:vAlign w:val="center"/>
          </w:tcPr>
          <w:p>
            <w:pPr>
              <w:pStyle w:val="31"/>
              <w:spacing w:line="242" w:lineRule="auto"/>
              <w:ind w:left="107" w:right="76"/>
              <w:jc w:val="center"/>
              <w:rPr>
                <w:sz w:val="21"/>
              </w:rPr>
            </w:pPr>
          </w:p>
          <w:p>
            <w:pPr>
              <w:pStyle w:val="31"/>
              <w:spacing w:line="242" w:lineRule="auto"/>
              <w:ind w:left="107" w:right="76"/>
              <w:jc w:val="center"/>
              <w:rPr>
                <w:sz w:val="21"/>
              </w:rPr>
            </w:pPr>
            <w:r>
              <w:rPr>
                <w:sz w:val="21"/>
              </w:rPr>
              <w:t>风险情景内容</w:t>
            </w:r>
          </w:p>
        </w:tc>
        <w:tc>
          <w:tcPr>
            <w:tcW w:w="1485" w:type="dxa"/>
            <w:vAlign w:val="center"/>
          </w:tcPr>
          <w:p>
            <w:pPr>
              <w:pStyle w:val="31"/>
              <w:spacing w:line="242" w:lineRule="auto"/>
              <w:ind w:left="107" w:right="76"/>
              <w:jc w:val="center"/>
              <w:rPr>
                <w:sz w:val="21"/>
              </w:rPr>
            </w:pPr>
          </w:p>
          <w:p>
            <w:pPr>
              <w:pStyle w:val="31"/>
              <w:spacing w:line="242" w:lineRule="auto"/>
              <w:ind w:left="107" w:right="76"/>
              <w:jc w:val="center"/>
              <w:rPr>
                <w:sz w:val="21"/>
              </w:rPr>
            </w:pPr>
            <w:r>
              <w:rPr>
                <w:sz w:val="21"/>
              </w:rPr>
              <w:t>环境风险受体</w:t>
            </w:r>
          </w:p>
        </w:tc>
        <w:tc>
          <w:tcPr>
            <w:tcW w:w="1335" w:type="dxa"/>
            <w:vAlign w:val="center"/>
          </w:tcPr>
          <w:p>
            <w:pPr>
              <w:pStyle w:val="31"/>
              <w:spacing w:line="242" w:lineRule="auto"/>
              <w:ind w:left="107" w:right="76"/>
              <w:jc w:val="center"/>
              <w:rPr>
                <w:sz w:val="21"/>
              </w:rPr>
            </w:pPr>
          </w:p>
          <w:p>
            <w:pPr>
              <w:pStyle w:val="31"/>
              <w:spacing w:line="242" w:lineRule="auto"/>
              <w:ind w:left="107" w:right="76"/>
              <w:jc w:val="center"/>
              <w:rPr>
                <w:sz w:val="21"/>
              </w:rPr>
            </w:pPr>
            <w:r>
              <w:rPr>
                <w:sz w:val="21"/>
              </w:rPr>
              <w:t>预警级别</w:t>
            </w:r>
          </w:p>
        </w:tc>
        <w:tc>
          <w:tcPr>
            <w:tcW w:w="1033" w:type="dxa"/>
            <w:vAlign w:val="center"/>
          </w:tcPr>
          <w:p>
            <w:pPr>
              <w:pStyle w:val="31"/>
              <w:spacing w:line="242" w:lineRule="auto"/>
              <w:ind w:left="107" w:right="76"/>
              <w:jc w:val="center"/>
              <w:rPr>
                <w:sz w:val="21"/>
              </w:rPr>
            </w:pPr>
          </w:p>
          <w:p>
            <w:pPr>
              <w:pStyle w:val="31"/>
              <w:spacing w:line="242" w:lineRule="auto"/>
              <w:ind w:left="107" w:right="76"/>
              <w:jc w:val="center"/>
              <w:rPr>
                <w:sz w:val="21"/>
              </w:rPr>
            </w:pPr>
            <w:r>
              <w:rPr>
                <w:sz w:val="21"/>
              </w:rPr>
              <w:t>响应级别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7" w:hRule="atLeast"/>
          <w:jc w:val="center"/>
        </w:trPr>
        <w:tc>
          <w:tcPr>
            <w:tcW w:w="1155" w:type="dxa"/>
            <w:vAlign w:val="center"/>
          </w:tcPr>
          <w:p>
            <w:pPr>
              <w:pStyle w:val="31"/>
              <w:spacing w:line="242" w:lineRule="auto"/>
              <w:ind w:left="107" w:right="76"/>
              <w:jc w:val="center"/>
              <w:rPr>
                <w:sz w:val="21"/>
              </w:rPr>
            </w:pPr>
          </w:p>
          <w:p>
            <w:pPr>
              <w:pStyle w:val="31"/>
              <w:spacing w:line="242" w:lineRule="auto"/>
              <w:ind w:left="107" w:right="76"/>
              <w:jc w:val="center"/>
              <w:rPr>
                <w:sz w:val="21"/>
              </w:rPr>
            </w:pPr>
          </w:p>
          <w:p>
            <w:pPr>
              <w:pStyle w:val="31"/>
              <w:spacing w:line="242" w:lineRule="auto"/>
              <w:ind w:left="107" w:right="76"/>
              <w:jc w:val="center"/>
              <w:rPr>
                <w:sz w:val="21"/>
              </w:rPr>
            </w:pPr>
          </w:p>
          <w:p>
            <w:pPr>
              <w:pStyle w:val="31"/>
              <w:spacing w:line="242" w:lineRule="auto"/>
              <w:ind w:left="107" w:right="76"/>
              <w:jc w:val="center"/>
              <w:rPr>
                <w:sz w:val="21"/>
              </w:rPr>
            </w:pPr>
            <w:r>
              <w:rPr>
                <w:sz w:val="21"/>
              </w:rPr>
              <w:t>消防废水</w:t>
            </w:r>
          </w:p>
        </w:tc>
        <w:tc>
          <w:tcPr>
            <w:tcW w:w="3390" w:type="dxa"/>
            <w:vAlign w:val="center"/>
          </w:tcPr>
          <w:p>
            <w:pPr>
              <w:pStyle w:val="31"/>
              <w:spacing w:line="242" w:lineRule="auto"/>
              <w:ind w:left="107" w:right="76"/>
              <w:jc w:val="center"/>
              <w:rPr>
                <w:sz w:val="21"/>
              </w:rPr>
            </w:pPr>
            <w:r>
              <w:rPr>
                <w:sz w:val="21"/>
              </w:rPr>
              <w:t>厂区发生火灾，灭火过程产生消防废水（含污粪、猪血、石油类等各种有毒有害物质），如果消防废水应收集、处理不当，而未经处理而直接排入污水管网或进入附近水体，可能对附</w:t>
            </w:r>
          </w:p>
          <w:p>
            <w:pPr>
              <w:pStyle w:val="31"/>
              <w:spacing w:line="242" w:lineRule="auto"/>
              <w:ind w:left="107" w:right="76"/>
              <w:jc w:val="center"/>
              <w:rPr>
                <w:sz w:val="21"/>
              </w:rPr>
            </w:pPr>
            <w:r>
              <w:rPr>
                <w:sz w:val="21"/>
              </w:rPr>
              <w:t>近水体水质造成影响。</w:t>
            </w:r>
          </w:p>
        </w:tc>
        <w:tc>
          <w:tcPr>
            <w:tcW w:w="1485" w:type="dxa"/>
            <w:vAlign w:val="center"/>
          </w:tcPr>
          <w:p>
            <w:pPr>
              <w:pStyle w:val="31"/>
              <w:spacing w:line="242" w:lineRule="auto"/>
              <w:ind w:left="107" w:right="76"/>
              <w:jc w:val="center"/>
              <w:rPr>
                <w:sz w:val="21"/>
              </w:rPr>
            </w:pPr>
          </w:p>
          <w:p>
            <w:pPr>
              <w:pStyle w:val="31"/>
              <w:spacing w:line="242" w:lineRule="auto"/>
              <w:ind w:left="107" w:right="76"/>
              <w:jc w:val="center"/>
              <w:rPr>
                <w:sz w:val="21"/>
              </w:rPr>
            </w:pPr>
          </w:p>
          <w:p>
            <w:pPr>
              <w:pStyle w:val="31"/>
              <w:spacing w:line="242" w:lineRule="auto"/>
              <w:ind w:left="107" w:right="76"/>
              <w:jc w:val="center"/>
              <w:rPr>
                <w:sz w:val="21"/>
              </w:rPr>
            </w:pPr>
            <w:r>
              <w:rPr>
                <w:sz w:val="21"/>
              </w:rPr>
              <w:t>渥江、袁河、陈家村居民</w:t>
            </w:r>
          </w:p>
        </w:tc>
        <w:tc>
          <w:tcPr>
            <w:tcW w:w="1335" w:type="dxa"/>
            <w:vAlign w:val="center"/>
          </w:tcPr>
          <w:p>
            <w:pPr>
              <w:pStyle w:val="31"/>
              <w:spacing w:line="242" w:lineRule="auto"/>
              <w:ind w:left="107" w:right="76"/>
              <w:jc w:val="center"/>
              <w:rPr>
                <w:sz w:val="21"/>
              </w:rPr>
            </w:pPr>
          </w:p>
          <w:p>
            <w:pPr>
              <w:pStyle w:val="31"/>
              <w:spacing w:line="242" w:lineRule="auto"/>
              <w:ind w:left="107" w:right="76"/>
              <w:jc w:val="center"/>
              <w:rPr>
                <w:sz w:val="21"/>
              </w:rPr>
            </w:pPr>
          </w:p>
          <w:p>
            <w:pPr>
              <w:pStyle w:val="31"/>
              <w:spacing w:line="242" w:lineRule="auto"/>
              <w:ind w:left="107" w:right="76"/>
              <w:jc w:val="center"/>
              <w:rPr>
                <w:sz w:val="21"/>
              </w:rPr>
            </w:pPr>
          </w:p>
          <w:p>
            <w:pPr>
              <w:pStyle w:val="31"/>
              <w:spacing w:line="242" w:lineRule="auto"/>
              <w:ind w:left="107" w:right="76"/>
              <w:jc w:val="center"/>
              <w:rPr>
                <w:sz w:val="21"/>
              </w:rPr>
            </w:pPr>
            <w:r>
              <w:rPr>
                <w:sz w:val="21"/>
              </w:rPr>
              <w:t>Ⅱ级</w:t>
            </w:r>
          </w:p>
        </w:tc>
        <w:tc>
          <w:tcPr>
            <w:tcW w:w="1033" w:type="dxa"/>
            <w:vAlign w:val="center"/>
          </w:tcPr>
          <w:p>
            <w:pPr>
              <w:pStyle w:val="31"/>
              <w:spacing w:line="242" w:lineRule="auto"/>
              <w:ind w:left="107" w:right="76"/>
              <w:jc w:val="center"/>
              <w:rPr>
                <w:sz w:val="21"/>
              </w:rPr>
            </w:pPr>
          </w:p>
          <w:p>
            <w:pPr>
              <w:pStyle w:val="31"/>
              <w:spacing w:line="242" w:lineRule="auto"/>
              <w:ind w:left="107" w:right="76"/>
              <w:jc w:val="center"/>
              <w:rPr>
                <w:sz w:val="21"/>
              </w:rPr>
            </w:pPr>
          </w:p>
          <w:p>
            <w:pPr>
              <w:pStyle w:val="31"/>
              <w:spacing w:line="242" w:lineRule="auto"/>
              <w:ind w:left="107" w:right="76"/>
              <w:jc w:val="center"/>
              <w:rPr>
                <w:sz w:val="21"/>
              </w:rPr>
            </w:pPr>
          </w:p>
          <w:p>
            <w:pPr>
              <w:pStyle w:val="31"/>
              <w:spacing w:line="242" w:lineRule="auto"/>
              <w:ind w:left="107" w:right="76"/>
              <w:jc w:val="center"/>
              <w:rPr>
                <w:sz w:val="21"/>
              </w:rPr>
            </w:pPr>
            <w:r>
              <w:rPr>
                <w:sz w:val="21"/>
              </w:rPr>
              <w:t>Ⅱ级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6" w:hRule="atLeast"/>
          <w:jc w:val="center"/>
        </w:trPr>
        <w:tc>
          <w:tcPr>
            <w:tcW w:w="1155" w:type="dxa"/>
            <w:vAlign w:val="center"/>
          </w:tcPr>
          <w:p>
            <w:pPr>
              <w:pStyle w:val="31"/>
              <w:jc w:val="center"/>
              <w:rPr>
                <w:rFonts w:ascii="宋体" w:hAnsi="宋体" w:eastAsia="宋体" w:cs="宋体"/>
                <w:sz w:val="21"/>
                <w:szCs w:val="22"/>
                <w:lang w:val="zh-CN" w:eastAsia="zh-CN" w:bidi="zh-CN"/>
              </w:rPr>
            </w:pPr>
          </w:p>
          <w:p>
            <w:pPr>
              <w:pStyle w:val="31"/>
              <w:spacing w:before="153" w:line="242" w:lineRule="auto"/>
              <w:ind w:left="97" w:right="85"/>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猪粪水、含血污水、含油脂废水等</w:t>
            </w:r>
          </w:p>
        </w:tc>
        <w:tc>
          <w:tcPr>
            <w:tcW w:w="3390" w:type="dxa"/>
            <w:vAlign w:val="center"/>
          </w:tcPr>
          <w:p>
            <w:pPr>
              <w:pStyle w:val="31"/>
              <w:spacing w:before="1" w:line="242" w:lineRule="auto"/>
              <w:ind w:left="107" w:right="98"/>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由于阀门破裂、管线破裂、阀门与管线连接处泄漏污原因造成猪粪水、含血污水、含油脂废水等在进入污水处理站之前泄漏，可能进入</w:t>
            </w:r>
            <w:r>
              <w:rPr>
                <w:rFonts w:hint="eastAsia" w:cs="宋体"/>
                <w:sz w:val="21"/>
                <w:szCs w:val="22"/>
                <w:lang w:val="zh-CN" w:eastAsia="zh-CN" w:bidi="zh-CN"/>
              </w:rPr>
              <w:t>地表</w:t>
            </w:r>
            <w:r>
              <w:rPr>
                <w:rFonts w:ascii="宋体" w:hAnsi="宋体" w:eastAsia="宋体" w:cs="宋体"/>
                <w:sz w:val="21"/>
                <w:szCs w:val="22"/>
                <w:lang w:val="zh-CN" w:eastAsia="zh-CN" w:bidi="zh-CN"/>
              </w:rPr>
              <w:t>水进而影响其水质，还将会导致厂区和附近区域地下水环境受到</w:t>
            </w:r>
          </w:p>
          <w:p>
            <w:pPr>
              <w:pStyle w:val="31"/>
              <w:spacing w:before="1" w:line="253" w:lineRule="exact"/>
              <w:ind w:left="105" w:right="98"/>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不利影响。</w:t>
            </w:r>
          </w:p>
        </w:tc>
        <w:tc>
          <w:tcPr>
            <w:tcW w:w="1485" w:type="dxa"/>
            <w:vAlign w:val="center"/>
          </w:tcPr>
          <w:p>
            <w:pPr>
              <w:pStyle w:val="31"/>
              <w:jc w:val="center"/>
              <w:rPr>
                <w:rFonts w:ascii="宋体" w:hAnsi="宋体" w:eastAsia="宋体" w:cs="宋体"/>
                <w:sz w:val="21"/>
                <w:szCs w:val="22"/>
                <w:lang w:val="zh-CN" w:eastAsia="zh-CN" w:bidi="zh-CN"/>
              </w:rPr>
            </w:pPr>
          </w:p>
          <w:p>
            <w:pPr>
              <w:pStyle w:val="31"/>
              <w:jc w:val="center"/>
              <w:rPr>
                <w:rFonts w:ascii="宋体" w:hAnsi="宋体" w:eastAsia="宋体" w:cs="宋体"/>
                <w:sz w:val="21"/>
                <w:szCs w:val="22"/>
                <w:lang w:val="zh-CN" w:eastAsia="zh-CN" w:bidi="zh-CN"/>
              </w:rPr>
            </w:pPr>
          </w:p>
          <w:p>
            <w:pPr>
              <w:pStyle w:val="31"/>
              <w:spacing w:before="168" w:line="242" w:lineRule="auto"/>
              <w:ind w:left="395" w:right="32" w:hanging="288"/>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渥江、袁河、陈家村居民</w:t>
            </w:r>
          </w:p>
        </w:tc>
        <w:tc>
          <w:tcPr>
            <w:tcW w:w="1335" w:type="dxa"/>
            <w:vAlign w:val="center"/>
          </w:tcPr>
          <w:p>
            <w:pPr>
              <w:pStyle w:val="31"/>
              <w:jc w:val="center"/>
              <w:rPr>
                <w:rFonts w:ascii="宋体" w:hAnsi="宋体" w:eastAsia="宋体" w:cs="宋体"/>
                <w:sz w:val="21"/>
                <w:szCs w:val="22"/>
                <w:lang w:val="zh-CN" w:eastAsia="zh-CN" w:bidi="zh-CN"/>
              </w:rPr>
            </w:pPr>
          </w:p>
          <w:p>
            <w:pPr>
              <w:pStyle w:val="31"/>
              <w:jc w:val="center"/>
              <w:rPr>
                <w:rFonts w:ascii="宋体" w:hAnsi="宋体" w:eastAsia="宋体" w:cs="宋体"/>
                <w:sz w:val="21"/>
                <w:szCs w:val="22"/>
                <w:lang w:val="zh-CN" w:eastAsia="zh-CN" w:bidi="zh-CN"/>
              </w:rPr>
            </w:pPr>
          </w:p>
          <w:p>
            <w:pPr>
              <w:pStyle w:val="31"/>
              <w:spacing w:before="10"/>
              <w:jc w:val="center"/>
              <w:rPr>
                <w:rFonts w:ascii="宋体" w:hAnsi="宋体" w:eastAsia="宋体" w:cs="宋体"/>
                <w:sz w:val="21"/>
                <w:szCs w:val="22"/>
                <w:lang w:val="zh-CN" w:eastAsia="zh-CN" w:bidi="zh-CN"/>
              </w:rPr>
            </w:pPr>
          </w:p>
          <w:p>
            <w:pPr>
              <w:pStyle w:val="31"/>
              <w:ind w:left="203" w:right="196"/>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Ⅰ级</w:t>
            </w:r>
          </w:p>
        </w:tc>
        <w:tc>
          <w:tcPr>
            <w:tcW w:w="1033" w:type="dxa"/>
            <w:vAlign w:val="center"/>
          </w:tcPr>
          <w:p>
            <w:pPr>
              <w:pStyle w:val="31"/>
              <w:jc w:val="center"/>
              <w:rPr>
                <w:rFonts w:ascii="宋体" w:hAnsi="宋体" w:eastAsia="宋体" w:cs="宋体"/>
                <w:sz w:val="21"/>
                <w:szCs w:val="22"/>
                <w:lang w:val="zh-CN" w:eastAsia="zh-CN" w:bidi="zh-CN"/>
              </w:rPr>
            </w:pPr>
          </w:p>
          <w:p>
            <w:pPr>
              <w:pStyle w:val="31"/>
              <w:jc w:val="center"/>
              <w:rPr>
                <w:rFonts w:ascii="宋体" w:hAnsi="宋体" w:eastAsia="宋体" w:cs="宋体"/>
                <w:sz w:val="21"/>
                <w:szCs w:val="22"/>
                <w:lang w:val="zh-CN" w:eastAsia="zh-CN" w:bidi="zh-CN"/>
              </w:rPr>
            </w:pPr>
          </w:p>
          <w:p>
            <w:pPr>
              <w:pStyle w:val="31"/>
              <w:spacing w:before="10"/>
              <w:jc w:val="center"/>
              <w:rPr>
                <w:rFonts w:ascii="宋体" w:hAnsi="宋体" w:eastAsia="宋体" w:cs="宋体"/>
                <w:sz w:val="21"/>
                <w:szCs w:val="22"/>
                <w:lang w:val="zh-CN" w:eastAsia="zh-CN" w:bidi="zh-CN"/>
              </w:rPr>
            </w:pPr>
          </w:p>
          <w:p>
            <w:pPr>
              <w:pStyle w:val="31"/>
              <w:ind w:left="262" w:right="254"/>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Ⅰ级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jc w:val="center"/>
        </w:trPr>
        <w:tc>
          <w:tcPr>
            <w:tcW w:w="1155" w:type="dxa"/>
            <w:vAlign w:val="center"/>
          </w:tcPr>
          <w:p>
            <w:pPr>
              <w:pStyle w:val="31"/>
              <w:spacing w:before="77" w:line="244" w:lineRule="auto"/>
              <w:ind w:left="199" w:right="72" w:hanging="92"/>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氢氧化钠</w:t>
            </w:r>
          </w:p>
        </w:tc>
        <w:tc>
          <w:tcPr>
            <w:tcW w:w="3390" w:type="dxa"/>
            <w:vAlign w:val="center"/>
          </w:tcPr>
          <w:p>
            <w:pPr>
              <w:pStyle w:val="31"/>
              <w:spacing w:before="77" w:line="244" w:lineRule="auto"/>
              <w:ind w:left="620" w:right="48" w:hanging="514"/>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装氢氧化钠的塑胶桶等发生泄漏，造成危害。</w:t>
            </w:r>
          </w:p>
        </w:tc>
        <w:tc>
          <w:tcPr>
            <w:tcW w:w="1485" w:type="dxa"/>
            <w:vAlign w:val="center"/>
          </w:tcPr>
          <w:p>
            <w:pPr>
              <w:pStyle w:val="31"/>
              <w:spacing w:before="77" w:line="244" w:lineRule="auto"/>
              <w:ind w:left="395" w:right="32" w:hanging="288"/>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渥江、袁河、陈家村居民</w:t>
            </w:r>
          </w:p>
        </w:tc>
        <w:tc>
          <w:tcPr>
            <w:tcW w:w="1335" w:type="dxa"/>
            <w:vAlign w:val="center"/>
          </w:tcPr>
          <w:p>
            <w:pPr>
              <w:pStyle w:val="31"/>
              <w:spacing w:before="9"/>
              <w:jc w:val="center"/>
              <w:rPr>
                <w:rFonts w:ascii="宋体" w:hAnsi="宋体" w:eastAsia="宋体" w:cs="宋体"/>
                <w:sz w:val="21"/>
                <w:szCs w:val="22"/>
                <w:lang w:val="zh-CN" w:eastAsia="zh-CN" w:bidi="zh-CN"/>
              </w:rPr>
            </w:pPr>
          </w:p>
          <w:p>
            <w:pPr>
              <w:pStyle w:val="31"/>
              <w:ind w:left="203" w:right="196"/>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Ⅰ级</w:t>
            </w:r>
          </w:p>
        </w:tc>
        <w:tc>
          <w:tcPr>
            <w:tcW w:w="1033" w:type="dxa"/>
            <w:vAlign w:val="center"/>
          </w:tcPr>
          <w:p>
            <w:pPr>
              <w:pStyle w:val="31"/>
              <w:spacing w:before="9"/>
              <w:jc w:val="center"/>
              <w:rPr>
                <w:rFonts w:ascii="宋体" w:hAnsi="宋体" w:eastAsia="宋体" w:cs="宋体"/>
                <w:sz w:val="21"/>
                <w:szCs w:val="22"/>
                <w:lang w:val="zh-CN" w:eastAsia="zh-CN" w:bidi="zh-CN"/>
              </w:rPr>
            </w:pPr>
          </w:p>
          <w:p>
            <w:pPr>
              <w:pStyle w:val="31"/>
              <w:ind w:left="262" w:right="254"/>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Ⅰ级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2" w:hRule="atLeast"/>
          <w:jc w:val="center"/>
        </w:trPr>
        <w:tc>
          <w:tcPr>
            <w:tcW w:w="1155" w:type="dxa"/>
            <w:vAlign w:val="center"/>
          </w:tcPr>
          <w:p>
            <w:pPr>
              <w:pStyle w:val="31"/>
              <w:jc w:val="center"/>
              <w:rPr>
                <w:rFonts w:ascii="宋体" w:hAnsi="宋体" w:eastAsia="宋体" w:cs="宋体"/>
                <w:sz w:val="21"/>
                <w:szCs w:val="22"/>
                <w:lang w:val="zh-CN" w:eastAsia="zh-CN" w:bidi="zh-CN"/>
              </w:rPr>
            </w:pPr>
          </w:p>
          <w:p>
            <w:pPr>
              <w:pStyle w:val="31"/>
              <w:spacing w:before="7"/>
              <w:jc w:val="center"/>
              <w:rPr>
                <w:rFonts w:ascii="宋体" w:hAnsi="宋体" w:eastAsia="宋体" w:cs="宋体"/>
                <w:sz w:val="21"/>
                <w:szCs w:val="22"/>
                <w:lang w:val="zh-CN" w:eastAsia="zh-CN" w:bidi="zh-CN"/>
              </w:rPr>
            </w:pPr>
          </w:p>
          <w:p>
            <w:pPr>
              <w:pStyle w:val="31"/>
              <w:ind w:left="90" w:right="85"/>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生产废水</w:t>
            </w:r>
          </w:p>
        </w:tc>
        <w:tc>
          <w:tcPr>
            <w:tcW w:w="3390" w:type="dxa"/>
            <w:vAlign w:val="center"/>
          </w:tcPr>
          <w:p>
            <w:pPr>
              <w:pStyle w:val="31"/>
              <w:spacing w:line="242" w:lineRule="auto"/>
              <w:ind w:left="107" w:right="98"/>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厂区污水处理设施发生故障，导致生产废水外漏，进入附近水体；或者未经处理达标就进入园区污水</w:t>
            </w:r>
          </w:p>
          <w:p>
            <w:pPr>
              <w:pStyle w:val="31"/>
              <w:spacing w:before="3" w:line="270" w:lineRule="atLeast"/>
              <w:ind w:left="620" w:right="48" w:hanging="514"/>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处理厂，对污水处理厂进水水质造成冲击，影响其工作。</w:t>
            </w:r>
          </w:p>
        </w:tc>
        <w:tc>
          <w:tcPr>
            <w:tcW w:w="1485" w:type="dxa"/>
            <w:vAlign w:val="center"/>
          </w:tcPr>
          <w:p>
            <w:pPr>
              <w:pStyle w:val="31"/>
              <w:jc w:val="center"/>
              <w:rPr>
                <w:rFonts w:ascii="宋体" w:hAnsi="宋体" w:eastAsia="宋体" w:cs="宋体"/>
                <w:sz w:val="21"/>
                <w:szCs w:val="22"/>
                <w:lang w:val="zh-CN" w:eastAsia="zh-CN" w:bidi="zh-CN"/>
              </w:rPr>
            </w:pPr>
          </w:p>
          <w:p>
            <w:pPr>
              <w:pStyle w:val="31"/>
              <w:spacing w:before="152" w:line="242" w:lineRule="auto"/>
              <w:ind w:left="395" w:right="32" w:hanging="288"/>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渥江、袁河、陈家村居民</w:t>
            </w:r>
          </w:p>
        </w:tc>
        <w:tc>
          <w:tcPr>
            <w:tcW w:w="1335" w:type="dxa"/>
            <w:vAlign w:val="center"/>
          </w:tcPr>
          <w:p>
            <w:pPr>
              <w:pStyle w:val="31"/>
              <w:jc w:val="center"/>
              <w:rPr>
                <w:rFonts w:ascii="宋体" w:hAnsi="宋体" w:eastAsia="宋体" w:cs="宋体"/>
                <w:sz w:val="21"/>
                <w:szCs w:val="22"/>
                <w:lang w:val="zh-CN" w:eastAsia="zh-CN" w:bidi="zh-CN"/>
              </w:rPr>
            </w:pPr>
          </w:p>
          <w:p>
            <w:pPr>
              <w:pStyle w:val="31"/>
              <w:spacing w:before="7"/>
              <w:jc w:val="center"/>
              <w:rPr>
                <w:rFonts w:ascii="宋体" w:hAnsi="宋体" w:eastAsia="宋体" w:cs="宋体"/>
                <w:sz w:val="21"/>
                <w:szCs w:val="22"/>
                <w:lang w:val="zh-CN" w:eastAsia="zh-CN" w:bidi="zh-CN"/>
              </w:rPr>
            </w:pPr>
          </w:p>
          <w:p>
            <w:pPr>
              <w:pStyle w:val="31"/>
              <w:ind w:left="203" w:right="196"/>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Ⅰ级</w:t>
            </w:r>
          </w:p>
        </w:tc>
        <w:tc>
          <w:tcPr>
            <w:tcW w:w="1033" w:type="dxa"/>
            <w:vAlign w:val="center"/>
          </w:tcPr>
          <w:p>
            <w:pPr>
              <w:pStyle w:val="31"/>
              <w:jc w:val="center"/>
              <w:rPr>
                <w:rFonts w:ascii="宋体" w:hAnsi="宋体" w:eastAsia="宋体" w:cs="宋体"/>
                <w:sz w:val="21"/>
                <w:szCs w:val="22"/>
                <w:lang w:val="zh-CN" w:eastAsia="zh-CN" w:bidi="zh-CN"/>
              </w:rPr>
            </w:pPr>
          </w:p>
          <w:p>
            <w:pPr>
              <w:pStyle w:val="31"/>
              <w:spacing w:before="7"/>
              <w:jc w:val="center"/>
              <w:rPr>
                <w:rFonts w:ascii="宋体" w:hAnsi="宋体" w:eastAsia="宋体" w:cs="宋体"/>
                <w:sz w:val="21"/>
                <w:szCs w:val="22"/>
                <w:lang w:val="zh-CN" w:eastAsia="zh-CN" w:bidi="zh-CN"/>
              </w:rPr>
            </w:pPr>
          </w:p>
          <w:p>
            <w:pPr>
              <w:pStyle w:val="31"/>
              <w:ind w:left="262" w:right="254"/>
              <w:jc w:val="center"/>
              <w:rPr>
                <w:rFonts w:ascii="宋体" w:hAnsi="宋体" w:eastAsia="宋体" w:cs="宋体"/>
                <w:sz w:val="21"/>
                <w:szCs w:val="22"/>
                <w:lang w:val="zh-CN" w:eastAsia="zh-CN" w:bidi="zh-CN"/>
              </w:rPr>
            </w:pPr>
            <w:r>
              <w:rPr>
                <w:rFonts w:ascii="宋体" w:hAnsi="宋体" w:eastAsia="宋体" w:cs="宋体"/>
                <w:sz w:val="21"/>
                <w:szCs w:val="22"/>
                <w:lang w:val="zh-CN" w:eastAsia="zh-CN" w:bidi="zh-CN"/>
              </w:rPr>
              <w:t>Ⅰ级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1155" w:type="dxa"/>
            <w:vAlign w:val="center"/>
          </w:tcPr>
          <w:p>
            <w:pPr>
              <w:pStyle w:val="31"/>
              <w:ind w:left="90" w:right="85"/>
              <w:jc w:val="center"/>
              <w:rPr>
                <w:rFonts w:ascii="宋体" w:hAnsi="宋体" w:eastAsia="宋体" w:cs="宋体"/>
                <w:color w:val="auto"/>
                <w:sz w:val="21"/>
                <w:szCs w:val="22"/>
                <w:lang w:val="zh-CN" w:eastAsia="zh-CN" w:bidi="zh-CN"/>
              </w:rPr>
            </w:pPr>
            <w:r>
              <w:rPr>
                <w:rFonts w:hint="eastAsia" w:cs="宋体"/>
                <w:color w:val="auto"/>
                <w:sz w:val="21"/>
                <w:szCs w:val="22"/>
                <w:lang w:val="zh-CN" w:eastAsia="zh-CN" w:bidi="zh-CN"/>
              </w:rPr>
              <w:t>制冷剂</w:t>
            </w:r>
          </w:p>
        </w:tc>
        <w:tc>
          <w:tcPr>
            <w:tcW w:w="3390" w:type="dxa"/>
            <w:vAlign w:val="center"/>
          </w:tcPr>
          <w:p>
            <w:pPr>
              <w:pStyle w:val="31"/>
              <w:spacing w:before="3" w:line="270" w:lineRule="atLeast"/>
              <w:ind w:left="620" w:right="48" w:hanging="514"/>
              <w:jc w:val="center"/>
              <w:rPr>
                <w:rFonts w:hint="default" w:ascii="宋体" w:hAnsi="宋体" w:eastAsia="宋体" w:cs="宋体"/>
                <w:color w:val="auto"/>
                <w:sz w:val="21"/>
                <w:szCs w:val="22"/>
                <w:lang w:val="en-US" w:eastAsia="zh-CN" w:bidi="zh-CN"/>
              </w:rPr>
            </w:pPr>
            <w:r>
              <w:rPr>
                <w:rFonts w:hint="eastAsia" w:cs="宋体"/>
                <w:color w:val="auto"/>
                <w:sz w:val="21"/>
                <w:szCs w:val="22"/>
                <w:lang w:val="zh-CN" w:eastAsia="zh-CN" w:bidi="zh-CN"/>
              </w:rPr>
              <w:t>制冷剂经管道等泄漏</w:t>
            </w:r>
          </w:p>
        </w:tc>
        <w:tc>
          <w:tcPr>
            <w:tcW w:w="1485" w:type="dxa"/>
            <w:vAlign w:val="center"/>
          </w:tcPr>
          <w:p>
            <w:pPr>
              <w:pStyle w:val="31"/>
              <w:spacing w:before="152" w:line="242" w:lineRule="auto"/>
              <w:ind w:left="395" w:right="32" w:hanging="288"/>
              <w:jc w:val="center"/>
              <w:rPr>
                <w:rFonts w:ascii="宋体" w:hAnsi="宋体" w:eastAsia="宋体" w:cs="宋体"/>
                <w:color w:val="auto"/>
                <w:sz w:val="21"/>
                <w:szCs w:val="22"/>
                <w:lang w:val="zh-CN" w:eastAsia="zh-CN" w:bidi="zh-CN"/>
              </w:rPr>
            </w:pPr>
            <w:r>
              <w:rPr>
                <w:rFonts w:hint="eastAsia" w:cs="宋体"/>
                <w:color w:val="auto"/>
                <w:sz w:val="21"/>
                <w:szCs w:val="22"/>
                <w:lang w:val="zh-CN" w:eastAsia="zh-CN" w:bidi="zh-CN"/>
              </w:rPr>
              <w:t>周边大气</w:t>
            </w:r>
          </w:p>
        </w:tc>
        <w:tc>
          <w:tcPr>
            <w:tcW w:w="1335" w:type="dxa"/>
            <w:vAlign w:val="center"/>
          </w:tcPr>
          <w:p>
            <w:pPr>
              <w:ind w:left="0" w:leftChars="0" w:right="0" w:rightChars="0"/>
              <w:jc w:val="center"/>
              <w:rPr>
                <w:rFonts w:ascii="宋体" w:hAnsi="宋体" w:eastAsia="宋体" w:cs="宋体"/>
                <w:color w:val="auto"/>
                <w:sz w:val="21"/>
                <w:szCs w:val="22"/>
                <w:lang w:val="zh-CN" w:eastAsia="zh-CN" w:bidi="zh-CN"/>
              </w:rPr>
            </w:pPr>
            <w:r>
              <w:rPr>
                <w:color w:val="auto"/>
                <w:sz w:val="21"/>
              </w:rPr>
              <w:t>Ⅱ级</w:t>
            </w:r>
          </w:p>
        </w:tc>
        <w:tc>
          <w:tcPr>
            <w:tcW w:w="1033" w:type="dxa"/>
            <w:vAlign w:val="center"/>
          </w:tcPr>
          <w:p>
            <w:pPr>
              <w:ind w:left="0" w:leftChars="0" w:right="0" w:rightChars="0"/>
              <w:jc w:val="center"/>
              <w:rPr>
                <w:rFonts w:ascii="宋体" w:hAnsi="宋体" w:eastAsia="宋体" w:cs="宋体"/>
                <w:color w:val="auto"/>
                <w:sz w:val="21"/>
                <w:szCs w:val="22"/>
                <w:lang w:val="zh-CN" w:eastAsia="zh-CN" w:bidi="zh-CN"/>
              </w:rPr>
            </w:pPr>
            <w:r>
              <w:rPr>
                <w:color w:val="auto"/>
                <w:sz w:val="21"/>
              </w:rPr>
              <w:t>Ⅱ级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1155" w:type="dxa"/>
            <w:vAlign w:val="center"/>
          </w:tcPr>
          <w:p>
            <w:pPr>
              <w:pStyle w:val="31"/>
              <w:ind w:left="90" w:right="85"/>
              <w:jc w:val="center"/>
              <w:rPr>
                <w:rFonts w:ascii="宋体" w:hAnsi="宋体" w:eastAsia="宋体" w:cs="宋体"/>
                <w:color w:val="auto"/>
                <w:sz w:val="21"/>
                <w:szCs w:val="22"/>
                <w:lang w:val="zh-CN" w:eastAsia="zh-CN" w:bidi="zh-CN"/>
              </w:rPr>
            </w:pPr>
            <w:r>
              <w:rPr>
                <w:rFonts w:hint="eastAsia" w:cs="宋体"/>
                <w:color w:val="auto"/>
                <w:sz w:val="21"/>
                <w:szCs w:val="22"/>
                <w:lang w:val="zh-CN" w:eastAsia="zh-CN" w:bidi="zh-CN"/>
              </w:rPr>
              <w:t>病死猪</w:t>
            </w:r>
          </w:p>
        </w:tc>
        <w:tc>
          <w:tcPr>
            <w:tcW w:w="3390" w:type="dxa"/>
            <w:vAlign w:val="center"/>
          </w:tcPr>
          <w:p>
            <w:pPr>
              <w:pStyle w:val="31"/>
              <w:spacing w:before="3" w:line="270" w:lineRule="atLeast"/>
              <w:ind w:left="620" w:right="48" w:hanging="514"/>
              <w:jc w:val="center"/>
              <w:rPr>
                <w:rFonts w:ascii="宋体" w:hAnsi="宋体" w:eastAsia="宋体" w:cs="宋体"/>
                <w:color w:val="auto"/>
                <w:sz w:val="21"/>
                <w:szCs w:val="22"/>
                <w:lang w:val="zh-CN" w:eastAsia="zh-CN" w:bidi="zh-CN"/>
              </w:rPr>
            </w:pPr>
            <w:r>
              <w:rPr>
                <w:rFonts w:hint="eastAsia" w:cs="宋体"/>
                <w:color w:val="auto"/>
                <w:sz w:val="21"/>
                <w:szCs w:val="22"/>
                <w:lang w:val="zh-CN" w:eastAsia="zh-CN" w:bidi="zh-CN"/>
              </w:rPr>
              <w:t>病死猪处理不当造成大面积感染</w:t>
            </w:r>
          </w:p>
        </w:tc>
        <w:tc>
          <w:tcPr>
            <w:tcW w:w="1485" w:type="dxa"/>
            <w:vAlign w:val="center"/>
          </w:tcPr>
          <w:p>
            <w:pPr>
              <w:pStyle w:val="31"/>
              <w:spacing w:before="152" w:line="242" w:lineRule="auto"/>
              <w:ind w:left="395" w:right="32" w:hanging="288"/>
              <w:jc w:val="center"/>
              <w:rPr>
                <w:rFonts w:hint="default" w:ascii="宋体" w:hAnsi="宋体" w:eastAsia="宋体" w:cs="宋体"/>
                <w:color w:val="auto"/>
                <w:sz w:val="21"/>
                <w:szCs w:val="22"/>
                <w:lang w:val="en-US" w:eastAsia="zh-CN" w:bidi="zh-CN"/>
              </w:rPr>
            </w:pPr>
            <w:r>
              <w:rPr>
                <w:rFonts w:hint="eastAsia" w:cs="宋体"/>
                <w:color w:val="auto"/>
                <w:sz w:val="21"/>
                <w:szCs w:val="22"/>
                <w:lang w:val="en-US" w:eastAsia="zh-CN" w:bidi="zh-CN"/>
              </w:rPr>
              <w:t>土壤、地下水等</w:t>
            </w:r>
          </w:p>
        </w:tc>
        <w:tc>
          <w:tcPr>
            <w:tcW w:w="1335" w:type="dxa"/>
            <w:vAlign w:val="center"/>
          </w:tcPr>
          <w:p>
            <w:pPr>
              <w:ind w:left="0" w:leftChars="0" w:right="0" w:rightChars="0"/>
              <w:jc w:val="center"/>
              <w:rPr>
                <w:rFonts w:ascii="宋体" w:hAnsi="宋体" w:eastAsia="宋体" w:cs="宋体"/>
                <w:color w:val="auto"/>
                <w:sz w:val="21"/>
                <w:szCs w:val="22"/>
                <w:lang w:val="zh-CN" w:eastAsia="zh-CN" w:bidi="zh-CN"/>
              </w:rPr>
            </w:pPr>
            <w:r>
              <w:rPr>
                <w:color w:val="auto"/>
                <w:sz w:val="21"/>
              </w:rPr>
              <w:t>Ⅱ级</w:t>
            </w:r>
          </w:p>
        </w:tc>
        <w:tc>
          <w:tcPr>
            <w:tcW w:w="1033" w:type="dxa"/>
            <w:vAlign w:val="center"/>
          </w:tcPr>
          <w:p>
            <w:pPr>
              <w:ind w:left="0" w:leftChars="0" w:right="0" w:rightChars="0"/>
              <w:jc w:val="center"/>
              <w:rPr>
                <w:rFonts w:ascii="宋体" w:hAnsi="宋体" w:eastAsia="宋体" w:cs="宋体"/>
                <w:color w:val="auto"/>
                <w:sz w:val="21"/>
                <w:szCs w:val="22"/>
                <w:lang w:val="zh-CN" w:eastAsia="zh-CN" w:bidi="zh-CN"/>
              </w:rPr>
            </w:pPr>
            <w:r>
              <w:rPr>
                <w:color w:val="auto"/>
                <w:sz w:val="21"/>
              </w:rPr>
              <w:t>Ⅱ级</w:t>
            </w:r>
          </w:p>
        </w:tc>
      </w:tr>
    </w:tbl>
    <w:p>
      <w:pPr>
        <w:pStyle w:val="8"/>
        <w:numPr>
          <w:ilvl w:val="1"/>
          <w:numId w:val="9"/>
        </w:numPr>
        <w:tabs>
          <w:tab w:val="left" w:pos="750"/>
        </w:tabs>
        <w:spacing w:before="1" w:after="0" w:line="240" w:lineRule="auto"/>
        <w:ind w:left="749" w:right="0" w:hanging="490"/>
        <w:jc w:val="both"/>
      </w:pPr>
      <w:bookmarkStart w:id="166" w:name="_bookmark38"/>
      <w:bookmarkEnd w:id="166"/>
      <w:bookmarkStart w:id="167" w:name="3.5 风险事故后果分析 "/>
      <w:bookmarkEnd w:id="167"/>
      <w:bookmarkStart w:id="168" w:name="_bookmark38"/>
      <w:bookmarkEnd w:id="168"/>
      <w:bookmarkStart w:id="169" w:name="_Toc10717"/>
      <w:bookmarkStart w:id="170" w:name="_Toc19743"/>
      <w:r>
        <w:t>风险事故后果分析</w:t>
      </w:r>
      <w:bookmarkEnd w:id="169"/>
      <w:bookmarkEnd w:id="170"/>
    </w:p>
    <w:p>
      <w:pPr>
        <w:pStyle w:val="30"/>
        <w:numPr>
          <w:ilvl w:val="2"/>
          <w:numId w:val="15"/>
        </w:numPr>
        <w:tabs>
          <w:tab w:val="left" w:pos="860"/>
        </w:tabs>
        <w:spacing w:before="233" w:after="0" w:line="240" w:lineRule="auto"/>
        <w:ind w:left="860" w:right="0" w:hanging="600"/>
        <w:jc w:val="both"/>
        <w:rPr>
          <w:b/>
          <w:sz w:val="24"/>
        </w:rPr>
      </w:pPr>
      <w:bookmarkStart w:id="171" w:name="3.5.1 二氧化氯、次氯酸钠泄漏的风险分析"/>
      <w:bookmarkEnd w:id="171"/>
      <w:bookmarkStart w:id="172" w:name="_bookmark39"/>
      <w:bookmarkEnd w:id="172"/>
      <w:bookmarkStart w:id="173" w:name="_bookmark39"/>
      <w:bookmarkEnd w:id="173"/>
      <w:r>
        <w:rPr>
          <w:rFonts w:hint="eastAsia"/>
          <w:b/>
          <w:sz w:val="24"/>
          <w:lang w:eastAsia="zh-CN"/>
        </w:rPr>
        <w:t>菌毒敌、消毒剂等</w:t>
      </w:r>
      <w:r>
        <w:rPr>
          <w:b/>
          <w:sz w:val="24"/>
        </w:rPr>
        <w:t>泄漏的风险分析</w:t>
      </w:r>
    </w:p>
    <w:p>
      <w:pPr>
        <w:pStyle w:val="30"/>
        <w:numPr>
          <w:ilvl w:val="3"/>
          <w:numId w:val="15"/>
        </w:numPr>
        <w:tabs>
          <w:tab w:val="left" w:pos="980"/>
        </w:tabs>
        <w:spacing w:before="209" w:after="0" w:line="240" w:lineRule="auto"/>
        <w:ind w:left="980" w:right="0" w:hanging="720"/>
        <w:jc w:val="both"/>
        <w:rPr>
          <w:b/>
          <w:sz w:val="24"/>
        </w:rPr>
      </w:pPr>
      <w:bookmarkStart w:id="174" w:name="3.5.1.1原因分析"/>
      <w:bookmarkEnd w:id="174"/>
      <w:bookmarkStart w:id="175" w:name="_bookmark40"/>
      <w:bookmarkEnd w:id="175"/>
      <w:bookmarkStart w:id="176" w:name="_bookmark40"/>
      <w:bookmarkEnd w:id="176"/>
      <w:r>
        <w:rPr>
          <w:b/>
          <w:sz w:val="24"/>
        </w:rPr>
        <w:t>原因分析</w:t>
      </w:r>
    </w:p>
    <w:p>
      <w:pPr>
        <w:pStyle w:val="5"/>
        <w:spacing w:before="208" w:line="362" w:lineRule="auto"/>
        <w:ind w:left="260" w:right="229" w:firstLine="480"/>
      </w:pPr>
      <w:r>
        <w:rPr>
          <w:rFonts w:hint="eastAsia"/>
          <w:lang w:eastAsia="zh-CN"/>
        </w:rPr>
        <w:t>菌毒敌和消毒剂用</w:t>
      </w:r>
      <w:r>
        <w:t>桶装，放置在仓库内，胶桶由于各种突发事件被破坏或倾倒，导致泄漏。</w:t>
      </w:r>
    </w:p>
    <w:p>
      <w:pPr>
        <w:pStyle w:val="9"/>
        <w:numPr>
          <w:ilvl w:val="3"/>
          <w:numId w:val="15"/>
        </w:numPr>
        <w:tabs>
          <w:tab w:val="left" w:pos="980"/>
        </w:tabs>
        <w:spacing w:before="5" w:after="0" w:line="240" w:lineRule="auto"/>
        <w:ind w:left="980" w:right="0" w:hanging="720"/>
        <w:jc w:val="both"/>
      </w:pPr>
      <w:bookmarkStart w:id="177" w:name="3.5.1.2影响分析"/>
      <w:bookmarkEnd w:id="177"/>
      <w:bookmarkStart w:id="178" w:name="_bookmark41"/>
      <w:bookmarkEnd w:id="178"/>
      <w:bookmarkStart w:id="179" w:name="_bookmark41"/>
      <w:bookmarkEnd w:id="179"/>
      <w:r>
        <w:t>影响分析</w:t>
      </w:r>
    </w:p>
    <w:p>
      <w:pPr>
        <w:pStyle w:val="5"/>
        <w:spacing w:before="206" w:line="364" w:lineRule="auto"/>
        <w:ind w:left="260" w:right="229" w:firstLine="480"/>
        <w:jc w:val="both"/>
      </w:pPr>
      <w:r>
        <w:t>本厂区职工人数较多，一旦发生泄漏事故，将可能对本厂职工的人身安全造成威胁，进入下水管道将影响水环境，如果流出厂区外还将危害附近居民，并对周边土壤环境造成影响，如进入</w:t>
      </w:r>
      <w:r>
        <w:rPr>
          <w:rFonts w:hint="eastAsia"/>
          <w:lang w:eastAsia="zh-CN"/>
        </w:rPr>
        <w:t>地表</w:t>
      </w:r>
      <w:r>
        <w:t>水还将对</w:t>
      </w:r>
      <w:r>
        <w:rPr>
          <w:rFonts w:hint="eastAsia"/>
          <w:lang w:eastAsia="zh-CN"/>
        </w:rPr>
        <w:t>地表</w:t>
      </w:r>
      <w:r>
        <w:t>水水质和水生生物造成危害。</w:t>
      </w:r>
    </w:p>
    <w:p>
      <w:pPr>
        <w:pStyle w:val="9"/>
        <w:numPr>
          <w:ilvl w:val="2"/>
          <w:numId w:val="15"/>
        </w:numPr>
        <w:tabs>
          <w:tab w:val="left" w:pos="800"/>
        </w:tabs>
        <w:spacing w:before="0" w:after="0" w:line="305" w:lineRule="exact"/>
        <w:ind w:left="800" w:right="0" w:hanging="540"/>
        <w:jc w:val="both"/>
      </w:pPr>
      <w:bookmarkStart w:id="180" w:name="_bookmark42"/>
      <w:bookmarkEnd w:id="180"/>
      <w:bookmarkStart w:id="181" w:name="3.5.2生产废水未经处理直接排放风险分析"/>
      <w:bookmarkEnd w:id="181"/>
      <w:bookmarkStart w:id="182" w:name="_bookmark42"/>
      <w:bookmarkEnd w:id="182"/>
      <w:r>
        <w:t>生产废水未经处理直接排放风险分析</w:t>
      </w:r>
    </w:p>
    <w:p>
      <w:pPr>
        <w:pStyle w:val="5"/>
        <w:spacing w:before="209" w:line="362" w:lineRule="auto"/>
        <w:ind w:left="260" w:right="229" w:firstLine="480"/>
      </w:pPr>
      <w:r>
        <w:t>本项目生产废水属于含高浓度有机废水，污染因子浓度较大，如果厂区废水处理设施故障，导致废水没经过处理直接排放。将会对</w:t>
      </w:r>
      <w:r>
        <w:rPr>
          <w:rFonts w:hint="eastAsia"/>
          <w:lang w:eastAsia="zh-CN"/>
        </w:rPr>
        <w:t>园区</w:t>
      </w:r>
      <w:r>
        <w:t>污水处理厂的工作造成影响，进而导致废水最终超标排入</w:t>
      </w:r>
      <w:r>
        <w:rPr>
          <w:rFonts w:hint="eastAsia"/>
          <w:lang w:eastAsia="zh-CN"/>
        </w:rPr>
        <w:t>地表</w:t>
      </w:r>
      <w:r>
        <w:t>水，对</w:t>
      </w:r>
      <w:r>
        <w:rPr>
          <w:rFonts w:hint="eastAsia"/>
          <w:lang w:eastAsia="zh-CN"/>
        </w:rPr>
        <w:t>地表</w:t>
      </w:r>
      <w:r>
        <w:t>水水质造成不利影响。</w:t>
      </w:r>
    </w:p>
    <w:p>
      <w:pPr>
        <w:pStyle w:val="9"/>
        <w:numPr>
          <w:ilvl w:val="2"/>
          <w:numId w:val="15"/>
        </w:numPr>
        <w:tabs>
          <w:tab w:val="left" w:pos="800"/>
        </w:tabs>
        <w:spacing w:before="158" w:after="0" w:line="240" w:lineRule="auto"/>
        <w:ind w:left="800" w:right="0" w:hanging="540"/>
        <w:jc w:val="both"/>
        <w:rPr>
          <w:color w:val="auto"/>
        </w:rPr>
      </w:pPr>
      <w:bookmarkStart w:id="183" w:name="_bookmark43"/>
      <w:bookmarkEnd w:id="183"/>
      <w:bookmarkStart w:id="184" w:name="_bookmark43"/>
      <w:bookmarkEnd w:id="184"/>
      <w:bookmarkStart w:id="185" w:name="3.5.3生产废水管线泄漏风险分析"/>
      <w:bookmarkEnd w:id="185"/>
      <w:r>
        <w:rPr>
          <w:color w:val="auto"/>
        </w:rPr>
        <w:t>生产废水管线泄漏</w:t>
      </w:r>
      <w:r>
        <w:rPr>
          <w:rFonts w:hint="eastAsia"/>
          <w:color w:val="auto"/>
          <w:lang w:eastAsia="zh-CN"/>
        </w:rPr>
        <w:t>、溢流等</w:t>
      </w:r>
      <w:r>
        <w:rPr>
          <w:color w:val="auto"/>
        </w:rPr>
        <w:t>风险分析</w:t>
      </w:r>
    </w:p>
    <w:p>
      <w:pPr>
        <w:pStyle w:val="5"/>
        <w:spacing w:before="208" w:line="364" w:lineRule="auto"/>
        <w:ind w:left="260" w:right="229" w:firstLine="480"/>
        <w:jc w:val="both"/>
        <w:rPr>
          <w:color w:val="auto"/>
        </w:rPr>
      </w:pPr>
      <w:r>
        <w:rPr>
          <w:color w:val="auto"/>
        </w:rPr>
        <w:t>由于阀门破裂、管线破裂、阀门与管线连接处泄漏原因造成猪粪水、含血污水、含油脂废水等在进入污水处理站之前泄漏，可能进入</w:t>
      </w:r>
      <w:r>
        <w:rPr>
          <w:rFonts w:hint="eastAsia"/>
          <w:color w:val="auto"/>
          <w:lang w:eastAsia="zh-CN"/>
        </w:rPr>
        <w:t>地表</w:t>
      </w:r>
      <w:r>
        <w:rPr>
          <w:color w:val="auto"/>
        </w:rPr>
        <w:t>水进而影响其水质，还将会导致厂区和附近区域地下水环境受到不利影响。</w:t>
      </w:r>
    </w:p>
    <w:p>
      <w:pPr>
        <w:pStyle w:val="9"/>
        <w:numPr>
          <w:ilvl w:val="2"/>
          <w:numId w:val="15"/>
        </w:numPr>
        <w:tabs>
          <w:tab w:val="left" w:pos="860"/>
        </w:tabs>
        <w:spacing w:before="0" w:after="0" w:line="307" w:lineRule="exact"/>
        <w:ind w:left="860" w:right="0" w:hanging="600"/>
        <w:jc w:val="both"/>
      </w:pPr>
      <w:bookmarkStart w:id="186" w:name="_bookmark44"/>
      <w:bookmarkEnd w:id="186"/>
      <w:bookmarkStart w:id="187" w:name="3.5.4 消防废水未经处理直接排放风险分析"/>
      <w:bookmarkEnd w:id="187"/>
      <w:bookmarkStart w:id="188" w:name="_bookmark44"/>
      <w:bookmarkEnd w:id="188"/>
      <w:r>
        <w:t>消防废水未经处理直接排放风险分析</w:t>
      </w:r>
    </w:p>
    <w:p>
      <w:pPr>
        <w:pStyle w:val="5"/>
        <w:spacing w:before="206" w:line="364" w:lineRule="auto"/>
        <w:ind w:left="260" w:right="229" w:firstLine="480"/>
        <w:jc w:val="both"/>
      </w:pPr>
      <w:r>
        <w:t>考虑爆炸、火灾造成的次生环境影响，主要是消防废水的产生，含有污粪、猪血、石油类等多种污染因子，由于火灾、爆炸事故具备突发性，消防废水直接排放造成的环境影响主要为：</w:t>
      </w:r>
    </w:p>
    <w:p>
      <w:pPr>
        <w:pStyle w:val="5"/>
        <w:spacing w:line="305" w:lineRule="exact"/>
        <w:ind w:left="740"/>
      </w:pPr>
      <w:r>
        <w:t>①消防废水中污染物质对</w:t>
      </w:r>
      <w:r>
        <w:rPr>
          <w:rFonts w:hint="eastAsia"/>
          <w:lang w:eastAsia="zh-CN"/>
        </w:rPr>
        <w:t>地表</w:t>
      </w:r>
      <w:r>
        <w:t>水的影响；</w:t>
      </w:r>
    </w:p>
    <w:p>
      <w:pPr>
        <w:pStyle w:val="5"/>
        <w:spacing w:before="161"/>
        <w:ind w:left="740"/>
      </w:pPr>
      <w:r>
        <w:t>②消防废水中污染物质对周边土壤的影响；</w:t>
      </w:r>
    </w:p>
    <w:p>
      <w:pPr>
        <w:pStyle w:val="5"/>
        <w:spacing w:before="160"/>
        <w:ind w:left="740"/>
        <w:rPr>
          <w:color w:val="auto"/>
        </w:rPr>
      </w:pPr>
      <w:r>
        <w:rPr>
          <w:color w:val="auto"/>
        </w:rPr>
        <w:t>③消防废水未经处理不达标排入污水管网，对</w:t>
      </w:r>
      <w:r>
        <w:rPr>
          <w:rFonts w:hint="eastAsia"/>
          <w:color w:val="auto"/>
          <w:lang w:eastAsia="zh-CN"/>
        </w:rPr>
        <w:t>园区</w:t>
      </w:r>
      <w:r>
        <w:rPr>
          <w:color w:val="auto"/>
        </w:rPr>
        <w:t>污水处理厂影响。</w:t>
      </w:r>
    </w:p>
    <w:p>
      <w:pPr>
        <w:pStyle w:val="9"/>
        <w:keepNext w:val="0"/>
        <w:keepLines w:val="0"/>
        <w:pageBreakBefore w:val="0"/>
        <w:widowControl w:val="0"/>
        <w:numPr>
          <w:ilvl w:val="2"/>
          <w:numId w:val="15"/>
        </w:numPr>
        <w:tabs>
          <w:tab w:val="left" w:pos="860"/>
        </w:tabs>
        <w:kinsoku/>
        <w:wordWrap/>
        <w:overflowPunct/>
        <w:topLinePunct w:val="0"/>
        <w:autoSpaceDE w:val="0"/>
        <w:autoSpaceDN w:val="0"/>
        <w:bidi w:val="0"/>
        <w:spacing w:before="0" w:after="0" w:line="360" w:lineRule="auto"/>
        <w:ind w:left="860" w:right="0" w:hanging="600"/>
        <w:jc w:val="both"/>
        <w:textAlignment w:val="auto"/>
        <w:rPr>
          <w:rFonts w:hint="eastAsia"/>
          <w:color w:val="auto"/>
          <w:sz w:val="24"/>
          <w:szCs w:val="24"/>
          <w:lang w:val="en-US" w:eastAsia="zh-CN"/>
        </w:rPr>
      </w:pPr>
      <w:r>
        <w:rPr>
          <w:rFonts w:hint="eastAsia"/>
          <w:color w:val="auto"/>
          <w:sz w:val="24"/>
          <w:szCs w:val="24"/>
          <w:lang w:val="en-US" w:eastAsia="zh-CN"/>
        </w:rPr>
        <w:t xml:space="preserve"> 氟利昂泄漏风险分析</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eastAsia="宋体"/>
          <w:color w:val="auto"/>
          <w:sz w:val="24"/>
          <w:szCs w:val="24"/>
          <w:lang w:val="en-US" w:eastAsia="zh-CN"/>
        </w:rPr>
      </w:pPr>
      <w:r>
        <w:rPr>
          <w:color w:val="auto"/>
          <w:sz w:val="24"/>
          <w:szCs w:val="24"/>
        </w:rPr>
        <w:t>由于阀门破裂、管线破裂、阀门与管线连接处泄漏原因</w:t>
      </w:r>
      <w:r>
        <w:rPr>
          <w:rFonts w:hint="eastAsia"/>
          <w:color w:val="auto"/>
          <w:sz w:val="24"/>
          <w:szCs w:val="24"/>
          <w:lang w:eastAsia="zh-CN"/>
        </w:rPr>
        <w:t>造成冷冻室氟利昂泄漏，可能对周边水环境和大气环境造成不利影响。</w:t>
      </w:r>
    </w:p>
    <w:p>
      <w:pPr>
        <w:pStyle w:val="9"/>
        <w:keepNext w:val="0"/>
        <w:keepLines w:val="0"/>
        <w:pageBreakBefore w:val="0"/>
        <w:widowControl w:val="0"/>
        <w:numPr>
          <w:ilvl w:val="2"/>
          <w:numId w:val="15"/>
        </w:numPr>
        <w:tabs>
          <w:tab w:val="left" w:pos="860"/>
        </w:tabs>
        <w:kinsoku/>
        <w:wordWrap/>
        <w:overflowPunct/>
        <w:topLinePunct w:val="0"/>
        <w:autoSpaceDE w:val="0"/>
        <w:autoSpaceDN w:val="0"/>
        <w:bidi w:val="0"/>
        <w:spacing w:before="0" w:after="0" w:line="360" w:lineRule="auto"/>
        <w:ind w:left="860" w:right="0" w:hanging="600"/>
        <w:jc w:val="both"/>
        <w:textAlignment w:val="auto"/>
        <w:rPr>
          <w:rFonts w:hint="eastAsia"/>
          <w:color w:val="auto"/>
          <w:sz w:val="24"/>
          <w:szCs w:val="24"/>
          <w:lang w:val="en-US" w:eastAsia="zh-CN"/>
        </w:rPr>
      </w:pPr>
      <w:r>
        <w:rPr>
          <w:rFonts w:hint="eastAsia"/>
          <w:color w:val="auto"/>
          <w:sz w:val="24"/>
          <w:szCs w:val="24"/>
          <w:lang w:val="en-US" w:eastAsia="zh-CN"/>
        </w:rPr>
        <w:t xml:space="preserve"> 天然气泄漏风险分析</w:t>
      </w:r>
    </w:p>
    <w:p>
      <w:pPr>
        <w:pStyle w:val="37"/>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color w:val="auto"/>
          <w:sz w:val="24"/>
          <w:szCs w:val="24"/>
          <w:lang w:val="en-US" w:eastAsia="zh-CN"/>
        </w:rPr>
      </w:pPr>
      <w:r>
        <w:rPr>
          <w:rFonts w:hint="eastAsia" w:ascii="宋体" w:hAnsi="宋体" w:cs="宋体"/>
          <w:color w:val="auto"/>
          <w:sz w:val="24"/>
          <w:szCs w:val="24"/>
          <w:lang w:eastAsia="zh-CN"/>
        </w:rPr>
        <w:t>天然气</w:t>
      </w:r>
      <w:r>
        <w:rPr>
          <w:rFonts w:hint="eastAsia" w:ascii="宋体" w:hAnsi="宋体" w:cs="宋体"/>
          <w:color w:val="auto"/>
          <w:sz w:val="24"/>
          <w:szCs w:val="24"/>
        </w:rPr>
        <w:t>管道泄漏并遇到明火回燃，发生火灾，将造成一定的经济损失和人员伤亡；天然气蒸汽云团爆炸，将造成较大的经济损失，同时很可能造成人员的伤亡；火灾现场冲洗水给纳污环境造成的影响。</w:t>
      </w:r>
    </w:p>
    <w:p>
      <w:pPr>
        <w:pStyle w:val="9"/>
        <w:keepNext w:val="0"/>
        <w:keepLines w:val="0"/>
        <w:pageBreakBefore w:val="0"/>
        <w:widowControl w:val="0"/>
        <w:numPr>
          <w:ilvl w:val="2"/>
          <w:numId w:val="15"/>
        </w:numPr>
        <w:tabs>
          <w:tab w:val="left" w:pos="860"/>
        </w:tabs>
        <w:kinsoku/>
        <w:wordWrap/>
        <w:overflowPunct/>
        <w:topLinePunct w:val="0"/>
        <w:autoSpaceDE w:val="0"/>
        <w:autoSpaceDN w:val="0"/>
        <w:bidi w:val="0"/>
        <w:spacing w:before="0" w:after="0" w:line="360" w:lineRule="auto"/>
        <w:ind w:left="860" w:right="0" w:hanging="600"/>
        <w:jc w:val="both"/>
        <w:textAlignment w:val="auto"/>
        <w:rPr>
          <w:rFonts w:hint="eastAsia"/>
          <w:color w:val="auto"/>
          <w:sz w:val="24"/>
          <w:szCs w:val="24"/>
          <w:lang w:val="en-US" w:eastAsia="zh-CN"/>
        </w:rPr>
      </w:pPr>
      <w:r>
        <w:rPr>
          <w:rFonts w:hint="eastAsia"/>
          <w:color w:val="auto"/>
          <w:sz w:val="24"/>
          <w:szCs w:val="24"/>
          <w:lang w:val="en-US" w:eastAsia="zh-CN"/>
        </w:rPr>
        <w:t xml:space="preserve"> 病死猪传染风险分析</w:t>
      </w:r>
    </w:p>
    <w:p>
      <w:pPr>
        <w:pStyle w:val="5"/>
        <w:keepNext w:val="0"/>
        <w:keepLines w:val="0"/>
        <w:pageBreakBefore w:val="0"/>
        <w:widowControl w:val="0"/>
        <w:kinsoku/>
        <w:wordWrap/>
        <w:overflowPunct/>
        <w:topLinePunct w:val="0"/>
        <w:autoSpaceDE w:val="0"/>
        <w:autoSpaceDN w:val="0"/>
        <w:bidi w:val="0"/>
        <w:spacing w:before="160" w:line="360" w:lineRule="auto"/>
        <w:ind w:left="740"/>
        <w:textAlignment w:val="auto"/>
        <w:rPr>
          <w:rFonts w:hint="default"/>
          <w:color w:val="auto"/>
          <w:sz w:val="24"/>
          <w:szCs w:val="24"/>
          <w:lang w:val="en-US" w:eastAsia="zh-CN"/>
        </w:rPr>
      </w:pPr>
      <w:r>
        <w:rPr>
          <w:rFonts w:hint="eastAsia"/>
          <w:color w:val="auto"/>
          <w:sz w:val="24"/>
          <w:szCs w:val="24"/>
          <w:lang w:val="en-US" w:eastAsia="zh-CN"/>
        </w:rPr>
        <w:t>病死猪不及时处理或者处理不当容易造成大面积爆发。</w:t>
      </w:r>
    </w:p>
    <w:p>
      <w:pPr>
        <w:pStyle w:val="8"/>
        <w:numPr>
          <w:ilvl w:val="1"/>
          <w:numId w:val="9"/>
        </w:numPr>
        <w:tabs>
          <w:tab w:val="left" w:pos="680"/>
        </w:tabs>
        <w:spacing w:before="159" w:after="0" w:line="240" w:lineRule="auto"/>
        <w:ind w:left="680" w:right="0" w:hanging="420"/>
        <w:jc w:val="both"/>
      </w:pPr>
      <w:bookmarkStart w:id="189" w:name="3.6环境风险防范措施及应急能力分析"/>
      <w:bookmarkEnd w:id="189"/>
      <w:bookmarkStart w:id="190" w:name="_bookmark45"/>
      <w:bookmarkEnd w:id="190"/>
      <w:bookmarkStart w:id="191" w:name="_bookmark45"/>
      <w:bookmarkEnd w:id="191"/>
      <w:bookmarkStart w:id="192" w:name="_Toc11765"/>
      <w:bookmarkStart w:id="193" w:name="_Toc6862"/>
      <w:r>
        <w:t>环境风险防范措施及应急能力分析</w:t>
      </w:r>
      <w:bookmarkEnd w:id="192"/>
      <w:bookmarkEnd w:id="193"/>
    </w:p>
    <w:p>
      <w:pPr>
        <w:pStyle w:val="9"/>
        <w:numPr>
          <w:ilvl w:val="2"/>
          <w:numId w:val="16"/>
        </w:numPr>
        <w:tabs>
          <w:tab w:val="left" w:pos="800"/>
        </w:tabs>
        <w:spacing w:before="233" w:after="0" w:line="403" w:lineRule="auto"/>
        <w:ind w:left="860" w:right="4974" w:hanging="600"/>
        <w:jc w:val="left"/>
      </w:pPr>
      <w:bookmarkStart w:id="194" w:name="_bookmark46"/>
      <w:bookmarkEnd w:id="194"/>
      <w:bookmarkStart w:id="195" w:name="3.6.1环境风险防控措施现状及差距性分析"/>
      <w:bookmarkEnd w:id="195"/>
      <w:bookmarkStart w:id="196" w:name="_bookmark46"/>
      <w:bookmarkEnd w:id="196"/>
      <w:r>
        <w:rPr>
          <w:spacing w:val="-1"/>
        </w:rPr>
        <w:t>环境风险防控措施现状及差距性分析</w:t>
      </w:r>
      <w:r>
        <w:t>1、环境风险防控措施现状</w:t>
      </w:r>
    </w:p>
    <w:p>
      <w:pPr>
        <w:pStyle w:val="5"/>
        <w:spacing w:line="256" w:lineRule="exact"/>
        <w:ind w:left="740"/>
      </w:pPr>
      <w:r>
        <w:t>公司现有环境风险防控管理措施如下：</w:t>
      </w:r>
    </w:p>
    <w:p>
      <w:pPr>
        <w:pStyle w:val="5"/>
        <w:spacing w:before="161"/>
        <w:ind w:left="740"/>
      </w:pPr>
      <w:r>
        <w:t>①厂区道路、车间周边均进行了硬化；</w:t>
      </w:r>
    </w:p>
    <w:p>
      <w:pPr>
        <w:pStyle w:val="5"/>
        <w:spacing w:before="158"/>
        <w:ind w:left="740"/>
      </w:pPr>
      <w:r>
        <w:t>②厂区设人流、物流出入口，将人流、物流通道分开；</w:t>
      </w:r>
    </w:p>
    <w:p>
      <w:pPr>
        <w:pStyle w:val="5"/>
        <w:spacing w:before="160"/>
        <w:ind w:left="740"/>
      </w:pPr>
      <w:r>
        <w:t>③在仓库内建立了台账，随时记录了产品出入库情况；</w:t>
      </w:r>
    </w:p>
    <w:p>
      <w:pPr>
        <w:pStyle w:val="5"/>
        <w:spacing w:before="159" w:line="364" w:lineRule="auto"/>
        <w:ind w:left="260" w:right="229" w:firstLine="480"/>
      </w:pPr>
      <w:r>
        <w:t>④制定了重点设备、关键设施巡检制度，定时定人巡视检查，排除隐患，巡检记录表上墙；</w:t>
      </w:r>
    </w:p>
    <w:p>
      <w:pPr>
        <w:pStyle w:val="5"/>
        <w:spacing w:before="1"/>
        <w:ind w:left="740"/>
      </w:pPr>
      <w:r>
        <w:t>⑤在车间等粘贴了各个工序操作要点；</w:t>
      </w:r>
    </w:p>
    <w:p>
      <w:pPr>
        <w:pStyle w:val="5"/>
        <w:spacing w:before="158"/>
        <w:ind w:left="740"/>
      </w:pPr>
      <w:r>
        <w:t>综上，风险管控制度方面做了一些工作。但是，应制定一系列环境风险防控制度如</w:t>
      </w:r>
    </w:p>
    <w:p>
      <w:pPr>
        <w:pStyle w:val="5"/>
        <w:spacing w:before="158" w:line="364" w:lineRule="auto"/>
        <w:ind w:left="260" w:right="229"/>
      </w:pPr>
      <w:r>
        <w:t>《生产安全事故应急预案》、《环境保护管理制度》、《环境隐患排查制度》等；在各风险单元，特别是仓库中物料储存区域警示标识标牌。</w:t>
      </w:r>
    </w:p>
    <w:p>
      <w:pPr>
        <w:pStyle w:val="9"/>
        <w:spacing w:line="306" w:lineRule="exact"/>
        <w:ind w:left="860" w:firstLine="0"/>
      </w:pPr>
      <w:r>
        <w:t>2、环境风险防控措施差距性分析</w:t>
      </w:r>
    </w:p>
    <w:p>
      <w:pPr>
        <w:pStyle w:val="5"/>
        <w:spacing w:before="160"/>
        <w:ind w:left="740"/>
      </w:pPr>
      <w:r>
        <w:t>①厂区未设置消防沙存储位置，厂区没有预备消防沙；</w:t>
      </w:r>
    </w:p>
    <w:p>
      <w:pPr>
        <w:pStyle w:val="5"/>
        <w:spacing w:before="161"/>
        <w:ind w:left="740"/>
      </w:pPr>
      <w:r>
        <w:t>②厂区未设置应急事故池；</w:t>
      </w:r>
    </w:p>
    <w:p>
      <w:pPr>
        <w:pStyle w:val="5"/>
        <w:spacing w:before="158" w:line="364" w:lineRule="auto"/>
        <w:ind w:left="260" w:right="107" w:firstLine="480"/>
      </w:pPr>
      <w:r>
        <w:rPr>
          <w:spacing w:val="-6"/>
        </w:rPr>
        <w:t>③企业没有危废临时暂存点，已按《危险废物贮存污染控制标准》</w:t>
      </w:r>
      <w:r>
        <w:t>（GB18597-2001） 的相关要求建设危废暂存场所，危废产生后及时处理运走；</w:t>
      </w:r>
    </w:p>
    <w:p>
      <w:pPr>
        <w:pStyle w:val="5"/>
        <w:spacing w:before="158" w:line="364" w:lineRule="auto"/>
        <w:ind w:left="260" w:right="107" w:firstLine="480"/>
      </w:pPr>
      <w:r>
        <w:t>④污水排放口未设立排放标识；</w:t>
      </w:r>
    </w:p>
    <w:p>
      <w:pPr>
        <w:pStyle w:val="5"/>
        <w:spacing w:before="158" w:line="364" w:lineRule="auto"/>
        <w:ind w:left="260" w:right="229" w:firstLine="480"/>
      </w:pPr>
      <w:r>
        <w:t>⑤未制定《生产安全事故应急预案》、《环境保护管理制度》、《环境隐患排查制度》等环境风险管控制度。</w:t>
      </w:r>
    </w:p>
    <w:p>
      <w:pPr>
        <w:pStyle w:val="9"/>
        <w:numPr>
          <w:ilvl w:val="2"/>
          <w:numId w:val="16"/>
        </w:numPr>
        <w:tabs>
          <w:tab w:val="left" w:pos="800"/>
        </w:tabs>
        <w:spacing w:before="0" w:after="0" w:line="306" w:lineRule="exact"/>
        <w:ind w:left="800" w:right="0" w:hanging="540"/>
        <w:jc w:val="left"/>
      </w:pPr>
      <w:bookmarkStart w:id="197" w:name="_bookmark47"/>
      <w:bookmarkEnd w:id="197"/>
      <w:bookmarkStart w:id="198" w:name="3.6.2环境应急能力及差距性分析"/>
      <w:bookmarkEnd w:id="198"/>
      <w:bookmarkStart w:id="199" w:name="_bookmark47"/>
      <w:bookmarkEnd w:id="199"/>
      <w:r>
        <w:t>环境应急能力及差距性分析</w:t>
      </w:r>
    </w:p>
    <w:p>
      <w:pPr>
        <w:pStyle w:val="5"/>
        <w:spacing w:before="208" w:line="352" w:lineRule="auto"/>
        <w:ind w:left="260" w:right="250" w:firstLine="480"/>
      </w:pPr>
      <w:r>
        <w:t>根据厂区突发环境事件类型及处置需求，公司在个人救护设备、应急救援物资等储备不满足要求，需要补充的应急物资见表3-</w:t>
      </w:r>
      <w:r>
        <w:rPr>
          <w:rFonts w:hint="eastAsia"/>
          <w:lang w:val="en-US" w:eastAsia="zh-CN"/>
        </w:rPr>
        <w:t>9</w:t>
      </w:r>
      <w:r>
        <w:t>所示。</w:t>
      </w:r>
    </w:p>
    <w:p>
      <w:pPr>
        <w:pStyle w:val="9"/>
        <w:tabs>
          <w:tab w:val="left" w:pos="4443"/>
        </w:tabs>
        <w:spacing w:line="306" w:lineRule="exact"/>
        <w:ind w:left="3538" w:firstLine="0"/>
      </w:pPr>
      <w:r>
        <w:t>表</w:t>
      </w:r>
      <w:r>
        <w:rPr>
          <w:spacing w:val="-62"/>
        </w:rPr>
        <w:t xml:space="preserve"> </w:t>
      </w:r>
      <w:r>
        <w:t>3-</w:t>
      </w:r>
      <w:r>
        <w:rPr>
          <w:rFonts w:hint="eastAsia"/>
          <w:lang w:val="en-US" w:eastAsia="zh-CN"/>
        </w:rPr>
        <w:t>9</w:t>
      </w:r>
      <w:r>
        <w:tab/>
      </w:r>
      <w:r>
        <w:t>应急物资储备表</w:t>
      </w:r>
    </w:p>
    <w:p>
      <w:pPr>
        <w:pStyle w:val="5"/>
        <w:spacing w:before="11" w:after="1"/>
        <w:rPr>
          <w:b/>
          <w:sz w:val="18"/>
        </w:rPr>
      </w:pPr>
    </w:p>
    <w:tbl>
      <w:tblPr>
        <w:tblStyle w:val="14"/>
        <w:tblW w:w="8897"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7"/>
        <w:gridCol w:w="2510"/>
        <w:gridCol w:w="1134"/>
        <w:gridCol w:w="1276"/>
        <w:gridCol w:w="1559"/>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名称</w:t>
            </w:r>
          </w:p>
        </w:tc>
        <w:tc>
          <w:tcPr>
            <w:tcW w:w="1134" w:type="dxa"/>
          </w:tcPr>
          <w:p>
            <w:pPr>
              <w:pStyle w:val="31"/>
              <w:keepNext w:val="0"/>
              <w:keepLines w:val="0"/>
              <w:pageBreakBefore w:val="0"/>
              <w:widowControl w:val="0"/>
              <w:tabs>
                <w:tab w:val="left" w:pos="428"/>
              </w:tabs>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单</w:t>
            </w:r>
            <w:r>
              <w:rPr>
                <w:rFonts w:hint="eastAsia" w:ascii="宋体" w:hAnsi="宋体" w:eastAsia="宋体" w:cs="宋体"/>
                <w:color w:val="auto"/>
                <w:sz w:val="21"/>
                <w:szCs w:val="21"/>
              </w:rPr>
              <w:tab/>
            </w:r>
            <w:r>
              <w:rPr>
                <w:rFonts w:hint="eastAsia" w:ascii="宋体" w:hAnsi="宋体" w:eastAsia="宋体" w:cs="宋体"/>
                <w:color w:val="auto"/>
                <w:sz w:val="21"/>
                <w:szCs w:val="21"/>
              </w:rPr>
              <w:t>位</w:t>
            </w:r>
          </w:p>
        </w:tc>
        <w:tc>
          <w:tcPr>
            <w:tcW w:w="1276" w:type="dxa"/>
          </w:tcPr>
          <w:p>
            <w:pPr>
              <w:pStyle w:val="31"/>
              <w:keepNext w:val="0"/>
              <w:keepLines w:val="0"/>
              <w:pageBreakBefore w:val="0"/>
              <w:widowControl w:val="0"/>
              <w:tabs>
                <w:tab w:val="left" w:pos="428"/>
              </w:tabs>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数</w:t>
            </w:r>
            <w:r>
              <w:rPr>
                <w:rFonts w:hint="eastAsia" w:ascii="宋体" w:hAnsi="宋体" w:eastAsia="宋体" w:cs="宋体"/>
                <w:color w:val="auto"/>
                <w:sz w:val="21"/>
                <w:szCs w:val="21"/>
              </w:rPr>
              <w:tab/>
            </w:r>
            <w:r>
              <w:rPr>
                <w:rFonts w:hint="eastAsia" w:ascii="宋体" w:hAnsi="宋体" w:eastAsia="宋体" w:cs="宋体"/>
                <w:color w:val="auto"/>
                <w:sz w:val="21"/>
                <w:szCs w:val="21"/>
              </w:rPr>
              <w:t>量</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功能</w:t>
            </w:r>
          </w:p>
        </w:tc>
        <w:tc>
          <w:tcPr>
            <w:tcW w:w="1701"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存 放 地 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胶手套</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双</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30</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身体防护</w:t>
            </w:r>
          </w:p>
        </w:tc>
        <w:tc>
          <w:tcPr>
            <w:tcW w:w="1701"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应急物资库</w:t>
            </w: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（设在仓库内）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胶鞋</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双</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全身防化服</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套</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4</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防护镜</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防毒面具</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套</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6</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口罩</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40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7</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安全马甲</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件</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8</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隔离带</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米</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500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隔离</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9</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充电电筒</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应急照明</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铁铲</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把</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15</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应急抢险</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镐头</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把</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千斤顶</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撬棍</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根</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编织袋</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条</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塑料膜</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m2</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100</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石灰</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吨</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电缆线</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m</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200</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吊装带</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条</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电焊机</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台</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污水泵</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台</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对讲机</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通讯联络</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手持扩音器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急救箱</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伤员救护</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24</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医用氧气袋</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25</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苏生器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台</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26</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担架</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27</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PH 试纸</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条</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环境监测</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17" w:type="dxa"/>
          </w:tcPr>
          <w:p>
            <w:pPr>
              <w:pStyle w:val="31"/>
              <w:spacing w:before="36"/>
              <w:ind w:left="87" w:right="78"/>
              <w:rPr>
                <w:color w:val="auto"/>
                <w:sz w:val="21"/>
              </w:rPr>
            </w:pPr>
            <w:r>
              <w:rPr>
                <w:color w:val="auto"/>
                <w:sz w:val="21"/>
              </w:rPr>
              <w:t>28</w:t>
            </w:r>
          </w:p>
        </w:tc>
        <w:tc>
          <w:tcPr>
            <w:tcW w:w="2510" w:type="dxa"/>
          </w:tcPr>
          <w:p>
            <w:pPr>
              <w:pStyle w:val="31"/>
              <w:spacing w:before="36"/>
              <w:ind w:left="701" w:right="692"/>
              <w:rPr>
                <w:color w:val="auto"/>
                <w:sz w:val="21"/>
              </w:rPr>
            </w:pPr>
            <w:r>
              <w:rPr>
                <w:color w:val="auto"/>
                <w:sz w:val="21"/>
              </w:rPr>
              <w:t>消防沙</w:t>
            </w:r>
          </w:p>
        </w:tc>
        <w:tc>
          <w:tcPr>
            <w:tcW w:w="1134" w:type="dxa"/>
          </w:tcPr>
          <w:p>
            <w:pPr>
              <w:pStyle w:val="31"/>
              <w:spacing w:before="40"/>
              <w:ind w:left="8"/>
              <w:rPr>
                <w:color w:val="auto"/>
                <w:sz w:val="10"/>
              </w:rPr>
            </w:pPr>
            <w:r>
              <w:rPr>
                <w:color w:val="auto"/>
                <w:spacing w:val="1"/>
                <w:w w:val="99"/>
                <w:position w:val="-10"/>
                <w:sz w:val="21"/>
              </w:rPr>
              <w:t>m</w:t>
            </w:r>
            <w:r>
              <w:rPr>
                <w:color w:val="auto"/>
                <w:w w:val="106"/>
                <w:sz w:val="10"/>
              </w:rPr>
              <w:t>3</w:t>
            </w:r>
          </w:p>
        </w:tc>
        <w:tc>
          <w:tcPr>
            <w:tcW w:w="1276" w:type="dxa"/>
          </w:tcPr>
          <w:p>
            <w:pPr>
              <w:pStyle w:val="31"/>
              <w:spacing w:before="36"/>
              <w:ind w:left="6"/>
              <w:rPr>
                <w:color w:val="auto"/>
                <w:sz w:val="21"/>
              </w:rPr>
            </w:pPr>
            <w:r>
              <w:rPr>
                <w:color w:val="auto"/>
                <w:w w:val="99"/>
                <w:sz w:val="21"/>
              </w:rPr>
              <w:t>5</w:t>
            </w:r>
          </w:p>
        </w:tc>
        <w:tc>
          <w:tcPr>
            <w:tcW w:w="1559" w:type="dxa"/>
          </w:tcPr>
          <w:p>
            <w:pPr>
              <w:pStyle w:val="31"/>
              <w:spacing w:before="36"/>
              <w:ind w:left="336" w:right="331"/>
              <w:rPr>
                <w:color w:val="auto"/>
                <w:sz w:val="21"/>
              </w:rPr>
            </w:pPr>
            <w:r>
              <w:rPr>
                <w:color w:val="auto"/>
                <w:sz w:val="21"/>
              </w:rPr>
              <w:t>消防</w:t>
            </w:r>
          </w:p>
        </w:tc>
        <w:tc>
          <w:tcPr>
            <w:tcW w:w="1701" w:type="dxa"/>
          </w:tcPr>
          <w:p>
            <w:pPr>
              <w:pStyle w:val="31"/>
              <w:spacing w:before="36"/>
              <w:ind w:left="92" w:right="86"/>
              <w:rPr>
                <w:color w:val="auto"/>
                <w:sz w:val="21"/>
              </w:rPr>
            </w:pPr>
            <w:r>
              <w:rPr>
                <w:color w:val="auto"/>
                <w:sz w:val="21"/>
              </w:rPr>
              <w:t>屠宰车间旁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717" w:type="dxa"/>
          </w:tcPr>
          <w:p>
            <w:pPr>
              <w:pStyle w:val="31"/>
              <w:spacing w:before="69"/>
              <w:ind w:left="87" w:right="78"/>
              <w:rPr>
                <w:color w:val="auto"/>
                <w:sz w:val="21"/>
              </w:rPr>
            </w:pPr>
            <w:r>
              <w:rPr>
                <w:color w:val="auto"/>
                <w:sz w:val="21"/>
              </w:rPr>
              <w:t>29</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69"/>
              <w:ind w:left="95" w:right="86"/>
              <w:rPr>
                <w:color w:val="auto"/>
                <w:sz w:val="21"/>
              </w:rPr>
            </w:pPr>
            <w:r>
              <w:rPr>
                <w:color w:val="auto"/>
                <w:sz w:val="21"/>
              </w:rPr>
              <w:t>办公楼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717" w:type="dxa"/>
          </w:tcPr>
          <w:p>
            <w:pPr>
              <w:pStyle w:val="31"/>
              <w:spacing w:before="46"/>
              <w:ind w:left="87" w:right="78"/>
              <w:rPr>
                <w:color w:val="auto"/>
                <w:sz w:val="21"/>
              </w:rPr>
            </w:pPr>
            <w:r>
              <w:rPr>
                <w:color w:val="auto"/>
                <w:sz w:val="21"/>
              </w:rPr>
              <w:t>30</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46"/>
              <w:ind w:left="92" w:right="86"/>
              <w:rPr>
                <w:color w:val="auto"/>
                <w:sz w:val="21"/>
              </w:rPr>
            </w:pPr>
            <w:r>
              <w:rPr>
                <w:color w:val="auto"/>
                <w:sz w:val="21"/>
              </w:rPr>
              <w:t>屠宰车间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717" w:type="dxa"/>
          </w:tcPr>
          <w:p>
            <w:pPr>
              <w:pStyle w:val="31"/>
              <w:spacing w:before="56"/>
              <w:ind w:left="87" w:right="78"/>
              <w:rPr>
                <w:color w:val="auto"/>
                <w:sz w:val="21"/>
              </w:rPr>
            </w:pPr>
            <w:r>
              <w:rPr>
                <w:color w:val="auto"/>
                <w:sz w:val="21"/>
              </w:rPr>
              <w:t>31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8</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56"/>
              <w:ind w:left="92" w:right="86"/>
              <w:rPr>
                <w:color w:val="auto"/>
                <w:sz w:val="21"/>
              </w:rPr>
            </w:pPr>
            <w:r>
              <w:rPr>
                <w:color w:val="auto"/>
                <w:sz w:val="21"/>
              </w:rPr>
              <w:t>职工宿舍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17" w:type="dxa"/>
          </w:tcPr>
          <w:p>
            <w:pPr>
              <w:pStyle w:val="31"/>
              <w:spacing w:before="60"/>
              <w:ind w:left="87" w:right="78"/>
              <w:rPr>
                <w:color w:val="auto"/>
                <w:sz w:val="21"/>
              </w:rPr>
            </w:pPr>
            <w:r>
              <w:rPr>
                <w:color w:val="auto"/>
                <w:sz w:val="21"/>
              </w:rPr>
              <w:t>32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4</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60"/>
              <w:ind w:left="92" w:right="86"/>
              <w:rPr>
                <w:color w:val="auto"/>
                <w:sz w:val="21"/>
              </w:rPr>
            </w:pPr>
            <w:r>
              <w:rPr>
                <w:color w:val="auto"/>
                <w:sz w:val="21"/>
              </w:rPr>
              <w:t>厂房</w:t>
            </w:r>
          </w:p>
        </w:tc>
      </w:tr>
    </w:tbl>
    <w:p>
      <w:pPr>
        <w:pStyle w:val="5"/>
        <w:spacing w:before="4" w:line="352" w:lineRule="auto"/>
        <w:ind w:left="260" w:right="250" w:firstLine="480"/>
        <w:jc w:val="right"/>
      </w:pPr>
      <w:r>
        <w:t>因此，亟需提升公司现有的应急能力，应从如下方面进行整改完善：完善现有环境风险防控措施、完善应急机构设置和人员落实、熟悉应急响应程序、熟悉预警及应急响应分级、掌握信息报告与通报的要求和方法、掌握应急措施和安全防护撤离的内容、掌握应急监测的内容、了解应急终止及后期处置的事宜、完善应急保障工作，并按照规定对本应急预案进行培训和演练、对本预案进行评审、发布、适应性评价和更新工作等。在严格执行本应急预案的内容后，公司的应急能力将大大提升，发生突发环境事件</w:t>
      </w:r>
    </w:p>
    <w:p>
      <w:pPr>
        <w:pStyle w:val="5"/>
        <w:spacing w:line="303" w:lineRule="exact"/>
        <w:ind w:left="260"/>
      </w:pPr>
      <w:r>
        <w:t>时能及时采取措施进行应急救援和向外界求救和报告。</w:t>
      </w:r>
    </w:p>
    <w:p>
      <w:pPr>
        <w:pStyle w:val="9"/>
        <w:numPr>
          <w:ilvl w:val="2"/>
          <w:numId w:val="16"/>
        </w:numPr>
        <w:tabs>
          <w:tab w:val="left" w:pos="800"/>
        </w:tabs>
        <w:spacing w:before="144" w:after="0" w:line="240" w:lineRule="auto"/>
        <w:ind w:left="800" w:right="0" w:hanging="540"/>
        <w:jc w:val="left"/>
      </w:pPr>
      <w:bookmarkStart w:id="200" w:name="3.6.3环境风险防控措施完善实施计划"/>
      <w:bookmarkEnd w:id="200"/>
      <w:bookmarkStart w:id="201" w:name="_bookmark48"/>
      <w:bookmarkEnd w:id="201"/>
      <w:bookmarkStart w:id="202" w:name="_bookmark48"/>
      <w:bookmarkEnd w:id="202"/>
      <w:r>
        <w:t>环境风险防控措施完善实施计划</w:t>
      </w:r>
    </w:p>
    <w:p>
      <w:pPr>
        <w:pStyle w:val="5"/>
        <w:spacing w:before="208" w:line="352" w:lineRule="auto"/>
        <w:ind w:left="260" w:right="250" w:firstLine="480"/>
      </w:pPr>
      <w:r>
        <w:t>根据上述风险防控措施现状及应急能力现状，公司环境风险防控措施完善实施计划见表 3-</w:t>
      </w:r>
      <w:r>
        <w:rPr>
          <w:rFonts w:hint="eastAsia"/>
          <w:lang w:val="en-US" w:eastAsia="zh-CN"/>
        </w:rPr>
        <w:t>10</w:t>
      </w:r>
      <w:r>
        <w:t>，建议遵照进行改进、完善。</w:t>
      </w:r>
    </w:p>
    <w:p>
      <w:pPr>
        <w:pStyle w:val="5"/>
        <w:keepNext w:val="0"/>
        <w:keepLines w:val="0"/>
        <w:pageBreakBefore w:val="0"/>
        <w:widowControl w:val="0"/>
        <w:kinsoku/>
        <w:wordWrap/>
        <w:overflowPunct/>
        <w:topLinePunct w:val="0"/>
        <w:autoSpaceDE w:val="0"/>
        <w:autoSpaceDN w:val="0"/>
        <w:bidi w:val="0"/>
        <w:adjustRightInd/>
        <w:snapToGrid/>
        <w:spacing w:before="0" w:line="240" w:lineRule="auto"/>
        <w:ind w:left="261" w:right="249" w:firstLine="0"/>
        <w:jc w:val="center"/>
        <w:textAlignment w:val="auto"/>
        <w:rPr>
          <w:rFonts w:hint="eastAsia" w:eastAsia="宋体"/>
          <w:b/>
          <w:bCs/>
          <w:lang w:val="en-US" w:eastAsia="zh-CN"/>
        </w:rPr>
      </w:pPr>
      <w:r>
        <w:rPr>
          <w:rFonts w:hint="eastAsia"/>
          <w:b/>
          <w:bCs/>
          <w:lang w:eastAsia="zh-CN"/>
        </w:rPr>
        <w:t>表</w:t>
      </w:r>
      <w:r>
        <w:rPr>
          <w:rFonts w:hint="eastAsia"/>
          <w:b/>
          <w:bCs/>
          <w:lang w:val="en-US" w:eastAsia="zh-CN"/>
        </w:rPr>
        <w:t xml:space="preserve">3-10 </w:t>
      </w:r>
      <w:r>
        <w:rPr>
          <w:b/>
          <w:bCs/>
        </w:rPr>
        <w:t>环境风险防控措施完善实施计划</w:t>
      </w:r>
      <w:r>
        <w:rPr>
          <w:rFonts w:hint="eastAsia"/>
          <w:b/>
          <w:bCs/>
          <w:lang w:eastAsia="zh-CN"/>
        </w:rPr>
        <w:t>表</w:t>
      </w:r>
    </w:p>
    <w:tbl>
      <w:tblPr>
        <w:tblStyle w:val="14"/>
        <w:tblW w:w="930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42"/>
        <w:gridCol w:w="601"/>
        <w:gridCol w:w="1509"/>
        <w:gridCol w:w="3811"/>
        <w:gridCol w:w="1154"/>
        <w:gridCol w:w="15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trPr>
        <w:tc>
          <w:tcPr>
            <w:tcW w:w="2752" w:type="dxa"/>
            <w:gridSpan w:val="3"/>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rPr>
            </w:pPr>
            <w:bookmarkStart w:id="203" w:name="表3-9  环境风险防控措施完善实施计划"/>
            <w:bookmarkEnd w:id="203"/>
            <w:r>
              <w:rPr>
                <w:rFonts w:hint="eastAsia" w:ascii="宋体" w:hAnsi="宋体" w:eastAsia="宋体" w:cs="宋体"/>
                <w:sz w:val="21"/>
                <w:szCs w:val="21"/>
              </w:rPr>
              <w:t>环境风险防控措施存在</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rPr>
            </w:pPr>
            <w:r>
              <w:rPr>
                <w:rFonts w:hint="eastAsia" w:ascii="宋体" w:hAnsi="宋体" w:eastAsia="宋体" w:cs="宋体"/>
                <w:sz w:val="21"/>
                <w:szCs w:val="21"/>
              </w:rPr>
              <w:t>的问题</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完善建议</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right"/>
              <w:textAlignment w:val="auto"/>
              <w:rPr>
                <w:rFonts w:hint="eastAsia" w:ascii="宋体" w:hAnsi="宋体" w:eastAsia="宋体" w:cs="宋体"/>
                <w:sz w:val="21"/>
                <w:szCs w:val="21"/>
              </w:rPr>
            </w:pPr>
            <w:r>
              <w:rPr>
                <w:rFonts w:hint="eastAsia" w:ascii="宋体" w:hAnsi="宋体" w:eastAsia="宋体" w:cs="宋体"/>
                <w:sz w:val="21"/>
                <w:szCs w:val="21"/>
                <w:lang w:val="zh-CN" w:eastAsia="zh-CN" w:bidi="zh-CN"/>
              </w:rPr>
              <w:t>责任主体</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完成截止时间</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90" w:hRule="atLeast"/>
        </w:trPr>
        <w:tc>
          <w:tcPr>
            <w:tcW w:w="642" w:type="dxa"/>
            <w:vMerge w:val="restart"/>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环境风险管理方面</w:t>
            </w:r>
          </w:p>
        </w:tc>
        <w:tc>
          <w:tcPr>
            <w:tcW w:w="2110" w:type="dxa"/>
            <w:gridSpan w:val="2"/>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both"/>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未建立生产安全事故应急预案、环境保护管理制度、环境隐患排查制度</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建议编制《生产安全事故应急预案》、《环境保护管理制度》《环境隐患排查制度》</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righ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总经理</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highlight w:val="none"/>
                <w:lang w:val="zh-CN" w:eastAsia="zh-CN" w:bidi="zh-CN"/>
              </w:rPr>
              <w:t>20</w:t>
            </w:r>
            <w:r>
              <w:rPr>
                <w:rFonts w:hint="eastAsia" w:ascii="宋体" w:hAnsi="宋体" w:eastAsia="宋体" w:cs="宋体"/>
                <w:sz w:val="21"/>
                <w:szCs w:val="21"/>
                <w:highlight w:val="none"/>
                <w:lang w:val="en-US" w:eastAsia="zh-CN" w:bidi="zh-CN"/>
              </w:rPr>
              <w:t>2</w:t>
            </w:r>
            <w:r>
              <w:rPr>
                <w:rFonts w:hint="eastAsia" w:cs="宋体"/>
                <w:sz w:val="21"/>
                <w:szCs w:val="21"/>
                <w:highlight w:val="none"/>
                <w:lang w:val="en-US" w:eastAsia="zh-CN" w:bidi="zh-CN"/>
              </w:rPr>
              <w:t>1</w:t>
            </w:r>
            <w:r>
              <w:rPr>
                <w:rFonts w:hint="eastAsia" w:ascii="宋体" w:hAnsi="宋体" w:eastAsia="宋体" w:cs="宋体"/>
                <w:sz w:val="21"/>
                <w:szCs w:val="21"/>
                <w:highlight w:val="none"/>
                <w:lang w:val="zh-CN" w:eastAsia="zh-CN" w:bidi="zh-CN"/>
              </w:rPr>
              <w:t xml:space="preserve"> 年 </w:t>
            </w:r>
            <w:r>
              <w:rPr>
                <w:rFonts w:hint="eastAsia" w:ascii="宋体" w:hAnsi="宋体" w:eastAsia="宋体" w:cs="宋体"/>
                <w:sz w:val="21"/>
                <w:szCs w:val="21"/>
                <w:highlight w:val="none"/>
                <w:lang w:val="en-US" w:eastAsia="zh-CN" w:bidi="zh-CN"/>
              </w:rPr>
              <w:t>1</w:t>
            </w:r>
            <w:r>
              <w:rPr>
                <w:rFonts w:hint="eastAsia" w:ascii="宋体" w:hAnsi="宋体" w:eastAsia="宋体" w:cs="宋体"/>
                <w:sz w:val="21"/>
                <w:szCs w:val="21"/>
                <w:highlight w:val="none"/>
                <w:lang w:val="zh-CN" w:eastAsia="zh-CN" w:bidi="zh-CN"/>
              </w:rPr>
              <w:t xml:space="preserve"> 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trPr>
        <w:tc>
          <w:tcPr>
            <w:tcW w:w="642" w:type="dxa"/>
            <w:vMerge w:val="continue"/>
            <w:tcBorders>
              <w:top w:val="nil"/>
            </w:tcBorders>
            <w:vAlign w:val="top"/>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p>
        </w:tc>
        <w:tc>
          <w:tcPr>
            <w:tcW w:w="2110" w:type="dxa"/>
            <w:gridSpan w:val="2"/>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化学品储存区未粘贴警示标志</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建议在设立化学品储存区设立相应警示标示牌</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righ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总经理</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20</w:t>
            </w:r>
            <w:r>
              <w:rPr>
                <w:rFonts w:hint="eastAsia" w:ascii="宋体" w:hAnsi="宋体" w:eastAsia="宋体" w:cs="宋体"/>
                <w:sz w:val="21"/>
                <w:szCs w:val="21"/>
                <w:lang w:val="en-US" w:eastAsia="zh-CN" w:bidi="zh-CN"/>
              </w:rPr>
              <w:t>2</w:t>
            </w:r>
            <w:r>
              <w:rPr>
                <w:rFonts w:hint="eastAsia" w:cs="宋体"/>
                <w:sz w:val="21"/>
                <w:szCs w:val="21"/>
                <w:lang w:val="en-US" w:eastAsia="zh-CN" w:bidi="zh-CN"/>
              </w:rPr>
              <w:t>1</w:t>
            </w:r>
            <w:r>
              <w:rPr>
                <w:rFonts w:hint="eastAsia" w:ascii="宋体" w:hAnsi="宋体" w:eastAsia="宋体" w:cs="宋体"/>
                <w:sz w:val="21"/>
                <w:szCs w:val="21"/>
                <w:lang w:val="zh-CN" w:eastAsia="zh-CN" w:bidi="zh-CN"/>
              </w:rPr>
              <w:t xml:space="preserve"> 年 </w:t>
            </w:r>
            <w:r>
              <w:rPr>
                <w:rFonts w:hint="eastAsia" w:ascii="宋体" w:hAnsi="宋体" w:eastAsia="宋体" w:cs="宋体"/>
                <w:sz w:val="21"/>
                <w:szCs w:val="21"/>
                <w:lang w:val="en-US" w:eastAsia="zh-CN" w:bidi="zh-CN"/>
              </w:rPr>
              <w:t>1</w:t>
            </w:r>
            <w:r>
              <w:rPr>
                <w:rFonts w:hint="eastAsia" w:ascii="宋体" w:hAnsi="宋体" w:eastAsia="宋体" w:cs="宋体"/>
                <w:sz w:val="21"/>
                <w:szCs w:val="21"/>
                <w:lang w:val="zh-CN" w:eastAsia="zh-CN" w:bidi="zh-CN"/>
              </w:rPr>
              <w:t xml:space="preserve"> 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642" w:type="dxa"/>
            <w:vMerge w:val="continue"/>
            <w:tcBorders>
              <w:top w:val="nil"/>
            </w:tcBorders>
            <w:vAlign w:val="top"/>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p>
        </w:tc>
        <w:tc>
          <w:tcPr>
            <w:tcW w:w="2110" w:type="dxa"/>
            <w:gridSpan w:val="2"/>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未设置应急事故</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池</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建议在污水处理站旁边设一个有效容积50m3 的应急事故池</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righ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总经理</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20</w:t>
            </w:r>
            <w:r>
              <w:rPr>
                <w:rFonts w:hint="eastAsia" w:ascii="宋体" w:hAnsi="宋体" w:eastAsia="宋体" w:cs="宋体"/>
                <w:sz w:val="21"/>
                <w:szCs w:val="21"/>
                <w:lang w:val="en-US" w:eastAsia="zh-CN" w:bidi="zh-CN"/>
              </w:rPr>
              <w:t>2</w:t>
            </w:r>
            <w:r>
              <w:rPr>
                <w:rFonts w:hint="eastAsia" w:cs="宋体"/>
                <w:sz w:val="21"/>
                <w:szCs w:val="21"/>
                <w:lang w:val="en-US" w:eastAsia="zh-CN" w:bidi="zh-CN"/>
              </w:rPr>
              <w:t>1</w:t>
            </w:r>
            <w:r>
              <w:rPr>
                <w:rFonts w:hint="eastAsia" w:ascii="宋体" w:hAnsi="宋体" w:eastAsia="宋体" w:cs="宋体"/>
                <w:sz w:val="21"/>
                <w:szCs w:val="21"/>
                <w:lang w:val="zh-CN" w:eastAsia="zh-CN" w:bidi="zh-CN"/>
              </w:rPr>
              <w:t xml:space="preserve"> 年 </w:t>
            </w:r>
            <w:r>
              <w:rPr>
                <w:rFonts w:hint="eastAsia" w:ascii="宋体" w:hAnsi="宋体" w:eastAsia="宋体" w:cs="宋体"/>
                <w:sz w:val="21"/>
                <w:szCs w:val="21"/>
                <w:lang w:val="en-US" w:eastAsia="zh-CN" w:bidi="zh-CN"/>
              </w:rPr>
              <w:t>1</w:t>
            </w:r>
            <w:r>
              <w:rPr>
                <w:rFonts w:hint="eastAsia" w:ascii="宋体" w:hAnsi="宋体" w:eastAsia="宋体" w:cs="宋体"/>
                <w:sz w:val="21"/>
                <w:szCs w:val="21"/>
                <w:lang w:val="zh-CN" w:eastAsia="zh-CN" w:bidi="zh-CN"/>
              </w:rPr>
              <w:t xml:space="preserve"> 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62" w:hRule="atLeast"/>
        </w:trPr>
        <w:tc>
          <w:tcPr>
            <w:tcW w:w="642" w:type="dxa"/>
            <w:vMerge w:val="continue"/>
            <w:tcBorders>
              <w:top w:val="nil"/>
            </w:tcBorders>
            <w:vAlign w:val="top"/>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p>
        </w:tc>
        <w:tc>
          <w:tcPr>
            <w:tcW w:w="60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b/>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仓库</w:t>
            </w:r>
          </w:p>
        </w:tc>
        <w:tc>
          <w:tcPr>
            <w:tcW w:w="1509"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化学品（氢氧化钠）储存区周围无围堰</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建议在化学品（氢氧化钠） 储存区周围设置一定高度围堰（不低于15cm），并将围堰出口与污水管网进行连通，事故状态下，将事故废水导入事故池</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总经理</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20</w:t>
            </w:r>
            <w:r>
              <w:rPr>
                <w:rFonts w:hint="eastAsia" w:ascii="宋体" w:hAnsi="宋体" w:eastAsia="宋体" w:cs="宋体"/>
                <w:sz w:val="21"/>
                <w:szCs w:val="21"/>
                <w:lang w:val="en-US" w:eastAsia="zh-CN"/>
              </w:rPr>
              <w:t>2</w:t>
            </w:r>
            <w:r>
              <w:rPr>
                <w:rFonts w:hint="eastAsia" w:cs="宋体"/>
                <w:sz w:val="21"/>
                <w:szCs w:val="21"/>
                <w:lang w:val="en-US" w:eastAsia="zh-CN"/>
              </w:rPr>
              <w:t>1</w:t>
            </w:r>
            <w:r>
              <w:rPr>
                <w:rFonts w:hint="eastAsia" w:ascii="宋体" w:hAnsi="宋体" w:eastAsia="宋体" w:cs="宋体"/>
                <w:sz w:val="21"/>
                <w:szCs w:val="21"/>
              </w:rPr>
              <w:t xml:space="preserve"> 年</w:t>
            </w:r>
            <w:r>
              <w:rPr>
                <w:rFonts w:hint="eastAsia" w:ascii="宋体" w:hAnsi="宋体" w:eastAsia="宋体" w:cs="宋体"/>
                <w:sz w:val="21"/>
                <w:szCs w:val="21"/>
                <w:lang w:val="en-US" w:eastAsia="zh-CN"/>
              </w:rPr>
              <w:t>1</w:t>
            </w:r>
            <w:r>
              <w:rPr>
                <w:rFonts w:hint="eastAsia" w:ascii="宋体" w:hAnsi="宋体" w:eastAsia="宋体" w:cs="宋体"/>
                <w:sz w:val="21"/>
                <w:szCs w:val="21"/>
              </w:rPr>
              <w:t>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05" w:hRule="atLeast"/>
        </w:trPr>
        <w:tc>
          <w:tcPr>
            <w:tcW w:w="642" w:type="dxa"/>
            <w:vMerge w:val="continue"/>
            <w:tcBorders>
              <w:top w:val="nil"/>
            </w:tcBorders>
            <w:vAlign w:val="top"/>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lang w:val="zh-CN" w:eastAsia="zh-CN" w:bidi="zh-CN"/>
              </w:rPr>
            </w:pPr>
          </w:p>
        </w:tc>
        <w:tc>
          <w:tcPr>
            <w:tcW w:w="60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both"/>
              <w:textAlignment w:val="auto"/>
              <w:rPr>
                <w:rFonts w:hint="eastAsia" w:ascii="宋体" w:hAnsi="宋体" w:eastAsia="宋体" w:cs="宋体"/>
                <w:sz w:val="21"/>
                <w:szCs w:val="21"/>
              </w:rPr>
            </w:pPr>
            <w:r>
              <w:rPr>
                <w:rFonts w:hint="eastAsia" w:ascii="宋体" w:hAnsi="宋体" w:eastAsia="宋体" w:cs="宋体"/>
                <w:sz w:val="21"/>
                <w:szCs w:val="21"/>
              </w:rPr>
              <w:t>危废临时暂存</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w w:val="99"/>
                <w:sz w:val="21"/>
                <w:szCs w:val="21"/>
              </w:rPr>
              <w:t>点</w:t>
            </w:r>
          </w:p>
        </w:tc>
        <w:tc>
          <w:tcPr>
            <w:tcW w:w="1509"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未按《危险废物贮存污染控制标准》（GB18597-2001）的相关要求建设危废暂存场所。</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建议设立危废暂存间，按《危险废物贮存污染控制标准》（GB18597-2001）的相关要求来建设危废暂存场所，做到防风、防雨、防渗漏。</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总经理</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20</w:t>
            </w:r>
            <w:r>
              <w:rPr>
                <w:rFonts w:hint="eastAsia" w:ascii="宋体" w:hAnsi="宋体" w:eastAsia="宋体" w:cs="宋体"/>
                <w:sz w:val="21"/>
                <w:szCs w:val="21"/>
                <w:lang w:val="en-US" w:eastAsia="zh-CN"/>
              </w:rPr>
              <w:t>2</w:t>
            </w:r>
            <w:r>
              <w:rPr>
                <w:rFonts w:hint="eastAsia" w:cs="宋体"/>
                <w:sz w:val="21"/>
                <w:szCs w:val="21"/>
                <w:lang w:val="en-US" w:eastAsia="zh-CN"/>
              </w:rPr>
              <w:t>1</w:t>
            </w:r>
            <w:r>
              <w:rPr>
                <w:rFonts w:hint="eastAsia" w:ascii="宋体" w:hAnsi="宋体" w:eastAsia="宋体" w:cs="宋体"/>
                <w:sz w:val="21"/>
                <w:szCs w:val="21"/>
              </w:rPr>
              <w:t xml:space="preserve"> 年 </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642" w:type="dxa"/>
            <w:vMerge w:val="restart"/>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环境</w:t>
            </w:r>
          </w:p>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应急方面</w:t>
            </w:r>
          </w:p>
        </w:tc>
        <w:tc>
          <w:tcPr>
            <w:tcW w:w="2110" w:type="dxa"/>
            <w:gridSpan w:val="2"/>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未建立专门的应急物资储备库和管理台账</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在仓库内设立专门的应急物资储备点， 并建立相应的台账管理程序</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总经理</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20</w:t>
            </w:r>
            <w:r>
              <w:rPr>
                <w:rFonts w:hint="eastAsia" w:ascii="宋体" w:hAnsi="宋体" w:eastAsia="宋体" w:cs="宋体"/>
                <w:sz w:val="21"/>
                <w:szCs w:val="21"/>
                <w:lang w:val="en-US" w:eastAsia="zh-CN"/>
              </w:rPr>
              <w:t>2</w:t>
            </w:r>
            <w:r>
              <w:rPr>
                <w:rFonts w:hint="eastAsia" w:cs="宋体"/>
                <w:sz w:val="21"/>
                <w:szCs w:val="21"/>
                <w:lang w:val="en-US" w:eastAsia="zh-CN"/>
              </w:rPr>
              <w:t>1</w:t>
            </w:r>
            <w:r>
              <w:rPr>
                <w:rFonts w:hint="eastAsia" w:ascii="宋体" w:hAnsi="宋体" w:eastAsia="宋体" w:cs="宋体"/>
                <w:sz w:val="21"/>
                <w:szCs w:val="21"/>
              </w:rPr>
              <w:t xml:space="preserve"> 年 </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0" w:hRule="atLeast"/>
        </w:trPr>
        <w:tc>
          <w:tcPr>
            <w:tcW w:w="642" w:type="dxa"/>
            <w:vMerge w:val="continue"/>
            <w:tcBorders>
              <w:top w:val="nil"/>
            </w:tcBorders>
            <w:vAlign w:val="top"/>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textAlignment w:val="auto"/>
              <w:rPr>
                <w:rFonts w:hint="eastAsia" w:ascii="宋体" w:hAnsi="宋体" w:eastAsia="宋体" w:cs="宋体"/>
                <w:sz w:val="21"/>
                <w:szCs w:val="21"/>
              </w:rPr>
            </w:pPr>
          </w:p>
        </w:tc>
        <w:tc>
          <w:tcPr>
            <w:tcW w:w="2110" w:type="dxa"/>
            <w:gridSpan w:val="2"/>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应急预案管理</w:t>
            </w:r>
          </w:p>
        </w:tc>
        <w:tc>
          <w:tcPr>
            <w:tcW w:w="3811"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按照本预案对风险源处设立应急处置</w:t>
            </w:r>
          </w:p>
        </w:tc>
        <w:tc>
          <w:tcPr>
            <w:tcW w:w="1154"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总经理</w:t>
            </w:r>
          </w:p>
        </w:tc>
        <w:tc>
          <w:tcPr>
            <w:tcW w:w="1586" w:type="dxa"/>
            <w:vAlign w:val="top"/>
          </w:tcPr>
          <w:p>
            <w:pPr>
              <w:pStyle w:val="31"/>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20</w:t>
            </w:r>
            <w:r>
              <w:rPr>
                <w:rFonts w:hint="eastAsia" w:ascii="宋体" w:hAnsi="宋体" w:eastAsia="宋体" w:cs="宋体"/>
                <w:sz w:val="21"/>
                <w:szCs w:val="21"/>
                <w:lang w:val="en-US" w:eastAsia="zh-CN"/>
              </w:rPr>
              <w:t>2</w:t>
            </w:r>
            <w:r>
              <w:rPr>
                <w:rFonts w:hint="eastAsia" w:cs="宋体"/>
                <w:sz w:val="21"/>
                <w:szCs w:val="21"/>
                <w:lang w:val="en-US" w:eastAsia="zh-CN"/>
              </w:rPr>
              <w:t xml:space="preserve">1 </w:t>
            </w:r>
            <w:r>
              <w:rPr>
                <w:rFonts w:hint="eastAsia" w:ascii="宋体" w:hAnsi="宋体" w:eastAsia="宋体" w:cs="宋体"/>
                <w:sz w:val="21"/>
                <w:szCs w:val="21"/>
              </w:rPr>
              <w:t xml:space="preserve">年 </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月</w:t>
            </w:r>
          </w:p>
        </w:tc>
      </w:tr>
    </w:tbl>
    <w:p>
      <w:pPr>
        <w:spacing w:after="0"/>
        <w:jc w:val="left"/>
        <w:rPr>
          <w:sz w:val="21"/>
        </w:rPr>
        <w:sectPr>
          <w:footerReference r:id="rId13" w:type="default"/>
          <w:pgSz w:w="11920" w:h="16840"/>
          <w:pgMar w:top="1300" w:right="1100" w:bottom="1020" w:left="1180" w:header="905" w:footer="834" w:gutter="0"/>
          <w:pgBorders>
            <w:top w:val="none" w:sz="0" w:space="0"/>
            <w:left w:val="none" w:sz="0" w:space="0"/>
            <w:bottom w:val="none" w:sz="0" w:space="0"/>
            <w:right w:val="none" w:sz="0" w:space="0"/>
          </w:pgBorders>
          <w:pgNumType w:start="40"/>
          <w:cols w:space="720" w:num="1"/>
        </w:sectPr>
      </w:pPr>
    </w:p>
    <w:p>
      <w:pPr>
        <w:pStyle w:val="7"/>
        <w:numPr>
          <w:ilvl w:val="0"/>
          <w:numId w:val="9"/>
        </w:numPr>
        <w:tabs>
          <w:tab w:val="left" w:pos="580"/>
        </w:tabs>
        <w:spacing w:before="65" w:after="0" w:line="240" w:lineRule="auto"/>
        <w:ind w:left="579" w:right="0" w:hanging="320"/>
        <w:jc w:val="left"/>
      </w:pPr>
      <w:bookmarkStart w:id="204" w:name="_bookmark49"/>
      <w:bookmarkEnd w:id="204"/>
      <w:bookmarkStart w:id="205" w:name="_bookmark49"/>
      <w:bookmarkEnd w:id="205"/>
      <w:bookmarkStart w:id="206" w:name="4 应急组织机构"/>
      <w:bookmarkEnd w:id="206"/>
      <w:bookmarkStart w:id="207" w:name="_Toc18094"/>
      <w:bookmarkStart w:id="208" w:name="_Toc30144"/>
      <w:r>
        <w:t>应急组织机构</w:t>
      </w:r>
      <w:bookmarkEnd w:id="207"/>
      <w:bookmarkEnd w:id="208"/>
    </w:p>
    <w:p>
      <w:pPr>
        <w:pStyle w:val="8"/>
        <w:numPr>
          <w:ilvl w:val="1"/>
          <w:numId w:val="9"/>
        </w:numPr>
        <w:tabs>
          <w:tab w:val="left" w:pos="750"/>
        </w:tabs>
        <w:spacing w:before="211" w:after="0" w:line="240" w:lineRule="auto"/>
        <w:ind w:left="749" w:right="0" w:hanging="490"/>
        <w:jc w:val="left"/>
      </w:pPr>
      <w:bookmarkStart w:id="209" w:name="4.1 应急组织体系"/>
      <w:bookmarkEnd w:id="209"/>
      <w:bookmarkStart w:id="210" w:name="_bookmark50"/>
      <w:bookmarkEnd w:id="210"/>
      <w:bookmarkStart w:id="211" w:name="_bookmark50"/>
      <w:bookmarkEnd w:id="211"/>
      <w:bookmarkStart w:id="212" w:name="_Toc28418"/>
      <w:bookmarkStart w:id="213" w:name="_Toc17547"/>
      <w:r>
        <w:t>应急组织体系</w:t>
      </w:r>
      <w:bookmarkEnd w:id="212"/>
      <w:bookmarkEnd w:id="213"/>
    </w:p>
    <w:p>
      <w:pPr>
        <w:pStyle w:val="5"/>
        <w:spacing w:before="233" w:line="364" w:lineRule="auto"/>
        <w:ind w:left="260" w:right="229" w:firstLine="480"/>
        <w:jc w:val="both"/>
      </w:pPr>
      <w:r>
        <w:t>根据本企业的实际需要，设突发环境事件应急指挥部。下设应急指挥部办公室及 6 个应急工作小组，应急指挥部设在总经理办公室，日常工作由总经理兼管。当发生突发环境事件时，由应急指挥部负责全厂应急救援工作的组织和指挥。</w:t>
      </w:r>
    </w:p>
    <w:p>
      <w:pPr>
        <w:pStyle w:val="5"/>
        <w:spacing w:line="364" w:lineRule="auto"/>
        <w:ind w:left="260" w:right="227" w:firstLine="480"/>
        <w:jc w:val="both"/>
      </w:pPr>
      <w:r>
        <w:rPr>
          <w:spacing w:val="-1"/>
        </w:rPr>
        <w:t>应急指挥部是突发环境事件的应急权力机构，全权负责本单位环境事件的应急组织</w:t>
      </w:r>
      <w:r>
        <w:rPr>
          <w:spacing w:val="-9"/>
        </w:rPr>
        <w:t xml:space="preserve">指挥工作。应急指挥部设总指挥 </w:t>
      </w:r>
      <w:r>
        <w:t>1</w:t>
      </w:r>
      <w:r>
        <w:rPr>
          <w:spacing w:val="-19"/>
        </w:rPr>
        <w:t xml:space="preserve"> 名、副总指挥 </w:t>
      </w:r>
      <w:r>
        <w:t>2</w:t>
      </w:r>
      <w:r>
        <w:rPr>
          <w:spacing w:val="-18"/>
        </w:rPr>
        <w:t xml:space="preserve"> 名、临时总指挥 </w:t>
      </w:r>
      <w:r>
        <w:t>1</w:t>
      </w:r>
      <w:r>
        <w:rPr>
          <w:spacing w:val="-12"/>
        </w:rPr>
        <w:t xml:space="preserve"> 名。 当总指挥和副</w:t>
      </w:r>
      <w:r>
        <w:t>总指挥不在时，由临时总指挥担任现场指挥。</w:t>
      </w:r>
    </w:p>
    <w:p>
      <w:pPr>
        <w:pStyle w:val="5"/>
        <w:spacing w:line="364" w:lineRule="auto"/>
        <w:ind w:left="260" w:right="229" w:firstLine="480"/>
        <w:jc w:val="both"/>
      </w:pPr>
      <w:r>
        <w:t>应急指挥部下设现场抢险组、医疗救护组、安全保卫组、通讯联络组、物资供应组和应急监测组等 6 个专业处置队伍。</w:t>
      </w:r>
    </w:p>
    <w:p>
      <w:pPr>
        <w:pStyle w:val="9"/>
        <w:spacing w:before="34"/>
        <w:ind w:left="35" w:firstLine="0"/>
        <w:jc w:val="center"/>
        <w:rPr>
          <w:rFonts w:hint="eastAsia" w:eastAsia="宋体"/>
          <w:lang w:eastAsia="zh-CN"/>
        </w:rPr>
      </w:pPr>
      <w:r>
        <w:rPr>
          <w:rFonts w:hint="eastAsia" w:eastAsia="宋体"/>
          <w:lang w:eastAsia="zh-CN"/>
        </w:rPr>
        <w:drawing>
          <wp:inline distT="0" distB="0" distL="114300" distR="114300">
            <wp:extent cx="5514975" cy="3143250"/>
            <wp:effectExtent l="0" t="0" r="9525" b="0"/>
            <wp:docPr id="2" name="图片 2" descr="1609315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09315482(1)"/>
                    <pic:cNvPicPr>
                      <a:picLocks noChangeAspect="1"/>
                    </pic:cNvPicPr>
                  </pic:nvPicPr>
                  <pic:blipFill>
                    <a:blip r:embed="rId24"/>
                    <a:stretch>
                      <a:fillRect/>
                    </a:stretch>
                  </pic:blipFill>
                  <pic:spPr>
                    <a:xfrm>
                      <a:off x="0" y="0"/>
                      <a:ext cx="5514975" cy="3143250"/>
                    </a:xfrm>
                    <a:prstGeom prst="rect">
                      <a:avLst/>
                    </a:prstGeom>
                  </pic:spPr>
                </pic:pic>
              </a:graphicData>
            </a:graphic>
          </wp:inline>
        </w:drawing>
      </w:r>
    </w:p>
    <w:p>
      <w:pPr>
        <w:pStyle w:val="9"/>
        <w:spacing w:before="34"/>
        <w:ind w:left="35" w:firstLine="0"/>
        <w:jc w:val="center"/>
      </w:pPr>
      <w:r>
        <w:t>图 4-1 应急组织机构图</w:t>
      </w:r>
    </w:p>
    <w:p>
      <w:pPr>
        <w:pStyle w:val="5"/>
        <w:rPr>
          <w:b/>
        </w:rPr>
      </w:pPr>
    </w:p>
    <w:p>
      <w:pPr>
        <w:pStyle w:val="5"/>
        <w:spacing w:before="8"/>
        <w:rPr>
          <w:b/>
          <w:sz w:val="17"/>
        </w:rPr>
      </w:pPr>
    </w:p>
    <w:p>
      <w:pPr>
        <w:pStyle w:val="8"/>
        <w:numPr>
          <w:ilvl w:val="1"/>
          <w:numId w:val="9"/>
        </w:numPr>
        <w:tabs>
          <w:tab w:val="left" w:pos="750"/>
        </w:tabs>
        <w:spacing w:before="0" w:after="0" w:line="240" w:lineRule="auto"/>
        <w:ind w:left="749" w:right="0" w:hanging="490"/>
        <w:jc w:val="left"/>
      </w:pPr>
      <w:bookmarkStart w:id="214" w:name="4.2 应急机构组成及职责"/>
      <w:bookmarkEnd w:id="214"/>
      <w:bookmarkStart w:id="215" w:name="_bookmark51"/>
      <w:bookmarkEnd w:id="215"/>
      <w:bookmarkStart w:id="216" w:name="_bookmark51"/>
      <w:bookmarkEnd w:id="216"/>
      <w:bookmarkStart w:id="217" w:name="_Toc15994"/>
      <w:bookmarkStart w:id="218" w:name="_Toc29181"/>
      <w:r>
        <w:t>应急机构组成及职责</w:t>
      </w:r>
      <w:bookmarkEnd w:id="217"/>
      <w:bookmarkEnd w:id="218"/>
    </w:p>
    <w:p>
      <w:pPr>
        <w:pStyle w:val="30"/>
        <w:numPr>
          <w:ilvl w:val="2"/>
          <w:numId w:val="17"/>
        </w:numPr>
        <w:tabs>
          <w:tab w:val="left" w:pos="860"/>
        </w:tabs>
        <w:spacing w:before="233" w:after="0" w:line="403" w:lineRule="auto"/>
        <w:ind w:left="740" w:right="7084" w:hanging="480"/>
        <w:jc w:val="left"/>
        <w:rPr>
          <w:sz w:val="24"/>
        </w:rPr>
      </w:pPr>
      <w:bookmarkStart w:id="219" w:name="_bookmark52"/>
      <w:bookmarkEnd w:id="219"/>
      <w:bookmarkStart w:id="220" w:name="4.2.1 应急指挥部成员"/>
      <w:bookmarkEnd w:id="220"/>
      <w:bookmarkStart w:id="221" w:name="_bookmark52"/>
      <w:bookmarkEnd w:id="221"/>
      <w:r>
        <w:rPr>
          <w:b/>
          <w:spacing w:val="-3"/>
          <w:sz w:val="24"/>
        </w:rPr>
        <w:t>应急指挥部成员</w:t>
      </w:r>
      <w:r>
        <w:rPr>
          <w:rFonts w:ascii="宋体" w:hAnsi="宋体" w:eastAsia="宋体" w:cs="宋体"/>
          <w:sz w:val="24"/>
          <w:szCs w:val="24"/>
          <w:lang w:val="zh-CN" w:eastAsia="zh-CN" w:bidi="zh-CN"/>
        </w:rPr>
        <w:t>总指挥：</w:t>
      </w:r>
      <w:r>
        <w:rPr>
          <w:rFonts w:hint="eastAsia" w:cs="宋体"/>
          <w:color w:val="auto"/>
          <w:sz w:val="21"/>
          <w:szCs w:val="21"/>
          <w:lang w:val="en-US" w:eastAsia="zh-CN"/>
        </w:rPr>
        <w:t>翟进亮</w:t>
      </w:r>
    </w:p>
    <w:p>
      <w:pPr>
        <w:pStyle w:val="5"/>
        <w:spacing w:line="256" w:lineRule="exact"/>
        <w:ind w:left="740"/>
      </w:pPr>
      <w:r>
        <w:t>副总指挥：袁根华、</w:t>
      </w:r>
      <w:r>
        <w:rPr>
          <w:rFonts w:hint="eastAsia"/>
          <w:lang w:eastAsia="zh-CN"/>
        </w:rPr>
        <w:t>胡国军</w:t>
      </w:r>
    </w:p>
    <w:p>
      <w:pPr>
        <w:pStyle w:val="5"/>
        <w:spacing w:before="161"/>
        <w:ind w:left="740"/>
      </w:pPr>
      <w:r>
        <w:t>临时总指挥：</w:t>
      </w:r>
      <w:r>
        <w:rPr>
          <w:rFonts w:hint="eastAsia"/>
          <w:lang w:eastAsia="zh-CN"/>
        </w:rPr>
        <w:t>胡国军</w:t>
      </w:r>
    </w:p>
    <w:p>
      <w:pPr>
        <w:pStyle w:val="5"/>
        <w:spacing w:before="158"/>
        <w:ind w:left="740"/>
      </w:pPr>
      <w:r>
        <w:t>应急指挥部设在总经理办公室，日常工作由总经理办公室负责。</w:t>
      </w:r>
    </w:p>
    <w:p>
      <w:pPr>
        <w:spacing w:after="0"/>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9"/>
        <w:numPr>
          <w:ilvl w:val="2"/>
          <w:numId w:val="17"/>
        </w:numPr>
        <w:tabs>
          <w:tab w:val="left" w:pos="860"/>
        </w:tabs>
        <w:spacing w:before="64" w:after="0" w:line="240" w:lineRule="auto"/>
        <w:ind w:left="860" w:right="0" w:hanging="600"/>
        <w:jc w:val="left"/>
      </w:pPr>
      <w:bookmarkStart w:id="222" w:name="4.2.2 应急指挥部职责"/>
      <w:bookmarkEnd w:id="222"/>
      <w:bookmarkStart w:id="223" w:name="_bookmark53"/>
      <w:bookmarkEnd w:id="223"/>
      <w:bookmarkStart w:id="224" w:name="_bookmark53"/>
      <w:bookmarkEnd w:id="224"/>
      <w:r>
        <w:t>应急指挥部职责</w:t>
      </w:r>
    </w:p>
    <w:p>
      <w:pPr>
        <w:pStyle w:val="30"/>
        <w:numPr>
          <w:ilvl w:val="3"/>
          <w:numId w:val="17"/>
        </w:numPr>
        <w:tabs>
          <w:tab w:val="left" w:pos="1341"/>
        </w:tabs>
        <w:spacing w:before="206" w:after="0" w:line="364" w:lineRule="auto"/>
        <w:ind w:left="260" w:right="227" w:firstLine="480"/>
        <w:jc w:val="left"/>
        <w:rPr>
          <w:sz w:val="22"/>
        </w:rPr>
      </w:pPr>
      <w:r>
        <w:rPr>
          <w:spacing w:val="-9"/>
          <w:sz w:val="24"/>
        </w:rPr>
        <w:t>贯彻执行国家、省政府、宜春市政府、上级主管部门关于环境突发事件的预防</w:t>
      </w:r>
      <w:r>
        <w:rPr>
          <w:sz w:val="24"/>
        </w:rPr>
        <w:t>和应急处置的有关方针、政策及有关规定</w:t>
      </w:r>
    </w:p>
    <w:p>
      <w:pPr>
        <w:pStyle w:val="30"/>
        <w:numPr>
          <w:ilvl w:val="3"/>
          <w:numId w:val="17"/>
        </w:numPr>
        <w:tabs>
          <w:tab w:val="left" w:pos="1341"/>
        </w:tabs>
        <w:spacing w:before="0" w:after="0" w:line="364" w:lineRule="auto"/>
        <w:ind w:left="260" w:right="229" w:firstLine="480"/>
        <w:jc w:val="left"/>
        <w:rPr>
          <w:sz w:val="22"/>
        </w:rPr>
      </w:pPr>
      <w:r>
        <w:rPr>
          <w:sz w:val="24"/>
        </w:rPr>
        <w:t>组织制定本单位突发环境事件应急预案并交由上级环境主管部门进行审批和</w:t>
      </w:r>
      <w:r>
        <w:rPr>
          <w:spacing w:val="-6"/>
          <w:sz w:val="24"/>
        </w:rPr>
        <w:t>备案；</w:t>
      </w:r>
    </w:p>
    <w:p>
      <w:pPr>
        <w:pStyle w:val="30"/>
        <w:numPr>
          <w:ilvl w:val="3"/>
          <w:numId w:val="17"/>
        </w:numPr>
        <w:tabs>
          <w:tab w:val="left" w:pos="1341"/>
        </w:tabs>
        <w:spacing w:before="0" w:after="0" w:line="240" w:lineRule="auto"/>
        <w:ind w:left="1341" w:right="0" w:hanging="601"/>
        <w:jc w:val="left"/>
        <w:rPr>
          <w:sz w:val="22"/>
        </w:rPr>
      </w:pPr>
      <w:r>
        <w:rPr>
          <w:sz w:val="24"/>
        </w:rPr>
        <w:t>组建应急处置专业队伍，组织预案的实施和演练；</w:t>
      </w:r>
    </w:p>
    <w:p>
      <w:pPr>
        <w:pStyle w:val="30"/>
        <w:numPr>
          <w:ilvl w:val="3"/>
          <w:numId w:val="17"/>
        </w:numPr>
        <w:tabs>
          <w:tab w:val="left" w:pos="1341"/>
        </w:tabs>
        <w:spacing w:before="158" w:after="0" w:line="240" w:lineRule="auto"/>
        <w:ind w:left="1341" w:right="0" w:hanging="601"/>
        <w:jc w:val="left"/>
        <w:rPr>
          <w:sz w:val="22"/>
        </w:rPr>
      </w:pPr>
      <w:r>
        <w:rPr>
          <w:sz w:val="24"/>
        </w:rPr>
        <w:t>批准本预案的启动，负责本预案的更新；</w:t>
      </w:r>
    </w:p>
    <w:p>
      <w:pPr>
        <w:pStyle w:val="30"/>
        <w:numPr>
          <w:ilvl w:val="3"/>
          <w:numId w:val="17"/>
        </w:numPr>
        <w:tabs>
          <w:tab w:val="left" w:pos="1341"/>
        </w:tabs>
        <w:spacing w:before="160" w:after="0" w:line="362" w:lineRule="auto"/>
        <w:ind w:left="260" w:right="229" w:firstLine="480"/>
        <w:jc w:val="left"/>
        <w:rPr>
          <w:sz w:val="22"/>
        </w:rPr>
      </w:pPr>
      <w:r>
        <w:rPr>
          <w:spacing w:val="-3"/>
          <w:sz w:val="24"/>
        </w:rPr>
        <w:t>检查督促做好突发环境事件的预防措施和应急处置的各项准备工作。督促、</w:t>
      </w:r>
      <w:r>
        <w:rPr>
          <w:spacing w:val="-4"/>
          <w:sz w:val="24"/>
        </w:rPr>
        <w:t>协助有关部门及时消除有毒有害物质的泄露。</w:t>
      </w:r>
    </w:p>
    <w:p>
      <w:pPr>
        <w:pStyle w:val="30"/>
        <w:numPr>
          <w:ilvl w:val="3"/>
          <w:numId w:val="17"/>
        </w:numPr>
        <w:tabs>
          <w:tab w:val="left" w:pos="1341"/>
        </w:tabs>
        <w:spacing w:before="3" w:after="0" w:line="364" w:lineRule="auto"/>
        <w:ind w:left="260" w:right="229" w:firstLine="480"/>
        <w:jc w:val="left"/>
        <w:rPr>
          <w:sz w:val="22"/>
        </w:rPr>
      </w:pPr>
      <w:r>
        <w:rPr>
          <w:spacing w:val="-5"/>
          <w:sz w:val="24"/>
        </w:rPr>
        <w:t>负责迅速召集和组织应急救援队伍、货源配置的投入。明确指出事故状态下</w:t>
      </w:r>
      <w:r>
        <w:rPr>
          <w:spacing w:val="-4"/>
          <w:sz w:val="24"/>
        </w:rPr>
        <w:t>各级人员的职责，确定现场指挥；</w:t>
      </w:r>
    </w:p>
    <w:p>
      <w:pPr>
        <w:pStyle w:val="30"/>
        <w:numPr>
          <w:ilvl w:val="3"/>
          <w:numId w:val="17"/>
        </w:numPr>
        <w:tabs>
          <w:tab w:val="left" w:pos="1341"/>
        </w:tabs>
        <w:spacing w:before="1" w:after="0" w:line="240" w:lineRule="auto"/>
        <w:ind w:left="1341" w:right="0" w:hanging="601"/>
        <w:jc w:val="left"/>
        <w:rPr>
          <w:sz w:val="22"/>
        </w:rPr>
      </w:pPr>
      <w:r>
        <w:rPr>
          <w:sz w:val="24"/>
        </w:rPr>
        <w:t>负责决定事故可能扩大后的应急响应；</w:t>
      </w:r>
    </w:p>
    <w:p>
      <w:pPr>
        <w:pStyle w:val="30"/>
        <w:numPr>
          <w:ilvl w:val="3"/>
          <w:numId w:val="17"/>
        </w:numPr>
        <w:tabs>
          <w:tab w:val="left" w:pos="1341"/>
        </w:tabs>
        <w:spacing w:before="158" w:after="0" w:line="364" w:lineRule="auto"/>
        <w:ind w:left="260" w:right="130" w:firstLine="480"/>
        <w:jc w:val="left"/>
        <w:rPr>
          <w:sz w:val="22"/>
        </w:rPr>
      </w:pPr>
      <w:r>
        <w:rPr>
          <w:spacing w:val="-1"/>
          <w:sz w:val="24"/>
        </w:rPr>
        <w:t xml:space="preserve">负责处理和发布有关信息并及时向上一级有关部门报告和通报应急救援情况， </w:t>
      </w:r>
      <w:r>
        <w:rPr>
          <w:sz w:val="24"/>
        </w:rPr>
        <w:t>并做好对有可能受影响区域的通报工作，需要撤离时，指导员工防护、组织员工安全撤离、联系控制撤离周边居民。</w:t>
      </w:r>
    </w:p>
    <w:p>
      <w:pPr>
        <w:pStyle w:val="30"/>
        <w:numPr>
          <w:ilvl w:val="3"/>
          <w:numId w:val="17"/>
        </w:numPr>
        <w:tabs>
          <w:tab w:val="left" w:pos="1341"/>
        </w:tabs>
        <w:spacing w:before="0" w:after="0" w:line="307" w:lineRule="exact"/>
        <w:ind w:left="1341" w:right="0" w:hanging="601"/>
        <w:jc w:val="left"/>
        <w:rPr>
          <w:sz w:val="22"/>
        </w:rPr>
      </w:pPr>
      <w:r>
        <w:rPr>
          <w:sz w:val="24"/>
        </w:rPr>
        <w:t>负责保护现场，做好现场清理，消除危险隐患；</w:t>
      </w:r>
    </w:p>
    <w:p>
      <w:pPr>
        <w:pStyle w:val="30"/>
        <w:numPr>
          <w:ilvl w:val="3"/>
          <w:numId w:val="17"/>
        </w:numPr>
        <w:tabs>
          <w:tab w:val="left" w:pos="1461"/>
        </w:tabs>
        <w:spacing w:before="161" w:after="0" w:line="362" w:lineRule="auto"/>
        <w:ind w:left="260" w:right="232" w:firstLine="480"/>
        <w:jc w:val="left"/>
        <w:rPr>
          <w:sz w:val="22"/>
        </w:rPr>
      </w:pPr>
      <w:r>
        <w:rPr>
          <w:spacing w:val="-1"/>
          <w:sz w:val="24"/>
        </w:rPr>
        <w:t>及时向上级环境主管部门报告突发环境事件的具体情况，必要时向有关单位</w:t>
      </w:r>
      <w:r>
        <w:rPr>
          <w:sz w:val="24"/>
        </w:rPr>
        <w:t>发出增援请求，并向周边单位通报相关情况。</w:t>
      </w:r>
    </w:p>
    <w:p>
      <w:pPr>
        <w:pStyle w:val="30"/>
        <w:numPr>
          <w:ilvl w:val="3"/>
          <w:numId w:val="17"/>
        </w:numPr>
        <w:tabs>
          <w:tab w:val="left" w:pos="1461"/>
        </w:tabs>
        <w:spacing w:before="2" w:after="0" w:line="364" w:lineRule="auto"/>
        <w:ind w:left="260" w:right="232" w:firstLine="480"/>
        <w:jc w:val="left"/>
        <w:rPr>
          <w:sz w:val="22"/>
        </w:rPr>
      </w:pPr>
      <w:r>
        <w:rPr>
          <w:spacing w:val="-1"/>
          <w:sz w:val="24"/>
        </w:rPr>
        <w:t>接受上级应急救援指挥机构的指令和调动，协助事件的处理。配合有关部门</w:t>
      </w:r>
      <w:r>
        <w:rPr>
          <w:sz w:val="24"/>
        </w:rPr>
        <w:t>对环境进行修复、事件调查、经验教训总结；</w:t>
      </w:r>
    </w:p>
    <w:p>
      <w:pPr>
        <w:pStyle w:val="30"/>
        <w:numPr>
          <w:ilvl w:val="3"/>
          <w:numId w:val="17"/>
        </w:numPr>
        <w:tabs>
          <w:tab w:val="left" w:pos="1461"/>
        </w:tabs>
        <w:spacing w:before="0" w:after="0" w:line="306" w:lineRule="exact"/>
        <w:ind w:left="1461" w:right="0" w:hanging="721"/>
        <w:jc w:val="left"/>
        <w:rPr>
          <w:sz w:val="22"/>
        </w:rPr>
      </w:pPr>
      <w:r>
        <w:rPr>
          <w:sz w:val="24"/>
        </w:rPr>
        <w:t>有计划的组织实施突发环境事件应急救援预案的培训和应急预案的演练。</w:t>
      </w:r>
    </w:p>
    <w:p>
      <w:pPr>
        <w:pStyle w:val="9"/>
        <w:numPr>
          <w:ilvl w:val="2"/>
          <w:numId w:val="17"/>
        </w:numPr>
        <w:tabs>
          <w:tab w:val="left" w:pos="860"/>
        </w:tabs>
        <w:spacing w:before="161" w:after="0" w:line="240" w:lineRule="auto"/>
        <w:ind w:left="860" w:right="0" w:hanging="600"/>
        <w:jc w:val="left"/>
      </w:pPr>
      <w:bookmarkStart w:id="225" w:name="_bookmark54"/>
      <w:bookmarkEnd w:id="225"/>
      <w:bookmarkStart w:id="226" w:name="_bookmark54"/>
      <w:bookmarkEnd w:id="226"/>
      <w:bookmarkStart w:id="227" w:name="4.2.3 各应急小组构成及职责"/>
      <w:bookmarkEnd w:id="227"/>
      <w:r>
        <w:t>各应急小组构成及职责</w:t>
      </w:r>
    </w:p>
    <w:p>
      <w:pPr>
        <w:pStyle w:val="30"/>
        <w:numPr>
          <w:ilvl w:val="0"/>
          <w:numId w:val="18"/>
        </w:numPr>
        <w:tabs>
          <w:tab w:val="left" w:pos="1341"/>
        </w:tabs>
        <w:spacing w:before="208" w:after="0" w:line="362" w:lineRule="auto"/>
        <w:ind w:left="740" w:right="5879" w:firstLine="0"/>
        <w:jc w:val="left"/>
        <w:rPr>
          <w:sz w:val="24"/>
        </w:rPr>
      </w:pPr>
      <w:r>
        <w:rPr>
          <w:b/>
          <w:spacing w:val="-2"/>
          <w:sz w:val="24"/>
        </w:rPr>
        <w:t>现场抢险组成员及职责</w:t>
      </w:r>
      <w:r>
        <w:rPr>
          <w:sz w:val="24"/>
        </w:rPr>
        <w:t>组长：</w:t>
      </w:r>
      <w:r>
        <w:rPr>
          <w:rFonts w:hint="eastAsia"/>
          <w:sz w:val="24"/>
          <w:lang w:eastAsia="zh-CN"/>
        </w:rPr>
        <w:t>夏锦波</w:t>
      </w:r>
    </w:p>
    <w:p>
      <w:pPr>
        <w:pStyle w:val="5"/>
        <w:spacing w:before="5" w:line="362" w:lineRule="auto"/>
        <w:ind w:left="740" w:right="7210"/>
      </w:pPr>
      <w:r>
        <w:t>组员：部分员工主要职责：</w:t>
      </w:r>
    </w:p>
    <w:p>
      <w:pPr>
        <w:pStyle w:val="5"/>
        <w:spacing w:before="5" w:line="364" w:lineRule="auto"/>
        <w:ind w:left="260" w:right="107" w:firstLine="480"/>
      </w:pPr>
      <w:r>
        <w:t>服从应急指挥部的调动和安排；要听从现场总指挥的指挥，不得擅自行动；釆取有</w:t>
      </w:r>
      <w:r>
        <w:rPr>
          <w:spacing w:val="-10"/>
        </w:rPr>
        <w:t xml:space="preserve">效措施，及时清除或控制污染物的泄漏、扩散，控制污染事态恶化；遇到无法进行抢险， </w:t>
      </w:r>
      <w:r>
        <w:t>可能危及抢险组员的安全情况时，迅速撤离抢险现场；在技术部门或专家的指导下清理现场遗留危险物质的消除治理和处置现场危险物质；恢复各种设施至正常使用状态；积</w:t>
      </w:r>
    </w:p>
    <w:p>
      <w:pPr>
        <w:spacing w:after="0" w:line="364" w:lineRule="auto"/>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5"/>
        <w:spacing w:before="64"/>
        <w:ind w:left="260"/>
      </w:pPr>
      <w:r>
        <w:t>极参加应急培训和演习。</w:t>
      </w:r>
    </w:p>
    <w:p>
      <w:pPr>
        <w:pStyle w:val="30"/>
        <w:numPr>
          <w:ilvl w:val="0"/>
          <w:numId w:val="18"/>
        </w:numPr>
        <w:tabs>
          <w:tab w:val="left" w:pos="1341"/>
        </w:tabs>
        <w:spacing w:before="158" w:after="0" w:line="364" w:lineRule="auto"/>
        <w:ind w:left="740" w:right="5879" w:firstLine="0"/>
        <w:jc w:val="left"/>
        <w:rPr>
          <w:sz w:val="24"/>
        </w:rPr>
      </w:pPr>
      <w:r>
        <w:rPr>
          <w:b/>
          <w:spacing w:val="-2"/>
          <w:sz w:val="24"/>
        </w:rPr>
        <w:t>医疗救护组成员及职责</w:t>
      </w:r>
      <w:r>
        <w:rPr>
          <w:sz w:val="24"/>
        </w:rPr>
        <w:t>组长：</w:t>
      </w:r>
      <w:r>
        <w:rPr>
          <w:rFonts w:hint="eastAsia"/>
          <w:sz w:val="24"/>
          <w:lang w:eastAsia="zh-CN"/>
        </w:rPr>
        <w:t>陈宇</w:t>
      </w:r>
    </w:p>
    <w:p>
      <w:pPr>
        <w:pStyle w:val="5"/>
        <w:spacing w:line="306" w:lineRule="exact"/>
        <w:ind w:left="740"/>
      </w:pPr>
      <w:r>
        <w:t>组员：部分员工</w:t>
      </w:r>
    </w:p>
    <w:p>
      <w:pPr>
        <w:pStyle w:val="5"/>
        <w:spacing w:before="160" w:line="364" w:lineRule="auto"/>
        <w:ind w:left="260" w:right="229" w:firstLine="480"/>
        <w:jc w:val="both"/>
      </w:pPr>
      <w:r>
        <w:t>主要职责：服从应急指挥部的调动和安排；负责安排急救药品、医疗器械的日常管理和维护；对事故现场受伤人员应积极进行抢救，分出轻重伤员，优先抢救危重伤员； 负责与急救中心 120 联系；积极参加应急培训和演习。</w:t>
      </w:r>
    </w:p>
    <w:p>
      <w:pPr>
        <w:pStyle w:val="30"/>
        <w:numPr>
          <w:ilvl w:val="0"/>
          <w:numId w:val="18"/>
        </w:numPr>
        <w:tabs>
          <w:tab w:val="left" w:pos="1341"/>
        </w:tabs>
        <w:spacing w:before="0" w:after="0" w:line="362" w:lineRule="auto"/>
        <w:ind w:left="740" w:right="5879" w:firstLine="0"/>
        <w:jc w:val="left"/>
        <w:rPr>
          <w:sz w:val="24"/>
        </w:rPr>
      </w:pPr>
      <w:r>
        <w:rPr>
          <w:b/>
          <w:spacing w:val="-2"/>
          <w:sz w:val="24"/>
        </w:rPr>
        <w:t>安全保卫组成员及职责</w:t>
      </w:r>
      <w:r>
        <w:rPr>
          <w:sz w:val="24"/>
        </w:rPr>
        <w:t>组长：</w:t>
      </w:r>
      <w:r>
        <w:rPr>
          <w:rFonts w:hint="eastAsia"/>
          <w:sz w:val="24"/>
          <w:lang w:eastAsia="zh-CN"/>
        </w:rPr>
        <w:t>王宁礼</w:t>
      </w:r>
    </w:p>
    <w:p>
      <w:pPr>
        <w:pStyle w:val="5"/>
        <w:spacing w:before="2"/>
        <w:ind w:left="740"/>
      </w:pPr>
      <w:r>
        <w:t>组员：部分员工</w:t>
      </w:r>
    </w:p>
    <w:p>
      <w:pPr>
        <w:pStyle w:val="5"/>
        <w:spacing w:before="161" w:line="364" w:lineRule="auto"/>
        <w:ind w:left="260" w:right="229" w:firstLine="480"/>
        <w:jc w:val="both"/>
      </w:pPr>
      <w:r>
        <w:rPr>
          <w:spacing w:val="-10"/>
        </w:rPr>
        <w:t>主要职责：服从应急指挥部的调动和安排；负责事故现场安全警戒区域的设立， 在</w:t>
      </w:r>
      <w:r>
        <w:rPr>
          <w:spacing w:val="-1"/>
        </w:rPr>
        <w:t>警戒区域要拉起警戒线，设立警戒标志，并派出警戒哨，禁止无关人员和车辆进入危险区域，在人员疏散集中区域进行治安巡逻；负责保护人员和财产安全，对现场及周围人员进行安全防护指导；负责保护事故现场和负责抢险救援人员的现场监护；实施交通管制和交通疏导，保障救援道路畅通；负责制定事故现场人员的撤离、疏散方案，组织人</w:t>
      </w:r>
      <w:r>
        <w:t>员撤离和疏导；负责被疏散人员的登记工作；积极参加应急培训和演习。</w:t>
      </w:r>
    </w:p>
    <w:p>
      <w:pPr>
        <w:pStyle w:val="30"/>
        <w:numPr>
          <w:ilvl w:val="0"/>
          <w:numId w:val="18"/>
        </w:numPr>
        <w:tabs>
          <w:tab w:val="left" w:pos="1341"/>
        </w:tabs>
        <w:spacing w:before="0" w:after="0" w:line="362" w:lineRule="auto"/>
        <w:ind w:left="740" w:right="5879" w:firstLine="0"/>
        <w:jc w:val="left"/>
        <w:rPr>
          <w:sz w:val="24"/>
        </w:rPr>
      </w:pPr>
      <w:r>
        <w:rPr>
          <w:b/>
          <w:spacing w:val="-2"/>
          <w:sz w:val="24"/>
        </w:rPr>
        <w:t>通讯联络组成员及职责</w:t>
      </w:r>
      <w:r>
        <w:rPr>
          <w:sz w:val="24"/>
        </w:rPr>
        <w:t>组长：</w:t>
      </w:r>
      <w:r>
        <w:rPr>
          <w:rFonts w:hint="eastAsia"/>
          <w:sz w:val="24"/>
          <w:lang w:eastAsia="zh-CN"/>
        </w:rPr>
        <w:t>王信春</w:t>
      </w:r>
    </w:p>
    <w:p>
      <w:pPr>
        <w:pStyle w:val="5"/>
        <w:spacing w:before="1"/>
        <w:ind w:left="740"/>
      </w:pPr>
      <w:r>
        <w:t>组员：部分员工</w:t>
      </w:r>
    </w:p>
    <w:p>
      <w:pPr>
        <w:pStyle w:val="5"/>
        <w:spacing w:before="160" w:line="364" w:lineRule="auto"/>
        <w:ind w:left="260" w:right="229" w:firstLine="480"/>
        <w:jc w:val="both"/>
      </w:pPr>
      <w:r>
        <w:t>主要职责：服从应急指挥部的调动和安排；负责通讯器材和通讯线路的日常保管和维护，确保应急时通迅畅通；负责传达应急指挥部的命令，接到预案启动命令后，立即响应并迅速通知各应急小组赶赴现场；根据总指挥的安排，向上级有关部门上报事故情况，上报分初报、续报和处理结果报告；如果事故危及周围村庄，接到总指挥需疏散的命令后，立即通知村民紧急疏散；积极参加应急培训和演习。</w:t>
      </w:r>
    </w:p>
    <w:p>
      <w:pPr>
        <w:pStyle w:val="30"/>
        <w:numPr>
          <w:ilvl w:val="0"/>
          <w:numId w:val="18"/>
        </w:numPr>
        <w:tabs>
          <w:tab w:val="left" w:pos="1341"/>
        </w:tabs>
        <w:spacing w:before="0" w:after="0" w:line="362" w:lineRule="auto"/>
        <w:ind w:left="740" w:right="5879" w:firstLine="0"/>
        <w:jc w:val="left"/>
        <w:rPr>
          <w:sz w:val="24"/>
        </w:rPr>
      </w:pPr>
      <w:r>
        <w:rPr>
          <w:b/>
          <w:spacing w:val="-2"/>
          <w:sz w:val="24"/>
        </w:rPr>
        <w:t>物资供应组成员及职责</w:t>
      </w:r>
      <w:r>
        <w:rPr>
          <w:sz w:val="24"/>
        </w:rPr>
        <w:t>组长：</w:t>
      </w:r>
      <w:r>
        <w:rPr>
          <w:rFonts w:hint="eastAsia"/>
          <w:sz w:val="24"/>
        </w:rPr>
        <w:t>李绍爱</w:t>
      </w:r>
    </w:p>
    <w:p>
      <w:pPr>
        <w:pStyle w:val="5"/>
        <w:spacing w:before="4"/>
        <w:ind w:left="740"/>
      </w:pPr>
      <w:r>
        <w:t>组员：部分员工</w:t>
      </w:r>
    </w:p>
    <w:p>
      <w:pPr>
        <w:pStyle w:val="5"/>
        <w:spacing w:before="158" w:line="364" w:lineRule="auto"/>
        <w:ind w:left="260" w:right="229" w:firstLine="480"/>
        <w:jc w:val="both"/>
      </w:pPr>
      <w:r>
        <w:t>主要职责：服从应急指挥部的调动和安排；提供应急救援资金，组织协调应急储备物资；负责组织调集应急救援装备，随时将抢险现场需要的设施（备）、工具、防护用品等送到现场；负责抢险救援车辆的落实工作；积极参加公司举办的应急培训和演习。</w:t>
      </w:r>
    </w:p>
    <w:p>
      <w:pPr>
        <w:spacing w:after="0" w:line="364" w:lineRule="auto"/>
        <w:jc w:val="both"/>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30"/>
        <w:numPr>
          <w:ilvl w:val="0"/>
          <w:numId w:val="18"/>
        </w:numPr>
        <w:tabs>
          <w:tab w:val="left" w:pos="1341"/>
        </w:tabs>
        <w:spacing w:before="64" w:after="0" w:line="362" w:lineRule="auto"/>
        <w:ind w:left="740" w:right="5879" w:firstLine="0"/>
        <w:jc w:val="left"/>
        <w:rPr>
          <w:sz w:val="24"/>
        </w:rPr>
      </w:pPr>
      <w:r>
        <w:rPr>
          <w:b/>
          <w:spacing w:val="-2"/>
          <w:sz w:val="24"/>
        </w:rPr>
        <w:t>应急监测组成员及职责</w:t>
      </w:r>
      <w:r>
        <w:rPr>
          <w:sz w:val="24"/>
        </w:rPr>
        <w:t>组长：</w:t>
      </w:r>
      <w:r>
        <w:rPr>
          <w:rFonts w:hint="eastAsia"/>
          <w:sz w:val="24"/>
          <w:lang w:eastAsia="zh-CN"/>
        </w:rPr>
        <w:t>刘小春</w:t>
      </w:r>
    </w:p>
    <w:p>
      <w:pPr>
        <w:pStyle w:val="5"/>
        <w:spacing w:before="5"/>
        <w:ind w:left="740"/>
      </w:pPr>
      <w:r>
        <w:t>组员：部分员工</w:t>
      </w:r>
    </w:p>
    <w:p>
      <w:pPr>
        <w:pStyle w:val="5"/>
        <w:spacing w:before="158" w:line="364" w:lineRule="auto"/>
        <w:ind w:left="260" w:right="229" w:firstLine="480"/>
      </w:pPr>
      <w:r>
        <w:t>主要职责：对突发事件的污染情况进行初步监测并及时上报，联系外部监测机构开展应急监测工作，配合上级环保部门进行环境污染情况的调查和取证。</w:t>
      </w:r>
    </w:p>
    <w:p>
      <w:pPr>
        <w:pStyle w:val="8"/>
        <w:numPr>
          <w:ilvl w:val="1"/>
          <w:numId w:val="9"/>
        </w:numPr>
        <w:tabs>
          <w:tab w:val="left" w:pos="750"/>
        </w:tabs>
        <w:spacing w:before="2" w:after="0" w:line="240" w:lineRule="auto"/>
        <w:ind w:left="749" w:right="0" w:hanging="490"/>
        <w:jc w:val="left"/>
      </w:pPr>
      <w:bookmarkStart w:id="228" w:name="_bookmark55"/>
      <w:bookmarkEnd w:id="228"/>
      <w:bookmarkStart w:id="229" w:name="_bookmark55"/>
      <w:bookmarkEnd w:id="229"/>
      <w:bookmarkStart w:id="230" w:name="4.3 应急准备工作"/>
      <w:bookmarkEnd w:id="230"/>
      <w:bookmarkStart w:id="231" w:name="_Toc15065"/>
      <w:bookmarkStart w:id="232" w:name="_Toc20008"/>
      <w:r>
        <w:t>应急准备工作</w:t>
      </w:r>
      <w:bookmarkEnd w:id="231"/>
      <w:bookmarkEnd w:id="232"/>
    </w:p>
    <w:p>
      <w:pPr>
        <w:pStyle w:val="5"/>
        <w:spacing w:before="233"/>
        <w:ind w:left="740"/>
      </w:pPr>
      <w:r>
        <w:t>各应急组织机构根据自己的职责需开展的应急准备具体工作见表 4-1。</w:t>
      </w:r>
    </w:p>
    <w:p>
      <w:pPr>
        <w:pStyle w:val="5"/>
        <w:spacing w:before="8"/>
        <w:rPr>
          <w:sz w:val="19"/>
        </w:rPr>
      </w:pPr>
    </w:p>
    <w:p>
      <w:pPr>
        <w:pStyle w:val="9"/>
        <w:tabs>
          <w:tab w:val="left" w:pos="1417"/>
        </w:tabs>
        <w:spacing w:after="18"/>
        <w:ind w:left="512" w:firstLine="0"/>
        <w:jc w:val="center"/>
      </w:pPr>
      <w:bookmarkStart w:id="233" w:name="表4-1  应急准备"/>
      <w:bookmarkEnd w:id="233"/>
      <w:r>
        <w:t>表</w:t>
      </w:r>
      <w:r>
        <w:rPr>
          <w:spacing w:val="-62"/>
        </w:rPr>
        <w:t xml:space="preserve"> </w:t>
      </w:r>
      <w:r>
        <w:t>4-1</w:t>
      </w:r>
      <w:r>
        <w:tab/>
      </w:r>
      <w:r>
        <w:t>应急准备</w:t>
      </w:r>
    </w:p>
    <w:tbl>
      <w:tblPr>
        <w:tblStyle w:val="14"/>
        <w:tblW w:w="9351"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28"/>
        <w:gridCol w:w="58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3528" w:type="dxa"/>
          </w:tcPr>
          <w:p>
            <w:pPr>
              <w:pStyle w:val="31"/>
              <w:spacing w:before="55"/>
              <w:ind w:left="1111" w:right="1106"/>
              <w:rPr>
                <w:sz w:val="21"/>
              </w:rPr>
            </w:pPr>
            <w:r>
              <w:rPr>
                <w:sz w:val="21"/>
              </w:rPr>
              <w:t>应急组织机构</w:t>
            </w:r>
          </w:p>
        </w:tc>
        <w:tc>
          <w:tcPr>
            <w:tcW w:w="5823" w:type="dxa"/>
          </w:tcPr>
          <w:p>
            <w:pPr>
              <w:pStyle w:val="31"/>
              <w:spacing w:before="55"/>
              <w:ind w:left="20" w:right="15"/>
              <w:rPr>
                <w:sz w:val="21"/>
              </w:rPr>
            </w:pPr>
            <w:r>
              <w:rPr>
                <w:sz w:val="21"/>
              </w:rPr>
              <w:t>需开展的应急准备工作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3528" w:type="dxa"/>
          </w:tcPr>
          <w:p>
            <w:pPr>
              <w:pStyle w:val="31"/>
              <w:spacing w:before="136"/>
              <w:ind w:left="1111" w:right="1103"/>
              <w:rPr>
                <w:sz w:val="21"/>
              </w:rPr>
            </w:pPr>
            <w:r>
              <w:rPr>
                <w:sz w:val="21"/>
              </w:rPr>
              <w:t>应急指挥部</w:t>
            </w:r>
          </w:p>
        </w:tc>
        <w:tc>
          <w:tcPr>
            <w:tcW w:w="5823" w:type="dxa"/>
          </w:tcPr>
          <w:p>
            <w:pPr>
              <w:pStyle w:val="31"/>
              <w:spacing w:line="268" w:lineRule="exact"/>
              <w:ind w:left="24" w:right="15"/>
              <w:rPr>
                <w:sz w:val="21"/>
              </w:rPr>
            </w:pPr>
            <w:r>
              <w:rPr>
                <w:sz w:val="21"/>
              </w:rPr>
              <w:t>各项应急准备工作的审批、参与和监督；根据企业实际情况及</w:t>
            </w:r>
          </w:p>
          <w:p>
            <w:pPr>
              <w:pStyle w:val="31"/>
              <w:spacing w:before="4" w:line="252" w:lineRule="exact"/>
              <w:ind w:left="20" w:right="15"/>
              <w:rPr>
                <w:sz w:val="21"/>
              </w:rPr>
            </w:pPr>
            <w:r>
              <w:rPr>
                <w:sz w:val="21"/>
              </w:rPr>
              <w:t>时修订应急预案，组织应急培训、演练等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3528" w:type="dxa"/>
          </w:tcPr>
          <w:p>
            <w:pPr>
              <w:pStyle w:val="31"/>
              <w:spacing w:before="53"/>
              <w:ind w:left="1111" w:right="1103"/>
              <w:rPr>
                <w:sz w:val="21"/>
              </w:rPr>
            </w:pPr>
            <w:r>
              <w:rPr>
                <w:sz w:val="21"/>
              </w:rPr>
              <w:t>现场抢险组</w:t>
            </w:r>
          </w:p>
        </w:tc>
        <w:tc>
          <w:tcPr>
            <w:tcW w:w="5823" w:type="dxa"/>
          </w:tcPr>
          <w:p>
            <w:pPr>
              <w:pStyle w:val="31"/>
              <w:spacing w:before="53"/>
              <w:ind w:left="20" w:right="15"/>
              <w:rPr>
                <w:sz w:val="21"/>
              </w:rPr>
            </w:pPr>
            <w:r>
              <w:rPr>
                <w:sz w:val="21"/>
              </w:rPr>
              <w:t>掌握不同类别突发环境事件的抢险救援方法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3528" w:type="dxa"/>
          </w:tcPr>
          <w:p>
            <w:pPr>
              <w:pStyle w:val="31"/>
              <w:spacing w:before="53"/>
              <w:ind w:left="1111" w:right="1103"/>
              <w:rPr>
                <w:sz w:val="21"/>
              </w:rPr>
            </w:pPr>
            <w:r>
              <w:rPr>
                <w:sz w:val="21"/>
              </w:rPr>
              <w:t>医疗救护组</w:t>
            </w:r>
          </w:p>
        </w:tc>
        <w:tc>
          <w:tcPr>
            <w:tcW w:w="5823" w:type="dxa"/>
          </w:tcPr>
          <w:p>
            <w:pPr>
              <w:pStyle w:val="31"/>
              <w:spacing w:before="53"/>
              <w:ind w:left="20" w:right="15"/>
              <w:rPr>
                <w:sz w:val="21"/>
              </w:rPr>
            </w:pPr>
            <w:r>
              <w:rPr>
                <w:sz w:val="21"/>
              </w:rPr>
              <w:t>做好救援装备的储备和维护工作，掌握相关急救方法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3528" w:type="dxa"/>
          </w:tcPr>
          <w:p>
            <w:pPr>
              <w:pStyle w:val="31"/>
              <w:spacing w:before="54"/>
              <w:ind w:left="1111" w:right="1103"/>
              <w:rPr>
                <w:sz w:val="21"/>
              </w:rPr>
            </w:pPr>
            <w:r>
              <w:rPr>
                <w:sz w:val="21"/>
              </w:rPr>
              <w:t>安全保卫组</w:t>
            </w:r>
          </w:p>
        </w:tc>
        <w:tc>
          <w:tcPr>
            <w:tcW w:w="5823" w:type="dxa"/>
          </w:tcPr>
          <w:p>
            <w:pPr>
              <w:pStyle w:val="31"/>
              <w:spacing w:before="54"/>
              <w:ind w:left="20" w:right="15"/>
              <w:rPr>
                <w:sz w:val="21"/>
              </w:rPr>
            </w:pPr>
            <w:r>
              <w:rPr>
                <w:sz w:val="21"/>
              </w:rPr>
              <w:t>熟悉厂内建筑结构、环境；熟悉区域地形和环境概况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3528" w:type="dxa"/>
          </w:tcPr>
          <w:p>
            <w:pPr>
              <w:pStyle w:val="31"/>
              <w:spacing w:before="54"/>
              <w:ind w:left="1111" w:right="1103"/>
              <w:rPr>
                <w:sz w:val="21"/>
              </w:rPr>
            </w:pPr>
            <w:r>
              <w:rPr>
                <w:sz w:val="21"/>
              </w:rPr>
              <w:t>通讯联络组</w:t>
            </w:r>
          </w:p>
        </w:tc>
        <w:tc>
          <w:tcPr>
            <w:tcW w:w="5823" w:type="dxa"/>
          </w:tcPr>
          <w:p>
            <w:pPr>
              <w:pStyle w:val="31"/>
              <w:spacing w:before="54"/>
              <w:ind w:left="20" w:right="15"/>
              <w:rPr>
                <w:sz w:val="21"/>
              </w:rPr>
            </w:pPr>
            <w:r>
              <w:rPr>
                <w:sz w:val="21"/>
              </w:rPr>
              <w:t>做好公司通讯设备的日常维护工作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3528" w:type="dxa"/>
          </w:tcPr>
          <w:p>
            <w:pPr>
              <w:pStyle w:val="31"/>
              <w:spacing w:before="53"/>
              <w:ind w:left="1111" w:right="1103"/>
              <w:rPr>
                <w:sz w:val="21"/>
              </w:rPr>
            </w:pPr>
            <w:r>
              <w:rPr>
                <w:sz w:val="21"/>
              </w:rPr>
              <w:t>物资供应组</w:t>
            </w:r>
          </w:p>
        </w:tc>
        <w:tc>
          <w:tcPr>
            <w:tcW w:w="5823" w:type="dxa"/>
          </w:tcPr>
          <w:p>
            <w:pPr>
              <w:pStyle w:val="31"/>
              <w:spacing w:before="53"/>
              <w:ind w:left="22" w:right="15"/>
              <w:rPr>
                <w:sz w:val="21"/>
              </w:rPr>
            </w:pPr>
            <w:r>
              <w:rPr>
                <w:sz w:val="21"/>
              </w:rPr>
              <w:t>做好应急物资、装备、车辆的储备和维护工作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3528" w:type="dxa"/>
          </w:tcPr>
          <w:p>
            <w:pPr>
              <w:pStyle w:val="31"/>
              <w:spacing w:before="136"/>
              <w:ind w:left="1111" w:right="1103"/>
              <w:rPr>
                <w:sz w:val="21"/>
              </w:rPr>
            </w:pPr>
            <w:r>
              <w:rPr>
                <w:sz w:val="21"/>
              </w:rPr>
              <w:t>应急监测组</w:t>
            </w:r>
          </w:p>
        </w:tc>
        <w:tc>
          <w:tcPr>
            <w:tcW w:w="5823" w:type="dxa"/>
          </w:tcPr>
          <w:p>
            <w:pPr>
              <w:pStyle w:val="31"/>
              <w:spacing w:line="268" w:lineRule="exact"/>
              <w:ind w:left="87" w:right="15"/>
              <w:rPr>
                <w:sz w:val="21"/>
              </w:rPr>
            </w:pPr>
            <w:r>
              <w:rPr>
                <w:sz w:val="21"/>
              </w:rPr>
              <w:t>做好应急监测仪器设备的日常维护，掌握相关环境应急知识，</w:t>
            </w:r>
          </w:p>
          <w:p>
            <w:pPr>
              <w:pStyle w:val="31"/>
              <w:spacing w:before="4" w:line="251" w:lineRule="exact"/>
              <w:ind w:left="20" w:right="15"/>
              <w:rPr>
                <w:sz w:val="21"/>
              </w:rPr>
            </w:pPr>
            <w:r>
              <w:rPr>
                <w:sz w:val="21"/>
              </w:rPr>
              <w:t>加强日常事故应急训练，具备一定的环境管控能力</w:t>
            </w:r>
          </w:p>
        </w:tc>
      </w:tr>
    </w:tbl>
    <w:p>
      <w:pPr>
        <w:pStyle w:val="8"/>
        <w:numPr>
          <w:ilvl w:val="1"/>
          <w:numId w:val="9"/>
        </w:numPr>
        <w:tabs>
          <w:tab w:val="left" w:pos="750"/>
        </w:tabs>
        <w:spacing w:before="4" w:after="0" w:line="240" w:lineRule="auto"/>
        <w:ind w:left="749" w:right="0" w:hanging="490"/>
        <w:jc w:val="left"/>
      </w:pPr>
      <w:bookmarkStart w:id="234" w:name="_bookmark56"/>
      <w:bookmarkEnd w:id="234"/>
      <w:bookmarkStart w:id="235" w:name="_bookmark56"/>
      <w:bookmarkEnd w:id="235"/>
      <w:bookmarkStart w:id="236" w:name="4.4 应急组织人员及联系方式"/>
      <w:bookmarkEnd w:id="236"/>
      <w:bookmarkStart w:id="237" w:name="_Toc21851"/>
      <w:bookmarkStart w:id="238" w:name="_Toc22985"/>
      <w:r>
        <w:t>应急组织人员及联系方式</w:t>
      </w:r>
      <w:bookmarkEnd w:id="237"/>
      <w:bookmarkEnd w:id="238"/>
    </w:p>
    <w:p>
      <w:pPr>
        <w:pStyle w:val="5"/>
        <w:spacing w:before="6"/>
        <w:rPr>
          <w:b/>
          <w:sz w:val="25"/>
        </w:rPr>
      </w:pPr>
    </w:p>
    <w:p>
      <w:pPr>
        <w:tabs>
          <w:tab w:val="left" w:pos="1376"/>
        </w:tabs>
        <w:spacing w:before="1"/>
        <w:ind w:left="517" w:right="0" w:firstLine="0"/>
        <w:jc w:val="center"/>
        <w:rPr>
          <w:b/>
          <w:sz w:val="24"/>
        </w:rPr>
      </w:pPr>
      <w:bookmarkStart w:id="239" w:name="表4-2  内部应急组织人员通讯录"/>
      <w:bookmarkEnd w:id="239"/>
      <w:r>
        <w:rPr>
          <w:b/>
          <w:sz w:val="24"/>
        </w:rPr>
        <w:t>表</w:t>
      </w:r>
      <w:r>
        <w:rPr>
          <w:b/>
          <w:spacing w:val="-62"/>
          <w:sz w:val="24"/>
        </w:rPr>
        <w:t xml:space="preserve"> </w:t>
      </w:r>
      <w:r>
        <w:rPr>
          <w:rFonts w:ascii="Times New Roman" w:eastAsia="Times New Roman"/>
          <w:b/>
          <w:sz w:val="24"/>
        </w:rPr>
        <w:t>4-2</w:t>
      </w:r>
      <w:r>
        <w:rPr>
          <w:rFonts w:ascii="Times New Roman" w:eastAsia="Times New Roman"/>
          <w:b/>
          <w:sz w:val="24"/>
        </w:rPr>
        <w:tab/>
      </w:r>
      <w:r>
        <w:rPr>
          <w:b/>
          <w:sz w:val="24"/>
        </w:rPr>
        <w:t>内部应急组织人员通讯录</w:t>
      </w:r>
    </w:p>
    <w:p>
      <w:pPr>
        <w:pStyle w:val="5"/>
        <w:spacing w:before="7"/>
        <w:rPr>
          <w:b/>
          <w:sz w:val="8"/>
        </w:rPr>
      </w:pPr>
    </w:p>
    <w:tbl>
      <w:tblPr>
        <w:tblStyle w:val="14"/>
        <w:tblW w:w="9303"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5"/>
        <w:gridCol w:w="1726"/>
        <w:gridCol w:w="1350"/>
        <w:gridCol w:w="1294"/>
        <w:gridCol w:w="2034"/>
        <w:gridCol w:w="20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865" w:type="dxa"/>
          </w:tcPr>
          <w:p>
            <w:pPr>
              <w:pStyle w:val="31"/>
              <w:spacing w:before="49"/>
              <w:ind w:left="201" w:right="194"/>
              <w:rPr>
                <w:sz w:val="21"/>
              </w:rPr>
            </w:pPr>
            <w:r>
              <w:rPr>
                <w:sz w:val="21"/>
              </w:rPr>
              <w:t>序号</w:t>
            </w:r>
          </w:p>
        </w:tc>
        <w:tc>
          <w:tcPr>
            <w:tcW w:w="3076" w:type="dxa"/>
            <w:gridSpan w:val="2"/>
          </w:tcPr>
          <w:p>
            <w:pPr>
              <w:pStyle w:val="31"/>
              <w:spacing w:before="49"/>
              <w:ind w:left="907"/>
              <w:jc w:val="left"/>
              <w:rPr>
                <w:sz w:val="21"/>
              </w:rPr>
            </w:pPr>
            <w:r>
              <w:rPr>
                <w:sz w:val="21"/>
              </w:rPr>
              <w:t>应急机构职务</w:t>
            </w:r>
          </w:p>
        </w:tc>
        <w:tc>
          <w:tcPr>
            <w:tcW w:w="1294" w:type="dxa"/>
          </w:tcPr>
          <w:p>
            <w:pPr>
              <w:pStyle w:val="31"/>
              <w:spacing w:before="49"/>
              <w:ind w:left="292" w:right="288"/>
              <w:rPr>
                <w:sz w:val="21"/>
              </w:rPr>
            </w:pPr>
            <w:r>
              <w:rPr>
                <w:sz w:val="21"/>
              </w:rPr>
              <w:t>姓名</w:t>
            </w:r>
          </w:p>
        </w:tc>
        <w:tc>
          <w:tcPr>
            <w:tcW w:w="2034" w:type="dxa"/>
          </w:tcPr>
          <w:p>
            <w:pPr>
              <w:pStyle w:val="31"/>
              <w:spacing w:before="49"/>
              <w:ind w:left="386" w:right="381"/>
              <w:rPr>
                <w:sz w:val="21"/>
              </w:rPr>
            </w:pPr>
            <w:r>
              <w:rPr>
                <w:sz w:val="21"/>
              </w:rPr>
              <w:t>厂内职务</w:t>
            </w:r>
          </w:p>
        </w:tc>
        <w:tc>
          <w:tcPr>
            <w:tcW w:w="2034" w:type="dxa"/>
          </w:tcPr>
          <w:p>
            <w:pPr>
              <w:pStyle w:val="31"/>
              <w:spacing w:before="49"/>
              <w:ind w:left="389" w:right="381"/>
              <w:rPr>
                <w:sz w:val="21"/>
              </w:rPr>
            </w:pPr>
            <w:r>
              <w:rPr>
                <w:sz w:val="21"/>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865" w:type="dxa"/>
            <w:vMerge w:val="restart"/>
          </w:tcPr>
          <w:p>
            <w:pPr>
              <w:pStyle w:val="31"/>
              <w:jc w:val="left"/>
              <w:rPr>
                <w:b/>
                <w:sz w:val="22"/>
              </w:rPr>
            </w:pPr>
          </w:p>
          <w:p>
            <w:pPr>
              <w:pStyle w:val="31"/>
              <w:jc w:val="left"/>
              <w:rPr>
                <w:b/>
                <w:sz w:val="19"/>
              </w:rPr>
            </w:pPr>
          </w:p>
          <w:p>
            <w:pPr>
              <w:pStyle w:val="31"/>
              <w:spacing w:before="1"/>
              <w:ind w:left="10"/>
              <w:rPr>
                <w:rFonts w:ascii="Times New Roman"/>
                <w:sz w:val="21"/>
              </w:rPr>
            </w:pPr>
            <w:r>
              <w:rPr>
                <w:rFonts w:ascii="Times New Roman"/>
                <w:w w:val="99"/>
                <w:sz w:val="21"/>
              </w:rPr>
              <w:t>1</w:t>
            </w:r>
          </w:p>
        </w:tc>
        <w:tc>
          <w:tcPr>
            <w:tcW w:w="1726" w:type="dxa"/>
            <w:vMerge w:val="restart"/>
          </w:tcPr>
          <w:p>
            <w:pPr>
              <w:pStyle w:val="31"/>
              <w:jc w:val="left"/>
              <w:rPr>
                <w:b/>
                <w:sz w:val="20"/>
              </w:rPr>
            </w:pPr>
          </w:p>
          <w:p>
            <w:pPr>
              <w:pStyle w:val="31"/>
              <w:spacing w:before="12"/>
              <w:jc w:val="left"/>
              <w:rPr>
                <w:b/>
                <w:sz w:val="19"/>
              </w:rPr>
            </w:pPr>
          </w:p>
          <w:p>
            <w:pPr>
              <w:pStyle w:val="31"/>
              <w:ind w:left="338"/>
              <w:jc w:val="left"/>
              <w:rPr>
                <w:sz w:val="21"/>
              </w:rPr>
            </w:pPr>
            <w:r>
              <w:rPr>
                <w:sz w:val="21"/>
              </w:rPr>
              <w:t>应急指挥部</w:t>
            </w:r>
          </w:p>
        </w:tc>
        <w:tc>
          <w:tcPr>
            <w:tcW w:w="1350" w:type="dxa"/>
          </w:tcPr>
          <w:p>
            <w:pPr>
              <w:pStyle w:val="31"/>
              <w:spacing w:before="10" w:line="261" w:lineRule="exact"/>
              <w:ind w:left="128" w:right="120"/>
              <w:rPr>
                <w:sz w:val="21"/>
              </w:rPr>
            </w:pPr>
            <w:r>
              <w:rPr>
                <w:sz w:val="21"/>
              </w:rPr>
              <w:t>总指挥</w:t>
            </w:r>
          </w:p>
        </w:tc>
        <w:tc>
          <w:tcPr>
            <w:tcW w:w="1294" w:type="dxa"/>
            <w:vAlign w:val="top"/>
          </w:tcPr>
          <w:p>
            <w:pPr>
              <w:pStyle w:val="31"/>
              <w:spacing w:before="176"/>
              <w:ind w:left="9" w:leftChars="0" w:right="0" w:rightChars="0"/>
              <w:jc w:val="center"/>
              <w:rPr>
                <w:sz w:val="22"/>
              </w:rPr>
            </w:pPr>
            <w:r>
              <w:rPr>
                <w:rFonts w:hint="eastAsia" w:cs="宋体"/>
                <w:color w:val="auto"/>
                <w:sz w:val="21"/>
                <w:szCs w:val="21"/>
                <w:lang w:val="en-US" w:eastAsia="zh-CN"/>
              </w:rPr>
              <w:t>翟进亮</w:t>
            </w:r>
          </w:p>
        </w:tc>
        <w:tc>
          <w:tcPr>
            <w:tcW w:w="2034" w:type="dxa"/>
            <w:vAlign w:val="top"/>
          </w:tcPr>
          <w:p>
            <w:pPr>
              <w:pStyle w:val="31"/>
              <w:spacing w:before="176"/>
              <w:ind w:left="514" w:leftChars="0" w:right="507" w:rightChars="0"/>
              <w:jc w:val="center"/>
              <w:rPr>
                <w:sz w:val="22"/>
              </w:rPr>
            </w:pPr>
            <w:r>
              <w:rPr>
                <w:rFonts w:hint="eastAsia" w:ascii="宋体" w:hAnsi="宋体" w:eastAsia="宋体" w:cs="宋体"/>
                <w:color w:val="auto"/>
                <w:sz w:val="21"/>
                <w:szCs w:val="21"/>
              </w:rPr>
              <w:t>总经理</w:t>
            </w:r>
          </w:p>
        </w:tc>
        <w:tc>
          <w:tcPr>
            <w:tcW w:w="2034" w:type="dxa"/>
            <w:vAlign w:val="top"/>
          </w:tcPr>
          <w:p>
            <w:pPr>
              <w:pStyle w:val="31"/>
              <w:spacing w:before="176"/>
              <w:ind w:left="10" w:leftChars="0" w:right="0" w:rightChars="0"/>
              <w:jc w:val="center"/>
              <w:rPr>
                <w:rFonts w:ascii="Times New Roman"/>
                <w:sz w:val="22"/>
              </w:rPr>
            </w:pPr>
            <w:r>
              <w:rPr>
                <w:rFonts w:hint="eastAsia" w:ascii="宋体" w:hAnsi="宋体" w:eastAsia="宋体" w:cs="宋体"/>
                <w:color w:val="auto"/>
                <w:sz w:val="21"/>
                <w:szCs w:val="21"/>
              </w:rPr>
              <w:t>13755812889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vMerge w:val="continue"/>
            <w:tcBorders>
              <w:top w:val="nil"/>
            </w:tcBorders>
          </w:tcPr>
          <w:p>
            <w:pPr>
              <w:rPr>
                <w:sz w:val="2"/>
                <w:szCs w:val="2"/>
              </w:rPr>
            </w:pPr>
          </w:p>
        </w:tc>
        <w:tc>
          <w:tcPr>
            <w:tcW w:w="1726" w:type="dxa"/>
            <w:vMerge w:val="continue"/>
            <w:tcBorders>
              <w:top w:val="nil"/>
            </w:tcBorders>
          </w:tcPr>
          <w:p>
            <w:pPr>
              <w:rPr>
                <w:sz w:val="2"/>
                <w:szCs w:val="2"/>
              </w:rPr>
            </w:pPr>
          </w:p>
        </w:tc>
        <w:tc>
          <w:tcPr>
            <w:tcW w:w="1350" w:type="dxa"/>
            <w:vMerge w:val="restart"/>
          </w:tcPr>
          <w:p>
            <w:pPr>
              <w:pStyle w:val="31"/>
              <w:spacing w:before="10"/>
              <w:jc w:val="left"/>
              <w:rPr>
                <w:b/>
                <w:sz w:val="16"/>
              </w:rPr>
            </w:pPr>
          </w:p>
          <w:p>
            <w:pPr>
              <w:pStyle w:val="31"/>
              <w:ind w:left="254"/>
              <w:jc w:val="left"/>
              <w:rPr>
                <w:sz w:val="21"/>
              </w:rPr>
            </w:pPr>
            <w:r>
              <w:rPr>
                <w:sz w:val="21"/>
              </w:rPr>
              <w:t>副总指挥</w:t>
            </w:r>
          </w:p>
        </w:tc>
        <w:tc>
          <w:tcPr>
            <w:tcW w:w="1294" w:type="dxa"/>
            <w:vAlign w:val="top"/>
          </w:tcPr>
          <w:p>
            <w:pPr>
              <w:pStyle w:val="31"/>
              <w:spacing w:before="175"/>
              <w:ind w:left="9" w:leftChars="0" w:right="0" w:rightChars="0"/>
              <w:jc w:val="center"/>
              <w:rPr>
                <w:sz w:val="22"/>
              </w:rPr>
            </w:pPr>
            <w:r>
              <w:rPr>
                <w:rFonts w:hint="eastAsia" w:cs="宋体"/>
                <w:color w:val="auto"/>
                <w:sz w:val="21"/>
                <w:szCs w:val="21"/>
                <w:lang w:eastAsia="zh-CN"/>
              </w:rPr>
              <w:t>胡国军</w:t>
            </w:r>
          </w:p>
        </w:tc>
        <w:tc>
          <w:tcPr>
            <w:tcW w:w="2034" w:type="dxa"/>
            <w:vAlign w:val="top"/>
          </w:tcPr>
          <w:p>
            <w:pPr>
              <w:pStyle w:val="31"/>
              <w:spacing w:before="175"/>
              <w:ind w:left="519" w:leftChars="0" w:right="507" w:rightChars="0"/>
              <w:jc w:val="center"/>
              <w:rPr>
                <w:sz w:val="22"/>
              </w:rPr>
            </w:pPr>
            <w:r>
              <w:rPr>
                <w:rFonts w:hint="eastAsia" w:ascii="宋体" w:hAnsi="宋体" w:eastAsia="宋体" w:cs="宋体"/>
                <w:color w:val="auto"/>
                <w:sz w:val="21"/>
                <w:szCs w:val="21"/>
              </w:rPr>
              <w:t>生产主管</w:t>
            </w:r>
          </w:p>
        </w:tc>
        <w:tc>
          <w:tcPr>
            <w:tcW w:w="2034" w:type="dxa"/>
            <w:vAlign w:val="top"/>
          </w:tcPr>
          <w:p>
            <w:pPr>
              <w:pStyle w:val="31"/>
              <w:spacing w:before="175"/>
              <w:ind w:left="10" w:leftChars="0" w:right="0" w:rightChars="0"/>
              <w:jc w:val="center"/>
              <w:rPr>
                <w:rFonts w:ascii="Times New Roman"/>
                <w:sz w:val="22"/>
              </w:rPr>
            </w:pPr>
            <w:r>
              <w:rPr>
                <w:rFonts w:hint="eastAsia" w:ascii="宋体" w:hAnsi="宋体" w:eastAsia="宋体" w:cs="宋体"/>
                <w:color w:val="auto"/>
                <w:sz w:val="21"/>
                <w:szCs w:val="21"/>
              </w:rPr>
              <w:t>18003956802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65" w:type="dxa"/>
            <w:vMerge w:val="continue"/>
            <w:tcBorders>
              <w:top w:val="nil"/>
            </w:tcBorders>
          </w:tcPr>
          <w:p>
            <w:pPr>
              <w:rPr>
                <w:sz w:val="2"/>
                <w:szCs w:val="2"/>
              </w:rPr>
            </w:pPr>
          </w:p>
        </w:tc>
        <w:tc>
          <w:tcPr>
            <w:tcW w:w="1726" w:type="dxa"/>
            <w:vMerge w:val="continue"/>
            <w:tcBorders>
              <w:top w:val="nil"/>
            </w:tcBorders>
          </w:tcPr>
          <w:p>
            <w:pPr>
              <w:rPr>
                <w:sz w:val="2"/>
                <w:szCs w:val="2"/>
              </w:rPr>
            </w:pPr>
          </w:p>
        </w:tc>
        <w:tc>
          <w:tcPr>
            <w:tcW w:w="1350" w:type="dxa"/>
            <w:vMerge w:val="continue"/>
            <w:tcBorders>
              <w:top w:val="nil"/>
            </w:tcBorders>
          </w:tcPr>
          <w:p>
            <w:pPr>
              <w:rPr>
                <w:sz w:val="2"/>
                <w:szCs w:val="2"/>
              </w:rPr>
            </w:pPr>
          </w:p>
        </w:tc>
        <w:tc>
          <w:tcPr>
            <w:tcW w:w="1294" w:type="dxa"/>
            <w:vAlign w:val="top"/>
          </w:tcPr>
          <w:p>
            <w:pPr>
              <w:pStyle w:val="31"/>
              <w:spacing w:before="176"/>
              <w:ind w:left="9" w:leftChars="0" w:right="0" w:rightChars="0"/>
              <w:jc w:val="center"/>
              <w:rPr>
                <w:sz w:val="22"/>
              </w:rPr>
            </w:pPr>
            <w:r>
              <w:rPr>
                <w:rFonts w:hint="eastAsia" w:cs="宋体"/>
                <w:color w:val="auto"/>
                <w:sz w:val="21"/>
                <w:szCs w:val="21"/>
                <w:lang w:eastAsia="zh-CN"/>
              </w:rPr>
              <w:t>王宁礼</w:t>
            </w:r>
          </w:p>
        </w:tc>
        <w:tc>
          <w:tcPr>
            <w:tcW w:w="2034" w:type="dxa"/>
            <w:vAlign w:val="top"/>
          </w:tcPr>
          <w:p>
            <w:pPr>
              <w:pStyle w:val="31"/>
              <w:spacing w:before="176"/>
              <w:ind w:left="519" w:leftChars="0" w:right="507" w:rightChars="0"/>
              <w:jc w:val="center"/>
              <w:rPr>
                <w:sz w:val="22"/>
              </w:rPr>
            </w:pPr>
            <w:r>
              <w:rPr>
                <w:rFonts w:hint="eastAsia" w:ascii="宋体" w:hAnsi="宋体" w:eastAsia="宋体" w:cs="宋体"/>
                <w:color w:val="auto"/>
                <w:sz w:val="21"/>
                <w:szCs w:val="21"/>
              </w:rPr>
              <w:t>安全主管</w:t>
            </w:r>
          </w:p>
        </w:tc>
        <w:tc>
          <w:tcPr>
            <w:tcW w:w="2034" w:type="dxa"/>
            <w:vAlign w:val="top"/>
          </w:tcPr>
          <w:p>
            <w:pPr>
              <w:pStyle w:val="31"/>
              <w:spacing w:before="176"/>
              <w:ind w:left="10" w:leftChars="0" w:right="0" w:rightChars="0"/>
              <w:jc w:val="center"/>
              <w:rPr>
                <w:rFonts w:ascii="Times New Roman"/>
                <w:sz w:val="22"/>
              </w:rPr>
            </w:pPr>
            <w:r>
              <w:rPr>
                <w:rFonts w:hint="eastAsia" w:ascii="宋体" w:hAnsi="宋体" w:eastAsia="宋体" w:cs="宋体"/>
                <w:color w:val="auto"/>
                <w:sz w:val="21"/>
                <w:szCs w:val="21"/>
              </w:rPr>
              <w:t>13517057278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65" w:type="dxa"/>
            <w:vMerge w:val="continue"/>
            <w:tcBorders>
              <w:top w:val="nil"/>
            </w:tcBorders>
          </w:tcPr>
          <w:p>
            <w:pPr>
              <w:rPr>
                <w:sz w:val="2"/>
                <w:szCs w:val="2"/>
              </w:rPr>
            </w:pPr>
          </w:p>
        </w:tc>
        <w:tc>
          <w:tcPr>
            <w:tcW w:w="1726" w:type="dxa"/>
            <w:vMerge w:val="continue"/>
            <w:tcBorders>
              <w:top w:val="nil"/>
            </w:tcBorders>
          </w:tcPr>
          <w:p>
            <w:pPr>
              <w:rPr>
                <w:sz w:val="2"/>
                <w:szCs w:val="2"/>
              </w:rPr>
            </w:pPr>
          </w:p>
        </w:tc>
        <w:tc>
          <w:tcPr>
            <w:tcW w:w="1350" w:type="dxa"/>
          </w:tcPr>
          <w:p>
            <w:pPr>
              <w:pStyle w:val="31"/>
              <w:spacing w:before="6" w:line="259" w:lineRule="exact"/>
              <w:ind w:left="128" w:right="122"/>
              <w:rPr>
                <w:sz w:val="21"/>
              </w:rPr>
            </w:pPr>
            <w:r>
              <w:rPr>
                <w:sz w:val="21"/>
              </w:rPr>
              <w:t>临时总指挥</w:t>
            </w:r>
          </w:p>
        </w:tc>
        <w:tc>
          <w:tcPr>
            <w:tcW w:w="1294" w:type="dxa"/>
            <w:vAlign w:val="top"/>
          </w:tcPr>
          <w:p>
            <w:pPr>
              <w:pStyle w:val="31"/>
              <w:spacing w:before="175"/>
              <w:ind w:left="9" w:leftChars="0" w:right="0" w:rightChars="0"/>
              <w:jc w:val="center"/>
              <w:rPr>
                <w:sz w:val="22"/>
              </w:rPr>
            </w:pPr>
            <w:r>
              <w:rPr>
                <w:rFonts w:hint="eastAsia" w:cs="宋体"/>
                <w:color w:val="auto"/>
                <w:sz w:val="21"/>
                <w:szCs w:val="21"/>
                <w:lang w:eastAsia="zh-CN"/>
              </w:rPr>
              <w:t>刘小春</w:t>
            </w:r>
          </w:p>
        </w:tc>
        <w:tc>
          <w:tcPr>
            <w:tcW w:w="2034" w:type="dxa"/>
            <w:vAlign w:val="top"/>
          </w:tcPr>
          <w:p>
            <w:pPr>
              <w:pStyle w:val="31"/>
              <w:spacing w:before="175"/>
              <w:ind w:left="517" w:leftChars="0" w:right="507" w:rightChars="0"/>
              <w:jc w:val="center"/>
              <w:rPr>
                <w:sz w:val="22"/>
              </w:rPr>
            </w:pPr>
            <w:r>
              <w:rPr>
                <w:rFonts w:hint="eastAsia" w:ascii="宋体" w:hAnsi="宋体" w:eastAsia="宋体" w:cs="宋体"/>
                <w:color w:val="auto"/>
                <w:sz w:val="21"/>
                <w:szCs w:val="21"/>
              </w:rPr>
              <w:t>会计</w:t>
            </w:r>
          </w:p>
        </w:tc>
        <w:tc>
          <w:tcPr>
            <w:tcW w:w="2034" w:type="dxa"/>
            <w:vAlign w:val="top"/>
          </w:tcPr>
          <w:p>
            <w:pPr>
              <w:pStyle w:val="31"/>
              <w:spacing w:before="175"/>
              <w:ind w:left="10" w:leftChars="0" w:right="0" w:rightChars="0"/>
              <w:jc w:val="center"/>
              <w:rPr>
                <w:rFonts w:ascii="Times New Roman"/>
                <w:sz w:val="22"/>
              </w:rPr>
            </w:pPr>
            <w:r>
              <w:rPr>
                <w:rFonts w:hint="eastAsia" w:ascii="宋体" w:hAnsi="宋体" w:eastAsia="宋体" w:cs="宋体"/>
                <w:color w:val="auto"/>
                <w:sz w:val="21"/>
                <w:szCs w:val="21"/>
              </w:rPr>
              <w:t>18397855715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19"/>
              <w:ind w:left="10"/>
              <w:rPr>
                <w:rFonts w:ascii="Times New Roman"/>
                <w:sz w:val="21"/>
              </w:rPr>
            </w:pPr>
            <w:r>
              <w:rPr>
                <w:rFonts w:ascii="Times New Roman"/>
                <w:w w:val="99"/>
                <w:sz w:val="21"/>
              </w:rPr>
              <w:t>2</w:t>
            </w:r>
          </w:p>
        </w:tc>
        <w:tc>
          <w:tcPr>
            <w:tcW w:w="1726" w:type="dxa"/>
          </w:tcPr>
          <w:p>
            <w:pPr>
              <w:pStyle w:val="31"/>
              <w:spacing w:before="5" w:line="259" w:lineRule="exact"/>
              <w:ind w:left="338"/>
              <w:jc w:val="left"/>
              <w:rPr>
                <w:sz w:val="21"/>
              </w:rPr>
            </w:pPr>
            <w:r>
              <w:rPr>
                <w:sz w:val="21"/>
              </w:rPr>
              <w:t>现场抢险组</w:t>
            </w:r>
          </w:p>
        </w:tc>
        <w:tc>
          <w:tcPr>
            <w:tcW w:w="1350" w:type="dxa"/>
          </w:tcPr>
          <w:p>
            <w:pPr>
              <w:pStyle w:val="31"/>
              <w:spacing w:before="5" w:line="259" w:lineRule="exact"/>
              <w:ind w:left="128" w:right="120"/>
              <w:rPr>
                <w:sz w:val="21"/>
              </w:rPr>
            </w:pPr>
            <w:r>
              <w:rPr>
                <w:sz w:val="21"/>
              </w:rPr>
              <w:t>组长</w:t>
            </w:r>
          </w:p>
        </w:tc>
        <w:tc>
          <w:tcPr>
            <w:tcW w:w="1294" w:type="dxa"/>
            <w:vAlign w:val="top"/>
          </w:tcPr>
          <w:p>
            <w:pPr>
              <w:pStyle w:val="31"/>
              <w:spacing w:before="175"/>
              <w:ind w:left="12" w:leftChars="0" w:right="0" w:rightChars="0"/>
              <w:jc w:val="center"/>
              <w:rPr>
                <w:sz w:val="22"/>
              </w:rPr>
            </w:pPr>
            <w:r>
              <w:rPr>
                <w:rFonts w:hint="eastAsia" w:cs="宋体"/>
                <w:color w:val="auto"/>
                <w:sz w:val="21"/>
                <w:szCs w:val="21"/>
                <w:lang w:eastAsia="zh-CN"/>
              </w:rPr>
              <w:t>彭倩</w:t>
            </w:r>
          </w:p>
        </w:tc>
        <w:tc>
          <w:tcPr>
            <w:tcW w:w="2034" w:type="dxa"/>
            <w:vAlign w:val="top"/>
          </w:tcPr>
          <w:p>
            <w:pPr>
              <w:pStyle w:val="31"/>
              <w:spacing w:before="175"/>
              <w:ind w:left="517" w:leftChars="0" w:right="507" w:rightChars="0"/>
              <w:jc w:val="center"/>
              <w:rPr>
                <w:sz w:val="22"/>
              </w:rPr>
            </w:pPr>
            <w:r>
              <w:rPr>
                <w:rFonts w:hint="eastAsia" w:ascii="宋体" w:hAnsi="宋体" w:eastAsia="宋体" w:cs="宋体"/>
                <w:color w:val="auto"/>
                <w:sz w:val="21"/>
                <w:szCs w:val="21"/>
              </w:rPr>
              <w:t>出纳</w:t>
            </w:r>
          </w:p>
        </w:tc>
        <w:tc>
          <w:tcPr>
            <w:tcW w:w="2034" w:type="dxa"/>
            <w:vAlign w:val="top"/>
          </w:tcPr>
          <w:p>
            <w:pPr>
              <w:pStyle w:val="31"/>
              <w:spacing w:before="175"/>
              <w:ind w:left="10" w:leftChars="0" w:right="0" w:rightChars="0"/>
              <w:jc w:val="center"/>
              <w:rPr>
                <w:rFonts w:ascii="Times New Roman"/>
                <w:sz w:val="22"/>
              </w:rPr>
            </w:pPr>
            <w:r>
              <w:rPr>
                <w:rFonts w:hint="eastAsia" w:ascii="宋体" w:hAnsi="宋体" w:eastAsia="宋体" w:cs="宋体"/>
                <w:color w:val="auto"/>
                <w:sz w:val="21"/>
                <w:szCs w:val="21"/>
              </w:rPr>
              <w:t>15170588976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20"/>
              <w:ind w:left="10"/>
              <w:rPr>
                <w:rFonts w:ascii="Times New Roman"/>
                <w:sz w:val="21"/>
              </w:rPr>
            </w:pPr>
            <w:r>
              <w:rPr>
                <w:rFonts w:ascii="Times New Roman"/>
                <w:w w:val="99"/>
                <w:sz w:val="21"/>
              </w:rPr>
              <w:t>3</w:t>
            </w:r>
          </w:p>
        </w:tc>
        <w:tc>
          <w:tcPr>
            <w:tcW w:w="1726" w:type="dxa"/>
          </w:tcPr>
          <w:p>
            <w:pPr>
              <w:pStyle w:val="31"/>
              <w:spacing w:before="6" w:line="259" w:lineRule="exact"/>
              <w:ind w:left="338"/>
              <w:jc w:val="left"/>
              <w:rPr>
                <w:sz w:val="21"/>
              </w:rPr>
            </w:pPr>
            <w:r>
              <w:rPr>
                <w:sz w:val="21"/>
              </w:rPr>
              <w:t>医疗救护组</w:t>
            </w:r>
          </w:p>
        </w:tc>
        <w:tc>
          <w:tcPr>
            <w:tcW w:w="1350" w:type="dxa"/>
          </w:tcPr>
          <w:p>
            <w:pPr>
              <w:pStyle w:val="31"/>
              <w:spacing w:before="6" w:line="259" w:lineRule="exact"/>
              <w:ind w:left="128" w:right="120"/>
              <w:rPr>
                <w:sz w:val="21"/>
              </w:rPr>
            </w:pPr>
            <w:r>
              <w:rPr>
                <w:sz w:val="21"/>
              </w:rPr>
              <w:t>组长</w:t>
            </w:r>
          </w:p>
        </w:tc>
        <w:tc>
          <w:tcPr>
            <w:tcW w:w="1294" w:type="dxa"/>
            <w:vAlign w:val="top"/>
          </w:tcPr>
          <w:p>
            <w:pPr>
              <w:pStyle w:val="31"/>
              <w:spacing w:before="175"/>
              <w:ind w:left="12" w:leftChars="0" w:right="0" w:rightChars="0"/>
              <w:jc w:val="center"/>
              <w:rPr>
                <w:sz w:val="22"/>
              </w:rPr>
            </w:pPr>
            <w:r>
              <w:rPr>
                <w:rFonts w:hint="eastAsia" w:cs="宋体"/>
                <w:color w:val="auto"/>
                <w:sz w:val="21"/>
                <w:szCs w:val="21"/>
                <w:lang w:eastAsia="zh-CN"/>
              </w:rPr>
              <w:t>袁亿才</w:t>
            </w:r>
          </w:p>
        </w:tc>
        <w:tc>
          <w:tcPr>
            <w:tcW w:w="2034" w:type="dxa"/>
            <w:vAlign w:val="top"/>
          </w:tcPr>
          <w:p>
            <w:pPr>
              <w:pStyle w:val="31"/>
              <w:spacing w:before="175"/>
              <w:ind w:left="517" w:leftChars="0" w:right="507" w:rightChars="0"/>
              <w:jc w:val="center"/>
              <w:rPr>
                <w:sz w:val="22"/>
              </w:rPr>
            </w:pPr>
            <w:r>
              <w:rPr>
                <w:rFonts w:hint="eastAsia" w:ascii="宋体" w:hAnsi="宋体" w:eastAsia="宋体" w:cs="宋体"/>
                <w:color w:val="auto"/>
                <w:sz w:val="21"/>
                <w:szCs w:val="21"/>
              </w:rPr>
              <w:t>人事</w:t>
            </w:r>
          </w:p>
        </w:tc>
        <w:tc>
          <w:tcPr>
            <w:tcW w:w="2034" w:type="dxa"/>
            <w:vAlign w:val="top"/>
          </w:tcPr>
          <w:p>
            <w:pPr>
              <w:pStyle w:val="31"/>
              <w:spacing w:before="175"/>
              <w:ind w:left="10" w:leftChars="0" w:right="0" w:rightChars="0"/>
              <w:jc w:val="center"/>
              <w:rPr>
                <w:rFonts w:ascii="Times New Roman"/>
                <w:sz w:val="22"/>
              </w:rPr>
            </w:pPr>
            <w:r>
              <w:rPr>
                <w:rFonts w:hint="eastAsia" w:cs="宋体"/>
                <w:color w:val="auto"/>
                <w:sz w:val="21"/>
                <w:szCs w:val="21"/>
                <w:lang w:val="en-US" w:eastAsia="zh-CN"/>
              </w:rPr>
              <w:t>13755892582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20"/>
              <w:ind w:left="10"/>
              <w:rPr>
                <w:rFonts w:ascii="Times New Roman"/>
                <w:sz w:val="21"/>
              </w:rPr>
            </w:pPr>
            <w:r>
              <w:rPr>
                <w:rFonts w:ascii="Times New Roman"/>
                <w:w w:val="99"/>
                <w:sz w:val="21"/>
              </w:rPr>
              <w:t>4</w:t>
            </w:r>
          </w:p>
        </w:tc>
        <w:tc>
          <w:tcPr>
            <w:tcW w:w="1726" w:type="dxa"/>
          </w:tcPr>
          <w:p>
            <w:pPr>
              <w:pStyle w:val="31"/>
              <w:spacing w:before="6" w:line="260" w:lineRule="exact"/>
              <w:ind w:left="338"/>
              <w:jc w:val="left"/>
              <w:rPr>
                <w:sz w:val="21"/>
              </w:rPr>
            </w:pPr>
            <w:r>
              <w:rPr>
                <w:sz w:val="21"/>
              </w:rPr>
              <w:t>安全保卫组</w:t>
            </w:r>
          </w:p>
        </w:tc>
        <w:tc>
          <w:tcPr>
            <w:tcW w:w="1350" w:type="dxa"/>
          </w:tcPr>
          <w:p>
            <w:pPr>
              <w:pStyle w:val="31"/>
              <w:spacing w:before="6" w:line="260" w:lineRule="exact"/>
              <w:ind w:left="128" w:right="120"/>
              <w:rPr>
                <w:sz w:val="21"/>
              </w:rPr>
            </w:pPr>
            <w:r>
              <w:rPr>
                <w:sz w:val="21"/>
              </w:rPr>
              <w:t>组长</w:t>
            </w:r>
          </w:p>
        </w:tc>
        <w:tc>
          <w:tcPr>
            <w:tcW w:w="1294" w:type="dxa"/>
            <w:vAlign w:val="top"/>
          </w:tcPr>
          <w:p>
            <w:pPr>
              <w:pStyle w:val="31"/>
              <w:spacing w:before="175"/>
              <w:ind w:left="9" w:leftChars="0" w:right="0" w:rightChars="0"/>
              <w:jc w:val="center"/>
              <w:rPr>
                <w:sz w:val="22"/>
              </w:rPr>
            </w:pPr>
            <w:r>
              <w:rPr>
                <w:rFonts w:hint="eastAsia" w:cs="宋体"/>
                <w:color w:val="auto"/>
                <w:sz w:val="21"/>
                <w:szCs w:val="21"/>
                <w:lang w:eastAsia="zh-CN"/>
              </w:rPr>
              <w:t>陈宇</w:t>
            </w:r>
          </w:p>
        </w:tc>
        <w:tc>
          <w:tcPr>
            <w:tcW w:w="2034" w:type="dxa"/>
            <w:vAlign w:val="top"/>
          </w:tcPr>
          <w:p>
            <w:pPr>
              <w:pStyle w:val="31"/>
              <w:spacing w:before="175"/>
              <w:ind w:left="517" w:leftChars="0" w:right="507" w:rightChars="0"/>
              <w:jc w:val="center"/>
              <w:rPr>
                <w:sz w:val="22"/>
              </w:rPr>
            </w:pPr>
            <w:r>
              <w:rPr>
                <w:rFonts w:hint="eastAsia" w:ascii="宋体" w:hAnsi="宋体" w:eastAsia="宋体" w:cs="宋体"/>
                <w:color w:val="auto"/>
                <w:sz w:val="21"/>
                <w:szCs w:val="21"/>
              </w:rPr>
              <w:t>采购</w:t>
            </w:r>
          </w:p>
        </w:tc>
        <w:tc>
          <w:tcPr>
            <w:tcW w:w="2034" w:type="dxa"/>
            <w:vAlign w:val="top"/>
          </w:tcPr>
          <w:p>
            <w:pPr>
              <w:pStyle w:val="31"/>
              <w:spacing w:before="175"/>
              <w:ind w:left="10" w:leftChars="0" w:right="0" w:rightChars="0"/>
              <w:jc w:val="center"/>
              <w:rPr>
                <w:rFonts w:ascii="Times New Roman"/>
                <w:sz w:val="22"/>
              </w:rPr>
            </w:pPr>
            <w:r>
              <w:rPr>
                <w:rFonts w:hint="eastAsia" w:ascii="宋体" w:hAnsi="宋体" w:eastAsia="宋体" w:cs="宋体"/>
                <w:color w:val="auto"/>
                <w:sz w:val="21"/>
                <w:szCs w:val="21"/>
              </w:rPr>
              <w:t>13576587803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19"/>
              <w:ind w:left="10"/>
              <w:rPr>
                <w:rFonts w:ascii="Times New Roman"/>
                <w:sz w:val="21"/>
              </w:rPr>
            </w:pPr>
            <w:r>
              <w:rPr>
                <w:rFonts w:ascii="Times New Roman"/>
                <w:w w:val="99"/>
                <w:sz w:val="21"/>
              </w:rPr>
              <w:t>5</w:t>
            </w:r>
          </w:p>
        </w:tc>
        <w:tc>
          <w:tcPr>
            <w:tcW w:w="1726" w:type="dxa"/>
          </w:tcPr>
          <w:p>
            <w:pPr>
              <w:pStyle w:val="31"/>
              <w:spacing w:before="5" w:line="260" w:lineRule="exact"/>
              <w:ind w:left="338"/>
              <w:jc w:val="left"/>
              <w:rPr>
                <w:sz w:val="21"/>
              </w:rPr>
            </w:pPr>
            <w:r>
              <w:rPr>
                <w:sz w:val="21"/>
              </w:rPr>
              <w:t>通讯联络组</w:t>
            </w:r>
          </w:p>
        </w:tc>
        <w:tc>
          <w:tcPr>
            <w:tcW w:w="1350" w:type="dxa"/>
          </w:tcPr>
          <w:p>
            <w:pPr>
              <w:pStyle w:val="31"/>
              <w:spacing w:before="5" w:line="260" w:lineRule="exact"/>
              <w:ind w:left="128" w:right="120"/>
              <w:rPr>
                <w:sz w:val="21"/>
              </w:rPr>
            </w:pPr>
            <w:r>
              <w:rPr>
                <w:sz w:val="21"/>
              </w:rPr>
              <w:t>组长</w:t>
            </w:r>
          </w:p>
        </w:tc>
        <w:tc>
          <w:tcPr>
            <w:tcW w:w="1294" w:type="dxa"/>
            <w:vAlign w:val="top"/>
          </w:tcPr>
          <w:p>
            <w:pPr>
              <w:pStyle w:val="31"/>
              <w:spacing w:before="177"/>
              <w:ind w:left="9" w:leftChars="0" w:right="0" w:rightChars="0"/>
              <w:jc w:val="center"/>
              <w:rPr>
                <w:sz w:val="22"/>
              </w:rPr>
            </w:pPr>
            <w:r>
              <w:rPr>
                <w:rFonts w:hint="eastAsia" w:ascii="宋体" w:hAnsi="宋体" w:eastAsia="宋体" w:cs="宋体"/>
                <w:color w:val="auto"/>
                <w:sz w:val="21"/>
                <w:szCs w:val="21"/>
              </w:rPr>
              <w:t>李绍爱</w:t>
            </w:r>
          </w:p>
        </w:tc>
        <w:tc>
          <w:tcPr>
            <w:tcW w:w="2034" w:type="dxa"/>
            <w:vAlign w:val="top"/>
          </w:tcPr>
          <w:p>
            <w:pPr>
              <w:pStyle w:val="31"/>
              <w:spacing w:before="177"/>
              <w:ind w:left="517" w:leftChars="0" w:right="507" w:rightChars="0"/>
              <w:jc w:val="center"/>
              <w:rPr>
                <w:sz w:val="22"/>
              </w:rPr>
            </w:pPr>
            <w:r>
              <w:rPr>
                <w:rFonts w:hint="eastAsia" w:ascii="宋体" w:hAnsi="宋体" w:eastAsia="宋体" w:cs="宋体"/>
                <w:color w:val="auto"/>
                <w:sz w:val="21"/>
                <w:szCs w:val="21"/>
              </w:rPr>
              <w:t>质检</w:t>
            </w:r>
          </w:p>
        </w:tc>
        <w:tc>
          <w:tcPr>
            <w:tcW w:w="2034" w:type="dxa"/>
            <w:vAlign w:val="top"/>
          </w:tcPr>
          <w:p>
            <w:pPr>
              <w:pStyle w:val="31"/>
              <w:spacing w:before="177"/>
              <w:ind w:left="10" w:leftChars="0" w:right="0" w:rightChars="0"/>
              <w:jc w:val="center"/>
              <w:rPr>
                <w:rFonts w:ascii="Times New Roman"/>
                <w:sz w:val="22"/>
              </w:rPr>
            </w:pPr>
            <w:r>
              <w:rPr>
                <w:rFonts w:hint="eastAsia" w:ascii="宋体" w:hAnsi="宋体" w:eastAsia="宋体" w:cs="宋体"/>
                <w:color w:val="auto"/>
                <w:sz w:val="21"/>
                <w:szCs w:val="21"/>
              </w:rPr>
              <w:t>13006266971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19"/>
              <w:ind w:left="10"/>
              <w:rPr>
                <w:rFonts w:ascii="Times New Roman"/>
                <w:sz w:val="21"/>
              </w:rPr>
            </w:pPr>
            <w:r>
              <w:rPr>
                <w:rFonts w:ascii="Times New Roman"/>
                <w:w w:val="99"/>
                <w:sz w:val="21"/>
              </w:rPr>
              <w:t>6</w:t>
            </w:r>
          </w:p>
        </w:tc>
        <w:tc>
          <w:tcPr>
            <w:tcW w:w="1726" w:type="dxa"/>
          </w:tcPr>
          <w:p>
            <w:pPr>
              <w:pStyle w:val="31"/>
              <w:spacing w:before="5" w:line="259" w:lineRule="exact"/>
              <w:ind w:left="338"/>
              <w:jc w:val="left"/>
              <w:rPr>
                <w:sz w:val="21"/>
              </w:rPr>
            </w:pPr>
            <w:r>
              <w:rPr>
                <w:sz w:val="21"/>
              </w:rPr>
              <w:t>物资供应组</w:t>
            </w:r>
          </w:p>
        </w:tc>
        <w:tc>
          <w:tcPr>
            <w:tcW w:w="1350" w:type="dxa"/>
          </w:tcPr>
          <w:p>
            <w:pPr>
              <w:pStyle w:val="31"/>
              <w:spacing w:before="5" w:line="259" w:lineRule="exact"/>
              <w:ind w:left="128" w:right="120"/>
              <w:rPr>
                <w:sz w:val="21"/>
              </w:rPr>
            </w:pPr>
            <w:r>
              <w:rPr>
                <w:sz w:val="21"/>
              </w:rPr>
              <w:t>组长</w:t>
            </w:r>
          </w:p>
        </w:tc>
        <w:tc>
          <w:tcPr>
            <w:tcW w:w="1294" w:type="dxa"/>
            <w:vAlign w:val="top"/>
          </w:tcPr>
          <w:p>
            <w:pPr>
              <w:pStyle w:val="31"/>
              <w:spacing w:before="175"/>
              <w:ind w:left="9" w:leftChars="0" w:right="0" w:rightChars="0"/>
              <w:jc w:val="center"/>
              <w:rPr>
                <w:sz w:val="22"/>
              </w:rPr>
            </w:pPr>
            <w:r>
              <w:rPr>
                <w:rFonts w:hint="eastAsia" w:cs="宋体"/>
                <w:color w:val="auto"/>
                <w:sz w:val="21"/>
                <w:szCs w:val="21"/>
                <w:lang w:eastAsia="zh-CN"/>
              </w:rPr>
              <w:t>王信春</w:t>
            </w:r>
          </w:p>
        </w:tc>
        <w:tc>
          <w:tcPr>
            <w:tcW w:w="2034" w:type="dxa"/>
            <w:vAlign w:val="top"/>
          </w:tcPr>
          <w:p>
            <w:pPr>
              <w:pStyle w:val="31"/>
              <w:spacing w:before="175"/>
              <w:ind w:left="517" w:leftChars="0" w:right="507" w:rightChars="0"/>
              <w:jc w:val="center"/>
              <w:rPr>
                <w:sz w:val="22"/>
              </w:rPr>
            </w:pPr>
            <w:r>
              <w:rPr>
                <w:rFonts w:hint="eastAsia" w:ascii="宋体" w:hAnsi="宋体" w:eastAsia="宋体" w:cs="宋体"/>
                <w:color w:val="auto"/>
                <w:sz w:val="21"/>
                <w:szCs w:val="21"/>
              </w:rPr>
              <w:t>后勤</w:t>
            </w:r>
          </w:p>
        </w:tc>
        <w:tc>
          <w:tcPr>
            <w:tcW w:w="2034" w:type="dxa"/>
            <w:vAlign w:val="top"/>
          </w:tcPr>
          <w:p>
            <w:pPr>
              <w:pStyle w:val="31"/>
              <w:spacing w:before="175"/>
              <w:ind w:left="10" w:leftChars="0" w:right="0" w:rightChars="0"/>
              <w:jc w:val="center"/>
              <w:rPr>
                <w:rFonts w:ascii="Times New Roman"/>
                <w:sz w:val="22"/>
              </w:rPr>
            </w:pPr>
            <w:r>
              <w:rPr>
                <w:rFonts w:hint="eastAsia" w:ascii="宋体" w:hAnsi="宋体" w:eastAsia="宋体" w:cs="宋体"/>
                <w:color w:val="auto"/>
                <w:sz w:val="21"/>
                <w:szCs w:val="21"/>
              </w:rPr>
              <w:t>18079573168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22"/>
              <w:ind w:left="10"/>
              <w:rPr>
                <w:rFonts w:ascii="Times New Roman"/>
                <w:sz w:val="21"/>
              </w:rPr>
            </w:pPr>
            <w:r>
              <w:rPr>
                <w:rFonts w:ascii="Times New Roman"/>
                <w:w w:val="99"/>
                <w:sz w:val="21"/>
              </w:rPr>
              <w:t>7</w:t>
            </w:r>
          </w:p>
        </w:tc>
        <w:tc>
          <w:tcPr>
            <w:tcW w:w="1726" w:type="dxa"/>
          </w:tcPr>
          <w:p>
            <w:pPr>
              <w:pStyle w:val="31"/>
              <w:spacing w:before="8" w:line="258" w:lineRule="exact"/>
              <w:ind w:left="338"/>
              <w:jc w:val="left"/>
              <w:rPr>
                <w:sz w:val="21"/>
              </w:rPr>
            </w:pPr>
            <w:r>
              <w:rPr>
                <w:sz w:val="21"/>
              </w:rPr>
              <w:t>应急监测组</w:t>
            </w:r>
          </w:p>
        </w:tc>
        <w:tc>
          <w:tcPr>
            <w:tcW w:w="1350" w:type="dxa"/>
          </w:tcPr>
          <w:p>
            <w:pPr>
              <w:pStyle w:val="31"/>
              <w:spacing w:before="8" w:line="258" w:lineRule="exact"/>
              <w:ind w:left="128" w:right="120"/>
              <w:rPr>
                <w:sz w:val="21"/>
              </w:rPr>
            </w:pPr>
            <w:r>
              <w:rPr>
                <w:sz w:val="21"/>
              </w:rPr>
              <w:t>组长</w:t>
            </w:r>
          </w:p>
        </w:tc>
        <w:tc>
          <w:tcPr>
            <w:tcW w:w="1294" w:type="dxa"/>
            <w:vAlign w:val="top"/>
          </w:tcPr>
          <w:p>
            <w:pPr>
              <w:pStyle w:val="31"/>
              <w:spacing w:before="177"/>
              <w:ind w:left="9" w:leftChars="0" w:right="0" w:rightChars="0"/>
              <w:jc w:val="center"/>
              <w:rPr>
                <w:sz w:val="22"/>
              </w:rPr>
            </w:pPr>
            <w:r>
              <w:rPr>
                <w:rFonts w:hint="eastAsia" w:cs="宋体"/>
                <w:color w:val="auto"/>
                <w:sz w:val="21"/>
                <w:szCs w:val="21"/>
                <w:lang w:eastAsia="zh-CN"/>
              </w:rPr>
              <w:t>夏锦波</w:t>
            </w:r>
          </w:p>
        </w:tc>
        <w:tc>
          <w:tcPr>
            <w:tcW w:w="2034" w:type="dxa"/>
            <w:vAlign w:val="top"/>
          </w:tcPr>
          <w:p>
            <w:pPr>
              <w:pStyle w:val="31"/>
              <w:spacing w:before="177"/>
              <w:ind w:left="517" w:leftChars="0" w:right="507" w:rightChars="0"/>
              <w:jc w:val="center"/>
              <w:rPr>
                <w:sz w:val="22"/>
              </w:rPr>
            </w:pPr>
            <w:r>
              <w:rPr>
                <w:rFonts w:hint="eastAsia" w:ascii="宋体" w:hAnsi="宋体" w:eastAsia="宋体" w:cs="宋体"/>
                <w:color w:val="auto"/>
                <w:sz w:val="21"/>
                <w:szCs w:val="21"/>
              </w:rPr>
              <w:t>售后</w:t>
            </w:r>
          </w:p>
        </w:tc>
        <w:tc>
          <w:tcPr>
            <w:tcW w:w="2034" w:type="dxa"/>
            <w:vAlign w:val="top"/>
          </w:tcPr>
          <w:p>
            <w:pPr>
              <w:pStyle w:val="31"/>
              <w:spacing w:before="177"/>
              <w:ind w:left="10" w:leftChars="0" w:right="0" w:rightChars="0"/>
              <w:jc w:val="center"/>
              <w:rPr>
                <w:rFonts w:ascii="Times New Roman"/>
                <w:sz w:val="22"/>
              </w:rPr>
            </w:pPr>
            <w:r>
              <w:rPr>
                <w:rFonts w:hint="eastAsia" w:ascii="宋体" w:hAnsi="宋体" w:eastAsia="宋体" w:cs="宋体"/>
                <w:color w:val="auto"/>
                <w:sz w:val="21"/>
                <w:szCs w:val="21"/>
              </w:rPr>
              <w:t>15970513801</w:t>
            </w:r>
          </w:p>
        </w:tc>
      </w:tr>
    </w:tbl>
    <w:p>
      <w:pPr>
        <w:spacing w:after="0" w:line="251" w:lineRule="exact"/>
        <w:rPr>
          <w:rFonts w:ascii="Times New Roman"/>
          <w:sz w:val="22"/>
        </w:rPr>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7"/>
        <w:numPr>
          <w:ilvl w:val="0"/>
          <w:numId w:val="9"/>
        </w:numPr>
        <w:tabs>
          <w:tab w:val="left" w:pos="580"/>
        </w:tabs>
        <w:spacing w:before="65" w:after="0" w:line="240" w:lineRule="auto"/>
        <w:ind w:left="579" w:right="0" w:hanging="320"/>
        <w:jc w:val="left"/>
      </w:pPr>
      <w:bookmarkStart w:id="240" w:name="5 预警和信息报送"/>
      <w:bookmarkEnd w:id="240"/>
      <w:bookmarkStart w:id="241" w:name="_bookmark57"/>
      <w:bookmarkEnd w:id="241"/>
      <w:bookmarkStart w:id="242" w:name="_bookmark57"/>
      <w:bookmarkEnd w:id="242"/>
      <w:bookmarkStart w:id="243" w:name="_Toc927"/>
      <w:bookmarkStart w:id="244" w:name="_Toc20732"/>
      <w:r>
        <w:t>预警和信息报送</w:t>
      </w:r>
      <w:bookmarkEnd w:id="243"/>
      <w:bookmarkEnd w:id="244"/>
    </w:p>
    <w:p>
      <w:pPr>
        <w:pStyle w:val="8"/>
        <w:numPr>
          <w:ilvl w:val="1"/>
          <w:numId w:val="9"/>
        </w:numPr>
        <w:tabs>
          <w:tab w:val="left" w:pos="750"/>
        </w:tabs>
        <w:spacing w:before="211" w:after="0" w:line="240" w:lineRule="auto"/>
        <w:ind w:left="749" w:right="0" w:hanging="490"/>
        <w:jc w:val="left"/>
      </w:pPr>
      <w:bookmarkStart w:id="245" w:name="_bookmark58"/>
      <w:bookmarkEnd w:id="245"/>
      <w:bookmarkStart w:id="246" w:name="_bookmark58"/>
      <w:bookmarkEnd w:id="246"/>
      <w:bookmarkStart w:id="247" w:name="5.1 报警、通讯联系方式"/>
      <w:bookmarkEnd w:id="247"/>
      <w:bookmarkStart w:id="248" w:name="_Toc22681"/>
      <w:bookmarkStart w:id="249" w:name="_Toc20121"/>
      <w:r>
        <w:t>报警、通讯联系方式</w:t>
      </w:r>
      <w:bookmarkEnd w:id="248"/>
      <w:bookmarkEnd w:id="249"/>
    </w:p>
    <w:p>
      <w:pPr>
        <w:pStyle w:val="30"/>
        <w:numPr>
          <w:ilvl w:val="2"/>
          <w:numId w:val="19"/>
        </w:numPr>
        <w:tabs>
          <w:tab w:val="left" w:pos="860"/>
        </w:tabs>
        <w:spacing w:before="233" w:after="0" w:line="240" w:lineRule="auto"/>
        <w:ind w:left="860" w:right="0" w:hanging="600"/>
        <w:jc w:val="left"/>
        <w:rPr>
          <w:b/>
          <w:sz w:val="24"/>
        </w:rPr>
      </w:pPr>
      <w:bookmarkStart w:id="250" w:name="_bookmark59"/>
      <w:bookmarkEnd w:id="250"/>
      <w:bookmarkStart w:id="251" w:name="_bookmark59"/>
      <w:bookmarkEnd w:id="251"/>
      <w:bookmarkStart w:id="252" w:name="5.1.1 及时有效的报警装置"/>
      <w:bookmarkEnd w:id="252"/>
      <w:r>
        <w:rPr>
          <w:b/>
          <w:sz w:val="24"/>
        </w:rPr>
        <w:t>及时有效的报警装置</w:t>
      </w:r>
    </w:p>
    <w:p>
      <w:pPr>
        <w:pStyle w:val="5"/>
        <w:spacing w:before="209" w:line="362" w:lineRule="auto"/>
        <w:ind w:left="260" w:right="107" w:firstLine="480"/>
      </w:pPr>
      <w:r>
        <w:rPr>
          <w:spacing w:val="-3"/>
        </w:rPr>
        <w:t>传达室</w:t>
      </w:r>
      <w:r>
        <w:t>（门卫</w:t>
      </w:r>
      <w:r>
        <w:rPr>
          <w:spacing w:val="-4"/>
        </w:rPr>
        <w:t>）24</w:t>
      </w:r>
      <w:r>
        <w:rPr>
          <w:spacing w:val="-12"/>
        </w:rPr>
        <w:t xml:space="preserve"> 小时电话畅通，平时定期检查、维护，并配备 </w:t>
      </w:r>
      <w:r>
        <w:t>24</w:t>
      </w:r>
      <w:r>
        <w:rPr>
          <w:spacing w:val="-10"/>
        </w:rPr>
        <w:t xml:space="preserve"> 小时值班人员， </w:t>
      </w:r>
      <w:r>
        <w:rPr>
          <w:spacing w:val="-2"/>
        </w:rPr>
        <w:t xml:space="preserve">值班人员由保安部人员担任。部门负责人和应急指挥部负责人移动电话 </w:t>
      </w:r>
      <w:r>
        <w:t>24</w:t>
      </w:r>
      <w:r>
        <w:rPr>
          <w:spacing w:val="-10"/>
        </w:rPr>
        <w:t xml:space="preserve"> 小时开机。</w:t>
      </w:r>
    </w:p>
    <w:p>
      <w:pPr>
        <w:pStyle w:val="5"/>
        <w:spacing w:before="5" w:line="362" w:lineRule="auto"/>
        <w:ind w:left="260" w:right="229" w:firstLine="480"/>
      </w:pPr>
      <w:r>
        <w:rPr>
          <w:spacing w:val="-5"/>
        </w:rPr>
        <w:t xml:space="preserve">每个岗位都装有内线电话并确保有效，应急指挥部各成员都配有移动电话，保持 </w:t>
      </w:r>
      <w:r>
        <w:rPr>
          <w:spacing w:val="-8"/>
        </w:rPr>
        <w:t xml:space="preserve">24 </w:t>
      </w:r>
      <w:r>
        <w:t>小时通讯畅通。</w:t>
      </w:r>
    </w:p>
    <w:p>
      <w:pPr>
        <w:pStyle w:val="9"/>
        <w:numPr>
          <w:ilvl w:val="2"/>
          <w:numId w:val="19"/>
        </w:numPr>
        <w:tabs>
          <w:tab w:val="left" w:pos="860"/>
        </w:tabs>
        <w:spacing w:before="5" w:after="0" w:line="240" w:lineRule="auto"/>
        <w:ind w:left="860" w:right="0" w:hanging="600"/>
        <w:jc w:val="left"/>
      </w:pPr>
      <w:bookmarkStart w:id="253" w:name="5.1.2 快速的内外部联系方式"/>
      <w:bookmarkEnd w:id="253"/>
      <w:bookmarkStart w:id="254" w:name="_bookmark60"/>
      <w:bookmarkEnd w:id="254"/>
      <w:bookmarkStart w:id="255" w:name="_bookmark60"/>
      <w:bookmarkEnd w:id="255"/>
      <w:r>
        <w:t>快速的内外部联系方式</w:t>
      </w:r>
    </w:p>
    <w:p>
      <w:pPr>
        <w:pStyle w:val="30"/>
        <w:numPr>
          <w:ilvl w:val="3"/>
          <w:numId w:val="19"/>
        </w:numPr>
        <w:tabs>
          <w:tab w:val="left" w:pos="1341"/>
        </w:tabs>
        <w:spacing w:before="206" w:after="0" w:line="240" w:lineRule="auto"/>
        <w:ind w:left="1341" w:right="0" w:hanging="601"/>
        <w:jc w:val="left"/>
        <w:rPr>
          <w:sz w:val="24"/>
        </w:rPr>
      </w:pPr>
      <w:r>
        <w:rPr>
          <w:sz w:val="24"/>
        </w:rPr>
        <w:t>内部联络</w:t>
      </w:r>
    </w:p>
    <w:p>
      <w:pPr>
        <w:pStyle w:val="5"/>
        <w:spacing w:before="160" w:line="364" w:lineRule="auto"/>
        <w:ind w:left="260" w:right="229" w:firstLine="480"/>
        <w:jc w:val="both"/>
      </w:pPr>
      <w:r>
        <w:t>公司主要负责人均配备手机，各岗位负责人也均有手机，办公室应有外部电话，方便直接与外部进行联络。一旦发生突发环境事件，值班人员应立即向应急指挥部报告， 应急指挥部成员和各应急工作小组主要负责人应迅速赶赴现场了解情况。</w:t>
      </w:r>
    </w:p>
    <w:p>
      <w:pPr>
        <w:pStyle w:val="30"/>
        <w:numPr>
          <w:ilvl w:val="3"/>
          <w:numId w:val="19"/>
        </w:numPr>
        <w:tabs>
          <w:tab w:val="left" w:pos="1341"/>
        </w:tabs>
        <w:spacing w:before="0" w:after="0" w:line="304" w:lineRule="exact"/>
        <w:ind w:left="1341" w:right="0" w:hanging="601"/>
        <w:jc w:val="left"/>
        <w:rPr>
          <w:sz w:val="24"/>
        </w:rPr>
      </w:pPr>
      <w:r>
        <w:rPr>
          <w:sz w:val="24"/>
        </w:rPr>
        <w:t>外部联络</w:t>
      </w:r>
    </w:p>
    <w:p>
      <w:pPr>
        <w:pStyle w:val="5"/>
        <w:spacing w:before="161" w:line="364" w:lineRule="auto"/>
        <w:ind w:left="260" w:right="229" w:firstLine="480"/>
        <w:jc w:val="both"/>
      </w:pPr>
      <w:r>
        <w:t>由于事故发展的不确定性，事故有可能发展成为范围较大、较难控制的情况，使本单位无力完成救援工作。为此，本公司救援工作在必要时启用上一级应急预案，以保证突发环境事件时可以实施救援，缩小事故影响范围。</w:t>
      </w:r>
    </w:p>
    <w:p>
      <w:pPr>
        <w:pStyle w:val="5"/>
        <w:spacing w:line="362" w:lineRule="auto"/>
        <w:ind w:left="260" w:right="229" w:firstLine="480"/>
      </w:pPr>
      <w:r>
        <w:t>总经理作为企业的第一责任者，在对灾害事故进行分析，确认本公司现有力量无力完成救援任务后，应立即指挥相关人员向其它社会性救助单位发出救援通知。</w:t>
      </w:r>
    </w:p>
    <w:p>
      <w:pPr>
        <w:pStyle w:val="5"/>
        <w:spacing w:before="4"/>
        <w:ind w:left="740"/>
      </w:pPr>
      <w:r>
        <w:t>外部单位联系方式见下表 5-1：</w:t>
      </w:r>
    </w:p>
    <w:p>
      <w:pPr>
        <w:pStyle w:val="5"/>
        <w:spacing w:before="11"/>
        <w:rPr>
          <w:sz w:val="19"/>
        </w:rPr>
      </w:pPr>
    </w:p>
    <w:p>
      <w:pPr>
        <w:pStyle w:val="9"/>
        <w:tabs>
          <w:tab w:val="left" w:pos="959"/>
        </w:tabs>
        <w:spacing w:after="16"/>
        <w:ind w:left="54" w:firstLine="0"/>
        <w:jc w:val="center"/>
      </w:pPr>
      <w:bookmarkStart w:id="256" w:name="表5-1  外部救援单位、环境风险受体及应急物资供应单位联系方式表"/>
      <w:bookmarkEnd w:id="256"/>
      <w:r>
        <w:t>表</w:t>
      </w:r>
      <w:r>
        <w:rPr>
          <w:spacing w:val="-62"/>
        </w:rPr>
        <w:t xml:space="preserve"> </w:t>
      </w:r>
      <w:r>
        <w:t>5-1</w:t>
      </w:r>
      <w:r>
        <w:tab/>
      </w:r>
      <w:r>
        <w:t>外部救援单位、环境风险受体及应急物资供应单位联系方式表</w:t>
      </w:r>
    </w:p>
    <w:tbl>
      <w:tblPr>
        <w:tblStyle w:val="14"/>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51"/>
        <w:gridCol w:w="4486"/>
        <w:gridCol w:w="421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center"/>
              <w:textAlignment w:val="auto"/>
              <w:outlineLvl w:val="9"/>
              <w:rPr>
                <w:rFonts w:hint="default" w:ascii="Times New Roman" w:hAnsi="Times New Roman" w:eastAsia="宋体" w:cs="Times New Roman"/>
                <w:b/>
                <w:bCs/>
                <w:smallCaps w:val="0"/>
                <w:color w:val="auto"/>
                <w:spacing w:val="0"/>
                <w:w w:val="100"/>
                <w:kern w:val="0"/>
                <w:position w:val="0"/>
                <w:sz w:val="21"/>
                <w:szCs w:val="21"/>
                <w:highlight w:val="none"/>
              </w:rPr>
            </w:pPr>
            <w:r>
              <w:rPr>
                <w:rFonts w:hint="default" w:ascii="Times New Roman" w:hAnsi="Times New Roman" w:eastAsia="宋体" w:cs="Times New Roman"/>
                <w:b/>
                <w:bCs/>
                <w:smallCaps w:val="0"/>
                <w:color w:val="auto"/>
                <w:spacing w:val="0"/>
                <w:w w:val="100"/>
                <w:kern w:val="0"/>
                <w:position w:val="0"/>
                <w:sz w:val="21"/>
                <w:szCs w:val="21"/>
                <w:highlight w:val="none"/>
              </w:rPr>
              <w:t>序号</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center"/>
              <w:textAlignment w:val="auto"/>
              <w:outlineLvl w:val="9"/>
              <w:rPr>
                <w:rFonts w:hint="default" w:ascii="Times New Roman" w:hAnsi="Times New Roman" w:eastAsia="宋体" w:cs="Times New Roman"/>
                <w:b/>
                <w:bCs/>
                <w:smallCaps w:val="0"/>
                <w:color w:val="auto"/>
                <w:spacing w:val="0"/>
                <w:w w:val="100"/>
                <w:kern w:val="0"/>
                <w:position w:val="0"/>
                <w:sz w:val="21"/>
                <w:szCs w:val="21"/>
                <w:highlight w:val="none"/>
              </w:rPr>
            </w:pPr>
            <w:r>
              <w:rPr>
                <w:rFonts w:hint="default" w:ascii="Times New Roman" w:hAnsi="Times New Roman" w:eastAsia="宋体" w:cs="Times New Roman"/>
                <w:b/>
                <w:bCs/>
                <w:smallCaps w:val="0"/>
                <w:color w:val="auto"/>
                <w:spacing w:val="0"/>
                <w:w w:val="100"/>
                <w:kern w:val="0"/>
                <w:position w:val="0"/>
                <w:sz w:val="21"/>
                <w:szCs w:val="21"/>
                <w:highlight w:val="none"/>
              </w:rPr>
              <w:t>部门/职务</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center"/>
              <w:textAlignment w:val="auto"/>
              <w:outlineLvl w:val="9"/>
              <w:rPr>
                <w:rFonts w:hint="default" w:ascii="Times New Roman" w:hAnsi="Times New Roman" w:eastAsia="宋体" w:cs="Times New Roman"/>
                <w:b/>
                <w:bCs/>
                <w:smallCaps w:val="0"/>
                <w:color w:val="auto"/>
                <w:spacing w:val="0"/>
                <w:w w:val="100"/>
                <w:kern w:val="0"/>
                <w:position w:val="0"/>
                <w:sz w:val="21"/>
                <w:szCs w:val="21"/>
                <w:highlight w:val="none"/>
              </w:rPr>
            </w:pPr>
            <w:r>
              <w:rPr>
                <w:rFonts w:hint="default" w:ascii="Times New Roman" w:hAnsi="Times New Roman" w:eastAsia="宋体" w:cs="Times New Roman"/>
                <w:b/>
                <w:bCs/>
                <w:smallCaps w:val="0"/>
                <w:color w:val="auto"/>
                <w:spacing w:val="0"/>
                <w:w w:val="100"/>
                <w:kern w:val="0"/>
                <w:position w:val="0"/>
                <w:sz w:val="21"/>
                <w:szCs w:val="21"/>
                <w:highlight w:val="none"/>
              </w:rPr>
              <w:t>联系电话</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41" w:type="dxa"/>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b/>
                <w:bCs/>
                <w:smallCaps w:val="0"/>
                <w:color w:val="auto"/>
                <w:spacing w:val="0"/>
                <w:w w:val="100"/>
                <w:position w:val="0"/>
                <w:sz w:val="21"/>
                <w:szCs w:val="21"/>
                <w:highlight w:val="none"/>
                <w:lang w:eastAsia="zh-CN"/>
              </w:rPr>
              <w:t>政府及上级有关部门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1</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消防火灾报警电话</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119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2</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医疗急救电话</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120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3</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公安报警电话</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110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4</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zCs w:val="21"/>
                <w:lang w:val="en-US" w:eastAsia="zh-CN"/>
              </w:rPr>
              <w:t>宜春</w:t>
            </w:r>
            <w:r>
              <w:rPr>
                <w:rFonts w:hint="default" w:ascii="Times New Roman" w:hAnsi="Times New Roman" w:eastAsia="宋体" w:cs="Times New Roman"/>
                <w:szCs w:val="21"/>
              </w:rPr>
              <w:t>市政府</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zCs w:val="21"/>
              </w:rPr>
              <w:t>0795</w:t>
            </w:r>
            <w:r>
              <w:rPr>
                <w:rFonts w:hint="default" w:ascii="Times New Roman" w:hAnsi="Times New Roman" w:eastAsia="宋体" w:cs="Times New Roman"/>
                <w:szCs w:val="21"/>
                <w:lang w:val="en-US" w:eastAsia="zh-CN"/>
              </w:rPr>
              <w:t>-</w:t>
            </w:r>
            <w:r>
              <w:rPr>
                <w:rFonts w:hint="default" w:ascii="Times New Roman" w:hAnsi="Times New Roman" w:eastAsia="宋体" w:cs="Times New Roman"/>
                <w:szCs w:val="21"/>
              </w:rPr>
              <w:t>3198068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5</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position w:val="0"/>
                <w:sz w:val="21"/>
                <w:szCs w:val="21"/>
                <w:highlight w:val="none"/>
                <w:lang w:val="en-US" w:eastAsia="zh-CN"/>
              </w:rPr>
              <w:t>宜春市生态环境局</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t>0795-3998865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6</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t>宜春经开区</w:t>
            </w:r>
            <w:r>
              <w:rPr>
                <w:rFonts w:hint="default" w:ascii="Times New Roman" w:hAnsi="Times New Roman" w:eastAsia="宋体" w:cs="Times New Roman"/>
                <w:smallCaps w:val="0"/>
                <w:color w:val="auto"/>
                <w:spacing w:val="0"/>
                <w:w w:val="100"/>
                <w:position w:val="0"/>
                <w:sz w:val="21"/>
                <w:szCs w:val="21"/>
                <w:highlight w:val="none"/>
                <w:lang w:val="en-US" w:eastAsia="zh-CN"/>
              </w:rPr>
              <w:t>生态环境局</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t>0795-3998865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7</w:t>
            </w:r>
          </w:p>
        </w:tc>
        <w:tc>
          <w:tcPr>
            <w:tcW w:w="4434" w:type="dxa"/>
            <w:tcBorders>
              <w:tl2br w:val="nil"/>
              <w:tr2bl w:val="nil"/>
            </w:tcBorders>
            <w:noWrap w:val="0"/>
            <w:vAlign w:val="center"/>
          </w:tcPr>
          <w:p>
            <w:pPr>
              <w:jc w:val="center"/>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zCs w:val="21"/>
                <w:lang w:eastAsia="zh-CN"/>
              </w:rPr>
              <w:t>宜春市</w:t>
            </w:r>
            <w:r>
              <w:rPr>
                <w:rFonts w:hint="default" w:ascii="Times New Roman" w:hAnsi="Times New Roman" w:eastAsia="宋体" w:cs="Times New Roman"/>
                <w:szCs w:val="21"/>
              </w:rPr>
              <w:t>安监局</w:t>
            </w:r>
          </w:p>
        </w:tc>
        <w:tc>
          <w:tcPr>
            <w:tcW w:w="4169" w:type="dxa"/>
            <w:tcBorders>
              <w:tl2br w:val="nil"/>
              <w:tr2bl w:val="nil"/>
            </w:tcBorders>
            <w:noWrap w:val="0"/>
            <w:vAlign w:val="center"/>
          </w:tcPr>
          <w:p>
            <w:pPr>
              <w:jc w:val="center"/>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zCs w:val="21"/>
              </w:rPr>
              <w:t>079</w:t>
            </w:r>
            <w:r>
              <w:rPr>
                <w:rFonts w:hint="default" w:ascii="Times New Roman" w:hAnsi="Times New Roman" w:eastAsia="宋体" w:cs="Times New Roman"/>
                <w:szCs w:val="21"/>
                <w:lang w:val="en-US" w:eastAsia="zh-CN"/>
              </w:rPr>
              <w:t>5-</w:t>
            </w:r>
            <w:r>
              <w:rPr>
                <w:rFonts w:hint="default" w:ascii="Times New Roman" w:hAnsi="Times New Roman" w:eastAsia="宋体" w:cs="Times New Roman"/>
                <w:szCs w:val="21"/>
              </w:rPr>
              <w:t>3590911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FF0000"/>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8</w:t>
            </w:r>
          </w:p>
        </w:tc>
        <w:tc>
          <w:tcPr>
            <w:tcW w:w="4434" w:type="dxa"/>
            <w:tcBorders>
              <w:tl2br w:val="nil"/>
              <w:tr2bl w:val="nil"/>
            </w:tcBorders>
            <w:noWrap w:val="0"/>
            <w:vAlign w:val="center"/>
          </w:tcPr>
          <w:p>
            <w:pPr>
              <w:jc w:val="center"/>
              <w:rPr>
                <w:rFonts w:hint="default" w:ascii="Times New Roman" w:hAnsi="Times New Roman" w:eastAsia="宋体" w:cs="Times New Roman"/>
                <w:smallCaps w:val="0"/>
                <w:color w:val="FF0000"/>
                <w:spacing w:val="0"/>
                <w:w w:val="100"/>
                <w:position w:val="0"/>
                <w:sz w:val="21"/>
                <w:szCs w:val="21"/>
                <w:highlight w:val="none"/>
                <w:lang w:eastAsia="zh-CN"/>
              </w:rPr>
            </w:pPr>
            <w:r>
              <w:rPr>
                <w:rFonts w:hint="default" w:ascii="Times New Roman" w:hAnsi="Times New Roman" w:eastAsia="宋体" w:cs="Times New Roman"/>
                <w:szCs w:val="21"/>
              </w:rPr>
              <w:t>宜春市开发区安监局</w:t>
            </w:r>
          </w:p>
        </w:tc>
        <w:tc>
          <w:tcPr>
            <w:tcW w:w="4169" w:type="dxa"/>
            <w:tcBorders>
              <w:tl2br w:val="nil"/>
              <w:tr2bl w:val="nil"/>
            </w:tcBorders>
            <w:noWrap w:val="0"/>
            <w:vAlign w:val="center"/>
          </w:tcPr>
          <w:p>
            <w:pPr>
              <w:jc w:val="center"/>
              <w:rPr>
                <w:rFonts w:hint="default" w:ascii="Times New Roman" w:hAnsi="Times New Roman" w:eastAsia="宋体" w:cs="Times New Roman"/>
                <w:smallCaps w:val="0"/>
                <w:color w:val="FF0000"/>
                <w:spacing w:val="0"/>
                <w:w w:val="100"/>
                <w:kern w:val="2"/>
                <w:position w:val="0"/>
                <w:sz w:val="21"/>
                <w:szCs w:val="21"/>
                <w:highlight w:val="none"/>
                <w:lang w:val="en-US" w:eastAsia="zh-CN" w:bidi="ar-SA"/>
              </w:rPr>
            </w:pPr>
            <w:r>
              <w:rPr>
                <w:rFonts w:hint="default" w:ascii="Times New Roman" w:hAnsi="Times New Roman" w:eastAsia="宋体" w:cs="Times New Roman"/>
                <w:szCs w:val="21"/>
              </w:rPr>
              <w:t>0795- 3918703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9</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zCs w:val="21"/>
                <w:lang w:val="en-US" w:eastAsia="zh-CN"/>
              </w:rPr>
              <w:t>宜春经济开发区</w:t>
            </w:r>
            <w:r>
              <w:rPr>
                <w:rFonts w:hint="default" w:ascii="Times New Roman" w:hAnsi="Times New Roman" w:eastAsia="宋体" w:cs="Times New Roman"/>
                <w:szCs w:val="21"/>
              </w:rPr>
              <w:t>管委会</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zCs w:val="21"/>
              </w:rPr>
              <w:t>0795-3668066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10</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zCs w:val="21"/>
                <w:lang w:eastAsia="zh-CN"/>
              </w:rPr>
              <w:t>宜春市</w:t>
            </w:r>
            <w:r>
              <w:rPr>
                <w:rFonts w:hint="default" w:ascii="Times New Roman" w:hAnsi="Times New Roman" w:eastAsia="宋体" w:cs="Times New Roman"/>
                <w:szCs w:val="21"/>
              </w:rPr>
              <w:t>环境监测站</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zCs w:val="21"/>
              </w:rPr>
              <w:t> </w:t>
            </w:r>
            <w:r>
              <w:rPr>
                <w:rFonts w:hint="default" w:ascii="Times New Roman" w:hAnsi="Times New Roman" w:eastAsia="宋体" w:cs="Times New Roman"/>
                <w:szCs w:val="21"/>
                <w:lang w:val="en-US" w:eastAsia="zh-CN"/>
              </w:rPr>
              <w:t>0795-</w:t>
            </w:r>
            <w:r>
              <w:rPr>
                <w:rFonts w:hint="default" w:ascii="Times New Roman" w:hAnsi="Times New Roman" w:eastAsia="宋体" w:cs="Times New Roman"/>
                <w:szCs w:val="21"/>
              </w:rPr>
              <w:t>3223872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11</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宜春市</w:t>
            </w:r>
            <w:r>
              <w:rPr>
                <w:rFonts w:hint="default" w:ascii="Times New Roman" w:hAnsi="Times New Roman" w:eastAsia="宋体" w:cs="Times New Roman"/>
                <w:smallCaps w:val="0"/>
                <w:color w:val="auto"/>
                <w:spacing w:val="0"/>
                <w:w w:val="100"/>
                <w:position w:val="0"/>
                <w:sz w:val="21"/>
                <w:szCs w:val="21"/>
                <w:highlight w:val="none"/>
                <w:lang w:eastAsia="zh-CN"/>
              </w:rPr>
              <w:t>人民医院</w:t>
            </w:r>
          </w:p>
        </w:tc>
        <w:tc>
          <w:tcPr>
            <w:tcW w:w="41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t>0795-3223152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41" w:type="dxa"/>
            <w:gridSpan w:val="3"/>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b/>
                <w:bCs/>
                <w:smallCaps w:val="0"/>
                <w:color w:val="auto"/>
                <w:spacing w:val="0"/>
                <w:w w:val="100"/>
                <w:kern w:val="2"/>
                <w:position w:val="0"/>
                <w:sz w:val="21"/>
                <w:szCs w:val="21"/>
                <w:highlight w:val="none"/>
                <w:lang w:val="en-US" w:eastAsia="zh-CN" w:bidi="ar-SA"/>
              </w:rPr>
              <w:t>应急咨询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1</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国家危险化学品应急咨询服务机构</w:t>
            </w:r>
          </w:p>
        </w:tc>
        <w:tc>
          <w:tcPr>
            <w:tcW w:w="4169" w:type="dxa"/>
            <w:tcBorders>
              <w:tl2br w:val="nil"/>
              <w:tr2bl w:val="nil"/>
            </w:tcBorders>
            <w:noWrap w:val="0"/>
            <w:vAlign w:val="center"/>
          </w:tcPr>
          <w:p>
            <w:pPr>
              <w:pStyle w:val="41"/>
              <w:keepNext w:val="0"/>
              <w:keepLines w:val="0"/>
              <w:pageBreakBefore w:val="0"/>
              <w:widowControl/>
              <w:kinsoku/>
              <w:wordWrap/>
              <w:overflowPunct/>
              <w:topLinePunct w:val="0"/>
              <w:autoSpaceDE/>
              <w:autoSpaceDN/>
              <w:bidi w:val="0"/>
              <w:spacing w:line="240" w:lineRule="auto"/>
              <w:ind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rPr>
            </w:pPr>
            <w:r>
              <w:rPr>
                <w:rFonts w:hint="default" w:ascii="Times New Roman" w:hAnsi="Times New Roman" w:eastAsia="宋体" w:cs="Times New Roman"/>
                <w:smallCaps w:val="0"/>
                <w:color w:val="auto"/>
                <w:spacing w:val="0"/>
                <w:w w:val="100"/>
                <w:kern w:val="2"/>
                <w:position w:val="0"/>
                <w:sz w:val="21"/>
                <w:szCs w:val="21"/>
              </w:rPr>
              <w:t>0532-83889090</w:t>
            </w:r>
          </w:p>
          <w:p>
            <w:pPr>
              <w:pStyle w:val="41"/>
              <w:keepNext w:val="0"/>
              <w:keepLines w:val="0"/>
              <w:pageBreakBefore w:val="0"/>
              <w:widowControl/>
              <w:kinsoku/>
              <w:wordWrap/>
              <w:overflowPunct/>
              <w:topLinePunct w:val="0"/>
              <w:autoSpaceDE/>
              <w:autoSpaceDN/>
              <w:bidi w:val="0"/>
              <w:spacing w:line="240" w:lineRule="auto"/>
              <w:ind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kern w:val="2"/>
                <w:position w:val="0"/>
                <w:sz w:val="21"/>
                <w:szCs w:val="21"/>
              </w:rPr>
              <w:t>0532-83889191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2</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江西省安全生产应急指挥中心</w:t>
            </w:r>
          </w:p>
        </w:tc>
        <w:tc>
          <w:tcPr>
            <w:tcW w:w="4169" w:type="dxa"/>
            <w:tcBorders>
              <w:tl2br w:val="nil"/>
              <w:tr2bl w:val="nil"/>
            </w:tcBorders>
            <w:noWrap w:val="0"/>
            <w:vAlign w:val="center"/>
          </w:tcPr>
          <w:p>
            <w:pPr>
              <w:pStyle w:val="41"/>
              <w:keepNext w:val="0"/>
              <w:keepLines w:val="0"/>
              <w:pageBreakBefore w:val="0"/>
              <w:widowControl/>
              <w:kinsoku/>
              <w:wordWrap/>
              <w:overflowPunct/>
              <w:topLinePunct w:val="0"/>
              <w:autoSpaceDE/>
              <w:autoSpaceDN/>
              <w:bidi w:val="0"/>
              <w:spacing w:line="240" w:lineRule="auto"/>
              <w:ind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rPr>
            </w:pPr>
            <w:r>
              <w:rPr>
                <w:rFonts w:hint="default" w:ascii="Times New Roman" w:hAnsi="Times New Roman" w:eastAsia="宋体" w:cs="Times New Roman"/>
                <w:smallCaps w:val="0"/>
                <w:color w:val="auto"/>
                <w:spacing w:val="0"/>
                <w:w w:val="100"/>
                <w:kern w:val="2"/>
                <w:position w:val="0"/>
                <w:sz w:val="21"/>
                <w:szCs w:val="21"/>
              </w:rPr>
              <w:t>0791-85257098</w:t>
            </w:r>
          </w:p>
          <w:p>
            <w:pPr>
              <w:pStyle w:val="41"/>
              <w:keepNext w:val="0"/>
              <w:keepLines w:val="0"/>
              <w:pageBreakBefore w:val="0"/>
              <w:widowControl/>
              <w:kinsoku/>
              <w:wordWrap/>
              <w:overflowPunct/>
              <w:topLinePunct w:val="0"/>
              <w:autoSpaceDE/>
              <w:autoSpaceDN/>
              <w:bidi w:val="0"/>
              <w:spacing w:line="240" w:lineRule="auto"/>
              <w:ind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kern w:val="2"/>
                <w:position w:val="0"/>
                <w:sz w:val="21"/>
                <w:szCs w:val="21"/>
              </w:rPr>
              <w:t xml:space="preserve">0791-85257096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val="en-US" w:eastAsia="zh-CN"/>
              </w:rPr>
            </w:pPr>
            <w:r>
              <w:rPr>
                <w:rFonts w:hint="default" w:ascii="Times New Roman" w:hAnsi="Times New Roman" w:eastAsia="宋体" w:cs="Times New Roman"/>
                <w:smallCaps w:val="0"/>
                <w:color w:val="auto"/>
                <w:spacing w:val="0"/>
                <w:w w:val="100"/>
                <w:position w:val="0"/>
                <w:sz w:val="21"/>
                <w:szCs w:val="21"/>
                <w:highlight w:val="none"/>
                <w:lang w:val="en-US" w:eastAsia="zh-CN"/>
              </w:rPr>
              <w:t>3</w:t>
            </w:r>
          </w:p>
        </w:tc>
        <w:tc>
          <w:tcPr>
            <w:tcW w:w="44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smallCaps w:val="0"/>
                <w:color w:val="auto"/>
                <w:spacing w:val="0"/>
                <w:w w:val="100"/>
                <w:position w:val="0"/>
                <w:sz w:val="21"/>
                <w:szCs w:val="21"/>
                <w:highlight w:val="none"/>
                <w:lang w:eastAsia="zh-CN"/>
              </w:rPr>
            </w:pPr>
            <w:r>
              <w:rPr>
                <w:rFonts w:hint="default" w:ascii="Times New Roman" w:hAnsi="Times New Roman" w:eastAsia="宋体" w:cs="Times New Roman"/>
                <w:smallCaps w:val="0"/>
                <w:color w:val="auto"/>
                <w:spacing w:val="0"/>
                <w:w w:val="100"/>
                <w:position w:val="0"/>
                <w:sz w:val="21"/>
                <w:szCs w:val="21"/>
                <w:highlight w:val="none"/>
                <w:lang w:eastAsia="zh-CN"/>
              </w:rPr>
              <w:t>江西省安全生产应急指挥中心</w:t>
            </w:r>
          </w:p>
        </w:tc>
        <w:tc>
          <w:tcPr>
            <w:tcW w:w="4169" w:type="dxa"/>
            <w:tcBorders>
              <w:tl2br w:val="nil"/>
              <w:tr2bl w:val="nil"/>
            </w:tcBorders>
            <w:noWrap w:val="0"/>
            <w:vAlign w:val="center"/>
          </w:tcPr>
          <w:p>
            <w:pPr>
              <w:pStyle w:val="41"/>
              <w:keepNext w:val="0"/>
              <w:keepLines w:val="0"/>
              <w:pageBreakBefore w:val="0"/>
              <w:widowControl/>
              <w:kinsoku/>
              <w:wordWrap/>
              <w:overflowPunct/>
              <w:topLinePunct w:val="0"/>
              <w:autoSpaceDE/>
              <w:autoSpaceDN/>
              <w:bidi w:val="0"/>
              <w:spacing w:line="240" w:lineRule="auto"/>
              <w:ind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rPr>
            </w:pPr>
            <w:r>
              <w:rPr>
                <w:rFonts w:hint="default" w:ascii="Times New Roman" w:hAnsi="Times New Roman" w:eastAsia="宋体" w:cs="Times New Roman"/>
                <w:smallCaps w:val="0"/>
                <w:color w:val="auto"/>
                <w:spacing w:val="0"/>
                <w:w w:val="100"/>
                <w:kern w:val="2"/>
                <w:position w:val="0"/>
                <w:sz w:val="21"/>
                <w:szCs w:val="21"/>
              </w:rPr>
              <w:t>010-83132345</w:t>
            </w:r>
          </w:p>
          <w:p>
            <w:pPr>
              <w:pStyle w:val="41"/>
              <w:keepNext w:val="0"/>
              <w:keepLines w:val="0"/>
              <w:pageBreakBefore w:val="0"/>
              <w:widowControl/>
              <w:kinsoku/>
              <w:wordWrap/>
              <w:overflowPunct/>
              <w:topLinePunct w:val="0"/>
              <w:autoSpaceDE/>
              <w:autoSpaceDN/>
              <w:bidi w:val="0"/>
              <w:spacing w:line="240" w:lineRule="auto"/>
              <w:ind w:firstLine="0" w:firstLineChars="0"/>
              <w:jc w:val="center"/>
              <w:textAlignment w:val="auto"/>
              <w:outlineLvl w:val="9"/>
              <w:rPr>
                <w:rFonts w:hint="default" w:ascii="Times New Roman" w:hAnsi="Times New Roman" w:eastAsia="宋体" w:cs="Times New Roman"/>
                <w:smallCaps w:val="0"/>
                <w:color w:val="auto"/>
                <w:spacing w:val="0"/>
                <w:w w:val="100"/>
                <w:kern w:val="2"/>
                <w:position w:val="0"/>
                <w:sz w:val="21"/>
                <w:szCs w:val="21"/>
                <w:highlight w:val="none"/>
                <w:lang w:val="en-US" w:eastAsia="zh-CN" w:bidi="ar-SA"/>
              </w:rPr>
            </w:pPr>
            <w:r>
              <w:rPr>
                <w:rFonts w:hint="default" w:ascii="Times New Roman" w:hAnsi="Times New Roman" w:eastAsia="宋体" w:cs="Times New Roman"/>
                <w:smallCaps w:val="0"/>
                <w:color w:val="auto"/>
                <w:spacing w:val="0"/>
                <w:w w:val="100"/>
                <w:kern w:val="2"/>
                <w:position w:val="0"/>
                <w:sz w:val="21"/>
                <w:szCs w:val="21"/>
              </w:rPr>
              <w:t>010-63131122</w:t>
            </w:r>
          </w:p>
        </w:tc>
      </w:tr>
    </w:tbl>
    <w:p>
      <w:pPr>
        <w:pStyle w:val="5"/>
        <w:spacing w:before="2" w:line="362" w:lineRule="auto"/>
        <w:ind w:left="260" w:right="229" w:firstLine="480"/>
      </w:pPr>
      <w:r>
        <w:t>公司与外部联系主要使用电话、手机联系，能够做到迅速、及时通报事故情况，当手机、电话联系不上时，使用内部车辆进行人员通知。</w:t>
      </w:r>
    </w:p>
    <w:p>
      <w:pPr>
        <w:pStyle w:val="5"/>
        <w:spacing w:before="2" w:line="362" w:lineRule="auto"/>
        <w:ind w:left="260" w:right="229" w:firstLine="480"/>
      </w:pPr>
      <w:r>
        <w:t>公司通往外界的主要公路应保证道路畅通，不得设置障碍物。应急时要实施交通管</w:t>
      </w:r>
    </w:p>
    <w:p>
      <w:pPr>
        <w:pStyle w:val="5"/>
        <w:spacing w:before="2" w:line="362" w:lineRule="auto"/>
        <w:ind w:right="229"/>
      </w:pPr>
      <w:r>
        <w:t>制，保证外部救援力量能快速进入，同时保障疏散转移通行顺畅。</w:t>
      </w:r>
    </w:p>
    <w:p>
      <w:pPr>
        <w:pStyle w:val="8"/>
        <w:numPr>
          <w:ilvl w:val="1"/>
          <w:numId w:val="9"/>
        </w:numPr>
        <w:tabs>
          <w:tab w:val="left" w:pos="750"/>
        </w:tabs>
        <w:spacing w:before="158" w:after="0" w:line="240" w:lineRule="auto"/>
        <w:ind w:left="749" w:right="0" w:hanging="490"/>
        <w:jc w:val="both"/>
      </w:pPr>
      <w:bookmarkStart w:id="257" w:name="_bookmark61"/>
      <w:bookmarkEnd w:id="257"/>
      <w:bookmarkStart w:id="258" w:name="5.2 信息报告与处理"/>
      <w:bookmarkEnd w:id="258"/>
      <w:bookmarkStart w:id="259" w:name="_bookmark61"/>
      <w:bookmarkEnd w:id="259"/>
      <w:bookmarkStart w:id="260" w:name="_Toc28392"/>
      <w:bookmarkStart w:id="261" w:name="_Toc22456"/>
      <w:r>
        <w:t>信息报告与处理</w:t>
      </w:r>
      <w:bookmarkEnd w:id="260"/>
      <w:bookmarkEnd w:id="261"/>
    </w:p>
    <w:p>
      <w:pPr>
        <w:pStyle w:val="9"/>
        <w:numPr>
          <w:ilvl w:val="2"/>
          <w:numId w:val="20"/>
        </w:numPr>
        <w:tabs>
          <w:tab w:val="left" w:pos="860"/>
        </w:tabs>
        <w:spacing w:before="234" w:after="0" w:line="240" w:lineRule="auto"/>
        <w:ind w:left="860" w:right="0" w:hanging="600"/>
        <w:jc w:val="left"/>
      </w:pPr>
      <w:bookmarkStart w:id="262" w:name="_bookmark62"/>
      <w:bookmarkEnd w:id="262"/>
      <w:bookmarkStart w:id="263" w:name="5.2.1 内部报告"/>
      <w:bookmarkEnd w:id="263"/>
      <w:bookmarkStart w:id="264" w:name="_bookmark62"/>
      <w:bookmarkEnd w:id="264"/>
      <w:r>
        <w:t>内部报告</w:t>
      </w:r>
    </w:p>
    <w:p>
      <w:pPr>
        <w:pStyle w:val="5"/>
        <w:spacing w:before="208" w:line="364" w:lineRule="auto"/>
        <w:ind w:left="260" w:right="229" w:firstLine="480"/>
        <w:jc w:val="both"/>
      </w:pPr>
      <w:r>
        <w:rPr>
          <w:spacing w:val="-1"/>
        </w:rPr>
        <w:t>突发环境事故责任单位和责任人以及负有监管责任的部门发现突发环境事件后，应</w:t>
      </w:r>
      <w:r>
        <w:rPr>
          <w:spacing w:val="-30"/>
        </w:rPr>
        <w:t xml:space="preserve">在 </w:t>
      </w:r>
      <w:r>
        <w:t>10</w:t>
      </w:r>
      <w:r>
        <w:rPr>
          <w:spacing w:val="-14"/>
        </w:rPr>
        <w:t xml:space="preserve"> 分钟内报告应急指挥部办公室。突发环境事件应急指挥部接报后，立即通知各应急</w:t>
      </w:r>
      <w:r>
        <w:t>小组，各应急小组接报后立即赶赴事发现场。</w:t>
      </w:r>
    </w:p>
    <w:p>
      <w:pPr>
        <w:pStyle w:val="9"/>
        <w:numPr>
          <w:ilvl w:val="2"/>
          <w:numId w:val="20"/>
        </w:numPr>
        <w:tabs>
          <w:tab w:val="left" w:pos="860"/>
        </w:tabs>
        <w:spacing w:before="0" w:after="0" w:line="307" w:lineRule="exact"/>
        <w:ind w:left="860" w:right="0" w:hanging="600"/>
        <w:jc w:val="both"/>
      </w:pPr>
      <w:bookmarkStart w:id="265" w:name="_bookmark63"/>
      <w:bookmarkEnd w:id="265"/>
      <w:bookmarkStart w:id="266" w:name="_bookmark63"/>
      <w:bookmarkEnd w:id="266"/>
      <w:bookmarkStart w:id="267" w:name="5.2.2 报告内容及方式"/>
      <w:bookmarkEnd w:id="267"/>
      <w:r>
        <w:t>报告内容及方式</w:t>
      </w:r>
    </w:p>
    <w:p>
      <w:pPr>
        <w:pStyle w:val="30"/>
        <w:numPr>
          <w:ilvl w:val="3"/>
          <w:numId w:val="20"/>
        </w:numPr>
        <w:tabs>
          <w:tab w:val="left" w:pos="1040"/>
        </w:tabs>
        <w:spacing w:before="206" w:after="0" w:line="240" w:lineRule="auto"/>
        <w:ind w:left="1040" w:right="0" w:hanging="780"/>
        <w:jc w:val="left"/>
        <w:rPr>
          <w:b/>
          <w:sz w:val="24"/>
        </w:rPr>
      </w:pPr>
      <w:bookmarkStart w:id="268" w:name="5.2.2.1 事故报告的内容"/>
      <w:bookmarkEnd w:id="268"/>
      <w:bookmarkStart w:id="269" w:name="_bookmark64"/>
      <w:bookmarkEnd w:id="269"/>
      <w:bookmarkStart w:id="270" w:name="_bookmark64"/>
      <w:bookmarkEnd w:id="270"/>
      <w:r>
        <w:rPr>
          <w:b/>
          <w:sz w:val="24"/>
        </w:rPr>
        <w:t>事故报告的内容</w:t>
      </w:r>
    </w:p>
    <w:p>
      <w:pPr>
        <w:pStyle w:val="5"/>
        <w:spacing w:before="206" w:line="364" w:lineRule="auto"/>
        <w:ind w:left="260" w:right="229" w:firstLine="480"/>
        <w:jc w:val="both"/>
      </w:pPr>
      <w:r>
        <w:t>主要内容包括：环境污染事故的类型、发生时间、发生地点、主要污染物质；事故发生后人员受害情况（轻伤、重伤、死亡情况）；事故潜在危害程度、转化方式趋向等初步情况；事故发生的原因、过程、进展情况及釆取的应急措施等基本情况；事故发生后造成的直接经济损失、污染的范围和潜在的危害程度；事故发生可能的转化趋向及可能受影响的区域。</w:t>
      </w:r>
    </w:p>
    <w:p>
      <w:pPr>
        <w:pStyle w:val="9"/>
        <w:numPr>
          <w:ilvl w:val="3"/>
          <w:numId w:val="20"/>
        </w:numPr>
        <w:tabs>
          <w:tab w:val="left" w:pos="1040"/>
        </w:tabs>
        <w:spacing w:before="0" w:after="0" w:line="306" w:lineRule="exact"/>
        <w:ind w:left="1040" w:right="0" w:hanging="780"/>
        <w:jc w:val="left"/>
      </w:pPr>
      <w:bookmarkStart w:id="271" w:name="5.2.2.2 事故报告的方式"/>
      <w:bookmarkEnd w:id="271"/>
      <w:bookmarkStart w:id="272" w:name="_bookmark65"/>
      <w:bookmarkEnd w:id="272"/>
      <w:bookmarkStart w:id="273" w:name="_bookmark65"/>
      <w:bookmarkEnd w:id="273"/>
      <w:r>
        <w:t>事故报告的方式</w:t>
      </w:r>
    </w:p>
    <w:p>
      <w:pPr>
        <w:pStyle w:val="5"/>
        <w:spacing w:before="209" w:line="364" w:lineRule="auto"/>
        <w:ind w:left="260" w:right="229" w:firstLine="480"/>
        <w:jc w:val="both"/>
      </w:pPr>
      <w:r>
        <w:t>突发性环境污染事故的上报分为初报、续报和处理结果报告三类。初报从发现事件后立即上报；续报在查清有关基本情况后随时上报；处理结果在事件处理完毕后立即上报。</w:t>
      </w:r>
    </w:p>
    <w:p>
      <w:pPr>
        <w:pStyle w:val="5"/>
        <w:spacing w:line="364" w:lineRule="auto"/>
        <w:ind w:left="260" w:right="229" w:firstLine="480"/>
      </w:pPr>
      <w:r>
        <w:t>初报可用电话直接报告，主要内容包括：环境事故的类型、发生时间、地点、污染源，主要污染物质、人员受灾情况、事件潜在危险程度、转化方式趋向等初步情况。</w:t>
      </w:r>
    </w:p>
    <w:p>
      <w:pPr>
        <w:pStyle w:val="5"/>
        <w:spacing w:line="364" w:lineRule="auto"/>
        <w:ind w:left="260" w:right="109" w:firstLine="480"/>
      </w:pPr>
      <w:r>
        <w:rPr>
          <w:spacing w:val="-7"/>
        </w:rPr>
        <w:t>续报可通过网络或书面报告，在初报的基础上报告有关确切数据，事件发生的原因、</w:t>
      </w:r>
      <w:r>
        <w:t>过程、进展情况及釆取的应急措施等基本情况。</w:t>
      </w:r>
    </w:p>
    <w:p>
      <w:pPr>
        <w:pStyle w:val="5"/>
        <w:spacing w:line="362" w:lineRule="auto"/>
        <w:ind w:left="260" w:right="229" w:firstLine="480"/>
        <w:jc w:val="both"/>
      </w:pPr>
      <w:r>
        <w:t>处理结果报告釆用书面报告，处理结果报告在初报和续报的基础上，报告处理事件的措施、过程和结果，事件潜在或间接的危害、社会影响、处理后的遗留问题，参加处理工作的有关部门和工作内容，出具有关危害与损失的证明文件等详细的情况。</w:t>
      </w:r>
    </w:p>
    <w:p>
      <w:pPr>
        <w:pStyle w:val="9"/>
        <w:numPr>
          <w:ilvl w:val="2"/>
          <w:numId w:val="20"/>
        </w:numPr>
        <w:tabs>
          <w:tab w:val="left" w:pos="860"/>
        </w:tabs>
        <w:spacing w:before="3" w:after="0" w:line="240" w:lineRule="auto"/>
        <w:ind w:left="860" w:right="0" w:hanging="600"/>
        <w:jc w:val="left"/>
      </w:pPr>
      <w:bookmarkStart w:id="274" w:name="_bookmark66"/>
      <w:bookmarkEnd w:id="274"/>
      <w:bookmarkStart w:id="275" w:name="_bookmark66"/>
      <w:bookmarkEnd w:id="275"/>
      <w:bookmarkStart w:id="276" w:name="5.2.3 信息上报"/>
      <w:bookmarkEnd w:id="276"/>
      <w:r>
        <w:t>信息上报</w:t>
      </w:r>
    </w:p>
    <w:p>
      <w:pPr>
        <w:pStyle w:val="5"/>
        <w:spacing w:before="206" w:line="364" w:lineRule="auto"/>
        <w:ind w:left="260" w:right="229" w:firstLine="480"/>
      </w:pPr>
      <w:r>
        <w:t>突发环境事件发生后，根据事故影响程度进行信息上报。当发生突发环境事件并影响到厂区外时，应在半小时内向宜春市人民政府、</w:t>
      </w:r>
      <w:r>
        <w:rPr>
          <w:rFonts w:hint="eastAsia"/>
          <w:lang w:eastAsia="zh-CN"/>
        </w:rPr>
        <w:t>宜春市生态环境局</w:t>
      </w:r>
      <w:r>
        <w:t>等有关部门报告。</w:t>
      </w:r>
    </w:p>
    <w:p>
      <w:pPr>
        <w:pStyle w:val="8"/>
        <w:numPr>
          <w:ilvl w:val="1"/>
          <w:numId w:val="9"/>
        </w:numPr>
        <w:tabs>
          <w:tab w:val="left" w:pos="750"/>
        </w:tabs>
        <w:spacing w:before="2" w:after="0" w:line="240" w:lineRule="auto"/>
        <w:ind w:left="749" w:right="0" w:hanging="490"/>
        <w:jc w:val="both"/>
      </w:pPr>
      <w:bookmarkStart w:id="277" w:name="5.3 信息通报"/>
      <w:bookmarkEnd w:id="277"/>
      <w:bookmarkStart w:id="278" w:name="_bookmark67"/>
      <w:bookmarkEnd w:id="278"/>
      <w:bookmarkStart w:id="279" w:name="_bookmark67"/>
      <w:bookmarkEnd w:id="279"/>
      <w:bookmarkStart w:id="280" w:name="_Toc1587"/>
      <w:bookmarkStart w:id="281" w:name="_Toc31785"/>
      <w:r>
        <w:t>信息通报</w:t>
      </w:r>
      <w:bookmarkEnd w:id="280"/>
      <w:bookmarkEnd w:id="281"/>
    </w:p>
    <w:p>
      <w:pPr>
        <w:pStyle w:val="5"/>
        <w:spacing w:before="206" w:line="364" w:lineRule="auto"/>
        <w:ind w:left="260" w:right="229" w:firstLine="480"/>
      </w:pPr>
      <w:r>
        <w:t>总指挥根据事故发展情况，及时向宜春市政府办公室报告，宜春市政府办公室立即向单位周边企业、事业、居民区等环境敏感目标通报。通报方式为：电话、广播等。 通报内容：企业名称、联系人和联系电话，发生事故的设备名称，泄漏物的基本性质，可能造成的危害，报知其是否应该撤离及撤离区域等。</w:t>
      </w:r>
    </w:p>
    <w:p>
      <w:pPr>
        <w:pStyle w:val="8"/>
        <w:numPr>
          <w:ilvl w:val="1"/>
          <w:numId w:val="9"/>
        </w:numPr>
        <w:tabs>
          <w:tab w:val="left" w:pos="750"/>
        </w:tabs>
        <w:spacing w:before="158" w:after="0" w:line="240" w:lineRule="auto"/>
        <w:ind w:left="749" w:right="0" w:hanging="490"/>
        <w:jc w:val="left"/>
      </w:pPr>
      <w:bookmarkStart w:id="282" w:name="_bookmark68"/>
      <w:bookmarkEnd w:id="282"/>
      <w:bookmarkStart w:id="283" w:name="_bookmark68"/>
      <w:bookmarkEnd w:id="283"/>
      <w:bookmarkStart w:id="284" w:name="5.4 预警"/>
      <w:bookmarkEnd w:id="284"/>
      <w:bookmarkStart w:id="285" w:name="_Toc9182"/>
      <w:bookmarkStart w:id="286" w:name="_Toc15961"/>
      <w:r>
        <w:t>预警</w:t>
      </w:r>
      <w:bookmarkEnd w:id="285"/>
      <w:bookmarkEnd w:id="286"/>
    </w:p>
    <w:p>
      <w:pPr>
        <w:pStyle w:val="5"/>
        <w:spacing w:before="234"/>
        <w:ind w:left="740"/>
      </w:pPr>
      <w:r>
        <w:t>根据事故险情等级釆用三级预警，报警级别视事故影响波及范围而定。</w:t>
      </w:r>
    </w:p>
    <w:p>
      <w:pPr>
        <w:pStyle w:val="5"/>
        <w:spacing w:before="160" w:line="364" w:lineRule="auto"/>
        <w:ind w:left="260" w:right="229" w:firstLine="480"/>
        <w:jc w:val="both"/>
      </w:pPr>
      <w:r>
        <w:t>预警信号由应急指挥部根据报告的情况及时通报负责发布，内部通过通讯程控交换系统和无线对讲系统发布，对外部预警信号通过与相邻村庄周边单位的相关负责人联系后共同发布。</w:t>
      </w:r>
    </w:p>
    <w:p>
      <w:pPr>
        <w:pStyle w:val="9"/>
        <w:numPr>
          <w:ilvl w:val="2"/>
          <w:numId w:val="21"/>
        </w:numPr>
        <w:tabs>
          <w:tab w:val="left" w:pos="860"/>
        </w:tabs>
        <w:spacing w:before="0" w:after="0" w:line="305" w:lineRule="exact"/>
        <w:ind w:left="860" w:right="0" w:hanging="600"/>
        <w:jc w:val="left"/>
      </w:pPr>
      <w:bookmarkStart w:id="287" w:name="_bookmark69"/>
      <w:bookmarkEnd w:id="287"/>
      <w:bookmarkStart w:id="288" w:name="_bookmark69"/>
      <w:bookmarkEnd w:id="288"/>
      <w:bookmarkStart w:id="289" w:name="5.4.1 三级预警"/>
      <w:bookmarkEnd w:id="289"/>
      <w:r>
        <w:t>三级预警</w:t>
      </w:r>
    </w:p>
    <w:p>
      <w:pPr>
        <w:pStyle w:val="5"/>
        <w:spacing w:before="209" w:line="364" w:lineRule="auto"/>
        <w:ind w:left="260" w:right="229" w:firstLine="480"/>
        <w:jc w:val="both"/>
      </w:pPr>
      <w:r>
        <w:t>生产废水收集系统故障，造成生产废水无法及时进入处理站处理；截水沟和雨水导排系统堵塞，导致雨水无法外排，在厂区内集积；因为各种原因引发的局部火灾，由此产生的消防水在场区内漫流。发布三级预警信号。</w:t>
      </w:r>
    </w:p>
    <w:p>
      <w:pPr>
        <w:pStyle w:val="9"/>
        <w:numPr>
          <w:ilvl w:val="2"/>
          <w:numId w:val="21"/>
        </w:numPr>
        <w:tabs>
          <w:tab w:val="left" w:pos="860"/>
        </w:tabs>
        <w:spacing w:before="0" w:after="0" w:line="307" w:lineRule="exact"/>
        <w:ind w:left="860" w:right="0" w:hanging="600"/>
        <w:jc w:val="left"/>
      </w:pPr>
      <w:bookmarkStart w:id="290" w:name="_bookmark70"/>
      <w:bookmarkEnd w:id="290"/>
      <w:bookmarkStart w:id="291" w:name="5.4.2 二级预警"/>
      <w:bookmarkEnd w:id="291"/>
      <w:bookmarkStart w:id="292" w:name="_bookmark70"/>
      <w:bookmarkEnd w:id="292"/>
      <w:r>
        <w:t>二级预警</w:t>
      </w:r>
    </w:p>
    <w:p>
      <w:pPr>
        <w:pStyle w:val="5"/>
        <w:spacing w:before="206" w:line="364" w:lineRule="auto"/>
        <w:ind w:left="260" w:right="109" w:firstLine="480"/>
      </w:pPr>
      <w:r>
        <w:rPr>
          <w:spacing w:val="-13"/>
        </w:rPr>
        <w:t>氢氧化钠大量泄漏；其他事故影响及处理超出本公司可控制范围的事件。</w:t>
      </w:r>
      <w:r>
        <w:t>发布二级预警信号。</w:t>
      </w:r>
    </w:p>
    <w:p>
      <w:pPr>
        <w:spacing w:after="0" w:line="364" w:lineRule="auto"/>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7"/>
        <w:numPr>
          <w:ilvl w:val="0"/>
          <w:numId w:val="9"/>
        </w:numPr>
        <w:tabs>
          <w:tab w:val="left" w:pos="580"/>
        </w:tabs>
        <w:spacing w:before="65" w:after="0" w:line="240" w:lineRule="auto"/>
        <w:ind w:left="579" w:right="0" w:hanging="320"/>
        <w:jc w:val="left"/>
      </w:pPr>
      <w:bookmarkStart w:id="293" w:name="_bookmark71"/>
      <w:bookmarkEnd w:id="293"/>
      <w:bookmarkStart w:id="294" w:name="_bookmark71"/>
      <w:bookmarkEnd w:id="294"/>
      <w:bookmarkStart w:id="295" w:name="6 应急响应与措施"/>
      <w:bookmarkEnd w:id="295"/>
      <w:bookmarkStart w:id="296" w:name="_Toc23664"/>
      <w:bookmarkStart w:id="297" w:name="_Toc2474"/>
      <w:r>
        <w:t>应急响应与措施</w:t>
      </w:r>
      <w:bookmarkEnd w:id="296"/>
      <w:bookmarkEnd w:id="297"/>
    </w:p>
    <w:p>
      <w:pPr>
        <w:pStyle w:val="8"/>
        <w:numPr>
          <w:ilvl w:val="1"/>
          <w:numId w:val="9"/>
        </w:numPr>
        <w:tabs>
          <w:tab w:val="left" w:pos="750"/>
        </w:tabs>
        <w:spacing w:before="211" w:after="0" w:line="240" w:lineRule="auto"/>
        <w:ind w:left="749" w:right="0" w:hanging="490"/>
        <w:jc w:val="left"/>
      </w:pPr>
      <w:bookmarkStart w:id="298" w:name="_bookmark72"/>
      <w:bookmarkEnd w:id="298"/>
      <w:bookmarkStart w:id="299" w:name="6.1 分级响应机制"/>
      <w:bookmarkEnd w:id="299"/>
      <w:bookmarkStart w:id="300" w:name="_bookmark72"/>
      <w:bookmarkEnd w:id="300"/>
      <w:bookmarkStart w:id="301" w:name="_Toc15014"/>
      <w:bookmarkStart w:id="302" w:name="_Toc8079"/>
      <w:r>
        <w:t>分级响应机制</w:t>
      </w:r>
      <w:bookmarkEnd w:id="301"/>
      <w:bookmarkEnd w:id="302"/>
    </w:p>
    <w:p>
      <w:pPr>
        <w:pStyle w:val="5"/>
        <w:spacing w:before="233" w:line="364" w:lineRule="auto"/>
        <w:ind w:left="260" w:right="227" w:firstLine="480"/>
        <w:jc w:val="both"/>
      </w:pPr>
      <w:r>
        <w:rPr>
          <w:spacing w:val="-1"/>
        </w:rPr>
        <w:t>根据《国家突发环境事件应急预案》中的“突发环境事件分级标准”、《突发环境</w:t>
      </w:r>
      <w:r>
        <w:rPr>
          <w:spacing w:val="-5"/>
        </w:rPr>
        <w:t>事件信息报告办法》</w:t>
      </w:r>
      <w:r>
        <w:t>（</w:t>
      </w:r>
      <w:r>
        <w:rPr>
          <w:spacing w:val="-10"/>
        </w:rPr>
        <w:t xml:space="preserve">环保部令第 </w:t>
      </w:r>
      <w:r>
        <w:t>17</w:t>
      </w:r>
      <w:r>
        <w:rPr>
          <w:spacing w:val="-30"/>
        </w:rPr>
        <w:t xml:space="preserve"> 号</w:t>
      </w:r>
      <w:r>
        <w:rPr>
          <w:spacing w:val="-21"/>
        </w:rPr>
        <w:t>）</w:t>
      </w:r>
      <w:r>
        <w:rPr>
          <w:spacing w:val="-8"/>
        </w:rPr>
        <w:t>，结合企业生产实际情况，环境风险对周围环</w:t>
      </w:r>
      <w:r>
        <w:rPr>
          <w:spacing w:val="-1"/>
        </w:rPr>
        <w:t>境影响程度和单位控制事态的能力，本公司的事故应急响应分为三级应急状态、二级应急状态、一级应急状态，分别对应三级预警、二级预警、一级预警，一级为最高级别， 且根据事件的后续发展，预警可升级、降级或者解除。总指挥应当根据收集到的信息对</w:t>
      </w:r>
      <w:r>
        <w:t>突发环境事件进行预判，启动应急响应。</w:t>
      </w:r>
    </w:p>
    <w:p>
      <w:pPr>
        <w:pStyle w:val="9"/>
        <w:numPr>
          <w:ilvl w:val="2"/>
          <w:numId w:val="22"/>
        </w:numPr>
        <w:tabs>
          <w:tab w:val="left" w:pos="800"/>
        </w:tabs>
        <w:spacing w:before="0" w:after="0" w:line="304" w:lineRule="exact"/>
        <w:ind w:left="800" w:right="0" w:hanging="540"/>
        <w:jc w:val="left"/>
      </w:pPr>
      <w:bookmarkStart w:id="303" w:name="_bookmark73"/>
      <w:bookmarkEnd w:id="303"/>
      <w:bookmarkStart w:id="304" w:name="6.1.1三级响应"/>
      <w:bookmarkEnd w:id="304"/>
      <w:bookmarkStart w:id="305" w:name="_bookmark73"/>
      <w:bookmarkEnd w:id="305"/>
      <w:r>
        <w:t>三级响应</w:t>
      </w:r>
    </w:p>
    <w:p>
      <w:pPr>
        <w:pStyle w:val="5"/>
        <w:spacing w:before="209" w:line="364" w:lineRule="auto"/>
        <w:ind w:left="260" w:right="229" w:firstLine="480"/>
        <w:jc w:val="both"/>
      </w:pPr>
      <w:r>
        <w:t>生产废水收集系统故障，造成生产废水无法及时进入处理站处理；截水沟和雨水导排系统堵塞，导致雨水无法外排，在厂区内集积；因为各种原因引发的局部火灾，由此产生的消防水在场区内漫流。发布三级预警信号，启动三级预警。</w:t>
      </w:r>
    </w:p>
    <w:p>
      <w:pPr>
        <w:pStyle w:val="5"/>
        <w:spacing w:line="304" w:lineRule="exact"/>
        <w:ind w:left="740"/>
      </w:pPr>
      <w:r>
        <w:t>三级应急指挥由相应部门的负责人组织指挥应急处理。</w:t>
      </w:r>
    </w:p>
    <w:p>
      <w:pPr>
        <w:pStyle w:val="9"/>
        <w:numPr>
          <w:ilvl w:val="2"/>
          <w:numId w:val="22"/>
        </w:numPr>
        <w:tabs>
          <w:tab w:val="left" w:pos="800"/>
        </w:tabs>
        <w:spacing w:before="160" w:after="0" w:line="240" w:lineRule="auto"/>
        <w:ind w:left="800" w:right="0" w:hanging="540"/>
        <w:jc w:val="left"/>
      </w:pPr>
      <w:bookmarkStart w:id="306" w:name="_bookmark74"/>
      <w:bookmarkEnd w:id="306"/>
      <w:bookmarkStart w:id="307" w:name="_bookmark74"/>
      <w:bookmarkEnd w:id="307"/>
      <w:bookmarkStart w:id="308" w:name="6.1.2二级响应"/>
      <w:bookmarkEnd w:id="308"/>
      <w:r>
        <w:t>二级响应</w:t>
      </w:r>
    </w:p>
    <w:p>
      <w:pPr>
        <w:pStyle w:val="5"/>
        <w:spacing w:before="206" w:line="364" w:lineRule="auto"/>
        <w:ind w:left="260" w:right="229" w:firstLine="480"/>
        <w:jc w:val="both"/>
      </w:pPr>
      <w:r>
        <w:t>氢氧化钠少量泄漏；废水处理设施故障，造成未处理的生产废水排至市政污水管网；因为内因或者外因引发局部火灾，由此产生的消防水外排。发布二级预警信号，启动二级响应。</w:t>
      </w:r>
    </w:p>
    <w:p>
      <w:pPr>
        <w:pStyle w:val="5"/>
        <w:spacing w:line="307" w:lineRule="exact"/>
        <w:ind w:left="740"/>
      </w:pPr>
      <w:r>
        <w:t>二级应急指挥由应急指挥部组织指挥应急处理。</w:t>
      </w:r>
    </w:p>
    <w:p>
      <w:pPr>
        <w:pStyle w:val="9"/>
        <w:numPr>
          <w:ilvl w:val="2"/>
          <w:numId w:val="22"/>
        </w:numPr>
        <w:tabs>
          <w:tab w:val="left" w:pos="800"/>
        </w:tabs>
        <w:spacing w:before="161" w:after="0" w:line="240" w:lineRule="auto"/>
        <w:ind w:left="800" w:right="0" w:hanging="540"/>
        <w:jc w:val="left"/>
      </w:pPr>
      <w:bookmarkStart w:id="309" w:name="_bookmark75"/>
      <w:bookmarkEnd w:id="309"/>
      <w:bookmarkStart w:id="310" w:name="_bookmark75"/>
      <w:bookmarkEnd w:id="310"/>
      <w:bookmarkStart w:id="311" w:name="6.1.3一级响应"/>
      <w:bookmarkEnd w:id="311"/>
      <w:r>
        <w:t>一级响应</w:t>
      </w:r>
    </w:p>
    <w:p>
      <w:pPr>
        <w:pStyle w:val="5"/>
        <w:spacing w:before="206" w:line="364" w:lineRule="auto"/>
        <w:ind w:left="260" w:right="229" w:firstLine="480"/>
      </w:pPr>
      <w:r>
        <w:t>发生爆炸；因为内因或者外因引发大面积火灾；氢氧化钠大量泄漏；其他事故影响及处理超出本公司可控制范围的事件。发布一级预警信号，启动一级响应。</w:t>
      </w:r>
    </w:p>
    <w:p>
      <w:pPr>
        <w:pStyle w:val="5"/>
        <w:spacing w:line="306" w:lineRule="exact"/>
        <w:ind w:left="740"/>
      </w:pPr>
      <w:r>
        <w:t>一级应急响应指挥由应急总指挥执行，总指挥不在时，依序由副总指挥执行；</w:t>
      </w:r>
    </w:p>
    <w:p>
      <w:pPr>
        <w:pStyle w:val="5"/>
        <w:spacing w:before="160" w:line="362" w:lineRule="auto"/>
        <w:ind w:left="260" w:right="229" w:firstLine="480"/>
      </w:pPr>
      <w:r>
        <w:t>当政府应急人员到达现场时，移交政府指挥部人员指挥，火灾时在消防部门到场后移交消防部门指挥，并介绍事故情况和已采取的应急措施，配合协助应急指挥与处置。</w:t>
      </w:r>
    </w:p>
    <w:p>
      <w:pPr>
        <w:pStyle w:val="8"/>
        <w:numPr>
          <w:ilvl w:val="1"/>
          <w:numId w:val="9"/>
        </w:numPr>
        <w:tabs>
          <w:tab w:val="left" w:pos="750"/>
        </w:tabs>
        <w:spacing w:before="6" w:after="0" w:line="240" w:lineRule="auto"/>
        <w:ind w:left="749" w:right="0" w:hanging="490"/>
        <w:jc w:val="left"/>
      </w:pPr>
      <w:bookmarkStart w:id="312" w:name="_bookmark76"/>
      <w:bookmarkEnd w:id="312"/>
      <w:bookmarkStart w:id="313" w:name="_bookmark76"/>
      <w:bookmarkEnd w:id="313"/>
      <w:bookmarkStart w:id="314" w:name="6.2 应急响应的程序"/>
      <w:bookmarkEnd w:id="314"/>
      <w:bookmarkStart w:id="315" w:name="_Toc834"/>
      <w:bookmarkStart w:id="316" w:name="_Toc15607"/>
      <w:r>
        <w:t>应急响应的程序</w:t>
      </w:r>
      <w:bookmarkEnd w:id="315"/>
      <w:bookmarkEnd w:id="316"/>
    </w:p>
    <w:p>
      <w:pPr>
        <w:pStyle w:val="5"/>
        <w:spacing w:before="233"/>
        <w:ind w:left="740"/>
      </w:pPr>
      <w:r>
        <w:t>应急响应的流程见下图 6-1。</w:t>
      </w:r>
    </w:p>
    <w:p>
      <w:pPr>
        <w:pStyle w:val="9"/>
        <w:numPr>
          <w:ilvl w:val="2"/>
          <w:numId w:val="23"/>
        </w:numPr>
        <w:tabs>
          <w:tab w:val="left" w:pos="800"/>
        </w:tabs>
        <w:spacing w:before="161" w:after="0" w:line="240" w:lineRule="auto"/>
        <w:ind w:left="800" w:right="0" w:hanging="540"/>
        <w:jc w:val="left"/>
      </w:pPr>
      <w:bookmarkStart w:id="317" w:name="_bookmark77"/>
      <w:bookmarkEnd w:id="317"/>
      <w:bookmarkStart w:id="318" w:name="_bookmark77"/>
      <w:bookmarkEnd w:id="318"/>
      <w:bookmarkStart w:id="319" w:name="6.2.1接警"/>
      <w:bookmarkEnd w:id="319"/>
      <w:r>
        <w:t>接警</w:t>
      </w:r>
    </w:p>
    <w:p>
      <w:pPr>
        <w:pStyle w:val="5"/>
        <w:spacing w:before="206" w:line="362" w:lineRule="auto"/>
        <w:ind w:left="260" w:right="109" w:firstLine="480"/>
      </w:pPr>
      <w:r>
        <w:rPr>
          <w:spacing w:val="-6"/>
        </w:rPr>
        <w:t>办公室值班人员在接到事故部门的报警电话时，要详细了解事故发生的时间、地点、</w:t>
      </w:r>
      <w:r>
        <w:t>事故状况等情况，并做好记录；接到电话后要立即向办公室主任和总指挥进行汇报。</w:t>
      </w:r>
    </w:p>
    <w:p>
      <w:pPr>
        <w:spacing w:after="0" w:line="362" w:lineRule="auto"/>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9"/>
        <w:numPr>
          <w:ilvl w:val="2"/>
          <w:numId w:val="23"/>
        </w:numPr>
        <w:tabs>
          <w:tab w:val="left" w:pos="800"/>
        </w:tabs>
        <w:spacing w:before="64" w:after="0" w:line="240" w:lineRule="auto"/>
        <w:ind w:left="800" w:right="0" w:hanging="540"/>
        <w:jc w:val="left"/>
      </w:pPr>
      <w:bookmarkStart w:id="320" w:name="6.2.2响应级别确定"/>
      <w:bookmarkEnd w:id="320"/>
      <w:bookmarkStart w:id="321" w:name="_bookmark78"/>
      <w:bookmarkEnd w:id="321"/>
      <w:bookmarkStart w:id="322" w:name="_bookmark78"/>
      <w:bookmarkEnd w:id="322"/>
      <w:r>
        <w:t>响应级别确定</w:t>
      </w:r>
    </w:p>
    <w:p>
      <w:pPr>
        <w:pStyle w:val="5"/>
        <w:spacing w:before="206" w:line="364" w:lineRule="auto"/>
        <w:ind w:left="260" w:right="229" w:firstLine="480"/>
      </w:pPr>
      <w:r>
        <w:t>总指挥接到汇报后，根据事件区域大小，损失严重程度，决定是否启动我单位事故应急救援预案以及级别的确定。</w:t>
      </w:r>
    </w:p>
    <w:p>
      <w:pPr>
        <w:pStyle w:val="5"/>
        <w:spacing w:before="10"/>
        <w:rPr>
          <w:sz w:val="10"/>
        </w:rPr>
      </w:pPr>
      <w:r>
        <w:drawing>
          <wp:anchor distT="0" distB="0" distL="0" distR="0" simplePos="0" relativeHeight="251659264" behindDoc="0" locked="0" layoutInCell="1" allowOverlap="1">
            <wp:simplePos x="0" y="0"/>
            <wp:positionH relativeFrom="page">
              <wp:posOffset>1661795</wp:posOffset>
            </wp:positionH>
            <wp:positionV relativeFrom="paragraph">
              <wp:posOffset>112395</wp:posOffset>
            </wp:positionV>
            <wp:extent cx="4046855" cy="6515100"/>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25" cstate="print"/>
                    <a:stretch>
                      <a:fillRect/>
                    </a:stretch>
                  </pic:blipFill>
                  <pic:spPr>
                    <a:xfrm>
                      <a:off x="0" y="0"/>
                      <a:ext cx="4046689" cy="6515100"/>
                    </a:xfrm>
                    <a:prstGeom prst="rect">
                      <a:avLst/>
                    </a:prstGeom>
                  </pic:spPr>
                </pic:pic>
              </a:graphicData>
            </a:graphic>
          </wp:anchor>
        </w:drawing>
      </w:r>
    </w:p>
    <w:p>
      <w:pPr>
        <w:pStyle w:val="5"/>
        <w:spacing w:before="10"/>
        <w:rPr>
          <w:sz w:val="10"/>
        </w:rPr>
      </w:pPr>
    </w:p>
    <w:p>
      <w:pPr>
        <w:spacing w:after="0"/>
        <w:rPr>
          <w:sz w:val="10"/>
        </w:rPr>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5"/>
        <w:spacing w:before="11"/>
        <w:rPr>
          <w:sz w:val="30"/>
        </w:rPr>
      </w:pPr>
    </w:p>
    <w:p>
      <w:pPr>
        <w:pStyle w:val="9"/>
        <w:numPr>
          <w:ilvl w:val="2"/>
          <w:numId w:val="23"/>
        </w:numPr>
        <w:tabs>
          <w:tab w:val="left" w:pos="800"/>
        </w:tabs>
        <w:spacing w:before="0" w:after="0" w:line="240" w:lineRule="auto"/>
        <w:ind w:left="800" w:right="0" w:hanging="540"/>
        <w:jc w:val="left"/>
      </w:pPr>
      <w:bookmarkStart w:id="323" w:name="6.2.3应急启动"/>
      <w:bookmarkEnd w:id="323"/>
      <w:bookmarkStart w:id="324" w:name="_bookmark79"/>
      <w:bookmarkEnd w:id="324"/>
      <w:bookmarkStart w:id="325" w:name="_bookmark79"/>
      <w:bookmarkEnd w:id="325"/>
      <w:r>
        <w:t>应急启动</w:t>
      </w:r>
    </w:p>
    <w:p>
      <w:pPr>
        <w:tabs>
          <w:tab w:val="left" w:pos="1164"/>
        </w:tabs>
        <w:spacing w:before="66"/>
        <w:ind w:left="260" w:right="0" w:firstLine="0"/>
        <w:jc w:val="left"/>
        <w:rPr>
          <w:b/>
          <w:sz w:val="24"/>
        </w:rPr>
      </w:pPr>
      <w:r>
        <w:br w:type="column"/>
      </w:r>
      <w:r>
        <w:rPr>
          <w:b/>
          <w:sz w:val="24"/>
        </w:rPr>
        <w:t>图</w:t>
      </w:r>
      <w:r>
        <w:rPr>
          <w:b/>
          <w:spacing w:val="-62"/>
          <w:sz w:val="24"/>
        </w:rPr>
        <w:t xml:space="preserve"> </w:t>
      </w:r>
      <w:r>
        <w:rPr>
          <w:b/>
          <w:sz w:val="24"/>
        </w:rPr>
        <w:t>6-1</w:t>
      </w:r>
      <w:r>
        <w:rPr>
          <w:b/>
          <w:sz w:val="24"/>
        </w:rPr>
        <w:tab/>
      </w:r>
      <w:r>
        <w:rPr>
          <w:b/>
          <w:sz w:val="24"/>
        </w:rPr>
        <w:t>应急响应流程图</w:t>
      </w:r>
    </w:p>
    <w:p>
      <w:pPr>
        <w:spacing w:after="0"/>
        <w:jc w:val="left"/>
        <w:rPr>
          <w:sz w:val="24"/>
        </w:rPr>
        <w:sectPr>
          <w:type w:val="continuous"/>
          <w:pgSz w:w="11920" w:h="16840"/>
          <w:pgMar w:top="1480" w:right="1100" w:bottom="280" w:left="1180" w:header="720" w:footer="720" w:gutter="0"/>
          <w:pgBorders>
            <w:top w:val="none" w:sz="0" w:space="0"/>
            <w:left w:val="none" w:sz="0" w:space="0"/>
            <w:bottom w:val="none" w:sz="0" w:space="0"/>
            <w:right w:val="none" w:sz="0" w:space="0"/>
          </w:pgBorders>
          <w:cols w:equalWidth="0" w:num="2">
            <w:col w:w="1803" w:space="1716"/>
            <w:col w:w="6121"/>
          </w:cols>
        </w:sectPr>
      </w:pPr>
    </w:p>
    <w:p>
      <w:pPr>
        <w:pStyle w:val="5"/>
        <w:spacing w:before="11"/>
        <w:rPr>
          <w:b/>
          <w:sz w:val="10"/>
        </w:rPr>
      </w:pPr>
    </w:p>
    <w:p>
      <w:pPr>
        <w:pStyle w:val="5"/>
        <w:spacing w:before="67" w:line="364" w:lineRule="auto"/>
        <w:ind w:left="260" w:right="229" w:firstLine="480"/>
      </w:pPr>
      <w:r>
        <w:t>应急救援指挥办公室接到总指挥命令后，应立即通知现场抢险组去事故现场，并通知其他小队集合，集合完毕后听总指挥命令，分头开始行动。</w:t>
      </w:r>
    </w:p>
    <w:p>
      <w:pPr>
        <w:spacing w:after="0" w:line="364" w:lineRule="auto"/>
        <w:sectPr>
          <w:type w:val="continuous"/>
          <w:pgSz w:w="11920" w:h="16840"/>
          <w:pgMar w:top="1480" w:right="1100" w:bottom="280" w:left="1180" w:header="720" w:footer="720" w:gutter="0"/>
          <w:pgBorders>
            <w:top w:val="none" w:sz="0" w:space="0"/>
            <w:left w:val="none" w:sz="0" w:space="0"/>
            <w:bottom w:val="none" w:sz="0" w:space="0"/>
            <w:right w:val="none" w:sz="0" w:space="0"/>
          </w:pgBorders>
          <w:cols w:space="720" w:num="1"/>
        </w:sectPr>
      </w:pPr>
    </w:p>
    <w:p>
      <w:pPr>
        <w:pStyle w:val="9"/>
        <w:numPr>
          <w:ilvl w:val="2"/>
          <w:numId w:val="23"/>
        </w:numPr>
        <w:tabs>
          <w:tab w:val="left" w:pos="800"/>
        </w:tabs>
        <w:spacing w:before="64" w:after="0" w:line="240" w:lineRule="auto"/>
        <w:ind w:left="800" w:right="0" w:hanging="540"/>
        <w:jc w:val="left"/>
      </w:pPr>
      <w:bookmarkStart w:id="326" w:name="_bookmark80"/>
      <w:bookmarkEnd w:id="326"/>
      <w:bookmarkStart w:id="327" w:name="6.2.4应急救援"/>
      <w:bookmarkEnd w:id="327"/>
      <w:bookmarkStart w:id="328" w:name="_bookmark80"/>
      <w:bookmarkEnd w:id="328"/>
      <w:r>
        <w:t>应急救援</w:t>
      </w:r>
    </w:p>
    <w:p>
      <w:pPr>
        <w:pStyle w:val="5"/>
        <w:spacing w:before="206" w:line="364" w:lineRule="auto"/>
        <w:ind w:left="260" w:right="109" w:firstLine="480"/>
      </w:pPr>
      <w:r>
        <w:rPr>
          <w:spacing w:val="-5"/>
        </w:rPr>
        <w:t>总指挥通知现场抢险组根据现场情况进行事故初始评估，划分现场工作区</w:t>
      </w:r>
      <w:r>
        <w:t>（</w:t>
      </w:r>
      <w:r>
        <w:rPr>
          <w:spacing w:val="-4"/>
        </w:rPr>
        <w:t>风险区、</w:t>
      </w:r>
      <w:r>
        <w:t>缓冲区、安全区），研究制定抢救方案和安全措施。各专业组按照各自的职能和总指挥的命令及抢救方案进行现场抢救，在执行应急救援优先原则的前提下，积极开展人员救助、工程抢险、警戒与交通管制、医疗救护、人群疏散、环境保护、现场监测等工作。</w:t>
      </w:r>
    </w:p>
    <w:p>
      <w:pPr>
        <w:pStyle w:val="9"/>
        <w:numPr>
          <w:ilvl w:val="2"/>
          <w:numId w:val="23"/>
        </w:numPr>
        <w:tabs>
          <w:tab w:val="left" w:pos="800"/>
        </w:tabs>
        <w:spacing w:before="0" w:after="0" w:line="240" w:lineRule="auto"/>
        <w:ind w:left="800" w:right="0" w:hanging="540"/>
        <w:jc w:val="left"/>
      </w:pPr>
      <w:bookmarkStart w:id="329" w:name="_bookmark81"/>
      <w:bookmarkEnd w:id="329"/>
      <w:bookmarkStart w:id="330" w:name="6.2.5扩大应急"/>
      <w:bookmarkEnd w:id="330"/>
      <w:bookmarkStart w:id="331" w:name="_bookmark81"/>
      <w:bookmarkEnd w:id="331"/>
      <w:r>
        <w:t>扩大应急</w:t>
      </w:r>
    </w:p>
    <w:p>
      <w:pPr>
        <w:pStyle w:val="5"/>
        <w:spacing w:before="206" w:line="364" w:lineRule="auto"/>
        <w:ind w:left="260" w:right="106" w:firstLine="480"/>
      </w:pPr>
      <w:r>
        <w:rPr>
          <w:spacing w:val="-7"/>
        </w:rPr>
        <w:t>在事故抢险过程中，若事态扩大，抢救力量不足，事故</w:t>
      </w:r>
      <w:r>
        <w:t>（事件</w:t>
      </w:r>
      <w:r>
        <w:rPr>
          <w:spacing w:val="-20"/>
        </w:rPr>
        <w:t>）</w:t>
      </w:r>
      <w:r>
        <w:rPr>
          <w:spacing w:val="-2"/>
        </w:rPr>
        <w:t xml:space="preserve">无法得到有效控制， </w:t>
      </w:r>
      <w:r>
        <w:t>现场抢救指挥部要向上级机关求救，请求兄弟单位或政府部门进行增援，实施扩大的应急响应。</w:t>
      </w:r>
    </w:p>
    <w:p>
      <w:pPr>
        <w:pStyle w:val="9"/>
        <w:numPr>
          <w:ilvl w:val="2"/>
          <w:numId w:val="23"/>
        </w:numPr>
        <w:tabs>
          <w:tab w:val="left" w:pos="800"/>
        </w:tabs>
        <w:spacing w:before="0" w:after="0" w:line="305" w:lineRule="exact"/>
        <w:ind w:left="800" w:right="0" w:hanging="540"/>
        <w:jc w:val="left"/>
      </w:pPr>
      <w:bookmarkStart w:id="332" w:name="_bookmark82"/>
      <w:bookmarkEnd w:id="332"/>
      <w:bookmarkStart w:id="333" w:name="_bookmark82"/>
      <w:bookmarkEnd w:id="333"/>
      <w:bookmarkStart w:id="334" w:name="6.2.6应急恢复"/>
      <w:bookmarkEnd w:id="334"/>
      <w:r>
        <w:t>应急恢复</w:t>
      </w:r>
    </w:p>
    <w:p>
      <w:pPr>
        <w:pStyle w:val="5"/>
        <w:spacing w:before="208" w:line="364" w:lineRule="auto"/>
        <w:ind w:left="260" w:right="109" w:firstLine="480"/>
      </w:pPr>
      <w:r>
        <w:t>抢险救援行动完成后，进入临时应急恢复阶段，现场指挥部要组织现场清理、人员</w:t>
      </w:r>
      <w:r>
        <w:rPr>
          <w:spacing w:val="-10"/>
        </w:rPr>
        <w:t>清点和撤离。生产技术部要协助现场指挥部制定恢复生产计划，由现场指挥部组织实施。</w:t>
      </w:r>
    </w:p>
    <w:p>
      <w:pPr>
        <w:pStyle w:val="9"/>
        <w:numPr>
          <w:ilvl w:val="2"/>
          <w:numId w:val="23"/>
        </w:numPr>
        <w:tabs>
          <w:tab w:val="left" w:pos="800"/>
        </w:tabs>
        <w:spacing w:before="0" w:after="0" w:line="306" w:lineRule="exact"/>
        <w:ind w:left="800" w:right="0" w:hanging="540"/>
        <w:jc w:val="left"/>
      </w:pPr>
      <w:bookmarkStart w:id="335" w:name="6.2.7记录"/>
      <w:bookmarkEnd w:id="335"/>
      <w:bookmarkStart w:id="336" w:name="_bookmark83"/>
      <w:bookmarkEnd w:id="336"/>
      <w:bookmarkStart w:id="337" w:name="_bookmark83"/>
      <w:bookmarkEnd w:id="337"/>
      <w:r>
        <w:t>记录</w:t>
      </w:r>
    </w:p>
    <w:p>
      <w:pPr>
        <w:pStyle w:val="5"/>
        <w:spacing w:before="209"/>
        <w:ind w:left="740"/>
      </w:pPr>
      <w:r>
        <w:t>办公室及相关抢救单位要做好各单位的抢救记录或演习记录。</w:t>
      </w:r>
    </w:p>
    <w:p>
      <w:pPr>
        <w:pStyle w:val="9"/>
        <w:numPr>
          <w:ilvl w:val="2"/>
          <w:numId w:val="23"/>
        </w:numPr>
        <w:tabs>
          <w:tab w:val="left" w:pos="800"/>
        </w:tabs>
        <w:spacing w:before="158" w:after="0" w:line="240" w:lineRule="auto"/>
        <w:ind w:left="800" w:right="0" w:hanging="540"/>
        <w:jc w:val="left"/>
      </w:pPr>
      <w:bookmarkStart w:id="338" w:name="_bookmark84"/>
      <w:bookmarkEnd w:id="338"/>
      <w:bookmarkStart w:id="339" w:name="6.2.8应急结束"/>
      <w:bookmarkEnd w:id="339"/>
      <w:bookmarkStart w:id="340" w:name="_bookmark84"/>
      <w:bookmarkEnd w:id="340"/>
      <w:r>
        <w:t>应急结束</w:t>
      </w:r>
    </w:p>
    <w:p>
      <w:pPr>
        <w:pStyle w:val="5"/>
        <w:spacing w:before="208" w:line="364" w:lineRule="auto"/>
        <w:ind w:left="260" w:right="229" w:firstLine="480"/>
        <w:jc w:val="both"/>
      </w:pPr>
      <w:r>
        <w:rPr>
          <w:spacing w:val="-1"/>
        </w:rPr>
        <w:t>事故得到遏制或救援已经结束，上报政府部门，由政府指挥部确定应急工作结束。应急人员撤回原单位，现场进入恢复阶段，开始清理事故现场，准备生产恢复。并向相</w:t>
      </w:r>
      <w:r>
        <w:t>关部门汇报，事故危险已解除。</w:t>
      </w:r>
    </w:p>
    <w:p>
      <w:pPr>
        <w:pStyle w:val="8"/>
        <w:numPr>
          <w:ilvl w:val="1"/>
          <w:numId w:val="9"/>
        </w:numPr>
        <w:tabs>
          <w:tab w:val="left" w:pos="680"/>
        </w:tabs>
        <w:spacing w:before="0" w:after="0" w:line="357" w:lineRule="exact"/>
        <w:ind w:left="680" w:right="0" w:hanging="420"/>
        <w:jc w:val="left"/>
      </w:pPr>
      <w:bookmarkStart w:id="341" w:name="_bookmark85"/>
      <w:bookmarkEnd w:id="341"/>
      <w:bookmarkStart w:id="342" w:name="_bookmark85"/>
      <w:bookmarkEnd w:id="342"/>
      <w:bookmarkStart w:id="343" w:name="6.3现场应急措施"/>
      <w:bookmarkEnd w:id="343"/>
      <w:bookmarkStart w:id="344" w:name="_Toc6564"/>
      <w:bookmarkStart w:id="345" w:name="_Toc26795"/>
      <w:r>
        <w:rPr>
          <w:spacing w:val="-1"/>
          <w:w w:val="95"/>
        </w:rPr>
        <w:t>现场应急措施</w:t>
      </w:r>
      <w:bookmarkEnd w:id="344"/>
      <w:bookmarkEnd w:id="345"/>
    </w:p>
    <w:p>
      <w:pPr>
        <w:pStyle w:val="5"/>
        <w:spacing w:before="234" w:line="364" w:lineRule="auto"/>
        <w:ind w:left="260" w:right="229" w:firstLine="480"/>
      </w:pPr>
      <w:r>
        <w:t>在事故应急过程中，应急指挥部应根据事故发生的程度、部位对生产工艺过程采取有效措施，如紧急停车、局部停车、减负荷等。由现场总指挥指令各部门负责人执行。</w:t>
      </w:r>
    </w:p>
    <w:p>
      <w:pPr>
        <w:pStyle w:val="9"/>
        <w:numPr>
          <w:ilvl w:val="2"/>
          <w:numId w:val="24"/>
        </w:numPr>
        <w:tabs>
          <w:tab w:val="left" w:pos="860"/>
        </w:tabs>
        <w:spacing w:before="1" w:after="0" w:line="240" w:lineRule="auto"/>
        <w:ind w:left="860" w:right="0" w:hanging="600"/>
        <w:jc w:val="left"/>
      </w:pPr>
      <w:bookmarkStart w:id="346" w:name="6.3.1 二氧化氯、氢氧化钠等化学品泄漏应急处置措施"/>
      <w:bookmarkEnd w:id="346"/>
      <w:bookmarkStart w:id="347" w:name="_bookmark86"/>
      <w:bookmarkEnd w:id="347"/>
      <w:bookmarkStart w:id="348" w:name="_bookmark86"/>
      <w:bookmarkEnd w:id="348"/>
      <w:r>
        <w:t>氢氧化钠等化学品泄漏应急处置措施</w:t>
      </w:r>
    </w:p>
    <w:p>
      <w:pPr>
        <w:pStyle w:val="30"/>
        <w:numPr>
          <w:ilvl w:val="3"/>
          <w:numId w:val="24"/>
        </w:numPr>
        <w:tabs>
          <w:tab w:val="left" w:pos="1341"/>
        </w:tabs>
        <w:spacing w:before="206" w:after="0" w:line="362" w:lineRule="auto"/>
        <w:ind w:left="260" w:right="227" w:firstLine="480"/>
        <w:jc w:val="left"/>
        <w:rPr>
          <w:sz w:val="24"/>
        </w:rPr>
      </w:pPr>
      <w:r>
        <w:rPr>
          <w:spacing w:val="-6"/>
          <w:sz w:val="24"/>
        </w:rPr>
        <w:t>现场抢险人员进入事故现场内负责疏散、警戒、现场保护。将泄漏区域设定为</w:t>
      </w:r>
      <w:r>
        <w:rPr>
          <w:sz w:val="24"/>
        </w:rPr>
        <w:t>危险区，在此范围内，对通往该区域的通道设立安全警戒区，禁止非救援人员来往；</w:t>
      </w:r>
    </w:p>
    <w:p>
      <w:pPr>
        <w:pStyle w:val="30"/>
        <w:numPr>
          <w:ilvl w:val="3"/>
          <w:numId w:val="24"/>
        </w:numPr>
        <w:tabs>
          <w:tab w:val="left" w:pos="1341"/>
        </w:tabs>
        <w:spacing w:before="5" w:after="0" w:line="362" w:lineRule="auto"/>
        <w:ind w:left="260" w:right="109" w:firstLine="480"/>
        <w:jc w:val="left"/>
        <w:rPr>
          <w:sz w:val="24"/>
        </w:rPr>
      </w:pPr>
      <w:r>
        <w:rPr>
          <w:spacing w:val="-6"/>
          <w:sz w:val="24"/>
        </w:rPr>
        <w:t>抢险组根据实际情况，穿必要的防护服从上风向进入事故现场，不要直接接触</w:t>
      </w:r>
      <w:r>
        <w:rPr>
          <w:spacing w:val="-7"/>
          <w:sz w:val="24"/>
        </w:rPr>
        <w:t>泄漏物，勿使泄漏物与可燃物质</w:t>
      </w:r>
      <w:r>
        <w:rPr>
          <w:sz w:val="24"/>
        </w:rPr>
        <w:t>（</w:t>
      </w:r>
      <w:r>
        <w:rPr>
          <w:spacing w:val="-6"/>
          <w:sz w:val="24"/>
        </w:rPr>
        <w:t>木材、纸、油等</w:t>
      </w:r>
      <w:r>
        <w:rPr>
          <w:spacing w:val="-17"/>
          <w:sz w:val="24"/>
        </w:rPr>
        <w:t>）</w:t>
      </w:r>
      <w:r>
        <w:rPr>
          <w:spacing w:val="-6"/>
          <w:sz w:val="24"/>
        </w:rPr>
        <w:t>接触。具体可分一下几个步骤进行：</w:t>
      </w:r>
    </w:p>
    <w:p>
      <w:pPr>
        <w:pStyle w:val="5"/>
        <w:spacing w:before="5"/>
        <w:ind w:left="740"/>
      </w:pPr>
      <w:r>
        <w:t>①由生产部主管负责通知停止生产，防止泄漏事故引发火灾。</w:t>
      </w:r>
    </w:p>
    <w:p>
      <w:pPr>
        <w:pStyle w:val="5"/>
        <w:spacing w:before="160" w:line="362" w:lineRule="auto"/>
        <w:ind w:left="260" w:right="229" w:firstLine="480"/>
      </w:pPr>
      <w:r>
        <w:t>②抢险组进入现场确认，检修部门成员对泄漏区域进行排查，查明泄漏原因，并抢修泄漏单元，阻止继续泄漏。</w:t>
      </w:r>
    </w:p>
    <w:p>
      <w:pPr>
        <w:spacing w:after="0" w:line="362" w:lineRule="auto"/>
        <w:sectPr>
          <w:footerReference r:id="rId14" w:type="default"/>
          <w:pgSz w:w="11920" w:h="16840"/>
          <w:pgMar w:top="1300" w:right="1100" w:bottom="1020" w:left="1180" w:header="905" w:footer="834" w:gutter="0"/>
          <w:pgBorders>
            <w:top w:val="none" w:sz="0" w:space="0"/>
            <w:left w:val="none" w:sz="0" w:space="0"/>
            <w:bottom w:val="none" w:sz="0" w:space="0"/>
            <w:right w:val="none" w:sz="0" w:space="0"/>
          </w:pgBorders>
          <w:pgNumType w:start="50"/>
          <w:cols w:space="720" w:num="1"/>
        </w:sectPr>
      </w:pPr>
    </w:p>
    <w:p>
      <w:pPr>
        <w:pStyle w:val="5"/>
        <w:spacing w:before="64"/>
        <w:ind w:left="740"/>
      </w:pPr>
      <w:r>
        <w:t>③采用沙袋将泄漏区域围堵，用砂石铺盖泄漏物料。</w:t>
      </w:r>
    </w:p>
    <w:p>
      <w:pPr>
        <w:pStyle w:val="5"/>
        <w:spacing w:before="158"/>
        <w:ind w:left="740"/>
      </w:pPr>
      <w:r>
        <w:t>④关闭污水和雨水外通阀门，避免泄露液体流入雨、污水管网后流入厂外；</w:t>
      </w:r>
    </w:p>
    <w:p>
      <w:pPr>
        <w:pStyle w:val="5"/>
        <w:spacing w:before="160" w:line="362" w:lineRule="auto"/>
        <w:ind w:left="260" w:right="229" w:firstLine="480"/>
      </w:pPr>
      <w:r>
        <w:t>⑤在确保安全的情况下由当班维修部人员及现场生产人员负责堵漏；泄漏的通过贮存区内部下水管网排入应急事故池，事故过后抽入罐车送有资质的单位处理；</w:t>
      </w:r>
    </w:p>
    <w:p>
      <w:pPr>
        <w:pStyle w:val="30"/>
        <w:numPr>
          <w:ilvl w:val="3"/>
          <w:numId w:val="24"/>
        </w:numPr>
        <w:tabs>
          <w:tab w:val="left" w:pos="1341"/>
        </w:tabs>
        <w:spacing w:before="5" w:after="0" w:line="240" w:lineRule="auto"/>
        <w:ind w:left="1341" w:right="0" w:hanging="601"/>
        <w:jc w:val="left"/>
        <w:rPr>
          <w:sz w:val="24"/>
        </w:rPr>
      </w:pPr>
      <w:r>
        <w:rPr>
          <w:sz w:val="24"/>
        </w:rPr>
        <w:t>环境监测组接到通知后立即携带相应监测工具，前往现场进行应急监测</w:t>
      </w:r>
    </w:p>
    <w:p>
      <w:pPr>
        <w:pStyle w:val="30"/>
        <w:numPr>
          <w:ilvl w:val="3"/>
          <w:numId w:val="24"/>
        </w:numPr>
        <w:tabs>
          <w:tab w:val="left" w:pos="1341"/>
        </w:tabs>
        <w:spacing w:before="161" w:after="0" w:line="240" w:lineRule="auto"/>
        <w:ind w:left="1341" w:right="0" w:hanging="601"/>
        <w:jc w:val="left"/>
        <w:rPr>
          <w:sz w:val="24"/>
        </w:rPr>
      </w:pPr>
      <w:r>
        <w:rPr>
          <w:sz w:val="24"/>
        </w:rPr>
        <w:t>通讯联络组将现场势态汇报至指挥部，并及时通知非营救人员撤离等信息。</w:t>
      </w:r>
    </w:p>
    <w:p>
      <w:pPr>
        <w:pStyle w:val="30"/>
        <w:numPr>
          <w:ilvl w:val="3"/>
          <w:numId w:val="24"/>
        </w:numPr>
        <w:tabs>
          <w:tab w:val="left" w:pos="1341"/>
        </w:tabs>
        <w:spacing w:before="158" w:after="0" w:line="364" w:lineRule="auto"/>
        <w:ind w:left="260" w:right="227" w:firstLine="480"/>
        <w:jc w:val="left"/>
        <w:rPr>
          <w:sz w:val="24"/>
        </w:rPr>
      </w:pPr>
      <w:r>
        <w:rPr>
          <w:spacing w:val="-10"/>
          <w:sz w:val="24"/>
        </w:rPr>
        <w:t>紧急撤离：当采取以上措施，仍无法控制事态，并危及人身安全，由现场总指</w:t>
      </w:r>
      <w:r>
        <w:rPr>
          <w:sz w:val="24"/>
        </w:rPr>
        <w:t>挥下达救援人员紧急撤离命令。</w:t>
      </w:r>
    </w:p>
    <w:p>
      <w:pPr>
        <w:pStyle w:val="5"/>
        <w:spacing w:line="362" w:lineRule="auto"/>
        <w:ind w:left="260" w:right="229" w:firstLine="480"/>
      </w:pPr>
      <w:r>
        <w:t>化学品泄漏量较小时，在事故部位或建筑物周边较小范围，执行三级响应，由检修部门组织应急，主要采用砂土等对泄漏物进行吸附，不会对场区环境产生影响。</w:t>
      </w:r>
    </w:p>
    <w:p>
      <w:pPr>
        <w:pStyle w:val="5"/>
        <w:spacing w:before="3" w:line="364" w:lineRule="auto"/>
        <w:ind w:left="260" w:right="229" w:firstLine="480"/>
        <w:jc w:val="both"/>
      </w:pPr>
      <w:r>
        <w:t>若化学品泄漏量较大，从产生区域流至场内，执行二级响应，由指挥部总指挥组织抢险人员进行应急，用沙袋等或构筑围堰对外泄化学品进行拦截，并尽可能将其引入应急事故池，同时关闭总排口。</w:t>
      </w:r>
    </w:p>
    <w:p>
      <w:pPr>
        <w:pStyle w:val="5"/>
        <w:spacing w:line="364" w:lineRule="auto"/>
        <w:ind w:left="260" w:right="229" w:firstLine="480"/>
        <w:jc w:val="both"/>
      </w:pPr>
      <w:r>
        <w:t>化学品泄漏量很大，流出场区，超出企业可控制范围时，执行一级响应。总指挥接到报告后组织抢险人员在化学品外泄方向的前方易于围堵的地方进行围堵，并针对化学品种类情况投加石灰或者酸剂中和处理后，对围堵的废水用污水车进行收集并转移至应急事故池。同时应上报宜春市人民政府、</w:t>
      </w:r>
      <w:r>
        <w:rPr>
          <w:rFonts w:hint="eastAsia"/>
          <w:lang w:eastAsia="zh-CN"/>
        </w:rPr>
        <w:t>宜春市生态环境局</w:t>
      </w:r>
      <w:r>
        <w:t>，向相关部门及兄弟单位求助， 同时确定是否启用上一级应急预案。</w:t>
      </w:r>
    </w:p>
    <w:p>
      <w:pPr>
        <w:pStyle w:val="9"/>
        <w:numPr>
          <w:ilvl w:val="2"/>
          <w:numId w:val="24"/>
        </w:numPr>
        <w:tabs>
          <w:tab w:val="left" w:pos="800"/>
        </w:tabs>
        <w:spacing w:before="0" w:after="0" w:line="303" w:lineRule="exact"/>
        <w:ind w:left="800" w:right="0" w:hanging="540"/>
        <w:jc w:val="both"/>
      </w:pPr>
      <w:bookmarkStart w:id="349" w:name="6.3.2生产废水管线泄漏和生产废水未经处理外排应急措施"/>
      <w:bookmarkEnd w:id="349"/>
      <w:bookmarkStart w:id="350" w:name="_bookmark87"/>
      <w:bookmarkEnd w:id="350"/>
      <w:bookmarkStart w:id="351" w:name="_bookmark87"/>
      <w:bookmarkEnd w:id="351"/>
      <w:r>
        <w:t>生产废水管线泄漏和生产废水未经处理外排应急措施</w:t>
      </w:r>
    </w:p>
    <w:p>
      <w:pPr>
        <w:pStyle w:val="5"/>
        <w:spacing w:before="208" w:line="364" w:lineRule="auto"/>
        <w:ind w:left="260" w:right="109" w:firstLine="480"/>
        <w:jc w:val="both"/>
      </w:pPr>
      <w:r>
        <w:t>生产废水管线出现泄漏：发现者应立即通知当班维修人员及生产车间人员关闭管线输送泵及阀门，马上进行排查，发现泄漏点立即进行堵漏作业，少量泄露则先用沙石覆</w:t>
      </w:r>
      <w:r>
        <w:rPr>
          <w:spacing w:val="-11"/>
        </w:rPr>
        <w:t>盖，事后收集送外处理。大量泄漏则引入厂区应急事故池，并关闭厂区污水总排水阀门。</w:t>
      </w:r>
    </w:p>
    <w:p>
      <w:pPr>
        <w:pStyle w:val="5"/>
        <w:spacing w:line="307" w:lineRule="exact"/>
        <w:ind w:left="740"/>
      </w:pPr>
      <w:r>
        <w:t>废水处理设施发生故障，导致生产废水未经处理直接外排：</w:t>
      </w:r>
    </w:p>
    <w:p>
      <w:pPr>
        <w:pStyle w:val="30"/>
        <w:numPr>
          <w:ilvl w:val="0"/>
          <w:numId w:val="25"/>
        </w:numPr>
        <w:tabs>
          <w:tab w:val="left" w:pos="1341"/>
        </w:tabs>
        <w:spacing w:before="158" w:after="0" w:line="364" w:lineRule="auto"/>
        <w:ind w:left="260" w:right="229" w:firstLine="480"/>
        <w:jc w:val="left"/>
        <w:rPr>
          <w:sz w:val="24"/>
        </w:rPr>
      </w:pPr>
      <w:r>
        <w:rPr>
          <w:spacing w:val="-3"/>
          <w:sz w:val="24"/>
        </w:rPr>
        <w:t>发现者应立即通知当班维修人员立即进行抢修作业，同时生产车间人员关闭</w:t>
      </w:r>
      <w:r>
        <w:rPr>
          <w:spacing w:val="-4"/>
          <w:sz w:val="24"/>
        </w:rPr>
        <w:t>管线输送泵及阀门；对废水处理设施设置围堰，流出的废水用泵车抽送至事故池；</w:t>
      </w:r>
    </w:p>
    <w:p>
      <w:pPr>
        <w:pStyle w:val="30"/>
        <w:numPr>
          <w:ilvl w:val="0"/>
          <w:numId w:val="25"/>
        </w:numPr>
        <w:tabs>
          <w:tab w:val="left" w:pos="1341"/>
        </w:tabs>
        <w:spacing w:before="0" w:after="0" w:line="306" w:lineRule="exact"/>
        <w:ind w:left="1341" w:right="0" w:hanging="601"/>
        <w:jc w:val="left"/>
        <w:rPr>
          <w:sz w:val="24"/>
        </w:rPr>
      </w:pPr>
      <w:r>
        <w:rPr>
          <w:sz w:val="24"/>
        </w:rPr>
        <w:t>通知污水处理厂，请求帮助；</w:t>
      </w:r>
    </w:p>
    <w:p>
      <w:pPr>
        <w:pStyle w:val="30"/>
        <w:numPr>
          <w:ilvl w:val="0"/>
          <w:numId w:val="25"/>
        </w:numPr>
        <w:tabs>
          <w:tab w:val="left" w:pos="1341"/>
        </w:tabs>
        <w:spacing w:before="161" w:after="0" w:line="240" w:lineRule="auto"/>
        <w:ind w:left="1341" w:right="0" w:hanging="601"/>
        <w:jc w:val="left"/>
        <w:rPr>
          <w:sz w:val="24"/>
        </w:rPr>
      </w:pPr>
      <w:r>
        <w:rPr>
          <w:sz w:val="24"/>
        </w:rPr>
        <w:t>如事态严重超出本厂控制范围，告知上级部门，视情况启动下一级预案。</w:t>
      </w:r>
    </w:p>
    <w:p>
      <w:pPr>
        <w:pStyle w:val="5"/>
        <w:spacing w:before="158" w:line="364" w:lineRule="auto"/>
        <w:ind w:left="260" w:right="229" w:firstLine="480"/>
      </w:pPr>
      <w:r>
        <w:t>废水产生量较小时，在事故车间或建筑物周边较小范围，执行三级响应，由检修部门组织应急，主要采用砂土等对废水进行吸附，不会对厂区环境产生影响。</w:t>
      </w:r>
    </w:p>
    <w:p>
      <w:pPr>
        <w:pStyle w:val="5"/>
        <w:spacing w:line="306" w:lineRule="exact"/>
        <w:ind w:left="740"/>
      </w:pPr>
      <w:r>
        <w:t>若废水产生量较大，流出场区，执行二级响应，由指挥部总指挥组织抢险人员进行</w:t>
      </w:r>
    </w:p>
    <w:p>
      <w:pPr>
        <w:spacing w:after="0" w:line="306" w:lineRule="exact"/>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5"/>
        <w:spacing w:before="64" w:line="362" w:lineRule="auto"/>
        <w:ind w:left="260" w:right="229"/>
      </w:pPr>
      <w:r>
        <w:t>应急，用沙袋等或构筑围堰对外排废水进行拦截，并尽可能将其引入应急事故池，同时关闭总排口。</w:t>
      </w:r>
    </w:p>
    <w:p>
      <w:pPr>
        <w:pStyle w:val="5"/>
        <w:spacing w:before="5" w:line="364" w:lineRule="auto"/>
        <w:ind w:left="260" w:right="109" w:firstLine="480"/>
      </w:pPr>
      <w:r>
        <w:t>废水产生量很大，流出场区，超出企业可控制范围时，执行一级响应。总指挥接到报告后组织抢险人员在废水外排方向的前方易于围堵的地方进行围堵，如果围堵的废水中含有酸碱类物质，应针对情况投加石灰或者碳酸氢钠先进行中和处理后，对围堵的废</w:t>
      </w:r>
      <w:r>
        <w:rPr>
          <w:spacing w:val="-6"/>
        </w:rPr>
        <w:t>水用污水车进行收集并转移至应急事故池。同时应上报宜春市人民政府、</w:t>
      </w:r>
      <w:r>
        <w:rPr>
          <w:rFonts w:hint="eastAsia"/>
          <w:spacing w:val="-6"/>
          <w:lang w:eastAsia="zh-CN"/>
        </w:rPr>
        <w:t>宜春市生态环境局</w:t>
      </w:r>
      <w:r>
        <w:rPr>
          <w:spacing w:val="-6"/>
        </w:rPr>
        <w:t xml:space="preserve">， </w:t>
      </w:r>
      <w:r>
        <w:t>向相关部门及兄弟单位求助，同时确定是否启用上一级应急预案。</w:t>
      </w:r>
    </w:p>
    <w:p>
      <w:pPr>
        <w:pStyle w:val="9"/>
        <w:numPr>
          <w:ilvl w:val="2"/>
          <w:numId w:val="24"/>
        </w:numPr>
        <w:tabs>
          <w:tab w:val="left" w:pos="800"/>
        </w:tabs>
        <w:spacing w:before="0" w:after="0" w:line="306" w:lineRule="exact"/>
        <w:ind w:left="800" w:right="0" w:hanging="540"/>
        <w:jc w:val="left"/>
      </w:pPr>
      <w:bookmarkStart w:id="352" w:name="_bookmark88"/>
      <w:bookmarkEnd w:id="352"/>
      <w:bookmarkStart w:id="353" w:name="6.3.3火灾、爆炸事故应急措施"/>
      <w:bookmarkEnd w:id="353"/>
      <w:bookmarkStart w:id="354" w:name="_bookmark88"/>
      <w:bookmarkEnd w:id="354"/>
      <w:r>
        <w:t>火灾、爆炸事故应急措施</w:t>
      </w:r>
    </w:p>
    <w:p>
      <w:pPr>
        <w:pStyle w:val="5"/>
        <w:spacing w:before="206" w:line="364" w:lineRule="auto"/>
        <w:ind w:left="260" w:right="229" w:firstLine="480"/>
        <w:jc w:val="both"/>
      </w:pPr>
      <w:r>
        <w:t>如泄漏的过程中伴随火灾，应根据紧急事件汇报链进行汇报。由总指挥、副指挥等应急救援人员汇合商量堵漏灭火方案以及根据火灾爆炸的程度决定是否通知外援和向上级报告。</w:t>
      </w:r>
    </w:p>
    <w:p>
      <w:pPr>
        <w:pStyle w:val="30"/>
        <w:numPr>
          <w:ilvl w:val="0"/>
          <w:numId w:val="26"/>
        </w:numPr>
        <w:tabs>
          <w:tab w:val="left" w:pos="1341"/>
        </w:tabs>
        <w:spacing w:before="0" w:after="0" w:line="362" w:lineRule="auto"/>
        <w:ind w:left="260" w:right="229" w:firstLine="480"/>
        <w:jc w:val="left"/>
        <w:rPr>
          <w:sz w:val="24"/>
        </w:rPr>
      </w:pPr>
      <w:r>
        <w:rPr>
          <w:spacing w:val="-3"/>
          <w:sz w:val="24"/>
        </w:rPr>
        <w:t>火灾现场人员首先应切断火势蔓延的途径，冷却和转移受火势威胁的密闭容</w:t>
      </w:r>
      <w:r>
        <w:rPr>
          <w:spacing w:val="-4"/>
          <w:sz w:val="24"/>
        </w:rPr>
        <w:t>器和可燃物，控制燃烧范围。</w:t>
      </w:r>
    </w:p>
    <w:p>
      <w:pPr>
        <w:pStyle w:val="30"/>
        <w:numPr>
          <w:ilvl w:val="0"/>
          <w:numId w:val="26"/>
        </w:numPr>
        <w:tabs>
          <w:tab w:val="left" w:pos="1341"/>
        </w:tabs>
        <w:spacing w:before="4" w:after="0" w:line="362" w:lineRule="auto"/>
        <w:ind w:left="260" w:right="229" w:firstLine="480"/>
        <w:jc w:val="left"/>
        <w:rPr>
          <w:sz w:val="24"/>
        </w:rPr>
      </w:pPr>
      <w:r>
        <w:rPr>
          <w:spacing w:val="-2"/>
          <w:sz w:val="24"/>
        </w:rPr>
        <w:t>应急小组其他部门在做好本部门职责并留有负责人的前提下，组织本部门其</w:t>
      </w:r>
      <w:r>
        <w:rPr>
          <w:spacing w:val="-4"/>
          <w:sz w:val="24"/>
        </w:rPr>
        <w:t>他人员参与积极抢救受伤和被困人员。</w:t>
      </w:r>
    </w:p>
    <w:p>
      <w:pPr>
        <w:pStyle w:val="30"/>
        <w:numPr>
          <w:ilvl w:val="0"/>
          <w:numId w:val="26"/>
        </w:numPr>
        <w:tabs>
          <w:tab w:val="left" w:pos="1341"/>
        </w:tabs>
        <w:spacing w:before="5" w:after="0" w:line="364" w:lineRule="auto"/>
        <w:ind w:left="260" w:right="229" w:firstLine="480"/>
        <w:jc w:val="both"/>
        <w:rPr>
          <w:sz w:val="24"/>
        </w:rPr>
      </w:pPr>
      <w:r>
        <w:rPr>
          <w:spacing w:val="-4"/>
          <w:sz w:val="24"/>
        </w:rPr>
        <w:t>如火灾与爆炸一起伴随而来，一般难以通过人员操作来控制或切断事故源。生产车间、库房等基建设施均采用钢筋混凝土、砖墙结构，可阻止火势的蔓延以及减缓爆炸冲击波的影响。一旦现场指挥发现危险火势更大或有爆炸征兆时应急指挥组应迅即作出准确判断，及时下达撤退命令，避免造成人员伤亡和装备损失。扑救人员看到或听到统一撤退信号后，应立即撤至安全地带。</w:t>
      </w:r>
    </w:p>
    <w:p>
      <w:pPr>
        <w:pStyle w:val="30"/>
        <w:numPr>
          <w:ilvl w:val="0"/>
          <w:numId w:val="26"/>
        </w:numPr>
        <w:tabs>
          <w:tab w:val="left" w:pos="1341"/>
        </w:tabs>
        <w:spacing w:before="0" w:after="0" w:line="364" w:lineRule="auto"/>
        <w:ind w:left="260" w:right="227" w:firstLine="480"/>
        <w:jc w:val="left"/>
        <w:rPr>
          <w:sz w:val="24"/>
        </w:rPr>
      </w:pPr>
      <w:r>
        <w:rPr>
          <w:spacing w:val="-8"/>
          <w:sz w:val="24"/>
        </w:rPr>
        <w:t>一旦发生火灾爆炸，不管大小厂区雨、污水管道外通阀门一定要关闭，杜绝消</w:t>
      </w:r>
      <w:r>
        <w:rPr>
          <w:sz w:val="24"/>
        </w:rPr>
        <w:t>防废水或泄露废液流入厂外管道。</w:t>
      </w:r>
    </w:p>
    <w:p>
      <w:pPr>
        <w:pStyle w:val="30"/>
        <w:numPr>
          <w:ilvl w:val="0"/>
          <w:numId w:val="26"/>
        </w:numPr>
        <w:tabs>
          <w:tab w:val="left" w:pos="1341"/>
        </w:tabs>
        <w:spacing w:before="0" w:after="0" w:line="240" w:lineRule="auto"/>
        <w:ind w:left="1341" w:right="0" w:hanging="601"/>
        <w:jc w:val="left"/>
        <w:rPr>
          <w:sz w:val="24"/>
        </w:rPr>
      </w:pPr>
      <w:r>
        <w:rPr>
          <w:sz w:val="24"/>
        </w:rPr>
        <w:t>消防废水通过车间、仓库等内设的下水管道排入应急事故池。</w:t>
      </w:r>
    </w:p>
    <w:p>
      <w:pPr>
        <w:pStyle w:val="5"/>
        <w:spacing w:before="155" w:line="364" w:lineRule="auto"/>
        <w:ind w:left="260" w:right="229" w:firstLine="480"/>
        <w:jc w:val="both"/>
      </w:pPr>
      <w:r>
        <w:rPr>
          <w:spacing w:val="-1"/>
        </w:rPr>
        <w:t>发生火灾事故后，值班人员应迅速上报应急指挥部，总指挥组织应急救援人员赶赴现场，到现场后应迅速查明燃烧范围、燃烧物品及其周围物品的品名和主要危险特性、火势蔓延的主要途径、燃烧产物是否有毒。正确选择最适合的灭火剂和灭火方法，火势较大时，应先堵截火势蔓延，控制燃烧范围，然后逐步扑灭火势。对有可能发生爆炸、爆裂、喷溅等特别危险需紧急撤退的情况，应按照统一的撤退信号和撤退方法，按规定</w:t>
      </w:r>
      <w:r>
        <w:t>路线通道及时撤退。撤退信号应格外醒目，能使现场所有人都能看到听到。</w:t>
      </w:r>
    </w:p>
    <w:p>
      <w:pPr>
        <w:pStyle w:val="5"/>
        <w:spacing w:line="304" w:lineRule="exact"/>
        <w:ind w:left="740"/>
      </w:pPr>
      <w:r>
        <w:t>发现火势中有压力容器或有受到火焰辐射威胁的压力容器时，在水枪的掩护下将能</w:t>
      </w:r>
    </w:p>
    <w:p>
      <w:pPr>
        <w:spacing w:after="0" w:line="304" w:lineRule="exact"/>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5"/>
        <w:spacing w:before="64" w:line="364" w:lineRule="auto"/>
        <w:ind w:left="260" w:right="229"/>
        <w:jc w:val="both"/>
      </w:pPr>
      <w:r>
        <w:t>移动的容器尽快疏散到安全地带，不能疏散的应部署足够的水枪进行冷却保护。为防止容器爆炸伤人，进行冷却时，现场救援人员应采用低姿射水或利用现场坚实的掩蔽体防护。</w:t>
      </w:r>
    </w:p>
    <w:p>
      <w:pPr>
        <w:pStyle w:val="5"/>
        <w:spacing w:line="364" w:lineRule="auto"/>
        <w:ind w:left="260" w:right="229" w:firstLine="480"/>
        <w:jc w:val="both"/>
      </w:pPr>
      <w:r>
        <w:t>火灾扑灭后，仍然要派人监护现场，消灭余火。起火单位应当保护现场，接受事故调查，核定火灾损失，查明火灾责任，未经公安监督部门和上级安全监督管理部门的同意，不得擅自清理火灾现场。</w:t>
      </w:r>
    </w:p>
    <w:p>
      <w:pPr>
        <w:pStyle w:val="5"/>
        <w:spacing w:line="364" w:lineRule="auto"/>
        <w:ind w:left="260" w:right="229" w:firstLine="480"/>
        <w:jc w:val="both"/>
      </w:pPr>
      <w:r>
        <w:t>另外，火灾事故造成消防水在厂区溢流，由于产生量不能确定，因此在发生火灾事故消防的同时应预先围堵可能外流的消防水，并用污水车转移至应急事故池中，防止消防水在厂区漫流对厂区地表环境造成影响。对不能收集的消防水采用砂土等中性材料吸附。</w:t>
      </w:r>
    </w:p>
    <w:p>
      <w:pPr>
        <w:pStyle w:val="9"/>
        <w:numPr>
          <w:ilvl w:val="2"/>
          <w:numId w:val="24"/>
        </w:numPr>
        <w:tabs>
          <w:tab w:val="left" w:pos="800"/>
        </w:tabs>
        <w:spacing w:before="0" w:after="0" w:line="305" w:lineRule="exact"/>
        <w:ind w:left="800" w:right="0" w:hanging="540"/>
        <w:jc w:val="both"/>
      </w:pPr>
      <w:bookmarkStart w:id="355" w:name="_bookmark89"/>
      <w:bookmarkEnd w:id="355"/>
      <w:bookmarkStart w:id="356" w:name="6.3.4应急时紧急停车停产的基本程序"/>
      <w:bookmarkEnd w:id="356"/>
      <w:bookmarkStart w:id="357" w:name="_bookmark89"/>
      <w:bookmarkEnd w:id="357"/>
      <w:r>
        <w:t>应急时紧急停车停产的基本程序</w:t>
      </w:r>
    </w:p>
    <w:p>
      <w:pPr>
        <w:pStyle w:val="5"/>
        <w:spacing w:before="204" w:line="364" w:lineRule="auto"/>
        <w:ind w:left="260" w:right="229" w:firstLine="480"/>
        <w:jc w:val="both"/>
      </w:pPr>
      <w:r>
        <w:t>如果企业发生突发环境事件影响面较大，不得不局部或全线停车时，总指挥或现场总指挥应立即通知办公室采取紧急停车措施，值班调度根据总指挥的指令，发出紧急停车信号，通知有关部门负责人紧急停车，各部门负责人接到调度的指令后，组织本部门职工按停车步骤停车。</w:t>
      </w:r>
    </w:p>
    <w:p>
      <w:pPr>
        <w:pStyle w:val="8"/>
        <w:numPr>
          <w:ilvl w:val="1"/>
          <w:numId w:val="9"/>
        </w:numPr>
        <w:tabs>
          <w:tab w:val="left" w:pos="680"/>
        </w:tabs>
        <w:spacing w:before="0" w:after="0" w:line="357" w:lineRule="exact"/>
        <w:ind w:left="680" w:right="0" w:hanging="420"/>
        <w:jc w:val="both"/>
      </w:pPr>
      <w:bookmarkStart w:id="358" w:name="_bookmark90"/>
      <w:bookmarkEnd w:id="358"/>
      <w:bookmarkStart w:id="359" w:name="6.4应急处置卡"/>
      <w:bookmarkEnd w:id="359"/>
      <w:bookmarkStart w:id="360" w:name="_bookmark90"/>
      <w:bookmarkEnd w:id="360"/>
      <w:bookmarkStart w:id="361" w:name="_Toc30729"/>
      <w:bookmarkStart w:id="362" w:name="_Toc13881"/>
      <w:r>
        <w:t>应急处置卡</w:t>
      </w:r>
      <w:bookmarkEnd w:id="361"/>
      <w:bookmarkEnd w:id="362"/>
    </w:p>
    <w:p>
      <w:pPr>
        <w:pStyle w:val="5"/>
        <w:spacing w:before="234" w:after="4" w:line="362" w:lineRule="auto"/>
        <w:ind w:left="4469" w:right="112" w:hanging="3730"/>
        <w:rPr>
          <w:b/>
          <w:bCs/>
        </w:rPr>
      </w:pPr>
      <w:r>
        <w:rPr>
          <w:spacing w:val="-8"/>
        </w:rPr>
        <w:t>为方便事故发生时，厂内人员进行操作，本厂设计应急处置卡如下，保证人手一张。</w:t>
      </w:r>
      <w:r>
        <w:rPr>
          <w:rFonts w:hint="eastAsia"/>
          <w:b/>
          <w:bCs/>
          <w:spacing w:val="-8"/>
          <w:lang w:eastAsia="zh-CN"/>
        </w:rPr>
        <w:t>表</w:t>
      </w:r>
      <w:r>
        <w:rPr>
          <w:rFonts w:hint="eastAsia"/>
          <w:b/>
          <w:bCs/>
          <w:spacing w:val="-8"/>
          <w:lang w:val="en-US" w:eastAsia="zh-CN"/>
        </w:rPr>
        <w:t xml:space="preserve">6-1 </w:t>
      </w:r>
      <w:r>
        <w:rPr>
          <w:b/>
          <w:bCs/>
        </w:rPr>
        <w:t>应急处置卡</w:t>
      </w:r>
    </w:p>
    <w:tbl>
      <w:tblPr>
        <w:tblStyle w:val="14"/>
        <w:tblW w:w="9355"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4"/>
        <w:gridCol w:w="62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3124" w:type="dxa"/>
          </w:tcPr>
          <w:p>
            <w:pPr>
              <w:pStyle w:val="31"/>
              <w:ind w:left="1330" w:right="1322"/>
              <w:rPr>
                <w:b/>
                <w:color w:val="auto"/>
                <w:sz w:val="21"/>
              </w:rPr>
            </w:pPr>
            <w:r>
              <w:rPr>
                <w:b/>
                <w:color w:val="auto"/>
                <w:sz w:val="21"/>
              </w:rPr>
              <w:t>名称</w:t>
            </w:r>
          </w:p>
        </w:tc>
        <w:tc>
          <w:tcPr>
            <w:tcW w:w="6231" w:type="dxa"/>
          </w:tcPr>
          <w:p>
            <w:pPr>
              <w:pStyle w:val="31"/>
              <w:ind w:left="2883" w:right="2875"/>
              <w:rPr>
                <w:b/>
                <w:color w:val="auto"/>
                <w:sz w:val="21"/>
              </w:rPr>
            </w:pPr>
            <w:r>
              <w:rPr>
                <w:b/>
                <w:color w:val="auto"/>
                <w:sz w:val="21"/>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9355" w:type="dxa"/>
            <w:gridSpan w:val="2"/>
          </w:tcPr>
          <w:p>
            <w:pPr>
              <w:pStyle w:val="31"/>
              <w:spacing w:before="2"/>
              <w:ind w:left="107"/>
              <w:jc w:val="left"/>
              <w:rPr>
                <w:rFonts w:hint="eastAsia" w:eastAsia="宋体"/>
                <w:b/>
                <w:color w:val="auto"/>
                <w:sz w:val="21"/>
                <w:lang w:eastAsia="zh-CN"/>
              </w:rPr>
            </w:pPr>
            <w:r>
              <w:rPr>
                <w:b/>
                <w:color w:val="auto"/>
                <w:sz w:val="21"/>
              </w:rPr>
              <w:t>一、化学品泄漏事故应急处置</w:t>
            </w:r>
            <w:r>
              <w:rPr>
                <w:rFonts w:hint="eastAsia"/>
                <w:b/>
                <w:color w:val="auto"/>
                <w:sz w:val="21"/>
                <w:lang w:eastAsia="zh-CN"/>
              </w:rPr>
              <w:t>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3124" w:type="dxa"/>
          </w:tcPr>
          <w:p>
            <w:pPr>
              <w:pStyle w:val="31"/>
              <w:ind w:left="107"/>
              <w:jc w:val="left"/>
              <w:rPr>
                <w:color w:val="auto"/>
                <w:sz w:val="21"/>
              </w:rPr>
            </w:pPr>
            <w:r>
              <w:rPr>
                <w:color w:val="auto"/>
                <w:sz w:val="21"/>
              </w:rPr>
              <w:t>可能发生的突发环境事件</w:t>
            </w:r>
          </w:p>
        </w:tc>
        <w:tc>
          <w:tcPr>
            <w:tcW w:w="6231" w:type="dxa"/>
          </w:tcPr>
          <w:p>
            <w:pPr>
              <w:pStyle w:val="31"/>
              <w:ind w:left="108"/>
              <w:jc w:val="left"/>
              <w:rPr>
                <w:color w:val="auto"/>
                <w:sz w:val="21"/>
              </w:rPr>
            </w:pPr>
            <w:r>
              <w:rPr>
                <w:color w:val="auto"/>
                <w:sz w:val="21"/>
              </w:rPr>
              <w:t>氢氧化钠</w:t>
            </w:r>
            <w:r>
              <w:rPr>
                <w:rFonts w:hint="eastAsia"/>
                <w:color w:val="auto"/>
                <w:sz w:val="21"/>
                <w:lang w:eastAsia="zh-CN"/>
              </w:rPr>
              <w:t>、氟利昂等</w:t>
            </w:r>
            <w:r>
              <w:rPr>
                <w:color w:val="auto"/>
                <w:sz w:val="21"/>
              </w:rPr>
              <w:t>少量或大量泄漏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3124" w:type="dxa"/>
          </w:tcPr>
          <w:p>
            <w:pPr>
              <w:pStyle w:val="31"/>
              <w:ind w:left="107"/>
              <w:jc w:val="left"/>
              <w:rPr>
                <w:color w:val="auto"/>
                <w:sz w:val="21"/>
              </w:rPr>
            </w:pPr>
            <w:r>
              <w:rPr>
                <w:color w:val="auto"/>
                <w:sz w:val="21"/>
              </w:rPr>
              <w:t>信息报告</w:t>
            </w:r>
          </w:p>
        </w:tc>
        <w:tc>
          <w:tcPr>
            <w:tcW w:w="6231" w:type="dxa"/>
          </w:tcPr>
          <w:p>
            <w:pPr>
              <w:pStyle w:val="31"/>
              <w:spacing w:before="11" w:line="400" w:lineRule="atLeast"/>
              <w:ind w:left="108" w:right="21"/>
              <w:jc w:val="left"/>
              <w:rPr>
                <w:color w:val="auto"/>
                <w:spacing w:val="-5"/>
                <w:sz w:val="21"/>
              </w:rPr>
            </w:pPr>
            <w:r>
              <w:rPr>
                <w:color w:val="auto"/>
                <w:spacing w:val="-5"/>
                <w:sz w:val="21"/>
              </w:rPr>
              <w:t>事故后立即报告当班责任人和应急指挥部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3" w:hRule="atLeast"/>
        </w:trPr>
        <w:tc>
          <w:tcPr>
            <w:tcW w:w="3124" w:type="dxa"/>
          </w:tcPr>
          <w:p>
            <w:pPr>
              <w:pStyle w:val="31"/>
              <w:spacing w:before="1"/>
              <w:ind w:left="107"/>
              <w:jc w:val="left"/>
              <w:rPr>
                <w:color w:val="auto"/>
                <w:sz w:val="21"/>
              </w:rPr>
            </w:pPr>
            <w:r>
              <w:rPr>
                <w:color w:val="auto"/>
                <w:sz w:val="21"/>
              </w:rPr>
              <w:t>应急处置措施</w:t>
            </w:r>
          </w:p>
        </w:tc>
        <w:tc>
          <w:tcPr>
            <w:tcW w:w="6231" w:type="dxa"/>
          </w:tcPr>
          <w:p>
            <w:pPr>
              <w:pStyle w:val="31"/>
              <w:spacing w:before="11" w:line="400" w:lineRule="atLeast"/>
              <w:ind w:left="108" w:right="21"/>
              <w:jc w:val="left"/>
              <w:rPr>
                <w:color w:val="auto"/>
                <w:spacing w:val="-5"/>
                <w:sz w:val="21"/>
              </w:rPr>
            </w:pPr>
            <w:r>
              <w:rPr>
                <w:color w:val="auto"/>
                <w:spacing w:val="-5"/>
                <w:sz w:val="21"/>
              </w:rPr>
              <w:t>现场抢险人员进入事故现场内负责疏散、警戒、现场保护。将泄漏区域设定为危险区，在此范围内，对通往该区域的通道设立 安全警戒区，禁止非救援人员来往；</w:t>
            </w:r>
          </w:p>
          <w:p>
            <w:pPr>
              <w:pStyle w:val="31"/>
              <w:spacing w:before="11" w:line="400" w:lineRule="atLeast"/>
              <w:ind w:left="108" w:right="21"/>
              <w:jc w:val="left"/>
              <w:rPr>
                <w:color w:val="auto"/>
                <w:spacing w:val="-5"/>
                <w:sz w:val="21"/>
              </w:rPr>
            </w:pPr>
            <w:r>
              <w:rPr>
                <w:color w:val="auto"/>
                <w:spacing w:val="-5"/>
                <w:sz w:val="21"/>
              </w:rPr>
              <w:t>抢险组根据实际情况，穿必要的防护服从上风向进入事故现场，不要直接接触泄漏物，勿使泄漏物与可燃物质（木材、纸、油 等）接触。具体可分一下几个步骤进行：</w:t>
            </w:r>
          </w:p>
          <w:p>
            <w:pPr>
              <w:pStyle w:val="31"/>
              <w:spacing w:before="11" w:line="400" w:lineRule="atLeast"/>
              <w:ind w:left="108" w:right="21"/>
              <w:jc w:val="left"/>
              <w:rPr>
                <w:color w:val="auto"/>
                <w:spacing w:val="-5"/>
                <w:sz w:val="21"/>
              </w:rPr>
            </w:pPr>
            <w:r>
              <w:rPr>
                <w:color w:val="auto"/>
                <w:spacing w:val="-5"/>
                <w:sz w:val="21"/>
              </w:rPr>
              <w:t>①由生产部主管负责通知停止生产，防止泄漏事故引发火灾；</w:t>
            </w:r>
          </w:p>
          <w:p>
            <w:pPr>
              <w:pStyle w:val="31"/>
              <w:spacing w:before="11" w:line="400" w:lineRule="atLeast"/>
              <w:ind w:left="108" w:right="21"/>
              <w:jc w:val="left"/>
              <w:rPr>
                <w:color w:val="auto"/>
                <w:spacing w:val="-5"/>
                <w:sz w:val="21"/>
              </w:rPr>
            </w:pPr>
            <w:r>
              <w:rPr>
                <w:color w:val="auto"/>
                <w:spacing w:val="-5"/>
                <w:sz w:val="21"/>
              </w:rPr>
              <w:t>②抢险组进入现场确认，检修部门成员对泄漏区域进行排查，查明 泄漏原因，并抢修泄漏单元，阻止继续泄漏；</w:t>
            </w:r>
          </w:p>
        </w:tc>
      </w:tr>
    </w:tbl>
    <w:p>
      <w:pPr>
        <w:spacing w:after="0" w:line="410" w:lineRule="atLeast"/>
        <w:jc w:val="left"/>
        <w:rPr>
          <w:sz w:val="21"/>
        </w:rPr>
        <w:sectPr>
          <w:pgSz w:w="11920" w:h="16840"/>
          <w:pgMar w:top="1300" w:right="1100" w:bottom="1020" w:left="1180" w:header="905" w:footer="834" w:gutter="0"/>
          <w:pgBorders>
            <w:top w:val="none" w:sz="0" w:space="0"/>
            <w:left w:val="none" w:sz="0" w:space="0"/>
            <w:bottom w:val="none" w:sz="0" w:space="0"/>
            <w:right w:val="none" w:sz="0" w:space="0"/>
          </w:pgBorders>
          <w:cols w:space="720" w:num="1"/>
        </w:sectPr>
      </w:pPr>
    </w:p>
    <w:p>
      <w:pPr>
        <w:pStyle w:val="5"/>
        <w:spacing w:before="10"/>
        <w:rPr>
          <w:b/>
          <w:sz w:val="4"/>
        </w:rPr>
      </w:pPr>
    </w:p>
    <w:tbl>
      <w:tblPr>
        <w:tblStyle w:val="14"/>
        <w:tblW w:w="9355"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4"/>
        <w:gridCol w:w="62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0" w:hRule="atLeast"/>
        </w:trPr>
        <w:tc>
          <w:tcPr>
            <w:tcW w:w="3124" w:type="dxa"/>
          </w:tcPr>
          <w:p>
            <w:pPr>
              <w:pStyle w:val="31"/>
              <w:jc w:val="left"/>
              <w:rPr>
                <w:rFonts w:ascii="Times New Roman"/>
                <w:color w:val="auto"/>
                <w:sz w:val="20"/>
              </w:rPr>
            </w:pPr>
          </w:p>
        </w:tc>
        <w:tc>
          <w:tcPr>
            <w:tcW w:w="6231" w:type="dxa"/>
          </w:tcPr>
          <w:p>
            <w:pPr>
              <w:pStyle w:val="31"/>
              <w:ind w:left="108"/>
              <w:jc w:val="left"/>
              <w:rPr>
                <w:color w:val="auto"/>
                <w:sz w:val="21"/>
              </w:rPr>
            </w:pPr>
            <w:r>
              <w:rPr>
                <w:color w:val="auto"/>
                <w:sz w:val="21"/>
              </w:rPr>
              <w:t>③采用沙袋将泄漏区域围堵，用砂石铺盖泄漏物料；</w:t>
            </w:r>
          </w:p>
          <w:p>
            <w:pPr>
              <w:pStyle w:val="31"/>
              <w:ind w:left="108"/>
              <w:jc w:val="left"/>
              <w:rPr>
                <w:color w:val="auto"/>
                <w:sz w:val="21"/>
              </w:rPr>
            </w:pPr>
            <w:r>
              <w:rPr>
                <w:color w:val="auto"/>
                <w:sz w:val="21"/>
              </w:rPr>
              <w:t>④关闭污水和雨水外通阀门，避免泄露液体流入雨、污水管网后流 入厂外；</w:t>
            </w:r>
          </w:p>
          <w:p>
            <w:pPr>
              <w:pStyle w:val="31"/>
              <w:ind w:left="108"/>
              <w:jc w:val="left"/>
              <w:rPr>
                <w:color w:val="auto"/>
                <w:sz w:val="21"/>
              </w:rPr>
            </w:pPr>
            <w:r>
              <w:rPr>
                <w:color w:val="auto"/>
                <w:sz w:val="21"/>
              </w:rPr>
              <w:t>⑤在确保安全的情况下由当班维修部人员及现场生产人员负责堵 漏；泄漏的通过贮存区内部下水管网排入应急事故池，事故过后抽</w:t>
            </w:r>
          </w:p>
          <w:p>
            <w:pPr>
              <w:pStyle w:val="31"/>
              <w:ind w:left="108"/>
              <w:jc w:val="left"/>
              <w:rPr>
                <w:color w:val="auto"/>
                <w:sz w:val="21"/>
              </w:rPr>
            </w:pPr>
            <w:r>
              <w:rPr>
                <w:color w:val="auto"/>
                <w:sz w:val="21"/>
              </w:rPr>
              <w:t>入罐车送有资质的单位处理。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3124" w:type="dxa"/>
          </w:tcPr>
          <w:p>
            <w:pPr>
              <w:pStyle w:val="31"/>
              <w:spacing w:before="2"/>
              <w:ind w:left="107"/>
              <w:jc w:val="left"/>
              <w:rPr>
                <w:color w:val="auto"/>
                <w:sz w:val="21"/>
              </w:rPr>
            </w:pPr>
            <w:r>
              <w:rPr>
                <w:color w:val="auto"/>
                <w:sz w:val="21"/>
              </w:rPr>
              <w:t>应急责任人</w:t>
            </w:r>
          </w:p>
        </w:tc>
        <w:tc>
          <w:tcPr>
            <w:tcW w:w="6231" w:type="dxa"/>
          </w:tcPr>
          <w:p>
            <w:pPr>
              <w:pStyle w:val="31"/>
              <w:ind w:left="108"/>
              <w:jc w:val="left"/>
              <w:rPr>
                <w:color w:val="auto"/>
                <w:sz w:val="21"/>
              </w:rPr>
            </w:pPr>
            <w:r>
              <w:rPr>
                <w:color w:val="auto"/>
                <w:sz w:val="21"/>
              </w:rPr>
              <w:t>应急指挥部、安全环保部、各应急小组成员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3124" w:type="dxa"/>
          </w:tcPr>
          <w:p>
            <w:pPr>
              <w:pStyle w:val="31"/>
              <w:ind w:left="107"/>
              <w:jc w:val="left"/>
              <w:rPr>
                <w:color w:val="auto"/>
                <w:sz w:val="21"/>
              </w:rPr>
            </w:pPr>
            <w:r>
              <w:rPr>
                <w:color w:val="auto"/>
                <w:sz w:val="21"/>
              </w:rPr>
              <w:t>应急物资</w:t>
            </w:r>
          </w:p>
        </w:tc>
        <w:tc>
          <w:tcPr>
            <w:tcW w:w="6231" w:type="dxa"/>
          </w:tcPr>
          <w:p>
            <w:pPr>
              <w:pStyle w:val="31"/>
              <w:ind w:left="108"/>
              <w:jc w:val="left"/>
              <w:rPr>
                <w:color w:val="auto"/>
                <w:sz w:val="21"/>
              </w:rPr>
            </w:pPr>
            <w:r>
              <w:rPr>
                <w:color w:val="auto"/>
                <w:sz w:val="21"/>
              </w:rPr>
              <w:t>全身防护服、口罩、防毒面罩、护目镜、安全马甲、胶手套、胶鞋、隔离带、对讲机、扩音器、石灰、消防沙等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9355" w:type="dxa"/>
            <w:gridSpan w:val="2"/>
          </w:tcPr>
          <w:p>
            <w:pPr>
              <w:pStyle w:val="31"/>
              <w:ind w:left="108"/>
              <w:jc w:val="left"/>
              <w:rPr>
                <w:color w:val="auto"/>
                <w:sz w:val="21"/>
              </w:rPr>
            </w:pPr>
            <w:r>
              <w:rPr>
                <w:b/>
                <w:bCs/>
                <w:color w:val="auto"/>
                <w:sz w:val="21"/>
              </w:rPr>
              <w:t>二、生产废水事故排放应急处置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3124" w:type="dxa"/>
          </w:tcPr>
          <w:p>
            <w:pPr>
              <w:pStyle w:val="31"/>
              <w:spacing w:before="1"/>
              <w:ind w:left="107"/>
              <w:jc w:val="left"/>
              <w:rPr>
                <w:color w:val="auto"/>
                <w:sz w:val="21"/>
              </w:rPr>
            </w:pPr>
            <w:r>
              <w:rPr>
                <w:color w:val="auto"/>
                <w:sz w:val="21"/>
              </w:rPr>
              <w:t>可能发生的突发环境事件</w:t>
            </w:r>
          </w:p>
        </w:tc>
        <w:tc>
          <w:tcPr>
            <w:tcW w:w="6231" w:type="dxa"/>
          </w:tcPr>
          <w:p>
            <w:pPr>
              <w:pStyle w:val="31"/>
              <w:ind w:left="108"/>
              <w:jc w:val="left"/>
              <w:rPr>
                <w:color w:val="auto"/>
                <w:sz w:val="21"/>
              </w:rPr>
            </w:pPr>
            <w:r>
              <w:rPr>
                <w:color w:val="auto"/>
                <w:sz w:val="21"/>
              </w:rPr>
              <w:t>废水超标排放或者直排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3124" w:type="dxa"/>
          </w:tcPr>
          <w:p>
            <w:pPr>
              <w:pStyle w:val="31"/>
              <w:spacing w:line="269" w:lineRule="exact"/>
              <w:ind w:left="107"/>
              <w:jc w:val="left"/>
              <w:rPr>
                <w:color w:val="auto"/>
                <w:sz w:val="21"/>
              </w:rPr>
            </w:pPr>
            <w:r>
              <w:rPr>
                <w:color w:val="auto"/>
                <w:sz w:val="21"/>
              </w:rPr>
              <w:t>信息报告</w:t>
            </w:r>
          </w:p>
        </w:tc>
        <w:tc>
          <w:tcPr>
            <w:tcW w:w="6231" w:type="dxa"/>
          </w:tcPr>
          <w:p>
            <w:pPr>
              <w:pStyle w:val="31"/>
              <w:ind w:left="108"/>
              <w:jc w:val="left"/>
              <w:rPr>
                <w:color w:val="auto"/>
                <w:sz w:val="21"/>
              </w:rPr>
            </w:pPr>
            <w:r>
              <w:rPr>
                <w:color w:val="auto"/>
                <w:sz w:val="21"/>
              </w:rPr>
              <w:t>事故后立即报告当班责任人和应急指挥部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8" w:hRule="atLeast"/>
        </w:trPr>
        <w:tc>
          <w:tcPr>
            <w:tcW w:w="3124" w:type="dxa"/>
          </w:tcPr>
          <w:p>
            <w:pPr>
              <w:pStyle w:val="31"/>
              <w:spacing w:before="1"/>
              <w:ind w:left="107"/>
              <w:jc w:val="left"/>
              <w:rPr>
                <w:color w:val="auto"/>
                <w:sz w:val="21"/>
              </w:rPr>
            </w:pPr>
            <w:r>
              <w:rPr>
                <w:color w:val="auto"/>
                <w:sz w:val="21"/>
              </w:rPr>
              <w:t>应急处置措施</w:t>
            </w:r>
          </w:p>
        </w:tc>
        <w:tc>
          <w:tcPr>
            <w:tcW w:w="6231" w:type="dxa"/>
          </w:tcPr>
          <w:p>
            <w:pPr>
              <w:pStyle w:val="31"/>
              <w:ind w:left="108"/>
              <w:jc w:val="left"/>
              <w:rPr>
                <w:color w:val="auto"/>
                <w:sz w:val="21"/>
              </w:rPr>
            </w:pPr>
            <w:r>
              <w:rPr>
                <w:color w:val="auto"/>
                <w:sz w:val="21"/>
              </w:rPr>
              <w:t>①生产废水管线出现泄漏：发现者应立即通知当班维修人员及生产  车间人员关闭管线输送泵及阀门，马上进行排查，发现泄漏点立即 进行堵漏作业；</w:t>
            </w:r>
          </w:p>
          <w:p>
            <w:pPr>
              <w:pStyle w:val="31"/>
              <w:ind w:left="108"/>
              <w:jc w:val="left"/>
              <w:rPr>
                <w:color w:val="auto"/>
                <w:sz w:val="21"/>
              </w:rPr>
            </w:pPr>
            <w:r>
              <w:rPr>
                <w:color w:val="auto"/>
                <w:sz w:val="21"/>
              </w:rPr>
              <w:t>②通知污水处理厂，请求帮助；</w:t>
            </w:r>
          </w:p>
          <w:p>
            <w:pPr>
              <w:pStyle w:val="31"/>
              <w:ind w:left="108"/>
              <w:jc w:val="left"/>
              <w:rPr>
                <w:color w:val="auto"/>
                <w:sz w:val="21"/>
              </w:rPr>
            </w:pPr>
            <w:r>
              <w:rPr>
                <w:color w:val="auto"/>
                <w:sz w:val="21"/>
              </w:rPr>
              <w:t>③少量泄露则先用沙石覆盖，事后收集送外处理；若废水产生量较大，流出场区，由指挥部总指挥组织抢险人员进行应急，用沙袋等或构筑围堰对外排废水进行拦截，并尽可能将其引入应急事故池， 同时关闭总排口。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3124" w:type="dxa"/>
          </w:tcPr>
          <w:p>
            <w:pPr>
              <w:pStyle w:val="31"/>
              <w:spacing w:before="2"/>
              <w:ind w:left="107"/>
              <w:jc w:val="left"/>
              <w:rPr>
                <w:color w:val="auto"/>
                <w:sz w:val="21"/>
              </w:rPr>
            </w:pPr>
            <w:r>
              <w:rPr>
                <w:color w:val="auto"/>
                <w:sz w:val="21"/>
              </w:rPr>
              <w:t>应急责任人</w:t>
            </w:r>
          </w:p>
        </w:tc>
        <w:tc>
          <w:tcPr>
            <w:tcW w:w="6231" w:type="dxa"/>
          </w:tcPr>
          <w:p>
            <w:pPr>
              <w:pStyle w:val="31"/>
              <w:ind w:left="108"/>
              <w:jc w:val="left"/>
              <w:rPr>
                <w:color w:val="auto"/>
                <w:sz w:val="21"/>
              </w:rPr>
            </w:pPr>
            <w:r>
              <w:rPr>
                <w:color w:val="auto"/>
                <w:sz w:val="21"/>
              </w:rPr>
              <w:t>应急指挥部、安全环保部、各应急小组成员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4" w:hRule="atLeast"/>
        </w:trPr>
        <w:tc>
          <w:tcPr>
            <w:tcW w:w="3124" w:type="dxa"/>
          </w:tcPr>
          <w:p>
            <w:pPr>
              <w:pStyle w:val="31"/>
              <w:ind w:left="107"/>
              <w:jc w:val="left"/>
              <w:rPr>
                <w:color w:val="auto"/>
                <w:sz w:val="21"/>
              </w:rPr>
            </w:pPr>
            <w:r>
              <w:rPr>
                <w:color w:val="auto"/>
                <w:sz w:val="21"/>
              </w:rPr>
              <w:t>应急物资</w:t>
            </w:r>
          </w:p>
        </w:tc>
        <w:tc>
          <w:tcPr>
            <w:tcW w:w="6231" w:type="dxa"/>
          </w:tcPr>
          <w:p>
            <w:pPr>
              <w:pStyle w:val="31"/>
              <w:ind w:left="108"/>
              <w:jc w:val="left"/>
              <w:rPr>
                <w:color w:val="auto"/>
                <w:sz w:val="21"/>
              </w:rPr>
            </w:pPr>
            <w:r>
              <w:rPr>
                <w:color w:val="auto"/>
                <w:sz w:val="21"/>
              </w:rPr>
              <w:t>全身防护服、口罩、防毒面罩、护目镜、安全马甲、胶手套、胶鞋、  隔离带、对讲机、扩音器、石灰、消防沙、编织袋、污水泵、镐头、铁锹等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9355" w:type="dxa"/>
            <w:gridSpan w:val="2"/>
          </w:tcPr>
          <w:p>
            <w:pPr>
              <w:pStyle w:val="31"/>
              <w:ind w:left="108"/>
              <w:jc w:val="left"/>
              <w:rPr>
                <w:rFonts w:hint="eastAsia" w:eastAsia="宋体"/>
                <w:color w:val="auto"/>
                <w:sz w:val="21"/>
                <w:lang w:eastAsia="zh-CN"/>
              </w:rPr>
            </w:pPr>
            <w:r>
              <w:rPr>
                <w:rFonts w:hint="eastAsia"/>
                <w:b/>
                <w:bCs/>
                <w:color w:val="auto"/>
                <w:sz w:val="21"/>
                <w:lang w:eastAsia="zh-CN"/>
              </w:rPr>
              <w:t>三、天然气泄漏</w:t>
            </w:r>
            <w:r>
              <w:rPr>
                <w:b/>
                <w:bCs/>
                <w:color w:val="auto"/>
                <w:sz w:val="21"/>
              </w:rPr>
              <w:t>事故排放应急处置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3124" w:type="dxa"/>
            <w:vAlign w:val="top"/>
          </w:tcPr>
          <w:p>
            <w:pPr>
              <w:pStyle w:val="31"/>
              <w:spacing w:before="1"/>
              <w:ind w:left="107" w:leftChars="0" w:right="0" w:rightChars="0"/>
              <w:jc w:val="left"/>
              <w:rPr>
                <w:color w:val="auto"/>
                <w:sz w:val="21"/>
              </w:rPr>
            </w:pPr>
            <w:r>
              <w:rPr>
                <w:color w:val="auto"/>
                <w:sz w:val="21"/>
              </w:rPr>
              <w:t>可能发生的突发环境事件</w:t>
            </w:r>
          </w:p>
        </w:tc>
        <w:tc>
          <w:tcPr>
            <w:tcW w:w="6231" w:type="dxa"/>
            <w:vAlign w:val="top"/>
          </w:tcPr>
          <w:p>
            <w:pPr>
              <w:pStyle w:val="31"/>
              <w:ind w:left="108" w:leftChars="0" w:right="0" w:rightChars="0"/>
              <w:jc w:val="left"/>
              <w:rPr>
                <w:rFonts w:hint="eastAsia" w:eastAsia="宋体"/>
                <w:color w:val="auto"/>
                <w:sz w:val="21"/>
                <w:lang w:eastAsia="zh-CN"/>
              </w:rPr>
            </w:pPr>
            <w:r>
              <w:rPr>
                <w:rFonts w:hint="eastAsia"/>
                <w:color w:val="auto"/>
                <w:sz w:val="21"/>
                <w:lang w:eastAsia="zh-CN"/>
              </w:rPr>
              <w:t>天然气泄漏、造成火灾和爆炸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3124" w:type="dxa"/>
            <w:vAlign w:val="top"/>
          </w:tcPr>
          <w:p>
            <w:pPr>
              <w:pStyle w:val="31"/>
              <w:spacing w:line="269" w:lineRule="exact"/>
              <w:ind w:left="107" w:leftChars="0" w:right="0" w:rightChars="0"/>
              <w:jc w:val="left"/>
              <w:rPr>
                <w:color w:val="auto"/>
                <w:sz w:val="21"/>
              </w:rPr>
            </w:pPr>
            <w:r>
              <w:rPr>
                <w:color w:val="auto"/>
                <w:sz w:val="21"/>
              </w:rPr>
              <w:t>信息报告</w:t>
            </w:r>
          </w:p>
        </w:tc>
        <w:tc>
          <w:tcPr>
            <w:tcW w:w="6231" w:type="dxa"/>
            <w:vAlign w:val="top"/>
          </w:tcPr>
          <w:p>
            <w:pPr>
              <w:pStyle w:val="31"/>
              <w:ind w:left="108" w:leftChars="0" w:right="0" w:rightChars="0"/>
              <w:jc w:val="left"/>
              <w:rPr>
                <w:color w:val="auto"/>
                <w:sz w:val="21"/>
              </w:rPr>
            </w:pPr>
            <w:r>
              <w:rPr>
                <w:color w:val="auto"/>
                <w:sz w:val="21"/>
              </w:rPr>
              <w:t>事故后立即报告当班责任人和应急指挥部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4" w:hRule="atLeast"/>
        </w:trPr>
        <w:tc>
          <w:tcPr>
            <w:tcW w:w="3124" w:type="dxa"/>
            <w:vAlign w:val="top"/>
          </w:tcPr>
          <w:p>
            <w:pPr>
              <w:pStyle w:val="31"/>
              <w:spacing w:before="1"/>
              <w:ind w:left="107" w:leftChars="0" w:right="0" w:rightChars="0"/>
              <w:jc w:val="left"/>
              <w:rPr>
                <w:color w:val="auto"/>
                <w:sz w:val="21"/>
              </w:rPr>
            </w:pPr>
            <w:r>
              <w:rPr>
                <w:color w:val="auto"/>
                <w:sz w:val="21"/>
              </w:rPr>
              <w:t>应急处置措施</w:t>
            </w:r>
          </w:p>
        </w:tc>
        <w:tc>
          <w:tcPr>
            <w:tcW w:w="6231" w:type="dxa"/>
            <w:vAlign w:val="top"/>
          </w:tcPr>
          <w:p>
            <w:pPr>
              <w:pStyle w:val="2"/>
              <w:ind w:firstLine="0" w:firstLineChars="0"/>
              <w:rPr>
                <w:rFonts w:hint="eastAsia"/>
                <w:color w:val="auto"/>
                <w:kern w:val="0"/>
                <w:sz w:val="21"/>
                <w:szCs w:val="21"/>
              </w:rPr>
            </w:pPr>
            <w:r>
              <w:rPr>
                <w:rFonts w:hint="eastAsia"/>
                <w:color w:val="auto"/>
                <w:kern w:val="0"/>
                <w:sz w:val="21"/>
                <w:szCs w:val="21"/>
              </w:rPr>
              <w:t>单纯泄漏处理： </w:t>
            </w:r>
          </w:p>
          <w:p>
            <w:pPr>
              <w:pStyle w:val="2"/>
              <w:ind w:firstLine="0" w:firstLineChars="0"/>
              <w:rPr>
                <w:rFonts w:hint="eastAsia"/>
                <w:color w:val="auto"/>
                <w:kern w:val="0"/>
                <w:sz w:val="21"/>
                <w:szCs w:val="21"/>
              </w:rPr>
            </w:pPr>
            <w:r>
              <w:rPr>
                <w:rFonts w:hint="eastAsia"/>
                <w:color w:val="auto"/>
                <w:kern w:val="0"/>
                <w:sz w:val="21"/>
                <w:szCs w:val="21"/>
              </w:rPr>
              <w:t>迅速撤离泄漏污染区人员至上风处，并进行隔离，严格限制出入。切断火源。建议应急处理人员戴自给正压式呼吸器，穿防静电工作服。尽可能切断泄漏源。用工业覆盖层或吸附/ 吸收剂盖住泄漏点附近的下水道等地方，防止气体进入。泄漏区域不要使用明火；不要开关灯或电器；不要有金属摩擦；在泄漏区域不要使用任何通信工具，到安全地带通知燃气公司。</w:t>
            </w:r>
          </w:p>
          <w:p>
            <w:pPr>
              <w:pStyle w:val="2"/>
              <w:ind w:firstLine="0" w:firstLineChars="0"/>
              <w:rPr>
                <w:rFonts w:hint="eastAsia"/>
                <w:color w:val="auto"/>
                <w:kern w:val="0"/>
                <w:sz w:val="21"/>
                <w:szCs w:val="21"/>
              </w:rPr>
            </w:pPr>
            <w:r>
              <w:rPr>
                <w:rFonts w:hint="eastAsia"/>
                <w:color w:val="auto"/>
                <w:kern w:val="0"/>
                <w:sz w:val="21"/>
                <w:szCs w:val="21"/>
              </w:rPr>
              <w:t>着火处理：</w:t>
            </w:r>
          </w:p>
          <w:p>
            <w:pPr>
              <w:pStyle w:val="2"/>
              <w:ind w:firstLine="0" w:firstLineChars="0"/>
              <w:rPr>
                <w:rFonts w:hint="eastAsia"/>
                <w:color w:val="auto"/>
                <w:kern w:val="0"/>
                <w:sz w:val="21"/>
                <w:szCs w:val="21"/>
              </w:rPr>
            </w:pPr>
            <w:r>
              <w:rPr>
                <w:rFonts w:hint="eastAsia"/>
                <w:color w:val="auto"/>
                <w:kern w:val="0"/>
                <w:sz w:val="21"/>
                <w:szCs w:val="21"/>
              </w:rPr>
              <w:t>着火为小火苗时，把抹布打湿铺在着火位置，等火彻底熄灭后，关闭阀门（要求同上），切记火熄灭前不要关闭阀门，着火时直接关闭阀门可能导致回流，引起爆炸。及时通知公司相应负责的领导，火焰蔓延扩大，立即启动应急预案，到安全区域拨打119求助。</w:t>
            </w:r>
          </w:p>
          <w:p>
            <w:pPr>
              <w:pStyle w:val="2"/>
              <w:ind w:firstLine="0" w:firstLineChars="0"/>
              <w:rPr>
                <w:rFonts w:hint="eastAsia"/>
                <w:color w:val="auto"/>
                <w:kern w:val="0"/>
                <w:sz w:val="21"/>
                <w:szCs w:val="21"/>
              </w:rPr>
            </w:pPr>
            <w:r>
              <w:rPr>
                <w:rFonts w:hint="eastAsia"/>
                <w:color w:val="auto"/>
                <w:kern w:val="0"/>
                <w:sz w:val="21"/>
                <w:szCs w:val="21"/>
              </w:rPr>
              <w:t>中毒处理：</w:t>
            </w:r>
          </w:p>
          <w:p>
            <w:pPr>
              <w:pStyle w:val="2"/>
              <w:ind w:firstLine="0" w:firstLineChars="0"/>
              <w:rPr>
                <w:rFonts w:hint="eastAsia"/>
                <w:color w:val="auto"/>
                <w:kern w:val="0"/>
                <w:sz w:val="21"/>
                <w:szCs w:val="21"/>
              </w:rPr>
            </w:pPr>
            <w:r>
              <w:rPr>
                <w:rFonts w:hint="eastAsia"/>
                <w:color w:val="auto"/>
                <w:kern w:val="0"/>
                <w:sz w:val="21"/>
                <w:szCs w:val="21"/>
              </w:rPr>
              <w:t>立刻搬离现场，移动至通风的地方。</w:t>
            </w:r>
          </w:p>
          <w:p>
            <w:pPr>
              <w:pStyle w:val="2"/>
              <w:ind w:firstLine="0" w:firstLineChars="0"/>
              <w:rPr>
                <w:rFonts w:hint="eastAsia"/>
                <w:color w:val="auto"/>
                <w:kern w:val="0"/>
                <w:sz w:val="21"/>
                <w:szCs w:val="21"/>
              </w:rPr>
            </w:pPr>
            <w:r>
              <w:rPr>
                <w:rFonts w:hint="eastAsia"/>
                <w:color w:val="auto"/>
                <w:kern w:val="0"/>
                <w:sz w:val="21"/>
                <w:szCs w:val="21"/>
              </w:rPr>
              <w:t>严重中毒同时通知120求助，就近就医。</w:t>
            </w:r>
          </w:p>
          <w:p>
            <w:pPr>
              <w:pStyle w:val="31"/>
              <w:ind w:left="108" w:leftChars="0" w:right="0" w:rightChars="0"/>
              <w:jc w:val="left"/>
              <w:rPr>
                <w:color w:val="auto"/>
                <w:sz w:val="21"/>
              </w:rPr>
            </w:pPr>
            <w:r>
              <w:rPr>
                <w:rFonts w:hint="eastAsia"/>
                <w:color w:val="auto"/>
                <w:kern w:val="0"/>
                <w:sz w:val="21"/>
                <w:szCs w:val="21"/>
              </w:rPr>
              <w:t>没有呼吸心跳，立刻进行心肺复苏。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124" w:type="dxa"/>
            <w:vAlign w:val="top"/>
          </w:tcPr>
          <w:p>
            <w:pPr>
              <w:pStyle w:val="31"/>
              <w:spacing w:before="2"/>
              <w:ind w:left="107" w:leftChars="0" w:right="0" w:rightChars="0"/>
              <w:jc w:val="left"/>
              <w:rPr>
                <w:color w:val="auto"/>
                <w:sz w:val="21"/>
              </w:rPr>
            </w:pPr>
            <w:r>
              <w:rPr>
                <w:color w:val="auto"/>
                <w:sz w:val="21"/>
              </w:rPr>
              <w:t>应急责任人</w:t>
            </w:r>
          </w:p>
        </w:tc>
        <w:tc>
          <w:tcPr>
            <w:tcW w:w="6231" w:type="dxa"/>
            <w:vAlign w:val="top"/>
          </w:tcPr>
          <w:p>
            <w:pPr>
              <w:pStyle w:val="31"/>
              <w:ind w:left="108" w:leftChars="0" w:right="0" w:rightChars="0"/>
              <w:jc w:val="left"/>
              <w:rPr>
                <w:color w:val="auto"/>
                <w:sz w:val="21"/>
              </w:rPr>
            </w:pPr>
            <w:r>
              <w:rPr>
                <w:color w:val="auto"/>
                <w:sz w:val="21"/>
              </w:rPr>
              <w:t>应急指挥部、安全环保部、各应急小组成员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3124" w:type="dxa"/>
            <w:vAlign w:val="top"/>
          </w:tcPr>
          <w:p>
            <w:pPr>
              <w:pStyle w:val="31"/>
              <w:ind w:left="107" w:leftChars="0" w:right="0" w:rightChars="0"/>
              <w:jc w:val="left"/>
              <w:rPr>
                <w:color w:val="auto"/>
                <w:sz w:val="21"/>
              </w:rPr>
            </w:pPr>
            <w:r>
              <w:rPr>
                <w:color w:val="auto"/>
                <w:sz w:val="21"/>
              </w:rPr>
              <w:t>应急物资</w:t>
            </w:r>
          </w:p>
        </w:tc>
        <w:tc>
          <w:tcPr>
            <w:tcW w:w="6231" w:type="dxa"/>
            <w:vAlign w:val="top"/>
          </w:tcPr>
          <w:p>
            <w:pPr>
              <w:pStyle w:val="31"/>
              <w:ind w:left="108" w:leftChars="0" w:right="0" w:rightChars="0"/>
              <w:jc w:val="left"/>
              <w:rPr>
                <w:color w:val="auto"/>
                <w:sz w:val="21"/>
              </w:rPr>
            </w:pPr>
            <w:r>
              <w:rPr>
                <w:color w:val="auto"/>
                <w:sz w:val="21"/>
              </w:rPr>
              <w:t>全身防护服、口罩、防毒面罩、护目镜、安全马甲、胶手套、胶鞋、  隔离带、对讲机、扩音器、石灰、消防沙、编织袋、污水泵、镐头、铁锹等</w:t>
            </w:r>
          </w:p>
        </w:tc>
      </w:tr>
    </w:tbl>
    <w:p>
      <w:pPr>
        <w:pStyle w:val="5"/>
        <w:rPr>
          <w:b/>
          <w:sz w:val="20"/>
        </w:rPr>
      </w:pPr>
    </w:p>
    <w:p>
      <w:pPr>
        <w:pStyle w:val="8"/>
        <w:numPr>
          <w:ilvl w:val="1"/>
          <w:numId w:val="9"/>
        </w:numPr>
        <w:tabs>
          <w:tab w:val="left" w:pos="750"/>
        </w:tabs>
        <w:spacing w:before="214" w:after="0" w:line="240" w:lineRule="auto"/>
        <w:ind w:left="749" w:right="0" w:hanging="490"/>
        <w:jc w:val="left"/>
      </w:pPr>
      <w:bookmarkStart w:id="363" w:name="_bookmark91"/>
      <w:bookmarkEnd w:id="363"/>
      <w:bookmarkStart w:id="364" w:name="_bookmark91"/>
      <w:bookmarkEnd w:id="364"/>
      <w:bookmarkStart w:id="365" w:name="6.5 应急监测"/>
      <w:bookmarkEnd w:id="365"/>
      <w:bookmarkStart w:id="366" w:name="_Toc25000"/>
      <w:bookmarkStart w:id="367" w:name="_Toc1599"/>
      <w:r>
        <w:t>应急监测</w:t>
      </w:r>
      <w:bookmarkEnd w:id="366"/>
      <w:bookmarkEnd w:id="367"/>
    </w:p>
    <w:p>
      <w:pPr>
        <w:pStyle w:val="9"/>
        <w:numPr>
          <w:ilvl w:val="2"/>
          <w:numId w:val="27"/>
        </w:numPr>
        <w:tabs>
          <w:tab w:val="left" w:pos="800"/>
        </w:tabs>
        <w:spacing w:before="233" w:after="0" w:line="240" w:lineRule="auto"/>
        <w:ind w:left="800" w:right="0" w:hanging="540"/>
        <w:jc w:val="left"/>
      </w:pPr>
      <w:bookmarkStart w:id="368" w:name="_bookmark92"/>
      <w:bookmarkEnd w:id="368"/>
      <w:bookmarkStart w:id="369" w:name="6.5.1监测内容"/>
      <w:bookmarkEnd w:id="369"/>
      <w:bookmarkStart w:id="370" w:name="_bookmark92"/>
      <w:bookmarkEnd w:id="370"/>
      <w:r>
        <w:t>监测内容</w:t>
      </w:r>
    </w:p>
    <w:p>
      <w:pPr>
        <w:pStyle w:val="5"/>
        <w:spacing w:before="208" w:line="364" w:lineRule="auto"/>
        <w:ind w:left="260" w:right="109" w:firstLine="480"/>
        <w:jc w:val="both"/>
      </w:pPr>
      <w:r>
        <w:t>发生突发环境事件时，公司应迅速组织监测人员赶赴事故现场，根据事件情况，迅速确定监测方案（包括监测布点、频次、监测项目和监测方法等），及时开展环境应急监测工作，在尽可能短的时间内，用小型、便捷、快速的仪器对环境污染物质种类、浓</w:t>
      </w:r>
      <w:r>
        <w:rPr>
          <w:spacing w:val="-6"/>
        </w:rPr>
        <w:t>度和污染的范围及可能的危害做出判断，以便为事故能及时、正确的进行处理提供依据。</w:t>
      </w:r>
    </w:p>
    <w:p>
      <w:pPr>
        <w:pStyle w:val="5"/>
        <w:spacing w:line="362" w:lineRule="auto"/>
        <w:ind w:left="260" w:right="229" w:firstLine="480"/>
      </w:pPr>
      <w:r>
        <w:rPr>
          <w:spacing w:val="-1"/>
        </w:rPr>
        <w:t>生产过程中产生的突发环境污染物主要是化学品或者消防水外排，应急监测主要监测废水排放口及</w:t>
      </w:r>
      <w:r>
        <w:rPr>
          <w:rFonts w:hint="eastAsia"/>
          <w:spacing w:val="-1"/>
          <w:lang w:eastAsia="zh-CN"/>
        </w:rPr>
        <w:t>地表</w:t>
      </w:r>
      <w:r>
        <w:rPr>
          <w:spacing w:val="-1"/>
        </w:rPr>
        <w:t>水水质。根据事故现场的具体情况和污染区域的特性进行布点并确定</w:t>
      </w:r>
      <w:r>
        <w:t>监测因子。</w:t>
      </w:r>
    </w:p>
    <w:p>
      <w:pPr>
        <w:pStyle w:val="9"/>
        <w:numPr>
          <w:ilvl w:val="2"/>
          <w:numId w:val="27"/>
        </w:numPr>
        <w:tabs>
          <w:tab w:val="left" w:pos="800"/>
        </w:tabs>
        <w:spacing w:before="158" w:after="0" w:line="240" w:lineRule="auto"/>
        <w:ind w:left="800" w:right="0" w:hanging="540"/>
        <w:jc w:val="left"/>
      </w:pPr>
      <w:bookmarkStart w:id="371" w:name="_bookmark93"/>
      <w:bookmarkEnd w:id="371"/>
      <w:bookmarkStart w:id="372" w:name="_bookmark93"/>
      <w:bookmarkEnd w:id="372"/>
      <w:bookmarkStart w:id="373" w:name="6.5.2监测方法"/>
      <w:bookmarkEnd w:id="373"/>
      <w:r>
        <w:t>监测方法</w:t>
      </w:r>
    </w:p>
    <w:p>
      <w:pPr>
        <w:pStyle w:val="5"/>
        <w:spacing w:before="208" w:line="362" w:lineRule="auto"/>
        <w:ind w:left="260" w:right="109" w:firstLine="480"/>
      </w:pPr>
      <w:r>
        <w:rPr>
          <w:spacing w:val="-5"/>
        </w:rPr>
        <w:t>监测方法主要参考《突发环境事件应急监测技术规范》</w:t>
      </w:r>
      <w:r>
        <w:t>（HJ589-2010)</w:t>
      </w:r>
      <w:r>
        <w:rPr>
          <w:spacing w:val="-8"/>
        </w:rPr>
        <w:t>、《地表水和污水监测技术规范</w:t>
      </w:r>
      <w:r>
        <w:rPr>
          <w:spacing w:val="-228"/>
        </w:rPr>
        <w:t>》</w:t>
      </w:r>
      <w:r>
        <w:t>（HJ/T91-2002)</w:t>
      </w:r>
      <w:r>
        <w:rPr>
          <w:spacing w:val="-18"/>
        </w:rPr>
        <w:t>、《环境空气质量自动监测技术规范</w:t>
      </w:r>
      <w:r>
        <w:rPr>
          <w:spacing w:val="-228"/>
        </w:rPr>
        <w:t>》</w:t>
      </w:r>
      <w:r>
        <w:t>（HJ/T193-2005)</w:t>
      </w:r>
      <w:r>
        <w:rPr>
          <w:spacing w:val="-16"/>
        </w:rPr>
        <w:t>、</w:t>
      </w:r>
    </w:p>
    <w:p>
      <w:pPr>
        <w:pStyle w:val="5"/>
        <w:spacing w:before="5" w:line="364" w:lineRule="auto"/>
        <w:ind w:left="260" w:right="229"/>
      </w:pPr>
      <w:r>
        <w:rPr>
          <w:spacing w:val="-4"/>
        </w:rPr>
        <w:t>《环境空气质量手工监测技术规范》</w:t>
      </w:r>
      <w:r>
        <w:t>（HJ/T194-2005)</w:t>
      </w:r>
      <w:r>
        <w:rPr>
          <w:spacing w:val="-9"/>
        </w:rPr>
        <w:t>、《大气污染物无组织排放监测技</w:t>
      </w:r>
      <w:r>
        <w:t>术导则》 (HJ/T 55-2000)。</w:t>
      </w:r>
    </w:p>
    <w:p>
      <w:pPr>
        <w:pStyle w:val="5"/>
        <w:keepNext w:val="0"/>
        <w:keepLines w:val="0"/>
        <w:pageBreakBefore w:val="0"/>
        <w:widowControl w:val="0"/>
        <w:kinsoku/>
        <w:wordWrap/>
        <w:overflowPunct/>
        <w:topLinePunct w:val="0"/>
        <w:autoSpaceDE w:val="0"/>
        <w:autoSpaceDN w:val="0"/>
        <w:bidi w:val="0"/>
        <w:adjustRightInd/>
        <w:snapToGrid/>
        <w:spacing w:before="5" w:line="360" w:lineRule="auto"/>
        <w:ind w:left="260" w:right="229" w:firstLine="480" w:firstLineChars="200"/>
        <w:textAlignment w:val="auto"/>
        <w:rPr>
          <w:rFonts w:hint="eastAsia" w:eastAsia="宋体"/>
          <w:color w:val="auto"/>
          <w:lang w:eastAsia="zh-CN"/>
        </w:rPr>
      </w:pPr>
      <w:r>
        <w:rPr>
          <w:rFonts w:hint="eastAsia"/>
          <w:color w:val="auto"/>
          <w:lang w:eastAsia="zh-CN"/>
        </w:rPr>
        <w:t>监测原则：</w:t>
      </w:r>
      <w:r>
        <w:rPr>
          <w:rFonts w:hint="eastAsia"/>
          <w:color w:val="auto"/>
          <w:szCs w:val="21"/>
        </w:rPr>
        <w:t>采样断面（点）的设置一般以突发环境事件发生地及其附近区域为主，同时必须注重人 群和生活环境，重点关注对应用水源地、人群活动区域的空气、农田土壤等区域的影响，并 合理设置监测断面（点），以掌握污染发生地状况、反映事故发生区域环境的污染程度和范 围。对被突发环境事件所污染的地表水、地下水、大气和土壤应设置对照断面（点）、控制 断面（点）、对地表水和地下水还应设置消减断面、尽可能以最少的断面（点）获取足够的 有代表性的所需信息，同时须考虑采样的可行性和方便性。</w:t>
      </w:r>
    </w:p>
    <w:p>
      <w:pPr>
        <w:pStyle w:val="9"/>
        <w:keepNext w:val="0"/>
        <w:keepLines w:val="0"/>
        <w:pageBreakBefore w:val="0"/>
        <w:widowControl w:val="0"/>
        <w:numPr>
          <w:ilvl w:val="2"/>
          <w:numId w:val="27"/>
        </w:numPr>
        <w:tabs>
          <w:tab w:val="left" w:pos="800"/>
        </w:tabs>
        <w:kinsoku/>
        <w:wordWrap/>
        <w:overflowPunct/>
        <w:topLinePunct w:val="0"/>
        <w:autoSpaceDE w:val="0"/>
        <w:autoSpaceDN w:val="0"/>
        <w:bidi w:val="0"/>
        <w:adjustRightInd/>
        <w:snapToGrid/>
        <w:spacing w:before="158" w:after="0" w:line="360" w:lineRule="auto"/>
        <w:ind w:left="800" w:right="0" w:hanging="540"/>
        <w:jc w:val="left"/>
        <w:textAlignment w:val="auto"/>
      </w:pPr>
      <w:bookmarkStart w:id="374" w:name="_bookmark94"/>
      <w:bookmarkEnd w:id="374"/>
      <w:bookmarkStart w:id="375" w:name="6.5.3监测布点和频次"/>
      <w:bookmarkEnd w:id="375"/>
      <w:bookmarkStart w:id="376" w:name="_bookmark94"/>
      <w:bookmarkEnd w:id="376"/>
      <w:r>
        <w:t>监测布点和频次</w:t>
      </w:r>
    </w:p>
    <w:p>
      <w:pPr>
        <w:pStyle w:val="5"/>
        <w:keepNext w:val="0"/>
        <w:keepLines w:val="0"/>
        <w:pageBreakBefore w:val="0"/>
        <w:widowControl w:val="0"/>
        <w:kinsoku/>
        <w:wordWrap/>
        <w:overflowPunct/>
        <w:topLinePunct w:val="0"/>
        <w:autoSpaceDE w:val="0"/>
        <w:autoSpaceDN w:val="0"/>
        <w:bidi w:val="0"/>
        <w:adjustRightInd/>
        <w:snapToGrid/>
        <w:spacing w:line="360" w:lineRule="auto"/>
        <w:ind w:left="740"/>
        <w:textAlignment w:val="auto"/>
      </w:pPr>
      <w:r>
        <w:t>根据污染现场的具体情况和污染区域的特性进行布点。</w:t>
      </w:r>
    </w:p>
    <w:p>
      <w:pPr>
        <w:pStyle w:val="5"/>
        <w:keepNext w:val="0"/>
        <w:keepLines w:val="0"/>
        <w:pageBreakBefore w:val="0"/>
        <w:widowControl w:val="0"/>
        <w:kinsoku/>
        <w:wordWrap/>
        <w:overflowPunct/>
        <w:topLinePunct w:val="0"/>
        <w:autoSpaceDE w:val="0"/>
        <w:autoSpaceDN w:val="0"/>
        <w:bidi w:val="0"/>
        <w:adjustRightInd/>
        <w:snapToGrid/>
        <w:spacing w:before="158" w:line="360" w:lineRule="auto"/>
        <w:ind w:left="260" w:right="109" w:firstLine="480"/>
        <w:textAlignment w:val="auto"/>
        <w:rPr>
          <w:color w:val="auto"/>
        </w:rPr>
      </w:pPr>
      <w:r>
        <w:t>1</w:t>
      </w:r>
      <w:r>
        <w:rPr>
          <w:spacing w:val="-10"/>
        </w:rPr>
        <w:t>、对消防废水的监测应在溢流排口</w:t>
      </w:r>
      <w:r>
        <w:rPr>
          <w:color w:val="auto"/>
          <w:spacing w:val="-10"/>
        </w:rPr>
        <w:t xml:space="preserve">布点，根据污染物在水中溶解度、 密度等特性， </w:t>
      </w:r>
      <w:r>
        <w:rPr>
          <w:color w:val="auto"/>
        </w:rPr>
        <w:t>对易沉积于水底的污染物，监测因子主要为：</w:t>
      </w:r>
      <w:r>
        <w:rPr>
          <w:rFonts w:hint="eastAsia"/>
          <w:color w:val="auto"/>
          <w:lang w:val="en-US" w:eastAsia="zh-CN"/>
        </w:rPr>
        <w:t>COD、BOD、</w:t>
      </w:r>
      <w:r>
        <w:rPr>
          <w:color w:val="auto"/>
        </w:rPr>
        <w:t>pH</w:t>
      </w:r>
      <w:r>
        <w:rPr>
          <w:color w:val="auto"/>
          <w:spacing w:val="-8"/>
        </w:rPr>
        <w:t xml:space="preserve"> 值、石油类、氯化物、氨氮、总磷等， </w:t>
      </w:r>
      <w:r>
        <w:rPr>
          <w:color w:val="auto"/>
          <w:spacing w:val="-15"/>
        </w:rPr>
        <w:t xml:space="preserve">监测频次为至少 </w:t>
      </w:r>
      <w:r>
        <w:rPr>
          <w:color w:val="auto"/>
        </w:rPr>
        <w:t>1</w:t>
      </w:r>
      <w:r>
        <w:rPr>
          <w:color w:val="auto"/>
          <w:spacing w:val="-30"/>
        </w:rPr>
        <w:t xml:space="preserve"> 次</w:t>
      </w:r>
      <w:r>
        <w:rPr>
          <w:color w:val="auto"/>
        </w:rPr>
        <w:t>/天。</w:t>
      </w:r>
    </w:p>
    <w:p>
      <w:pPr>
        <w:pStyle w:val="5"/>
        <w:spacing w:line="364" w:lineRule="auto"/>
        <w:ind w:left="260" w:right="229" w:firstLine="480"/>
        <w:rPr>
          <w:color w:val="auto"/>
        </w:rPr>
      </w:pPr>
      <w:r>
        <w:rPr>
          <w:color w:val="auto"/>
        </w:rPr>
        <w:t>2、对外排废水的监测应在厂区废水总排放口设监测点，监测因子主要为：</w:t>
      </w:r>
      <w:r>
        <w:rPr>
          <w:rFonts w:hint="eastAsia"/>
          <w:color w:val="auto"/>
          <w:lang w:val="en-US" w:eastAsia="zh-CN"/>
        </w:rPr>
        <w:t>COD、BOD、</w:t>
      </w:r>
      <w:r>
        <w:rPr>
          <w:color w:val="auto"/>
        </w:rPr>
        <w:t>pH 值、总磷、氯化物、氨氮、石油类等，监测频次为至少 1 次/天。</w:t>
      </w:r>
    </w:p>
    <w:p>
      <w:pPr>
        <w:pStyle w:val="5"/>
        <w:spacing w:line="306" w:lineRule="exact"/>
        <w:ind w:left="740"/>
        <w:rPr>
          <w:color w:val="auto"/>
        </w:rPr>
      </w:pPr>
      <w:r>
        <w:rPr>
          <w:color w:val="auto"/>
        </w:rPr>
        <w:t>3、对地表水的监测主要为对可能受污染的的水的监测，设置 3 个监测断面，分别</w:t>
      </w:r>
    </w:p>
    <w:p>
      <w:pPr>
        <w:pStyle w:val="5"/>
        <w:spacing w:before="157" w:line="364" w:lineRule="auto"/>
        <w:ind w:left="260" w:right="190"/>
        <w:jc w:val="both"/>
        <w:rPr>
          <w:color w:val="auto"/>
        </w:rPr>
      </w:pPr>
      <w:r>
        <w:rPr>
          <w:color w:val="auto"/>
          <w:spacing w:val="-4"/>
        </w:rPr>
        <w:t xml:space="preserve">在污水处理厂排放口设置 </w:t>
      </w:r>
      <w:r>
        <w:rPr>
          <w:color w:val="auto"/>
        </w:rPr>
        <w:t>1</w:t>
      </w:r>
      <w:r>
        <w:rPr>
          <w:color w:val="auto"/>
          <w:spacing w:val="-11"/>
        </w:rPr>
        <w:t xml:space="preserve"> 个断面，排放口上游设置对照断面，下游设置 </w:t>
      </w:r>
      <w:r>
        <w:rPr>
          <w:color w:val="auto"/>
        </w:rPr>
        <w:t>1</w:t>
      </w:r>
      <w:r>
        <w:rPr>
          <w:color w:val="auto"/>
          <w:spacing w:val="-20"/>
        </w:rPr>
        <w:t xml:space="preserve"> 个消减断面。监测频次的确定根据事故类型的大小、范围等情况确定，不同的事故类型采取不同的监测频次。必要时进行连续跟踪监测。监测因子主要为：</w:t>
      </w:r>
      <w:r>
        <w:rPr>
          <w:rFonts w:hint="eastAsia"/>
          <w:color w:val="auto"/>
          <w:lang w:val="en-US" w:eastAsia="zh-CN"/>
        </w:rPr>
        <w:t>COD、BOD、</w:t>
      </w:r>
      <w:r>
        <w:rPr>
          <w:color w:val="auto"/>
          <w:spacing w:val="-20"/>
        </w:rPr>
        <w:t>PH</w:t>
      </w:r>
      <w:r>
        <w:rPr>
          <w:color w:val="auto"/>
          <w:spacing w:val="-10"/>
        </w:rPr>
        <w:t xml:space="preserve"> 值、总磷、氯化物、</w:t>
      </w:r>
      <w:r>
        <w:rPr>
          <w:color w:val="auto"/>
        </w:rPr>
        <w:t>氨氮、石油类等。</w:t>
      </w:r>
    </w:p>
    <w:p>
      <w:pPr>
        <w:pStyle w:val="5"/>
        <w:spacing w:line="364" w:lineRule="auto"/>
        <w:ind w:left="260" w:right="107" w:firstLine="480"/>
        <w:rPr>
          <w:color w:val="auto"/>
        </w:rPr>
      </w:pPr>
      <w:r>
        <w:rPr>
          <w:color w:val="auto"/>
        </w:rPr>
        <w:t>4</w:t>
      </w:r>
      <w:r>
        <w:rPr>
          <w:color w:val="auto"/>
          <w:spacing w:val="-10"/>
        </w:rPr>
        <w:t>、大气环境的应急监测主要为厂区和附近居民点监测。监测因子主要为：</w:t>
      </w:r>
      <w:r>
        <w:rPr>
          <w:rFonts w:hint="eastAsia"/>
          <w:color w:val="auto"/>
          <w:spacing w:val="-10"/>
          <w:lang w:val="en-US" w:eastAsia="zh-CN"/>
        </w:rPr>
        <w:t>CO、硫化氢、氨、</w:t>
      </w:r>
      <w:r>
        <w:rPr>
          <w:color w:val="auto"/>
          <w:spacing w:val="-10"/>
        </w:rPr>
        <w:t>TSP</w:t>
      </w:r>
      <w:r>
        <w:rPr>
          <w:color w:val="auto"/>
          <w:spacing w:val="-41"/>
        </w:rPr>
        <w:t>、</w:t>
      </w:r>
      <w:r>
        <w:rPr>
          <w:color w:val="auto"/>
        </w:rPr>
        <w:t>SO</w:t>
      </w:r>
      <w:r>
        <w:rPr>
          <w:color w:val="auto"/>
          <w:position w:val="-2"/>
          <w:sz w:val="12"/>
        </w:rPr>
        <w:t>2</w:t>
      </w:r>
      <w:r>
        <w:rPr>
          <w:color w:val="auto"/>
          <w:spacing w:val="-16"/>
        </w:rPr>
        <w:t>、</w:t>
      </w:r>
      <w:r>
        <w:rPr>
          <w:color w:val="auto"/>
        </w:rPr>
        <w:t>甲烷等。监测频次根据实际情况确定。</w:t>
      </w:r>
    </w:p>
    <w:p>
      <w:pPr>
        <w:pStyle w:val="5"/>
        <w:spacing w:line="364" w:lineRule="auto"/>
        <w:ind w:left="260" w:right="109" w:firstLine="480"/>
        <w:jc w:val="both"/>
      </w:pPr>
      <w:r>
        <w:rPr>
          <w:color w:val="auto"/>
        </w:rPr>
        <w:t>采样频次主要根据现场污染状况确定。事故刚发生时，采样频次</w:t>
      </w:r>
      <w:r>
        <w:t>可适当增加，待摸清污染物变化规律后，可减少采样频次。依据不同的环境区域功能和事故发生地的污染</w:t>
      </w:r>
      <w:r>
        <w:rPr>
          <w:spacing w:val="-10"/>
        </w:rPr>
        <w:t>实际情况，力求以最低的采样频次，取得最有代表性的样品，既满足反映环境污染程度、</w:t>
      </w:r>
      <w:r>
        <w:t>范围的要求，又切实可行。</w:t>
      </w:r>
    </w:p>
    <w:p>
      <w:pPr>
        <w:pStyle w:val="9"/>
        <w:numPr>
          <w:ilvl w:val="2"/>
          <w:numId w:val="27"/>
        </w:numPr>
        <w:tabs>
          <w:tab w:val="left" w:pos="800"/>
        </w:tabs>
        <w:spacing w:before="158" w:after="0" w:line="240" w:lineRule="auto"/>
        <w:ind w:left="800" w:right="0" w:hanging="540"/>
        <w:jc w:val="left"/>
      </w:pPr>
      <w:bookmarkStart w:id="377" w:name="6.5.4采样和现场监测安全事项"/>
      <w:bookmarkEnd w:id="377"/>
      <w:bookmarkStart w:id="378" w:name="_bookmark95"/>
      <w:bookmarkEnd w:id="378"/>
      <w:bookmarkStart w:id="379" w:name="_bookmark95"/>
      <w:bookmarkEnd w:id="379"/>
      <w:r>
        <w:t>采样和现场监测安全事项</w:t>
      </w:r>
    </w:p>
    <w:p>
      <w:pPr>
        <w:pStyle w:val="5"/>
        <w:spacing w:before="208"/>
        <w:ind w:left="740"/>
      </w:pPr>
      <w:r>
        <w:t>1、应急监测，至少二人同行。</w:t>
      </w:r>
    </w:p>
    <w:p>
      <w:pPr>
        <w:pStyle w:val="5"/>
        <w:spacing w:before="158" w:line="364" w:lineRule="auto"/>
        <w:ind w:left="260" w:right="229" w:firstLine="480"/>
        <w:jc w:val="both"/>
      </w:pPr>
      <w:r>
        <w:t>2、进入事故现场进行采样监测，应经现场指挥/警戒人员许可，在确认安全的情况下，按规定佩戴必需的防护设备（如防护服、防毒呼吸 器等)。</w:t>
      </w:r>
    </w:p>
    <w:p>
      <w:pPr>
        <w:pStyle w:val="5"/>
        <w:spacing w:before="1" w:line="364" w:lineRule="auto"/>
        <w:ind w:left="260" w:right="229" w:firstLine="480"/>
        <w:jc w:val="both"/>
      </w:pPr>
      <w:r>
        <w:t>3</w:t>
      </w:r>
      <w:r>
        <w:rPr>
          <w:spacing w:val="-10"/>
        </w:rPr>
        <w:t>、进入易燃易爆事故现场的应急监测车辆应有防火、防爆安全装置，应使用防爆的</w:t>
      </w:r>
      <w:r>
        <w:rPr>
          <w:spacing w:val="-4"/>
        </w:rPr>
        <w:t>现场应急监测仪器设备</w:t>
      </w:r>
      <w:r>
        <w:t>（包括附件如电源等</w:t>
      </w:r>
      <w:r>
        <w:rPr>
          <w:spacing w:val="-34"/>
        </w:rPr>
        <w:t>）</w:t>
      </w:r>
      <w:r>
        <w:rPr>
          <w:spacing w:val="-6"/>
        </w:rPr>
        <w:t>进行现场 监测，或在确认安全的情况下使</w:t>
      </w:r>
      <w:r>
        <w:t>用现场应急监测仪器设备进行现场监测。</w:t>
      </w:r>
    </w:p>
    <w:p>
      <w:pPr>
        <w:pStyle w:val="5"/>
        <w:spacing w:line="304" w:lineRule="exact"/>
        <w:ind w:left="740"/>
      </w:pPr>
      <w:r>
        <w:t>4、进入水体或登高采样，应穿戴救生衣或佩带防护安全带（绳）。</w:t>
      </w:r>
    </w:p>
    <w:p>
      <w:pPr>
        <w:pStyle w:val="5"/>
        <w:spacing w:before="159"/>
        <w:ind w:left="740"/>
      </w:pPr>
      <w:r>
        <w:t>5、配备必要的现场监测人员安全防护设备。常用的有：</w:t>
      </w:r>
    </w:p>
    <w:p>
      <w:pPr>
        <w:pStyle w:val="5"/>
        <w:spacing w:before="160"/>
        <w:ind w:left="740"/>
      </w:pPr>
      <w:r>
        <w:t>6、防护服、防护手套、胶靴等防酸碱、防有机物渗透的各类防护用品。</w:t>
      </w:r>
    </w:p>
    <w:p>
      <w:pPr>
        <w:pStyle w:val="5"/>
        <w:spacing w:before="161"/>
        <w:ind w:left="740"/>
      </w:pPr>
      <w:r>
        <w:t>7、各类防毒面具、防毒呼吸器（带氧气呼吸器）及常用的解毒药品。</w:t>
      </w:r>
    </w:p>
    <w:p>
      <w:pPr>
        <w:pStyle w:val="5"/>
        <w:spacing w:before="158" w:line="364" w:lineRule="auto"/>
        <w:ind w:left="260" w:right="130" w:firstLine="480"/>
      </w:pPr>
      <w:r>
        <w:t>8、防爆应急灯、醒目安全帽、带明显标志的小背心（色彩鲜艳且有荧 光反射物)、救生衣、防护安全带（绳)、呼救器等。</w:t>
      </w:r>
    </w:p>
    <w:p>
      <w:pPr>
        <w:pStyle w:val="9"/>
        <w:numPr>
          <w:ilvl w:val="2"/>
          <w:numId w:val="27"/>
        </w:numPr>
        <w:tabs>
          <w:tab w:val="left" w:pos="800"/>
        </w:tabs>
        <w:spacing w:before="0" w:after="0" w:line="306" w:lineRule="exact"/>
        <w:ind w:left="800" w:right="0" w:hanging="540"/>
        <w:jc w:val="left"/>
      </w:pPr>
      <w:bookmarkStart w:id="380" w:name="_bookmark96"/>
      <w:bookmarkEnd w:id="380"/>
      <w:bookmarkStart w:id="381" w:name="6.5.5内部、外部应急监测分工说明"/>
      <w:bookmarkEnd w:id="381"/>
      <w:bookmarkStart w:id="382" w:name="_bookmark96"/>
      <w:bookmarkEnd w:id="382"/>
      <w:r>
        <w:t>内部、外部应急监测分工说明</w:t>
      </w:r>
    </w:p>
    <w:p>
      <w:pPr>
        <w:pStyle w:val="5"/>
        <w:spacing w:before="208" w:line="364" w:lineRule="auto"/>
        <w:ind w:left="260" w:right="229" w:firstLine="480"/>
        <w:jc w:val="both"/>
      </w:pPr>
      <w:r>
        <w:t>由于本公司暂时没有能力配备监测机构，所有现场监测工作全部由宜春市环境监测站负责，宜春市环境监测站的监测人员到现场后，首先应确定监测方案，确定监测点位和监测频次，立即投入监测工作。</w:t>
      </w:r>
    </w:p>
    <w:p>
      <w:pPr>
        <w:pStyle w:val="5"/>
        <w:spacing w:line="364" w:lineRule="auto"/>
        <w:ind w:left="260" w:right="109" w:firstLine="480"/>
      </w:pPr>
      <w:r>
        <w:t>应急监测分工外部监测人员负责现场监测工作，将所需要的样品采回后，由实验室</w:t>
      </w:r>
      <w:r>
        <w:rPr>
          <w:spacing w:val="-11"/>
        </w:rPr>
        <w:t xml:space="preserve">人员进行分析，确保在样品保质期内分析完毕。同时样品分析过程原始记录信息量充足， </w:t>
      </w:r>
      <w:r>
        <w:t>重现性好，样品分析处理程序严格按照对应项目国家标准执行。样品浓度值应在所作标准曲线的现行浓度范围以内，不得将校准曲 线任意外延；测定样品同时绘制校准曲线， 标准等效溶液的预处理和分析处理方法和样品的要一致。</w:t>
      </w:r>
    </w:p>
    <w:p>
      <w:pPr>
        <w:pStyle w:val="8"/>
        <w:numPr>
          <w:ilvl w:val="1"/>
          <w:numId w:val="9"/>
        </w:numPr>
        <w:tabs>
          <w:tab w:val="left" w:pos="750"/>
        </w:tabs>
        <w:spacing w:before="0" w:after="0" w:line="358" w:lineRule="exact"/>
        <w:ind w:left="749" w:right="0" w:hanging="490"/>
        <w:jc w:val="left"/>
      </w:pPr>
      <w:bookmarkStart w:id="383" w:name="6.6 应急终止"/>
      <w:bookmarkEnd w:id="383"/>
      <w:bookmarkStart w:id="384" w:name="_bookmark97"/>
      <w:bookmarkEnd w:id="384"/>
      <w:bookmarkStart w:id="385" w:name="_bookmark97"/>
      <w:bookmarkEnd w:id="385"/>
      <w:bookmarkStart w:id="386" w:name="_Toc6675"/>
      <w:bookmarkStart w:id="387" w:name="_Toc11278"/>
      <w:r>
        <w:t>应急终止</w:t>
      </w:r>
      <w:bookmarkEnd w:id="386"/>
      <w:bookmarkEnd w:id="387"/>
    </w:p>
    <w:p>
      <w:pPr>
        <w:pStyle w:val="9"/>
        <w:numPr>
          <w:ilvl w:val="2"/>
          <w:numId w:val="28"/>
        </w:numPr>
        <w:tabs>
          <w:tab w:val="left" w:pos="800"/>
        </w:tabs>
        <w:spacing w:before="230" w:after="0" w:line="240" w:lineRule="auto"/>
        <w:ind w:left="800" w:right="0" w:hanging="540"/>
        <w:jc w:val="left"/>
      </w:pPr>
      <w:bookmarkStart w:id="388" w:name="_bookmark98"/>
      <w:bookmarkEnd w:id="388"/>
      <w:bookmarkStart w:id="389" w:name="_bookmark98"/>
      <w:bookmarkEnd w:id="389"/>
      <w:bookmarkStart w:id="390" w:name="6.6.1应急终止的条件"/>
      <w:bookmarkEnd w:id="390"/>
      <w:r>
        <w:t>应急终止的条件</w:t>
      </w:r>
    </w:p>
    <w:p>
      <w:pPr>
        <w:pStyle w:val="5"/>
        <w:spacing w:before="207"/>
        <w:ind w:left="740"/>
      </w:pPr>
      <w:r>
        <w:t>符合下列条件之一的，即满足应急终止条件：</w:t>
      </w:r>
    </w:p>
    <w:p>
      <w:pPr>
        <w:pStyle w:val="30"/>
        <w:numPr>
          <w:ilvl w:val="3"/>
          <w:numId w:val="28"/>
        </w:numPr>
        <w:tabs>
          <w:tab w:val="left" w:pos="1341"/>
        </w:tabs>
        <w:spacing w:before="160" w:after="0" w:line="240" w:lineRule="auto"/>
        <w:ind w:left="1341" w:right="0" w:hanging="601"/>
        <w:jc w:val="left"/>
        <w:rPr>
          <w:sz w:val="24"/>
        </w:rPr>
      </w:pPr>
      <w:r>
        <w:rPr>
          <w:sz w:val="24"/>
        </w:rPr>
        <w:t>突发环境事件现场得到控制，事件条件已经消除；</w:t>
      </w:r>
    </w:p>
    <w:p>
      <w:pPr>
        <w:pStyle w:val="30"/>
        <w:numPr>
          <w:ilvl w:val="3"/>
          <w:numId w:val="28"/>
        </w:numPr>
        <w:tabs>
          <w:tab w:val="left" w:pos="1341"/>
        </w:tabs>
        <w:spacing w:before="161" w:after="0" w:line="240" w:lineRule="auto"/>
        <w:ind w:left="1341" w:right="0" w:hanging="601"/>
        <w:jc w:val="left"/>
        <w:rPr>
          <w:sz w:val="24"/>
        </w:rPr>
      </w:pPr>
      <w:r>
        <w:rPr>
          <w:sz w:val="24"/>
        </w:rPr>
        <w:t>污染源（污水处理设施高浓废水）的泄漏或释放已降至规定限值以内；</w:t>
      </w:r>
    </w:p>
    <w:p>
      <w:pPr>
        <w:pStyle w:val="30"/>
        <w:numPr>
          <w:ilvl w:val="3"/>
          <w:numId w:val="28"/>
        </w:numPr>
        <w:tabs>
          <w:tab w:val="left" w:pos="1341"/>
        </w:tabs>
        <w:spacing w:before="158" w:after="0" w:line="240" w:lineRule="auto"/>
        <w:ind w:left="1341" w:right="0" w:hanging="601"/>
        <w:jc w:val="left"/>
        <w:rPr>
          <w:sz w:val="24"/>
        </w:rPr>
      </w:pPr>
      <w:r>
        <w:rPr>
          <w:sz w:val="24"/>
        </w:rPr>
        <w:t>突发环境事件造成的危害已经被消除，无继发的可能性；</w:t>
      </w:r>
    </w:p>
    <w:p>
      <w:pPr>
        <w:pStyle w:val="30"/>
        <w:numPr>
          <w:ilvl w:val="3"/>
          <w:numId w:val="28"/>
        </w:numPr>
        <w:tabs>
          <w:tab w:val="left" w:pos="1341"/>
        </w:tabs>
        <w:spacing w:before="160" w:after="0" w:line="240" w:lineRule="auto"/>
        <w:ind w:left="1341" w:right="0" w:hanging="601"/>
        <w:jc w:val="left"/>
        <w:rPr>
          <w:sz w:val="24"/>
        </w:rPr>
      </w:pPr>
      <w:r>
        <w:rPr>
          <w:sz w:val="24"/>
        </w:rPr>
        <w:t>突发环境事件现场的各种专业应急处置行动已无继续的必要；</w:t>
      </w:r>
    </w:p>
    <w:p>
      <w:pPr>
        <w:pStyle w:val="30"/>
        <w:numPr>
          <w:ilvl w:val="3"/>
          <w:numId w:val="28"/>
        </w:numPr>
        <w:tabs>
          <w:tab w:val="left" w:pos="1341"/>
        </w:tabs>
        <w:spacing w:before="160" w:after="0" w:line="240" w:lineRule="auto"/>
        <w:ind w:left="1341" w:right="0" w:hanging="601"/>
        <w:jc w:val="left"/>
        <w:rPr>
          <w:sz w:val="24"/>
        </w:rPr>
      </w:pPr>
      <w:r>
        <w:rPr>
          <w:spacing w:val="-3"/>
          <w:sz w:val="24"/>
        </w:rPr>
        <w:t>采取必要的防护措施以保护公众免受再次危害，并使突发环境事件可能引起</w:t>
      </w:r>
      <w:r>
        <w:rPr>
          <w:spacing w:val="-4"/>
          <w:sz w:val="24"/>
        </w:rPr>
        <w:t>的中长期影响趋于合理且尽量低的水平。</w:t>
      </w:r>
    </w:p>
    <w:p>
      <w:pPr>
        <w:pStyle w:val="9"/>
        <w:numPr>
          <w:ilvl w:val="2"/>
          <w:numId w:val="28"/>
        </w:numPr>
        <w:tabs>
          <w:tab w:val="left" w:pos="800"/>
        </w:tabs>
        <w:spacing w:before="5" w:after="0" w:line="240" w:lineRule="auto"/>
        <w:ind w:left="800" w:right="0" w:hanging="540"/>
        <w:jc w:val="left"/>
      </w:pPr>
      <w:bookmarkStart w:id="391" w:name="_bookmark99"/>
      <w:bookmarkEnd w:id="391"/>
      <w:bookmarkStart w:id="392" w:name="6.6.2应急终止的程序"/>
      <w:bookmarkEnd w:id="392"/>
      <w:bookmarkStart w:id="393" w:name="_bookmark99"/>
      <w:bookmarkEnd w:id="393"/>
      <w:r>
        <w:t>应急终止的程序</w:t>
      </w:r>
    </w:p>
    <w:p>
      <w:pPr>
        <w:pStyle w:val="30"/>
        <w:numPr>
          <w:ilvl w:val="0"/>
          <w:numId w:val="29"/>
        </w:numPr>
        <w:tabs>
          <w:tab w:val="left" w:pos="1341"/>
        </w:tabs>
        <w:spacing w:before="206" w:after="0" w:line="240" w:lineRule="auto"/>
        <w:ind w:left="1341" w:right="0" w:hanging="601"/>
        <w:jc w:val="left"/>
        <w:rPr>
          <w:sz w:val="24"/>
        </w:rPr>
      </w:pPr>
      <w:r>
        <w:rPr>
          <w:sz w:val="24"/>
        </w:rPr>
        <w:t>现场指挥部确认终止时机或由事件责任单位提出，经应急指挥部批准；</w:t>
      </w:r>
    </w:p>
    <w:p>
      <w:pPr>
        <w:pStyle w:val="30"/>
        <w:numPr>
          <w:ilvl w:val="0"/>
          <w:numId w:val="29"/>
        </w:numPr>
        <w:tabs>
          <w:tab w:val="left" w:pos="1341"/>
        </w:tabs>
        <w:spacing w:before="160" w:after="0" w:line="240" w:lineRule="auto"/>
        <w:ind w:left="1341" w:right="0" w:hanging="601"/>
        <w:jc w:val="left"/>
        <w:rPr>
          <w:sz w:val="24"/>
        </w:rPr>
      </w:pPr>
      <w:r>
        <w:rPr>
          <w:sz w:val="24"/>
        </w:rPr>
        <w:t>应急指挥部向各应急组下达应急终止命令。</w:t>
      </w:r>
    </w:p>
    <w:p>
      <w:pPr>
        <w:pStyle w:val="9"/>
        <w:numPr>
          <w:ilvl w:val="2"/>
          <w:numId w:val="28"/>
        </w:numPr>
        <w:tabs>
          <w:tab w:val="left" w:pos="800"/>
        </w:tabs>
        <w:spacing w:before="161" w:after="0" w:line="240" w:lineRule="auto"/>
        <w:ind w:left="800" w:right="0" w:hanging="540"/>
        <w:jc w:val="both"/>
      </w:pPr>
      <w:bookmarkStart w:id="394" w:name="6.6.3应急终止后的行动"/>
      <w:bookmarkEnd w:id="394"/>
      <w:bookmarkStart w:id="395" w:name="_bookmark100"/>
      <w:bookmarkEnd w:id="395"/>
      <w:bookmarkStart w:id="396" w:name="_bookmark100"/>
      <w:bookmarkEnd w:id="396"/>
      <w:r>
        <w:t>应急终止后的行动</w:t>
      </w:r>
    </w:p>
    <w:p>
      <w:pPr>
        <w:pStyle w:val="30"/>
        <w:numPr>
          <w:ilvl w:val="0"/>
          <w:numId w:val="30"/>
        </w:numPr>
        <w:tabs>
          <w:tab w:val="left" w:pos="1341"/>
        </w:tabs>
        <w:spacing w:before="206" w:after="0" w:line="364" w:lineRule="auto"/>
        <w:ind w:left="260" w:right="229" w:firstLine="480"/>
        <w:jc w:val="both"/>
        <w:rPr>
          <w:sz w:val="24"/>
        </w:rPr>
      </w:pPr>
      <w:r>
        <w:rPr>
          <w:spacing w:val="-6"/>
          <w:sz w:val="24"/>
        </w:rPr>
        <w:t>应急处置工作结束后，各应急小组撤离现场以前应取得应急指挥部的同意并</w:t>
      </w:r>
      <w:r>
        <w:rPr>
          <w:spacing w:val="-4"/>
          <w:sz w:val="24"/>
        </w:rPr>
        <w:t>要做好现场的清理工作。应急指挥部按《生产安全事故报告和调查处理条例》规定事故情况书面上报相关部门。</w:t>
      </w:r>
    </w:p>
    <w:p>
      <w:pPr>
        <w:pStyle w:val="30"/>
        <w:numPr>
          <w:ilvl w:val="0"/>
          <w:numId w:val="30"/>
        </w:numPr>
        <w:tabs>
          <w:tab w:val="left" w:pos="1341"/>
        </w:tabs>
        <w:spacing w:before="0" w:after="0" w:line="305" w:lineRule="exact"/>
        <w:ind w:left="1341" w:right="0" w:hanging="601"/>
        <w:jc w:val="left"/>
        <w:rPr>
          <w:sz w:val="24"/>
        </w:rPr>
      </w:pPr>
      <w:r>
        <w:rPr>
          <w:sz w:val="24"/>
        </w:rPr>
        <w:t>事故调查处理</w:t>
      </w:r>
    </w:p>
    <w:p>
      <w:pPr>
        <w:pStyle w:val="5"/>
        <w:spacing w:before="160"/>
        <w:ind w:left="740"/>
        <w:jc w:val="both"/>
      </w:pPr>
      <w:r>
        <w:t>① 按“四不放过”原则对事故进行调查处理。</w:t>
      </w:r>
    </w:p>
    <w:p>
      <w:pPr>
        <w:pStyle w:val="5"/>
        <w:spacing w:before="161" w:line="364" w:lineRule="auto"/>
        <w:ind w:left="260" w:right="229" w:firstLine="480"/>
        <w:jc w:val="both"/>
      </w:pPr>
      <w:r>
        <w:rPr>
          <w:spacing w:val="-7"/>
        </w:rPr>
        <w:t>② 按国家生产安全事故调查处理的规定，向有关部门提供事故调查处理所需的有关</w:t>
      </w:r>
      <w:r>
        <w:rPr>
          <w:spacing w:val="-1"/>
        </w:rPr>
        <w:t>资料。及时配合政府相关监管部门对事故进行调查处理工作，分析事故原因，追究相关</w:t>
      </w:r>
      <w:r>
        <w:t>责任，进行整改安排。</w:t>
      </w:r>
    </w:p>
    <w:p>
      <w:pPr>
        <w:pStyle w:val="30"/>
        <w:numPr>
          <w:ilvl w:val="0"/>
          <w:numId w:val="30"/>
        </w:numPr>
        <w:tabs>
          <w:tab w:val="left" w:pos="1341"/>
        </w:tabs>
        <w:spacing w:before="0" w:after="0" w:line="304" w:lineRule="exact"/>
        <w:ind w:left="1341" w:right="0" w:hanging="601"/>
        <w:jc w:val="left"/>
        <w:rPr>
          <w:sz w:val="24"/>
        </w:rPr>
      </w:pPr>
      <w:r>
        <w:rPr>
          <w:sz w:val="24"/>
        </w:rPr>
        <w:t>应急总结</w:t>
      </w:r>
    </w:p>
    <w:p>
      <w:pPr>
        <w:pStyle w:val="5"/>
        <w:spacing w:before="160" w:line="364" w:lineRule="auto"/>
        <w:ind w:left="260" w:right="229" w:firstLine="480"/>
      </w:pPr>
      <w:r>
        <w:t>应急终止后，指挥部负责编写应急总结（包括事故情况、初步原因分析，应急处置情况，应急救援经验、教训以及对本应急预案的意见和建议）。</w:t>
      </w:r>
    </w:p>
    <w:p>
      <w:pPr>
        <w:pStyle w:val="30"/>
        <w:numPr>
          <w:ilvl w:val="0"/>
          <w:numId w:val="30"/>
        </w:numPr>
        <w:tabs>
          <w:tab w:val="left" w:pos="1341"/>
        </w:tabs>
        <w:spacing w:before="0" w:after="0" w:line="364" w:lineRule="auto"/>
        <w:ind w:left="260" w:right="229" w:firstLine="480"/>
        <w:jc w:val="both"/>
        <w:rPr>
          <w:sz w:val="24"/>
        </w:rPr>
      </w:pPr>
      <w:r>
        <w:rPr>
          <w:spacing w:val="-9"/>
          <w:sz w:val="24"/>
        </w:rPr>
        <w:t>在恢复生产前，确保：①污染源被转移、处理、贮存或以合适方式处置。②应</w:t>
      </w:r>
      <w:r>
        <w:rPr>
          <w:spacing w:val="-1"/>
          <w:sz w:val="24"/>
        </w:rPr>
        <w:t>急设备设施器材完成了消除污染、维护、更新等工作，足以应对下次紧急状态。③有关设备得到维修或更换。④被污染场地得到清理或修复。⑤采取了其他预防事故再次发生</w:t>
      </w:r>
      <w:r>
        <w:rPr>
          <w:sz w:val="24"/>
        </w:rPr>
        <w:t>的措施。</w:t>
      </w:r>
    </w:p>
    <w:p>
      <w:pPr>
        <w:pStyle w:val="7"/>
        <w:numPr>
          <w:ilvl w:val="0"/>
          <w:numId w:val="9"/>
        </w:numPr>
        <w:tabs>
          <w:tab w:val="left" w:pos="580"/>
        </w:tabs>
        <w:spacing w:before="65" w:after="0" w:line="240" w:lineRule="auto"/>
        <w:ind w:left="579" w:right="0" w:hanging="320"/>
        <w:jc w:val="left"/>
      </w:pPr>
      <w:bookmarkStart w:id="397" w:name="_bookmark101"/>
      <w:bookmarkEnd w:id="397"/>
      <w:bookmarkStart w:id="398" w:name="7 后期处置 "/>
      <w:bookmarkEnd w:id="398"/>
      <w:bookmarkStart w:id="399" w:name="_bookmark101"/>
      <w:bookmarkEnd w:id="399"/>
      <w:bookmarkStart w:id="400" w:name="_Toc17898"/>
      <w:bookmarkStart w:id="401" w:name="_Toc31019"/>
      <w:r>
        <w:t>后期处置</w:t>
      </w:r>
      <w:bookmarkEnd w:id="400"/>
      <w:bookmarkEnd w:id="401"/>
    </w:p>
    <w:p>
      <w:pPr>
        <w:pStyle w:val="8"/>
        <w:numPr>
          <w:ilvl w:val="1"/>
          <w:numId w:val="9"/>
        </w:numPr>
        <w:tabs>
          <w:tab w:val="left" w:pos="750"/>
        </w:tabs>
        <w:spacing w:before="211" w:after="0" w:line="240" w:lineRule="auto"/>
        <w:ind w:left="749" w:right="0" w:hanging="490"/>
        <w:jc w:val="left"/>
      </w:pPr>
      <w:bookmarkStart w:id="402" w:name="7.1 现场恢复"/>
      <w:bookmarkEnd w:id="402"/>
      <w:bookmarkStart w:id="403" w:name="_bookmark102"/>
      <w:bookmarkEnd w:id="403"/>
      <w:bookmarkStart w:id="404" w:name="_bookmark102"/>
      <w:bookmarkEnd w:id="404"/>
      <w:bookmarkStart w:id="405" w:name="_Toc25680"/>
      <w:bookmarkStart w:id="406" w:name="_Toc5543"/>
      <w:r>
        <w:t>现场恢复</w:t>
      </w:r>
      <w:bookmarkEnd w:id="405"/>
      <w:bookmarkEnd w:id="406"/>
    </w:p>
    <w:p>
      <w:pPr>
        <w:pStyle w:val="9"/>
        <w:numPr>
          <w:ilvl w:val="2"/>
          <w:numId w:val="31"/>
        </w:numPr>
        <w:tabs>
          <w:tab w:val="left" w:pos="860"/>
        </w:tabs>
        <w:spacing w:before="233" w:after="0" w:line="240" w:lineRule="auto"/>
        <w:ind w:left="860" w:right="0" w:hanging="600"/>
        <w:jc w:val="both"/>
      </w:pPr>
      <w:bookmarkStart w:id="407" w:name="7.1.1 事件现场的保护措施"/>
      <w:bookmarkEnd w:id="407"/>
      <w:bookmarkStart w:id="408" w:name="_bookmark103"/>
      <w:bookmarkEnd w:id="408"/>
      <w:bookmarkStart w:id="409" w:name="_bookmark103"/>
      <w:bookmarkEnd w:id="409"/>
      <w:r>
        <w:t>事件现场的保护措施</w:t>
      </w:r>
    </w:p>
    <w:p>
      <w:pPr>
        <w:pStyle w:val="5"/>
        <w:spacing w:before="209" w:line="364" w:lineRule="auto"/>
        <w:ind w:left="260" w:right="109" w:firstLine="480"/>
        <w:jc w:val="both"/>
      </w:pPr>
      <w:r>
        <w:t xml:space="preserve">突发事件发生后，现场救援的同时做好事件现场保护工作，迅速采取必要措施，抢救人员和财产。因抢救伤员、防止事件扩大以及疏通交通等原因需要移动现场物件时， </w:t>
      </w:r>
      <w:r>
        <w:rPr>
          <w:spacing w:val="-9"/>
        </w:rPr>
        <w:t>尽可能做出标志、拍照、详细记录和绘制事件现场图，妥善保存现场重要痕迹、物证等。</w:t>
      </w:r>
    </w:p>
    <w:p>
      <w:pPr>
        <w:pStyle w:val="5"/>
        <w:spacing w:line="364" w:lineRule="auto"/>
        <w:ind w:left="260" w:right="229" w:firstLine="480"/>
        <w:jc w:val="both"/>
      </w:pPr>
      <w:r>
        <w:t>突发事件发生后，现场指挥人员应保持镇静，现场救援本着“先控制、后处置、救人第一、减少损失”的原则，果断处理，积极抢救，指导现场人员离开危险区域，维护好现场秩序，组织有序疏散，防止惊慌造成挤伤、踩伤等事件。疏散较为困难时，更应沉着冷静，不可采取莽撞措施。</w:t>
      </w:r>
    </w:p>
    <w:p>
      <w:pPr>
        <w:pStyle w:val="5"/>
        <w:spacing w:line="362" w:lineRule="auto"/>
        <w:ind w:left="260" w:right="229" w:firstLine="480"/>
      </w:pPr>
      <w:r>
        <w:t>在现场救援的同时，尽可能保护好生产设备和贵重物品，维护现场秩序，做好事件现场保护工作，上报事件有关材料，做好善后处理工作。</w:t>
      </w:r>
    </w:p>
    <w:p>
      <w:pPr>
        <w:pStyle w:val="30"/>
        <w:numPr>
          <w:ilvl w:val="3"/>
          <w:numId w:val="31"/>
        </w:numPr>
        <w:tabs>
          <w:tab w:val="left" w:pos="1341"/>
        </w:tabs>
        <w:spacing w:before="0" w:after="0" w:line="240" w:lineRule="auto"/>
        <w:ind w:left="1341" w:right="0" w:hanging="601"/>
        <w:jc w:val="left"/>
        <w:rPr>
          <w:sz w:val="24"/>
        </w:rPr>
      </w:pPr>
      <w:r>
        <w:rPr>
          <w:sz w:val="24"/>
        </w:rPr>
        <w:t>室外现场保护方法</w:t>
      </w:r>
    </w:p>
    <w:p>
      <w:pPr>
        <w:pStyle w:val="5"/>
        <w:spacing w:before="160"/>
        <w:ind w:left="740"/>
      </w:pPr>
      <w:r>
        <w:t>① 在事件现场周围绕以隔离带或撒白灰等做警示标记，防止他人入内；</w:t>
      </w:r>
    </w:p>
    <w:p>
      <w:pPr>
        <w:pStyle w:val="5"/>
        <w:spacing w:before="158"/>
        <w:ind w:left="740"/>
      </w:pPr>
      <w:r>
        <w:t>② 通过现场的道路，必要时可临时中断交通，配专人指挥行人或车辆绕道而行。</w:t>
      </w:r>
    </w:p>
    <w:p>
      <w:pPr>
        <w:pStyle w:val="5"/>
        <w:spacing w:before="160"/>
        <w:ind w:left="740"/>
      </w:pPr>
      <w:r>
        <w:t>③ 现场重要部位及现场进出口，应当设岗看守或者设置屏障遮挡；</w:t>
      </w:r>
    </w:p>
    <w:p>
      <w:pPr>
        <w:pStyle w:val="5"/>
        <w:spacing w:before="161"/>
        <w:ind w:left="740"/>
      </w:pPr>
      <w:r>
        <w:t>④ 环境发生改变时（如天气），要对现场上易变的痕迹物证采取适当的保护措施。</w:t>
      </w:r>
    </w:p>
    <w:p>
      <w:pPr>
        <w:pStyle w:val="30"/>
        <w:numPr>
          <w:ilvl w:val="3"/>
          <w:numId w:val="31"/>
        </w:numPr>
        <w:tabs>
          <w:tab w:val="left" w:pos="1341"/>
        </w:tabs>
        <w:spacing w:before="158" w:after="0" w:line="240" w:lineRule="auto"/>
        <w:ind w:left="1341" w:right="0" w:hanging="601"/>
        <w:jc w:val="left"/>
        <w:rPr>
          <w:sz w:val="24"/>
        </w:rPr>
      </w:pPr>
      <w:r>
        <w:rPr>
          <w:sz w:val="24"/>
        </w:rPr>
        <w:t>室内现场的保护措施</w:t>
      </w:r>
    </w:p>
    <w:p>
      <w:pPr>
        <w:pStyle w:val="5"/>
        <w:spacing w:before="160" w:line="362" w:lineRule="auto"/>
        <w:ind w:left="260" w:right="109" w:firstLine="480"/>
      </w:pPr>
      <w:r>
        <w:rPr>
          <w:spacing w:val="-13"/>
        </w:rPr>
        <w:t>① 封锁现场的出入口和通道。封锁出入口，重点是现场中心所在的出入口；在门口、</w:t>
      </w:r>
      <w:r>
        <w:rPr>
          <w:spacing w:val="-7"/>
        </w:rPr>
        <w:t>窗口和重要通道布设专人看守，如是双向通道须全部封锁，禁止一切无关人员进入现场；</w:t>
      </w:r>
    </w:p>
    <w:p>
      <w:pPr>
        <w:pStyle w:val="5"/>
        <w:spacing w:before="5" w:line="362" w:lineRule="auto"/>
        <w:ind w:left="260" w:right="229" w:firstLine="480"/>
      </w:pPr>
      <w:r>
        <w:rPr>
          <w:spacing w:val="-8"/>
        </w:rPr>
        <w:t>② 封锁现场周围地带。在现场周围划出一定的警戒范围，布置警戒，禁止人员进入</w:t>
      </w:r>
      <w:r>
        <w:t>现场，以防破坏现场外围的物证；</w:t>
      </w:r>
    </w:p>
    <w:p>
      <w:pPr>
        <w:pStyle w:val="5"/>
        <w:spacing w:before="5"/>
        <w:ind w:left="740"/>
      </w:pPr>
      <w:r>
        <w:t>③ 在实施封闭措施时，不能随便移动事件现场内的物品、物件。</w:t>
      </w:r>
    </w:p>
    <w:p>
      <w:pPr>
        <w:pStyle w:val="9"/>
        <w:numPr>
          <w:ilvl w:val="2"/>
          <w:numId w:val="31"/>
        </w:numPr>
        <w:tabs>
          <w:tab w:val="left" w:pos="800"/>
        </w:tabs>
        <w:spacing w:before="158" w:after="0" w:line="240" w:lineRule="auto"/>
        <w:ind w:left="800" w:right="0" w:hanging="540"/>
        <w:jc w:val="both"/>
      </w:pPr>
      <w:bookmarkStart w:id="410" w:name="7.1.2现场净化的方式、方法"/>
      <w:bookmarkEnd w:id="410"/>
      <w:bookmarkStart w:id="411" w:name="_bookmark104"/>
      <w:bookmarkEnd w:id="411"/>
      <w:bookmarkStart w:id="412" w:name="_bookmark104"/>
      <w:bookmarkEnd w:id="412"/>
      <w:r>
        <w:t>现场净化的方式、方法</w:t>
      </w:r>
    </w:p>
    <w:p>
      <w:pPr>
        <w:pStyle w:val="5"/>
        <w:spacing w:before="209" w:line="364" w:lineRule="auto"/>
        <w:ind w:left="260" w:right="229" w:firstLine="480"/>
        <w:jc w:val="both"/>
      </w:pPr>
      <w:r>
        <w:t>现场洗消工作由现场抢险组负责，现场抢险组人员在穿戴好防护用品的情况下对事件现场及救援车辆进行洗消处理，防止有毒有害物质扩散或被带出现场。洗消水引入污水处理站，以免污染</w:t>
      </w:r>
      <w:r>
        <w:rPr>
          <w:rFonts w:hint="eastAsia"/>
          <w:lang w:eastAsia="zh-CN"/>
        </w:rPr>
        <w:t>地表</w:t>
      </w:r>
      <w:r>
        <w:t>水水质及厂区周边农田，造成二次环境污染事件。</w:t>
      </w:r>
    </w:p>
    <w:p>
      <w:pPr>
        <w:pStyle w:val="5"/>
        <w:spacing w:line="362" w:lineRule="auto"/>
        <w:ind w:left="260" w:right="229" w:firstLine="480"/>
      </w:pPr>
      <w:r>
        <w:t>利用喷洒洗消液、抛洒粉状消毒剂等方式消除污染。一般在事件救援现场可采用三种洗消方式。</w:t>
      </w:r>
    </w:p>
    <w:p>
      <w:pPr>
        <w:pStyle w:val="30"/>
        <w:numPr>
          <w:ilvl w:val="0"/>
          <w:numId w:val="32"/>
        </w:numPr>
        <w:tabs>
          <w:tab w:val="left" w:pos="1341"/>
        </w:tabs>
        <w:spacing w:before="64" w:after="0" w:line="362" w:lineRule="auto"/>
        <w:ind w:left="260" w:right="227" w:firstLine="480"/>
        <w:jc w:val="left"/>
        <w:rPr>
          <w:sz w:val="24"/>
        </w:rPr>
      </w:pPr>
      <w:r>
        <w:rPr>
          <w:spacing w:val="-10"/>
          <w:sz w:val="24"/>
        </w:rPr>
        <w:t>源头洗消。在事件发生初期，对事件发生点、设备或存放间进行洗消，将污染</w:t>
      </w:r>
      <w:r>
        <w:rPr>
          <w:sz w:val="24"/>
        </w:rPr>
        <w:t>源严密控制在最小范围内；</w:t>
      </w:r>
    </w:p>
    <w:p>
      <w:pPr>
        <w:pStyle w:val="30"/>
        <w:numPr>
          <w:ilvl w:val="0"/>
          <w:numId w:val="32"/>
        </w:numPr>
        <w:tabs>
          <w:tab w:val="left" w:pos="1341"/>
        </w:tabs>
        <w:spacing w:before="5" w:after="0" w:line="362" w:lineRule="auto"/>
        <w:ind w:left="260" w:right="227" w:firstLine="480"/>
        <w:jc w:val="left"/>
        <w:rPr>
          <w:sz w:val="24"/>
        </w:rPr>
      </w:pPr>
      <w:r>
        <w:rPr>
          <w:spacing w:val="-10"/>
          <w:sz w:val="24"/>
        </w:rPr>
        <w:t>隔离洗消。当污染蔓延时，对下风向暴露的设备、通道喷洒洗消液，抛撒粉状</w:t>
      </w:r>
      <w:r>
        <w:rPr>
          <w:sz w:val="24"/>
        </w:rPr>
        <w:t>消毒剂，形成保护层，污染降落物流经时即可产生反应，减低甚至消除危害；</w:t>
      </w:r>
    </w:p>
    <w:p>
      <w:pPr>
        <w:pStyle w:val="30"/>
        <w:numPr>
          <w:ilvl w:val="0"/>
          <w:numId w:val="32"/>
        </w:numPr>
        <w:tabs>
          <w:tab w:val="left" w:pos="1341"/>
        </w:tabs>
        <w:spacing w:before="4" w:after="0" w:line="364" w:lineRule="auto"/>
        <w:ind w:left="260" w:right="229" w:firstLine="480"/>
        <w:jc w:val="left"/>
        <w:rPr>
          <w:sz w:val="24"/>
        </w:rPr>
      </w:pPr>
      <w:r>
        <w:rPr>
          <w:spacing w:val="-8"/>
          <w:sz w:val="24"/>
        </w:rPr>
        <w:t>延伸洗消。在控制住污染源后，从事件发生地开始向下风方向对污染区逐次</w:t>
      </w:r>
      <w:r>
        <w:rPr>
          <w:spacing w:val="-4"/>
          <w:sz w:val="24"/>
        </w:rPr>
        <w:t>推进全面而彻底的洗消。</w:t>
      </w:r>
    </w:p>
    <w:p>
      <w:pPr>
        <w:pStyle w:val="9"/>
        <w:numPr>
          <w:ilvl w:val="2"/>
          <w:numId w:val="31"/>
        </w:numPr>
        <w:tabs>
          <w:tab w:val="left" w:pos="860"/>
        </w:tabs>
        <w:spacing w:before="0" w:after="0" w:line="306" w:lineRule="exact"/>
        <w:ind w:left="860" w:right="0" w:hanging="600"/>
        <w:jc w:val="left"/>
      </w:pPr>
      <w:bookmarkStart w:id="413" w:name="7.1.3 洗消后的二次污染的防治方案"/>
      <w:bookmarkEnd w:id="413"/>
      <w:bookmarkStart w:id="414" w:name="_bookmark105"/>
      <w:bookmarkEnd w:id="414"/>
      <w:bookmarkStart w:id="415" w:name="_bookmark105"/>
      <w:bookmarkEnd w:id="415"/>
      <w:r>
        <w:t>洗消后的二次污染的防治方案</w:t>
      </w:r>
    </w:p>
    <w:p>
      <w:pPr>
        <w:pStyle w:val="5"/>
        <w:spacing w:before="209" w:line="362" w:lineRule="auto"/>
        <w:ind w:left="260" w:right="109" w:firstLine="480"/>
      </w:pPr>
      <w:r>
        <w:rPr>
          <w:spacing w:val="-8"/>
        </w:rPr>
        <w:t xml:space="preserve">污染事件现场洗消后，要防止二次污染，制定二次污染防治方案，确保无二次污染， </w:t>
      </w:r>
      <w:r>
        <w:t>并确认污染控制彻底。</w:t>
      </w:r>
    </w:p>
    <w:p>
      <w:pPr>
        <w:pStyle w:val="5"/>
        <w:spacing w:before="3" w:line="364" w:lineRule="auto"/>
        <w:ind w:left="260" w:right="229" w:firstLine="480"/>
        <w:jc w:val="both"/>
      </w:pPr>
      <w:r>
        <w:t>根据企业突发环境事件的实际情况，在消洗过程中用到的化学药品、消防用水采用合理的围堵设施通过管道收集后，进入厂区污水处理站统一处理达标后进入污水处理厂进一步处理，处理达标后排放。</w:t>
      </w:r>
    </w:p>
    <w:p>
      <w:pPr>
        <w:pStyle w:val="9"/>
        <w:numPr>
          <w:ilvl w:val="2"/>
          <w:numId w:val="31"/>
        </w:numPr>
        <w:tabs>
          <w:tab w:val="left" w:pos="860"/>
        </w:tabs>
        <w:spacing w:before="0" w:after="0" w:line="307" w:lineRule="exact"/>
        <w:ind w:left="860" w:right="0" w:hanging="600"/>
        <w:jc w:val="left"/>
      </w:pPr>
      <w:bookmarkStart w:id="416" w:name="_bookmark106"/>
      <w:bookmarkEnd w:id="416"/>
      <w:bookmarkStart w:id="417" w:name="_bookmark106"/>
      <w:bookmarkEnd w:id="417"/>
      <w:bookmarkStart w:id="418" w:name="7.1.4 环境恢复"/>
      <w:bookmarkEnd w:id="418"/>
      <w:r>
        <w:t>环境恢复</w:t>
      </w:r>
    </w:p>
    <w:p>
      <w:pPr>
        <w:pStyle w:val="5"/>
        <w:spacing w:before="208" w:line="364" w:lineRule="auto"/>
        <w:ind w:left="260" w:right="229" w:firstLine="480"/>
        <w:jc w:val="both"/>
      </w:pPr>
      <w:r>
        <w:t>应急终止后，总指挥及其他主要负责人组织相关人员到现场勘查，对事件地的现场及厂区周围的环境等进行调查，会同外部专家制定对受影响的生态环境恢复的措施和方案恢复周边生态环境，加强生态环境治理措施，确保在一定期限内恢复生态环境平衡。</w:t>
      </w:r>
    </w:p>
    <w:p>
      <w:pPr>
        <w:pStyle w:val="8"/>
        <w:numPr>
          <w:ilvl w:val="1"/>
          <w:numId w:val="9"/>
        </w:numPr>
        <w:tabs>
          <w:tab w:val="left" w:pos="750"/>
        </w:tabs>
        <w:spacing w:before="0" w:after="0" w:line="240" w:lineRule="auto"/>
        <w:ind w:left="749" w:right="0" w:hanging="490"/>
        <w:jc w:val="left"/>
      </w:pPr>
      <w:bookmarkStart w:id="419" w:name="_bookmark107"/>
      <w:bookmarkEnd w:id="419"/>
      <w:bookmarkStart w:id="420" w:name="7.2 善后处置"/>
      <w:bookmarkEnd w:id="420"/>
      <w:bookmarkStart w:id="421" w:name="_bookmark107"/>
      <w:bookmarkEnd w:id="421"/>
      <w:bookmarkStart w:id="422" w:name="_Toc32713"/>
      <w:bookmarkStart w:id="423" w:name="_Toc13926"/>
      <w:r>
        <w:t>善后处置</w:t>
      </w:r>
      <w:bookmarkEnd w:id="422"/>
      <w:bookmarkEnd w:id="423"/>
    </w:p>
    <w:p>
      <w:pPr>
        <w:pStyle w:val="5"/>
        <w:spacing w:before="231"/>
        <w:ind w:left="740"/>
      </w:pPr>
      <w:r>
        <w:t>突发环境事件应急终止后，善后处置主要有以下几个方面：</w:t>
      </w:r>
    </w:p>
    <w:p>
      <w:pPr>
        <w:pStyle w:val="5"/>
        <w:spacing w:before="161"/>
        <w:ind w:left="740"/>
      </w:pPr>
      <w:r>
        <w:t>①做好受灾人员的安置工作，对全公司员工做好精神安抚工作；</w:t>
      </w:r>
    </w:p>
    <w:p>
      <w:pPr>
        <w:pStyle w:val="5"/>
        <w:spacing w:before="158" w:line="364" w:lineRule="auto"/>
        <w:ind w:left="260" w:right="229" w:firstLine="480"/>
      </w:pPr>
      <w:r>
        <w:t>②对受伤严重人员继续治疗，并及时对环境应急工作人员办理意外伤害赔偿事宜， 以保证公司人心稳定，快速恢复生产；</w:t>
      </w:r>
    </w:p>
    <w:p>
      <w:pPr>
        <w:pStyle w:val="5"/>
        <w:spacing w:before="1"/>
        <w:ind w:left="740"/>
      </w:pPr>
      <w:r>
        <w:t>③对投保资产损失进行统计，向投保的保险公司联系理赔事宜；</w:t>
      </w:r>
    </w:p>
    <w:p>
      <w:pPr>
        <w:pStyle w:val="5"/>
        <w:spacing w:before="158"/>
        <w:ind w:left="740"/>
      </w:pPr>
      <w:r>
        <w:t>④清查短缺物资或临时征用物资，根据国家政策予以补偿。</w:t>
      </w:r>
    </w:p>
    <w:p>
      <w:pPr>
        <w:pStyle w:val="8"/>
        <w:numPr>
          <w:ilvl w:val="1"/>
          <w:numId w:val="9"/>
        </w:numPr>
        <w:tabs>
          <w:tab w:val="left" w:pos="750"/>
        </w:tabs>
        <w:spacing w:before="159" w:after="0" w:line="240" w:lineRule="auto"/>
        <w:ind w:left="749" w:right="0" w:hanging="490"/>
        <w:jc w:val="left"/>
      </w:pPr>
      <w:bookmarkStart w:id="424" w:name="7.3 事件调查"/>
      <w:bookmarkEnd w:id="424"/>
      <w:bookmarkStart w:id="425" w:name="_bookmark108"/>
      <w:bookmarkEnd w:id="425"/>
      <w:bookmarkStart w:id="426" w:name="_bookmark108"/>
      <w:bookmarkEnd w:id="426"/>
      <w:bookmarkStart w:id="427" w:name="_Toc11394"/>
      <w:bookmarkStart w:id="428" w:name="_Toc29709"/>
      <w:r>
        <w:t>事件调查</w:t>
      </w:r>
      <w:bookmarkEnd w:id="427"/>
      <w:bookmarkEnd w:id="428"/>
    </w:p>
    <w:p>
      <w:pPr>
        <w:pStyle w:val="5"/>
        <w:spacing w:before="233" w:line="364" w:lineRule="auto"/>
        <w:ind w:left="260" w:right="229" w:firstLine="480"/>
        <w:jc w:val="both"/>
      </w:pPr>
      <w:r>
        <w:t>发生突发环境事件后，除按照上级管理部门要求配合进行事件调查外，本填埋场自身应组成事件调查组进行事件调查。事件调查处理应坚持实事求是、尊重科学的原则， 客观、公正、准确、及时地查清事件原因，查明事件性质和责任，总结事件教训，提出防范措施和事件责任处理意见，做到“四不放过”。事件调查和处理按照国家有关规定执行。</w:t>
      </w:r>
    </w:p>
    <w:p>
      <w:pPr>
        <w:pStyle w:val="7"/>
        <w:numPr>
          <w:ilvl w:val="0"/>
          <w:numId w:val="9"/>
        </w:numPr>
        <w:tabs>
          <w:tab w:val="left" w:pos="580"/>
        </w:tabs>
        <w:spacing w:before="65" w:after="0" w:line="240" w:lineRule="auto"/>
        <w:ind w:left="579" w:right="0" w:hanging="320"/>
        <w:jc w:val="left"/>
      </w:pPr>
      <w:bookmarkStart w:id="429" w:name="_bookmark109"/>
      <w:bookmarkEnd w:id="429"/>
      <w:bookmarkStart w:id="430" w:name="_bookmark109"/>
      <w:bookmarkEnd w:id="430"/>
      <w:bookmarkStart w:id="431" w:name="8 应急保障"/>
      <w:bookmarkEnd w:id="431"/>
      <w:bookmarkStart w:id="432" w:name="_Toc803"/>
      <w:bookmarkStart w:id="433" w:name="_Toc20560"/>
      <w:r>
        <w:t>应急保障</w:t>
      </w:r>
      <w:bookmarkEnd w:id="432"/>
      <w:bookmarkEnd w:id="433"/>
    </w:p>
    <w:p>
      <w:pPr>
        <w:pStyle w:val="8"/>
        <w:numPr>
          <w:ilvl w:val="1"/>
          <w:numId w:val="9"/>
        </w:numPr>
        <w:tabs>
          <w:tab w:val="left" w:pos="750"/>
        </w:tabs>
        <w:spacing w:before="211" w:after="0" w:line="240" w:lineRule="auto"/>
        <w:ind w:left="749" w:right="0" w:hanging="490"/>
        <w:jc w:val="left"/>
      </w:pPr>
      <w:bookmarkStart w:id="434" w:name="_bookmark110"/>
      <w:bookmarkEnd w:id="434"/>
      <w:bookmarkStart w:id="435" w:name="_bookmark110"/>
      <w:bookmarkEnd w:id="435"/>
      <w:bookmarkStart w:id="436" w:name="8.1 资金保障"/>
      <w:bookmarkEnd w:id="436"/>
      <w:bookmarkStart w:id="437" w:name="_Toc25841"/>
      <w:bookmarkStart w:id="438" w:name="_Toc4715"/>
      <w:r>
        <w:t>资金保障</w:t>
      </w:r>
      <w:bookmarkEnd w:id="437"/>
      <w:bookmarkEnd w:id="438"/>
    </w:p>
    <w:p>
      <w:pPr>
        <w:pStyle w:val="5"/>
        <w:spacing w:before="233" w:line="364" w:lineRule="auto"/>
        <w:ind w:left="260" w:right="229" w:firstLine="480"/>
      </w:pPr>
      <w:r>
        <w:t>针对本公司突发环境事件，应急指挥部在财务部设立应急救援专用资金，并根据公司每年的产值和运营状况进行合理的匹配。</w:t>
      </w:r>
    </w:p>
    <w:p>
      <w:pPr>
        <w:pStyle w:val="8"/>
        <w:numPr>
          <w:ilvl w:val="1"/>
          <w:numId w:val="9"/>
        </w:numPr>
        <w:tabs>
          <w:tab w:val="left" w:pos="750"/>
        </w:tabs>
        <w:spacing w:before="0" w:after="0" w:line="358" w:lineRule="exact"/>
        <w:ind w:left="749" w:right="0" w:hanging="490"/>
        <w:jc w:val="left"/>
      </w:pPr>
      <w:bookmarkStart w:id="439" w:name="_bookmark111"/>
      <w:bookmarkEnd w:id="439"/>
      <w:bookmarkStart w:id="440" w:name="_bookmark111"/>
      <w:bookmarkEnd w:id="440"/>
      <w:bookmarkStart w:id="441" w:name="8.2 物质装备保障"/>
      <w:bookmarkEnd w:id="441"/>
      <w:bookmarkStart w:id="442" w:name="_Toc12191"/>
      <w:bookmarkStart w:id="443" w:name="_Toc28266"/>
      <w:r>
        <w:t>物质装备保障</w:t>
      </w:r>
      <w:bookmarkEnd w:id="442"/>
      <w:bookmarkEnd w:id="443"/>
    </w:p>
    <w:p>
      <w:pPr>
        <w:pStyle w:val="5"/>
        <w:spacing w:before="233" w:line="364" w:lineRule="auto"/>
        <w:ind w:left="260" w:right="109" w:firstLine="480"/>
      </w:pPr>
      <w:r>
        <w:t>应急物资保质保量的储备和供应是应急抢险顺利进行的基础保障。本公司主要由物</w:t>
      </w:r>
      <w:r>
        <w:rPr>
          <w:spacing w:val="-8"/>
        </w:rPr>
        <w:t xml:space="preserve">资保障组负责此项工作，公司在仓库内设应急物资装备间，建立应急物资装备管理条例， </w:t>
      </w:r>
      <w:r>
        <w:t>应急物资装备将应由专人看管，定期检查补充物资，并确保各物资装备始终处于完好状态，保证应急抢险时能有效使用。</w:t>
      </w:r>
    </w:p>
    <w:p>
      <w:pPr>
        <w:pStyle w:val="5"/>
        <w:spacing w:line="305" w:lineRule="exact"/>
        <w:ind w:left="740"/>
        <w:jc w:val="center"/>
        <w:rPr>
          <w:rFonts w:hint="eastAsia"/>
          <w:lang w:val="en-US" w:eastAsia="zh-CN"/>
        </w:rPr>
      </w:pPr>
      <w:r>
        <w:rPr>
          <w:rFonts w:hint="eastAsia"/>
          <w:b/>
          <w:bCs/>
          <w:lang w:eastAsia="zh-CN"/>
        </w:rPr>
        <w:t>表</w:t>
      </w:r>
      <w:r>
        <w:rPr>
          <w:rFonts w:hint="eastAsia"/>
          <w:b/>
          <w:bCs/>
          <w:lang w:val="en-US" w:eastAsia="zh-CN"/>
        </w:rPr>
        <w:t>8-1 应急装备一览表</w:t>
      </w:r>
    </w:p>
    <w:tbl>
      <w:tblPr>
        <w:tblStyle w:val="14"/>
        <w:tblW w:w="8897"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7"/>
        <w:gridCol w:w="2510"/>
        <w:gridCol w:w="1134"/>
        <w:gridCol w:w="1276"/>
        <w:gridCol w:w="1559"/>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名称</w:t>
            </w:r>
          </w:p>
        </w:tc>
        <w:tc>
          <w:tcPr>
            <w:tcW w:w="1134" w:type="dxa"/>
          </w:tcPr>
          <w:p>
            <w:pPr>
              <w:pStyle w:val="31"/>
              <w:keepNext w:val="0"/>
              <w:keepLines w:val="0"/>
              <w:pageBreakBefore w:val="0"/>
              <w:widowControl w:val="0"/>
              <w:tabs>
                <w:tab w:val="left" w:pos="428"/>
              </w:tabs>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单</w:t>
            </w:r>
            <w:r>
              <w:rPr>
                <w:rFonts w:hint="eastAsia" w:ascii="宋体" w:hAnsi="宋体" w:eastAsia="宋体" w:cs="宋体"/>
                <w:color w:val="auto"/>
                <w:sz w:val="21"/>
                <w:szCs w:val="21"/>
              </w:rPr>
              <w:tab/>
            </w:r>
            <w:r>
              <w:rPr>
                <w:rFonts w:hint="eastAsia" w:ascii="宋体" w:hAnsi="宋体" w:eastAsia="宋体" w:cs="宋体"/>
                <w:color w:val="auto"/>
                <w:sz w:val="21"/>
                <w:szCs w:val="21"/>
              </w:rPr>
              <w:t>位</w:t>
            </w:r>
          </w:p>
        </w:tc>
        <w:tc>
          <w:tcPr>
            <w:tcW w:w="1276" w:type="dxa"/>
          </w:tcPr>
          <w:p>
            <w:pPr>
              <w:pStyle w:val="31"/>
              <w:keepNext w:val="0"/>
              <w:keepLines w:val="0"/>
              <w:pageBreakBefore w:val="0"/>
              <w:widowControl w:val="0"/>
              <w:tabs>
                <w:tab w:val="left" w:pos="428"/>
              </w:tabs>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数</w:t>
            </w:r>
            <w:r>
              <w:rPr>
                <w:rFonts w:hint="eastAsia" w:ascii="宋体" w:hAnsi="宋体" w:eastAsia="宋体" w:cs="宋体"/>
                <w:color w:val="auto"/>
                <w:sz w:val="21"/>
                <w:szCs w:val="21"/>
              </w:rPr>
              <w:tab/>
            </w:r>
            <w:r>
              <w:rPr>
                <w:rFonts w:hint="eastAsia" w:ascii="宋体" w:hAnsi="宋体" w:eastAsia="宋体" w:cs="宋体"/>
                <w:color w:val="auto"/>
                <w:sz w:val="21"/>
                <w:szCs w:val="21"/>
              </w:rPr>
              <w:t>量</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功能</w:t>
            </w:r>
          </w:p>
        </w:tc>
        <w:tc>
          <w:tcPr>
            <w:tcW w:w="1701"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存 放 地 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胶手套</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双</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30</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身体防护</w:t>
            </w:r>
          </w:p>
        </w:tc>
        <w:tc>
          <w:tcPr>
            <w:tcW w:w="1701"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应急物资库</w:t>
            </w: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（设在仓库内）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胶鞋</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双</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全身防化服</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套</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4</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防护镜</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防毒面具</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套</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6</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口罩</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40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7</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安全马甲</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件</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8</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隔离带</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米</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500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隔离</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9</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充电电筒</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应急照明</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铁铲</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把</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15</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b/>
                <w:color w:val="auto"/>
                <w:sz w:val="21"/>
                <w:szCs w:val="21"/>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应急抢险</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镐头</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把</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千斤顶</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撬棍</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根</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编织袋</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条</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50</w:t>
            </w:r>
          </w:p>
        </w:tc>
        <w:tc>
          <w:tcPr>
            <w:tcW w:w="1559"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塑料膜</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m2</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100</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石灰</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吨</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电缆线</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m</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200</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吊装带</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条</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电焊机</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台</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污水泵</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台</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对讲机</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通讯联络</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手持扩音器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急救箱</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3</w:t>
            </w:r>
          </w:p>
        </w:tc>
        <w:tc>
          <w:tcPr>
            <w:tcW w:w="1559" w:type="dxa"/>
            <w:vMerge w:val="restart"/>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伤员救护</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24</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医用氧气袋</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个</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25</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苏生器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台</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2</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26</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担架</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1559" w:type="dxa"/>
            <w:vMerge w:val="continue"/>
            <w:tcBorders>
              <w:top w:val="nil"/>
            </w:tcBorders>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717"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27</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PH 试纸</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条</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环境监测</w:t>
            </w:r>
          </w:p>
        </w:tc>
        <w:tc>
          <w:tcPr>
            <w:tcW w:w="1701" w:type="dxa"/>
            <w:vMerge w:val="continue"/>
            <w:tcBorders>
              <w:top w:val="nil"/>
            </w:tcBorders>
          </w:tcPr>
          <w:p>
            <w:pPr>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17" w:type="dxa"/>
          </w:tcPr>
          <w:p>
            <w:pPr>
              <w:pStyle w:val="31"/>
              <w:spacing w:before="36"/>
              <w:ind w:left="87" w:right="78"/>
              <w:rPr>
                <w:color w:val="auto"/>
                <w:sz w:val="21"/>
              </w:rPr>
            </w:pPr>
            <w:r>
              <w:rPr>
                <w:color w:val="auto"/>
                <w:sz w:val="21"/>
              </w:rPr>
              <w:t>28</w:t>
            </w:r>
          </w:p>
        </w:tc>
        <w:tc>
          <w:tcPr>
            <w:tcW w:w="2510" w:type="dxa"/>
          </w:tcPr>
          <w:p>
            <w:pPr>
              <w:pStyle w:val="31"/>
              <w:spacing w:before="36"/>
              <w:ind w:left="701" w:right="692"/>
              <w:rPr>
                <w:color w:val="auto"/>
                <w:sz w:val="21"/>
              </w:rPr>
            </w:pPr>
            <w:r>
              <w:rPr>
                <w:color w:val="auto"/>
                <w:sz w:val="21"/>
              </w:rPr>
              <w:t>消防沙</w:t>
            </w:r>
          </w:p>
        </w:tc>
        <w:tc>
          <w:tcPr>
            <w:tcW w:w="1134" w:type="dxa"/>
          </w:tcPr>
          <w:p>
            <w:pPr>
              <w:pStyle w:val="31"/>
              <w:spacing w:before="40"/>
              <w:ind w:left="8"/>
              <w:rPr>
                <w:color w:val="auto"/>
                <w:sz w:val="10"/>
              </w:rPr>
            </w:pPr>
            <w:r>
              <w:rPr>
                <w:color w:val="auto"/>
                <w:spacing w:val="1"/>
                <w:w w:val="99"/>
                <w:position w:val="-10"/>
                <w:sz w:val="21"/>
              </w:rPr>
              <w:t>m</w:t>
            </w:r>
            <w:r>
              <w:rPr>
                <w:color w:val="auto"/>
                <w:w w:val="106"/>
                <w:sz w:val="10"/>
              </w:rPr>
              <w:t>3</w:t>
            </w:r>
          </w:p>
        </w:tc>
        <w:tc>
          <w:tcPr>
            <w:tcW w:w="1276" w:type="dxa"/>
          </w:tcPr>
          <w:p>
            <w:pPr>
              <w:pStyle w:val="31"/>
              <w:spacing w:before="36"/>
              <w:ind w:left="6"/>
              <w:rPr>
                <w:color w:val="auto"/>
                <w:sz w:val="21"/>
              </w:rPr>
            </w:pPr>
            <w:r>
              <w:rPr>
                <w:color w:val="auto"/>
                <w:w w:val="99"/>
                <w:sz w:val="21"/>
              </w:rPr>
              <w:t>5</w:t>
            </w:r>
          </w:p>
        </w:tc>
        <w:tc>
          <w:tcPr>
            <w:tcW w:w="1559" w:type="dxa"/>
          </w:tcPr>
          <w:p>
            <w:pPr>
              <w:pStyle w:val="31"/>
              <w:spacing w:before="36"/>
              <w:ind w:left="336" w:right="331"/>
              <w:rPr>
                <w:color w:val="auto"/>
                <w:sz w:val="21"/>
              </w:rPr>
            </w:pPr>
            <w:r>
              <w:rPr>
                <w:color w:val="auto"/>
                <w:sz w:val="21"/>
              </w:rPr>
              <w:t>消防</w:t>
            </w:r>
          </w:p>
        </w:tc>
        <w:tc>
          <w:tcPr>
            <w:tcW w:w="1701" w:type="dxa"/>
          </w:tcPr>
          <w:p>
            <w:pPr>
              <w:pStyle w:val="31"/>
              <w:spacing w:before="36"/>
              <w:ind w:left="92" w:right="86"/>
              <w:rPr>
                <w:color w:val="auto"/>
                <w:sz w:val="21"/>
              </w:rPr>
            </w:pPr>
            <w:r>
              <w:rPr>
                <w:color w:val="auto"/>
                <w:sz w:val="21"/>
              </w:rPr>
              <w:t>屠宰车间旁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717" w:type="dxa"/>
          </w:tcPr>
          <w:p>
            <w:pPr>
              <w:pStyle w:val="31"/>
              <w:spacing w:before="69"/>
              <w:ind w:left="87" w:right="78"/>
              <w:rPr>
                <w:color w:val="auto"/>
                <w:sz w:val="21"/>
              </w:rPr>
            </w:pPr>
            <w:r>
              <w:rPr>
                <w:color w:val="auto"/>
                <w:sz w:val="21"/>
              </w:rPr>
              <w:t>29</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10</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69"/>
              <w:ind w:left="95" w:right="86"/>
              <w:rPr>
                <w:color w:val="auto"/>
                <w:sz w:val="21"/>
              </w:rPr>
            </w:pPr>
            <w:r>
              <w:rPr>
                <w:color w:val="auto"/>
                <w:sz w:val="21"/>
              </w:rPr>
              <w:t>办公楼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717" w:type="dxa"/>
          </w:tcPr>
          <w:p>
            <w:pPr>
              <w:pStyle w:val="31"/>
              <w:spacing w:before="46"/>
              <w:ind w:left="87" w:right="78"/>
              <w:rPr>
                <w:color w:val="auto"/>
                <w:sz w:val="21"/>
              </w:rPr>
            </w:pPr>
            <w:r>
              <w:rPr>
                <w:color w:val="auto"/>
                <w:sz w:val="21"/>
              </w:rPr>
              <w:t>30</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5</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46"/>
              <w:ind w:left="92" w:right="86"/>
              <w:rPr>
                <w:color w:val="auto"/>
                <w:sz w:val="21"/>
              </w:rPr>
            </w:pPr>
            <w:r>
              <w:rPr>
                <w:color w:val="auto"/>
                <w:sz w:val="21"/>
              </w:rPr>
              <w:t>屠宰车间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717" w:type="dxa"/>
          </w:tcPr>
          <w:p>
            <w:pPr>
              <w:pStyle w:val="31"/>
              <w:spacing w:before="56"/>
              <w:ind w:left="87" w:right="78"/>
              <w:rPr>
                <w:color w:val="auto"/>
                <w:sz w:val="21"/>
              </w:rPr>
            </w:pPr>
            <w:r>
              <w:rPr>
                <w:color w:val="auto"/>
                <w:sz w:val="21"/>
              </w:rPr>
              <w:t>31</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8</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56"/>
              <w:ind w:left="92" w:right="86"/>
              <w:rPr>
                <w:color w:val="auto"/>
                <w:sz w:val="21"/>
              </w:rPr>
            </w:pPr>
            <w:r>
              <w:rPr>
                <w:color w:val="auto"/>
                <w:sz w:val="21"/>
              </w:rPr>
              <w:t>职工宿舍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17" w:type="dxa"/>
          </w:tcPr>
          <w:p>
            <w:pPr>
              <w:pStyle w:val="31"/>
              <w:spacing w:before="60"/>
              <w:ind w:left="87" w:right="78"/>
              <w:rPr>
                <w:color w:val="auto"/>
                <w:sz w:val="21"/>
              </w:rPr>
            </w:pPr>
            <w:r>
              <w:rPr>
                <w:color w:val="auto"/>
                <w:sz w:val="21"/>
              </w:rPr>
              <w:t>32</w:t>
            </w:r>
          </w:p>
        </w:tc>
        <w:tc>
          <w:tcPr>
            <w:tcW w:w="2510"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干粉灭火器</w:t>
            </w:r>
          </w:p>
        </w:tc>
        <w:tc>
          <w:tcPr>
            <w:tcW w:w="1134"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支</w:t>
            </w:r>
          </w:p>
        </w:tc>
        <w:tc>
          <w:tcPr>
            <w:tcW w:w="1276"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4</w:t>
            </w:r>
          </w:p>
        </w:tc>
        <w:tc>
          <w:tcPr>
            <w:tcW w:w="1559" w:type="dxa"/>
          </w:tcPr>
          <w:p>
            <w:pPr>
              <w:pStyle w:val="31"/>
              <w:keepNext w:val="0"/>
              <w:keepLines w:val="0"/>
              <w:pageBreakBefore w:val="0"/>
              <w:widowControl w:val="0"/>
              <w:kinsoku/>
              <w:wordWrap/>
              <w:overflowPunct/>
              <w:topLinePunct w:val="0"/>
              <w:autoSpaceDE w:val="0"/>
              <w:autoSpaceDN w:val="0"/>
              <w:bidi w:val="0"/>
              <w:adjustRightInd/>
              <w:snapToGrid/>
              <w:spacing w:before="0"/>
              <w:ind w:left="0" w:right="0"/>
              <w:textAlignment w:val="auto"/>
              <w:rPr>
                <w:rFonts w:hint="eastAsia" w:ascii="宋体" w:hAnsi="宋体" w:eastAsia="宋体" w:cs="宋体"/>
                <w:color w:val="auto"/>
                <w:sz w:val="21"/>
                <w:szCs w:val="21"/>
                <w:lang w:val="zh-CN" w:eastAsia="zh-CN" w:bidi="zh-CN"/>
              </w:rPr>
            </w:pPr>
            <w:r>
              <w:rPr>
                <w:rFonts w:hint="eastAsia" w:ascii="宋体" w:hAnsi="宋体" w:eastAsia="宋体" w:cs="宋体"/>
                <w:color w:val="auto"/>
                <w:sz w:val="21"/>
                <w:szCs w:val="21"/>
                <w:lang w:val="zh-CN" w:eastAsia="zh-CN" w:bidi="zh-CN"/>
              </w:rPr>
              <w:t>消防</w:t>
            </w:r>
          </w:p>
        </w:tc>
        <w:tc>
          <w:tcPr>
            <w:tcW w:w="1701" w:type="dxa"/>
          </w:tcPr>
          <w:p>
            <w:pPr>
              <w:pStyle w:val="31"/>
              <w:spacing w:before="60"/>
              <w:ind w:left="92" w:right="86"/>
              <w:rPr>
                <w:color w:val="auto"/>
                <w:sz w:val="21"/>
              </w:rPr>
            </w:pPr>
            <w:r>
              <w:rPr>
                <w:color w:val="auto"/>
                <w:sz w:val="21"/>
              </w:rPr>
              <w:t>厂房</w:t>
            </w:r>
          </w:p>
        </w:tc>
      </w:tr>
    </w:tbl>
    <w:p>
      <w:pPr>
        <w:pStyle w:val="8"/>
        <w:numPr>
          <w:ilvl w:val="1"/>
          <w:numId w:val="9"/>
        </w:numPr>
        <w:tabs>
          <w:tab w:val="left" w:pos="750"/>
        </w:tabs>
        <w:spacing w:before="162" w:after="0" w:line="240" w:lineRule="auto"/>
        <w:ind w:left="749" w:right="0" w:hanging="490"/>
        <w:jc w:val="left"/>
      </w:pPr>
      <w:bookmarkStart w:id="444" w:name="_bookmark112"/>
      <w:bookmarkEnd w:id="444"/>
      <w:bookmarkStart w:id="445" w:name="8.3 通讯与信息保障"/>
      <w:bookmarkEnd w:id="445"/>
      <w:bookmarkStart w:id="446" w:name="_bookmark112"/>
      <w:bookmarkEnd w:id="446"/>
      <w:bookmarkStart w:id="447" w:name="_Toc16030"/>
      <w:bookmarkStart w:id="448" w:name="_Toc23508"/>
      <w:r>
        <w:t>通讯与信息保障</w:t>
      </w:r>
      <w:bookmarkEnd w:id="447"/>
      <w:bookmarkEnd w:id="448"/>
    </w:p>
    <w:p>
      <w:pPr>
        <w:pStyle w:val="5"/>
        <w:spacing w:before="233" w:line="364" w:lineRule="auto"/>
        <w:ind w:left="260" w:right="109" w:firstLine="480"/>
        <w:rPr>
          <w:rFonts w:hint="default" w:eastAsia="宋体"/>
          <w:lang w:val="en-US" w:eastAsia="zh-CN"/>
        </w:rPr>
      </w:pPr>
      <w:r>
        <w:rPr>
          <w:spacing w:val="-7"/>
        </w:rPr>
        <w:t>通讯与信息保障工作主要由通讯保障组负责，要建立和完善环境安全应急指挥系统、</w:t>
      </w:r>
      <w:r>
        <w:t>环境应急处置系统和环境安全科学预警系统，配备有效的有线电话、手机、对讲机等必要的有线、无线通信器材，明确参与应急救援的所有部门和单位的联络方式，确保本预案启动时各应急部门之间的联络畅通。</w:t>
      </w:r>
    </w:p>
    <w:p>
      <w:pPr>
        <w:pStyle w:val="8"/>
        <w:numPr>
          <w:ilvl w:val="1"/>
          <w:numId w:val="9"/>
        </w:numPr>
        <w:tabs>
          <w:tab w:val="left" w:pos="750"/>
        </w:tabs>
        <w:spacing w:before="0" w:after="0" w:line="357" w:lineRule="exact"/>
        <w:ind w:left="749" w:right="0" w:hanging="490"/>
        <w:jc w:val="left"/>
      </w:pPr>
      <w:bookmarkStart w:id="449" w:name="_bookmark113"/>
      <w:bookmarkEnd w:id="449"/>
      <w:bookmarkStart w:id="450" w:name="8.4 人力资源保障"/>
      <w:bookmarkEnd w:id="450"/>
      <w:bookmarkStart w:id="451" w:name="_bookmark113"/>
      <w:bookmarkEnd w:id="451"/>
      <w:bookmarkStart w:id="452" w:name="_Toc171"/>
      <w:bookmarkStart w:id="453" w:name="_Toc23642"/>
      <w:r>
        <w:t>人力资源保障</w:t>
      </w:r>
      <w:bookmarkEnd w:id="452"/>
      <w:bookmarkEnd w:id="453"/>
    </w:p>
    <w:p>
      <w:pPr>
        <w:pStyle w:val="5"/>
        <w:spacing w:before="233" w:line="364" w:lineRule="auto"/>
        <w:ind w:left="260" w:right="229" w:firstLine="480"/>
        <w:jc w:val="both"/>
      </w:pPr>
      <w:r>
        <w:t>建立突发环境事件应急救援队伍，培训一支常备不懈，熟悉环境应急知识，充分掌握各类突发环境事件处置措施的预备应急力量；保证在突发事件发生后，能迅速参与并完成抢救、排险、消毒、监测等现场处置工作。</w:t>
      </w:r>
    </w:p>
    <w:p>
      <w:pPr>
        <w:pStyle w:val="5"/>
        <w:spacing w:before="233" w:line="364" w:lineRule="auto"/>
        <w:ind w:left="260" w:right="229" w:firstLine="480"/>
        <w:jc w:val="center"/>
        <w:rPr>
          <w:rFonts w:hint="eastAsia"/>
          <w:b/>
          <w:bCs/>
          <w:lang w:val="en-US" w:eastAsia="zh-CN"/>
        </w:rPr>
      </w:pPr>
      <w:r>
        <w:rPr>
          <w:rFonts w:hint="eastAsia"/>
          <w:b/>
          <w:bCs/>
          <w:lang w:eastAsia="zh-CN"/>
        </w:rPr>
        <w:t>表</w:t>
      </w:r>
      <w:r>
        <w:rPr>
          <w:rFonts w:hint="eastAsia"/>
          <w:b/>
          <w:bCs/>
          <w:lang w:val="en-US" w:eastAsia="zh-CN"/>
        </w:rPr>
        <w:t>8-2 应急人员一览表</w:t>
      </w:r>
    </w:p>
    <w:tbl>
      <w:tblPr>
        <w:tblStyle w:val="14"/>
        <w:tblW w:w="9303"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5"/>
        <w:gridCol w:w="1726"/>
        <w:gridCol w:w="1350"/>
        <w:gridCol w:w="1294"/>
        <w:gridCol w:w="2034"/>
        <w:gridCol w:w="20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865" w:type="dxa"/>
          </w:tcPr>
          <w:p>
            <w:pPr>
              <w:pStyle w:val="31"/>
              <w:spacing w:before="49"/>
              <w:ind w:left="201" w:right="194"/>
              <w:rPr>
                <w:color w:val="auto"/>
                <w:sz w:val="21"/>
              </w:rPr>
            </w:pPr>
            <w:r>
              <w:rPr>
                <w:color w:val="auto"/>
                <w:sz w:val="21"/>
              </w:rPr>
              <w:t>序号</w:t>
            </w:r>
          </w:p>
        </w:tc>
        <w:tc>
          <w:tcPr>
            <w:tcW w:w="3076" w:type="dxa"/>
            <w:gridSpan w:val="2"/>
          </w:tcPr>
          <w:p>
            <w:pPr>
              <w:pStyle w:val="31"/>
              <w:spacing w:before="49"/>
              <w:ind w:left="907"/>
              <w:jc w:val="left"/>
              <w:rPr>
                <w:color w:val="auto"/>
                <w:sz w:val="21"/>
              </w:rPr>
            </w:pPr>
            <w:r>
              <w:rPr>
                <w:color w:val="auto"/>
                <w:sz w:val="21"/>
              </w:rPr>
              <w:t>应急机构职务</w:t>
            </w:r>
          </w:p>
        </w:tc>
        <w:tc>
          <w:tcPr>
            <w:tcW w:w="1294" w:type="dxa"/>
          </w:tcPr>
          <w:p>
            <w:pPr>
              <w:pStyle w:val="31"/>
              <w:spacing w:before="49"/>
              <w:ind w:left="292" w:right="288"/>
              <w:rPr>
                <w:color w:val="auto"/>
                <w:sz w:val="21"/>
              </w:rPr>
            </w:pPr>
            <w:r>
              <w:rPr>
                <w:color w:val="auto"/>
                <w:sz w:val="21"/>
              </w:rPr>
              <w:t>姓名</w:t>
            </w:r>
          </w:p>
        </w:tc>
        <w:tc>
          <w:tcPr>
            <w:tcW w:w="2034" w:type="dxa"/>
          </w:tcPr>
          <w:p>
            <w:pPr>
              <w:pStyle w:val="31"/>
              <w:spacing w:before="49"/>
              <w:ind w:left="386" w:right="381"/>
              <w:rPr>
                <w:color w:val="auto"/>
                <w:sz w:val="21"/>
              </w:rPr>
            </w:pPr>
            <w:r>
              <w:rPr>
                <w:color w:val="auto"/>
                <w:sz w:val="21"/>
              </w:rPr>
              <w:t>厂内职务</w:t>
            </w:r>
          </w:p>
        </w:tc>
        <w:tc>
          <w:tcPr>
            <w:tcW w:w="2034" w:type="dxa"/>
          </w:tcPr>
          <w:p>
            <w:pPr>
              <w:pStyle w:val="31"/>
              <w:spacing w:before="49"/>
              <w:ind w:left="389" w:right="381"/>
              <w:rPr>
                <w:color w:val="auto"/>
                <w:sz w:val="21"/>
              </w:rPr>
            </w:pPr>
            <w:r>
              <w:rPr>
                <w:color w:val="auto"/>
                <w:sz w:val="21"/>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865" w:type="dxa"/>
            <w:vMerge w:val="restart"/>
          </w:tcPr>
          <w:p>
            <w:pPr>
              <w:pStyle w:val="31"/>
              <w:jc w:val="left"/>
              <w:rPr>
                <w:b/>
                <w:color w:val="auto"/>
                <w:sz w:val="22"/>
              </w:rPr>
            </w:pPr>
          </w:p>
          <w:p>
            <w:pPr>
              <w:pStyle w:val="31"/>
              <w:jc w:val="left"/>
              <w:rPr>
                <w:b/>
                <w:color w:val="auto"/>
                <w:sz w:val="19"/>
              </w:rPr>
            </w:pPr>
          </w:p>
          <w:p>
            <w:pPr>
              <w:pStyle w:val="31"/>
              <w:spacing w:before="1"/>
              <w:ind w:left="10"/>
              <w:rPr>
                <w:rFonts w:ascii="Times New Roman"/>
                <w:color w:val="auto"/>
                <w:sz w:val="21"/>
              </w:rPr>
            </w:pPr>
            <w:r>
              <w:rPr>
                <w:rFonts w:ascii="Times New Roman"/>
                <w:color w:val="auto"/>
                <w:w w:val="99"/>
                <w:sz w:val="21"/>
              </w:rPr>
              <w:t>1</w:t>
            </w:r>
          </w:p>
        </w:tc>
        <w:tc>
          <w:tcPr>
            <w:tcW w:w="1726" w:type="dxa"/>
            <w:vMerge w:val="restart"/>
          </w:tcPr>
          <w:p>
            <w:pPr>
              <w:pStyle w:val="31"/>
              <w:jc w:val="left"/>
              <w:rPr>
                <w:b/>
                <w:color w:val="auto"/>
                <w:sz w:val="20"/>
              </w:rPr>
            </w:pPr>
          </w:p>
          <w:p>
            <w:pPr>
              <w:pStyle w:val="31"/>
              <w:spacing w:before="12"/>
              <w:jc w:val="left"/>
              <w:rPr>
                <w:b/>
                <w:color w:val="auto"/>
                <w:sz w:val="19"/>
              </w:rPr>
            </w:pPr>
          </w:p>
          <w:p>
            <w:pPr>
              <w:pStyle w:val="31"/>
              <w:ind w:left="338"/>
              <w:jc w:val="left"/>
              <w:rPr>
                <w:color w:val="auto"/>
                <w:sz w:val="21"/>
              </w:rPr>
            </w:pPr>
            <w:r>
              <w:rPr>
                <w:color w:val="auto"/>
                <w:sz w:val="21"/>
              </w:rPr>
              <w:t>应急指挥部</w:t>
            </w:r>
          </w:p>
        </w:tc>
        <w:tc>
          <w:tcPr>
            <w:tcW w:w="1350" w:type="dxa"/>
          </w:tcPr>
          <w:p>
            <w:pPr>
              <w:pStyle w:val="31"/>
              <w:spacing w:before="10" w:line="261" w:lineRule="exact"/>
              <w:ind w:left="128" w:right="120"/>
              <w:rPr>
                <w:color w:val="auto"/>
                <w:sz w:val="21"/>
              </w:rPr>
            </w:pPr>
            <w:r>
              <w:rPr>
                <w:color w:val="auto"/>
                <w:sz w:val="21"/>
              </w:rPr>
              <w:t>总指挥</w:t>
            </w:r>
          </w:p>
        </w:tc>
        <w:tc>
          <w:tcPr>
            <w:tcW w:w="1294" w:type="dxa"/>
            <w:vAlign w:val="top"/>
          </w:tcPr>
          <w:p>
            <w:pPr>
              <w:pStyle w:val="31"/>
              <w:spacing w:before="176"/>
              <w:ind w:left="9" w:leftChars="0" w:right="0" w:rightChars="0"/>
              <w:jc w:val="center"/>
              <w:rPr>
                <w:color w:val="auto"/>
                <w:sz w:val="22"/>
              </w:rPr>
            </w:pPr>
            <w:r>
              <w:rPr>
                <w:rFonts w:hint="eastAsia" w:cs="宋体"/>
                <w:color w:val="auto"/>
                <w:sz w:val="21"/>
                <w:szCs w:val="21"/>
                <w:lang w:val="en-US" w:eastAsia="zh-CN"/>
              </w:rPr>
              <w:t>翟进亮</w:t>
            </w:r>
          </w:p>
        </w:tc>
        <w:tc>
          <w:tcPr>
            <w:tcW w:w="2034" w:type="dxa"/>
            <w:vAlign w:val="top"/>
          </w:tcPr>
          <w:p>
            <w:pPr>
              <w:pStyle w:val="31"/>
              <w:spacing w:before="176"/>
              <w:ind w:left="514" w:leftChars="0" w:right="507" w:rightChars="0"/>
              <w:jc w:val="center"/>
              <w:rPr>
                <w:color w:val="auto"/>
                <w:sz w:val="22"/>
              </w:rPr>
            </w:pPr>
            <w:r>
              <w:rPr>
                <w:rFonts w:hint="eastAsia" w:ascii="宋体" w:hAnsi="宋体" w:eastAsia="宋体" w:cs="宋体"/>
                <w:color w:val="auto"/>
                <w:sz w:val="21"/>
                <w:szCs w:val="21"/>
              </w:rPr>
              <w:t>总经理</w:t>
            </w:r>
          </w:p>
        </w:tc>
        <w:tc>
          <w:tcPr>
            <w:tcW w:w="2034" w:type="dxa"/>
            <w:vAlign w:val="top"/>
          </w:tcPr>
          <w:p>
            <w:pPr>
              <w:pStyle w:val="31"/>
              <w:spacing w:before="176"/>
              <w:ind w:left="10" w:leftChars="0" w:right="0" w:rightChars="0"/>
              <w:jc w:val="center"/>
              <w:rPr>
                <w:rFonts w:ascii="Times New Roman"/>
                <w:color w:val="auto"/>
                <w:sz w:val="22"/>
              </w:rPr>
            </w:pPr>
            <w:r>
              <w:rPr>
                <w:rFonts w:hint="eastAsia" w:ascii="宋体" w:hAnsi="宋体" w:eastAsia="宋体" w:cs="宋体"/>
                <w:color w:val="auto"/>
                <w:sz w:val="21"/>
                <w:szCs w:val="21"/>
              </w:rPr>
              <w:t>13755812889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vMerge w:val="continue"/>
            <w:tcBorders>
              <w:top w:val="nil"/>
            </w:tcBorders>
          </w:tcPr>
          <w:p>
            <w:pPr>
              <w:rPr>
                <w:color w:val="auto"/>
                <w:sz w:val="2"/>
                <w:szCs w:val="2"/>
              </w:rPr>
            </w:pPr>
          </w:p>
        </w:tc>
        <w:tc>
          <w:tcPr>
            <w:tcW w:w="1726" w:type="dxa"/>
            <w:vMerge w:val="continue"/>
            <w:tcBorders>
              <w:top w:val="nil"/>
            </w:tcBorders>
          </w:tcPr>
          <w:p>
            <w:pPr>
              <w:rPr>
                <w:color w:val="auto"/>
                <w:sz w:val="2"/>
                <w:szCs w:val="2"/>
              </w:rPr>
            </w:pPr>
          </w:p>
        </w:tc>
        <w:tc>
          <w:tcPr>
            <w:tcW w:w="1350" w:type="dxa"/>
            <w:vMerge w:val="restart"/>
          </w:tcPr>
          <w:p>
            <w:pPr>
              <w:pStyle w:val="31"/>
              <w:spacing w:before="10"/>
              <w:jc w:val="left"/>
              <w:rPr>
                <w:b/>
                <w:color w:val="auto"/>
                <w:sz w:val="16"/>
              </w:rPr>
            </w:pPr>
          </w:p>
          <w:p>
            <w:pPr>
              <w:pStyle w:val="31"/>
              <w:ind w:left="254"/>
              <w:jc w:val="left"/>
              <w:rPr>
                <w:color w:val="auto"/>
                <w:sz w:val="21"/>
              </w:rPr>
            </w:pPr>
            <w:r>
              <w:rPr>
                <w:color w:val="auto"/>
                <w:sz w:val="21"/>
              </w:rPr>
              <w:t>副总指挥</w:t>
            </w:r>
          </w:p>
        </w:tc>
        <w:tc>
          <w:tcPr>
            <w:tcW w:w="1294" w:type="dxa"/>
            <w:vAlign w:val="top"/>
          </w:tcPr>
          <w:p>
            <w:pPr>
              <w:pStyle w:val="31"/>
              <w:spacing w:before="175"/>
              <w:ind w:left="9" w:leftChars="0" w:right="0" w:rightChars="0"/>
              <w:jc w:val="center"/>
              <w:rPr>
                <w:color w:val="auto"/>
                <w:sz w:val="22"/>
              </w:rPr>
            </w:pPr>
            <w:r>
              <w:rPr>
                <w:rFonts w:hint="eastAsia" w:cs="宋体"/>
                <w:color w:val="auto"/>
                <w:sz w:val="21"/>
                <w:szCs w:val="21"/>
                <w:lang w:eastAsia="zh-CN"/>
              </w:rPr>
              <w:t>胡国军</w:t>
            </w:r>
          </w:p>
        </w:tc>
        <w:tc>
          <w:tcPr>
            <w:tcW w:w="2034" w:type="dxa"/>
            <w:vAlign w:val="top"/>
          </w:tcPr>
          <w:p>
            <w:pPr>
              <w:pStyle w:val="31"/>
              <w:spacing w:before="175"/>
              <w:ind w:left="519" w:leftChars="0" w:right="507" w:rightChars="0"/>
              <w:jc w:val="center"/>
              <w:rPr>
                <w:color w:val="auto"/>
                <w:sz w:val="22"/>
              </w:rPr>
            </w:pPr>
            <w:r>
              <w:rPr>
                <w:rFonts w:hint="eastAsia" w:ascii="宋体" w:hAnsi="宋体" w:eastAsia="宋体" w:cs="宋体"/>
                <w:color w:val="auto"/>
                <w:sz w:val="21"/>
                <w:szCs w:val="21"/>
              </w:rPr>
              <w:t>生产主管</w:t>
            </w:r>
          </w:p>
        </w:tc>
        <w:tc>
          <w:tcPr>
            <w:tcW w:w="2034" w:type="dxa"/>
            <w:vAlign w:val="top"/>
          </w:tcPr>
          <w:p>
            <w:pPr>
              <w:pStyle w:val="31"/>
              <w:spacing w:before="175"/>
              <w:ind w:left="10" w:leftChars="0" w:right="0" w:rightChars="0"/>
              <w:jc w:val="center"/>
              <w:rPr>
                <w:rFonts w:ascii="Times New Roman"/>
                <w:color w:val="auto"/>
                <w:sz w:val="22"/>
              </w:rPr>
            </w:pPr>
            <w:r>
              <w:rPr>
                <w:rFonts w:hint="eastAsia" w:ascii="宋体" w:hAnsi="宋体" w:eastAsia="宋体" w:cs="宋体"/>
                <w:color w:val="auto"/>
                <w:sz w:val="21"/>
                <w:szCs w:val="21"/>
              </w:rPr>
              <w:t>18003956802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65" w:type="dxa"/>
            <w:vMerge w:val="continue"/>
            <w:tcBorders>
              <w:top w:val="nil"/>
            </w:tcBorders>
          </w:tcPr>
          <w:p>
            <w:pPr>
              <w:rPr>
                <w:color w:val="auto"/>
                <w:sz w:val="2"/>
                <w:szCs w:val="2"/>
              </w:rPr>
            </w:pPr>
          </w:p>
        </w:tc>
        <w:tc>
          <w:tcPr>
            <w:tcW w:w="1726" w:type="dxa"/>
            <w:vMerge w:val="continue"/>
            <w:tcBorders>
              <w:top w:val="nil"/>
            </w:tcBorders>
          </w:tcPr>
          <w:p>
            <w:pPr>
              <w:rPr>
                <w:color w:val="auto"/>
                <w:sz w:val="2"/>
                <w:szCs w:val="2"/>
              </w:rPr>
            </w:pPr>
          </w:p>
        </w:tc>
        <w:tc>
          <w:tcPr>
            <w:tcW w:w="1350" w:type="dxa"/>
            <w:vMerge w:val="continue"/>
            <w:tcBorders>
              <w:top w:val="nil"/>
            </w:tcBorders>
          </w:tcPr>
          <w:p>
            <w:pPr>
              <w:rPr>
                <w:color w:val="auto"/>
                <w:sz w:val="2"/>
                <w:szCs w:val="2"/>
              </w:rPr>
            </w:pPr>
          </w:p>
        </w:tc>
        <w:tc>
          <w:tcPr>
            <w:tcW w:w="1294" w:type="dxa"/>
            <w:vAlign w:val="top"/>
          </w:tcPr>
          <w:p>
            <w:pPr>
              <w:pStyle w:val="31"/>
              <w:spacing w:before="176"/>
              <w:ind w:left="9" w:leftChars="0" w:right="0" w:rightChars="0"/>
              <w:jc w:val="center"/>
              <w:rPr>
                <w:color w:val="auto"/>
                <w:sz w:val="22"/>
              </w:rPr>
            </w:pPr>
            <w:r>
              <w:rPr>
                <w:rFonts w:hint="eastAsia" w:cs="宋体"/>
                <w:color w:val="auto"/>
                <w:sz w:val="21"/>
                <w:szCs w:val="21"/>
                <w:lang w:eastAsia="zh-CN"/>
              </w:rPr>
              <w:t>王宁礼</w:t>
            </w:r>
          </w:p>
        </w:tc>
        <w:tc>
          <w:tcPr>
            <w:tcW w:w="2034" w:type="dxa"/>
            <w:vAlign w:val="top"/>
          </w:tcPr>
          <w:p>
            <w:pPr>
              <w:pStyle w:val="31"/>
              <w:spacing w:before="176"/>
              <w:ind w:left="519" w:leftChars="0" w:right="507" w:rightChars="0"/>
              <w:jc w:val="center"/>
              <w:rPr>
                <w:color w:val="auto"/>
                <w:sz w:val="22"/>
              </w:rPr>
            </w:pPr>
            <w:r>
              <w:rPr>
                <w:rFonts w:hint="eastAsia" w:ascii="宋体" w:hAnsi="宋体" w:eastAsia="宋体" w:cs="宋体"/>
                <w:color w:val="auto"/>
                <w:sz w:val="21"/>
                <w:szCs w:val="21"/>
              </w:rPr>
              <w:t>安全主管</w:t>
            </w:r>
          </w:p>
        </w:tc>
        <w:tc>
          <w:tcPr>
            <w:tcW w:w="2034" w:type="dxa"/>
            <w:vAlign w:val="top"/>
          </w:tcPr>
          <w:p>
            <w:pPr>
              <w:pStyle w:val="31"/>
              <w:spacing w:before="176"/>
              <w:ind w:left="10" w:leftChars="0" w:right="0" w:rightChars="0"/>
              <w:jc w:val="center"/>
              <w:rPr>
                <w:rFonts w:ascii="Times New Roman"/>
                <w:color w:val="auto"/>
                <w:sz w:val="22"/>
              </w:rPr>
            </w:pPr>
            <w:r>
              <w:rPr>
                <w:rFonts w:hint="eastAsia" w:ascii="宋体" w:hAnsi="宋体" w:eastAsia="宋体" w:cs="宋体"/>
                <w:color w:val="auto"/>
                <w:sz w:val="21"/>
                <w:szCs w:val="21"/>
              </w:rPr>
              <w:t>13517057278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65" w:type="dxa"/>
            <w:vMerge w:val="continue"/>
            <w:tcBorders>
              <w:top w:val="nil"/>
            </w:tcBorders>
          </w:tcPr>
          <w:p>
            <w:pPr>
              <w:rPr>
                <w:color w:val="auto"/>
                <w:sz w:val="2"/>
                <w:szCs w:val="2"/>
              </w:rPr>
            </w:pPr>
          </w:p>
        </w:tc>
        <w:tc>
          <w:tcPr>
            <w:tcW w:w="1726" w:type="dxa"/>
            <w:vMerge w:val="continue"/>
            <w:tcBorders>
              <w:top w:val="nil"/>
            </w:tcBorders>
          </w:tcPr>
          <w:p>
            <w:pPr>
              <w:rPr>
                <w:color w:val="auto"/>
                <w:sz w:val="2"/>
                <w:szCs w:val="2"/>
              </w:rPr>
            </w:pPr>
          </w:p>
        </w:tc>
        <w:tc>
          <w:tcPr>
            <w:tcW w:w="1350" w:type="dxa"/>
          </w:tcPr>
          <w:p>
            <w:pPr>
              <w:pStyle w:val="31"/>
              <w:spacing w:before="6" w:line="259" w:lineRule="exact"/>
              <w:ind w:left="128" w:right="122"/>
              <w:rPr>
                <w:color w:val="auto"/>
                <w:sz w:val="21"/>
              </w:rPr>
            </w:pPr>
            <w:r>
              <w:rPr>
                <w:color w:val="auto"/>
                <w:sz w:val="21"/>
              </w:rPr>
              <w:t>临时总指挥</w:t>
            </w:r>
          </w:p>
        </w:tc>
        <w:tc>
          <w:tcPr>
            <w:tcW w:w="1294" w:type="dxa"/>
            <w:vAlign w:val="top"/>
          </w:tcPr>
          <w:p>
            <w:pPr>
              <w:pStyle w:val="31"/>
              <w:spacing w:before="175"/>
              <w:ind w:left="9" w:leftChars="0" w:right="0" w:rightChars="0"/>
              <w:jc w:val="center"/>
              <w:rPr>
                <w:color w:val="auto"/>
                <w:sz w:val="22"/>
              </w:rPr>
            </w:pPr>
            <w:r>
              <w:rPr>
                <w:rFonts w:hint="eastAsia" w:cs="宋体"/>
                <w:color w:val="auto"/>
                <w:sz w:val="21"/>
                <w:szCs w:val="21"/>
                <w:lang w:eastAsia="zh-CN"/>
              </w:rPr>
              <w:t>刘小春</w:t>
            </w:r>
          </w:p>
        </w:tc>
        <w:tc>
          <w:tcPr>
            <w:tcW w:w="2034" w:type="dxa"/>
            <w:vAlign w:val="top"/>
          </w:tcPr>
          <w:p>
            <w:pPr>
              <w:pStyle w:val="31"/>
              <w:spacing w:before="175"/>
              <w:ind w:left="517" w:leftChars="0" w:right="507" w:rightChars="0"/>
              <w:jc w:val="center"/>
              <w:rPr>
                <w:color w:val="auto"/>
                <w:sz w:val="22"/>
              </w:rPr>
            </w:pPr>
            <w:r>
              <w:rPr>
                <w:rFonts w:hint="eastAsia" w:ascii="宋体" w:hAnsi="宋体" w:eastAsia="宋体" w:cs="宋体"/>
                <w:color w:val="auto"/>
                <w:sz w:val="21"/>
                <w:szCs w:val="21"/>
              </w:rPr>
              <w:t>会计</w:t>
            </w:r>
          </w:p>
        </w:tc>
        <w:tc>
          <w:tcPr>
            <w:tcW w:w="2034" w:type="dxa"/>
            <w:vAlign w:val="top"/>
          </w:tcPr>
          <w:p>
            <w:pPr>
              <w:pStyle w:val="31"/>
              <w:spacing w:before="175"/>
              <w:ind w:left="10" w:leftChars="0" w:right="0" w:rightChars="0"/>
              <w:jc w:val="center"/>
              <w:rPr>
                <w:rFonts w:ascii="Times New Roman"/>
                <w:color w:val="auto"/>
                <w:sz w:val="22"/>
              </w:rPr>
            </w:pPr>
            <w:r>
              <w:rPr>
                <w:rFonts w:hint="eastAsia" w:ascii="宋体" w:hAnsi="宋体" w:eastAsia="宋体" w:cs="宋体"/>
                <w:color w:val="auto"/>
                <w:sz w:val="21"/>
                <w:szCs w:val="21"/>
              </w:rPr>
              <w:t>18397855715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19"/>
              <w:ind w:left="10"/>
              <w:rPr>
                <w:rFonts w:ascii="Times New Roman"/>
                <w:color w:val="auto"/>
                <w:sz w:val="21"/>
              </w:rPr>
            </w:pPr>
            <w:r>
              <w:rPr>
                <w:rFonts w:ascii="Times New Roman"/>
                <w:color w:val="auto"/>
                <w:w w:val="99"/>
                <w:sz w:val="21"/>
              </w:rPr>
              <w:t>2</w:t>
            </w:r>
          </w:p>
        </w:tc>
        <w:tc>
          <w:tcPr>
            <w:tcW w:w="1726" w:type="dxa"/>
          </w:tcPr>
          <w:p>
            <w:pPr>
              <w:pStyle w:val="31"/>
              <w:spacing w:before="5" w:line="259" w:lineRule="exact"/>
              <w:ind w:left="338"/>
              <w:jc w:val="left"/>
              <w:rPr>
                <w:color w:val="auto"/>
                <w:sz w:val="21"/>
              </w:rPr>
            </w:pPr>
            <w:r>
              <w:rPr>
                <w:color w:val="auto"/>
                <w:sz w:val="21"/>
              </w:rPr>
              <w:t>现场抢险组</w:t>
            </w:r>
          </w:p>
        </w:tc>
        <w:tc>
          <w:tcPr>
            <w:tcW w:w="1350" w:type="dxa"/>
          </w:tcPr>
          <w:p>
            <w:pPr>
              <w:pStyle w:val="31"/>
              <w:spacing w:before="5" w:line="259" w:lineRule="exact"/>
              <w:ind w:left="128" w:right="120"/>
              <w:rPr>
                <w:color w:val="auto"/>
                <w:sz w:val="21"/>
              </w:rPr>
            </w:pPr>
            <w:r>
              <w:rPr>
                <w:color w:val="auto"/>
                <w:sz w:val="21"/>
              </w:rPr>
              <w:t>组长</w:t>
            </w:r>
          </w:p>
        </w:tc>
        <w:tc>
          <w:tcPr>
            <w:tcW w:w="1294" w:type="dxa"/>
            <w:vAlign w:val="top"/>
          </w:tcPr>
          <w:p>
            <w:pPr>
              <w:pStyle w:val="31"/>
              <w:spacing w:before="175"/>
              <w:ind w:left="12" w:leftChars="0" w:right="0" w:rightChars="0"/>
              <w:jc w:val="center"/>
              <w:rPr>
                <w:color w:val="auto"/>
                <w:sz w:val="22"/>
              </w:rPr>
            </w:pPr>
            <w:r>
              <w:rPr>
                <w:rFonts w:hint="eastAsia" w:cs="宋体"/>
                <w:color w:val="auto"/>
                <w:sz w:val="21"/>
                <w:szCs w:val="21"/>
                <w:lang w:eastAsia="zh-CN"/>
              </w:rPr>
              <w:t>彭倩</w:t>
            </w:r>
          </w:p>
        </w:tc>
        <w:tc>
          <w:tcPr>
            <w:tcW w:w="2034" w:type="dxa"/>
            <w:vAlign w:val="top"/>
          </w:tcPr>
          <w:p>
            <w:pPr>
              <w:pStyle w:val="31"/>
              <w:spacing w:before="175"/>
              <w:ind w:left="517" w:leftChars="0" w:right="507" w:rightChars="0"/>
              <w:jc w:val="center"/>
              <w:rPr>
                <w:color w:val="auto"/>
                <w:sz w:val="22"/>
              </w:rPr>
            </w:pPr>
            <w:r>
              <w:rPr>
                <w:rFonts w:hint="eastAsia" w:ascii="宋体" w:hAnsi="宋体" w:eastAsia="宋体" w:cs="宋体"/>
                <w:color w:val="auto"/>
                <w:sz w:val="21"/>
                <w:szCs w:val="21"/>
              </w:rPr>
              <w:t>出纳</w:t>
            </w:r>
          </w:p>
        </w:tc>
        <w:tc>
          <w:tcPr>
            <w:tcW w:w="2034" w:type="dxa"/>
            <w:vAlign w:val="top"/>
          </w:tcPr>
          <w:p>
            <w:pPr>
              <w:pStyle w:val="31"/>
              <w:spacing w:before="175"/>
              <w:ind w:left="10" w:leftChars="0" w:right="0" w:rightChars="0"/>
              <w:jc w:val="center"/>
              <w:rPr>
                <w:rFonts w:ascii="Times New Roman"/>
                <w:color w:val="auto"/>
                <w:sz w:val="22"/>
              </w:rPr>
            </w:pPr>
            <w:r>
              <w:rPr>
                <w:rFonts w:hint="eastAsia" w:ascii="宋体" w:hAnsi="宋体" w:eastAsia="宋体" w:cs="宋体"/>
                <w:color w:val="auto"/>
                <w:sz w:val="21"/>
                <w:szCs w:val="21"/>
              </w:rPr>
              <w:t>15170588976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20"/>
              <w:ind w:left="10"/>
              <w:rPr>
                <w:rFonts w:ascii="Times New Roman"/>
                <w:color w:val="auto"/>
                <w:sz w:val="21"/>
              </w:rPr>
            </w:pPr>
            <w:r>
              <w:rPr>
                <w:rFonts w:ascii="Times New Roman"/>
                <w:color w:val="auto"/>
                <w:w w:val="99"/>
                <w:sz w:val="21"/>
              </w:rPr>
              <w:t>3</w:t>
            </w:r>
          </w:p>
        </w:tc>
        <w:tc>
          <w:tcPr>
            <w:tcW w:w="1726" w:type="dxa"/>
          </w:tcPr>
          <w:p>
            <w:pPr>
              <w:pStyle w:val="31"/>
              <w:spacing w:before="6" w:line="259" w:lineRule="exact"/>
              <w:ind w:left="338"/>
              <w:jc w:val="left"/>
              <w:rPr>
                <w:color w:val="auto"/>
                <w:sz w:val="21"/>
              </w:rPr>
            </w:pPr>
            <w:r>
              <w:rPr>
                <w:color w:val="auto"/>
                <w:sz w:val="21"/>
              </w:rPr>
              <w:t>医疗救护组</w:t>
            </w:r>
          </w:p>
        </w:tc>
        <w:tc>
          <w:tcPr>
            <w:tcW w:w="1350" w:type="dxa"/>
          </w:tcPr>
          <w:p>
            <w:pPr>
              <w:pStyle w:val="31"/>
              <w:spacing w:before="6" w:line="259" w:lineRule="exact"/>
              <w:ind w:left="128" w:right="120"/>
              <w:rPr>
                <w:color w:val="auto"/>
                <w:sz w:val="21"/>
              </w:rPr>
            </w:pPr>
            <w:r>
              <w:rPr>
                <w:color w:val="auto"/>
                <w:sz w:val="21"/>
              </w:rPr>
              <w:t>组长</w:t>
            </w:r>
          </w:p>
        </w:tc>
        <w:tc>
          <w:tcPr>
            <w:tcW w:w="1294" w:type="dxa"/>
            <w:vAlign w:val="top"/>
          </w:tcPr>
          <w:p>
            <w:pPr>
              <w:pStyle w:val="31"/>
              <w:spacing w:before="175"/>
              <w:ind w:left="12" w:leftChars="0" w:right="0" w:rightChars="0"/>
              <w:jc w:val="center"/>
              <w:rPr>
                <w:color w:val="auto"/>
                <w:sz w:val="22"/>
              </w:rPr>
            </w:pPr>
            <w:r>
              <w:rPr>
                <w:rFonts w:hint="eastAsia" w:cs="宋体"/>
                <w:color w:val="auto"/>
                <w:sz w:val="21"/>
                <w:szCs w:val="21"/>
                <w:lang w:eastAsia="zh-CN"/>
              </w:rPr>
              <w:t>袁亿才</w:t>
            </w:r>
          </w:p>
        </w:tc>
        <w:tc>
          <w:tcPr>
            <w:tcW w:w="2034" w:type="dxa"/>
            <w:vAlign w:val="top"/>
          </w:tcPr>
          <w:p>
            <w:pPr>
              <w:pStyle w:val="31"/>
              <w:spacing w:before="175"/>
              <w:ind w:left="517" w:leftChars="0" w:right="507" w:rightChars="0"/>
              <w:jc w:val="center"/>
              <w:rPr>
                <w:color w:val="auto"/>
                <w:sz w:val="22"/>
              </w:rPr>
            </w:pPr>
            <w:r>
              <w:rPr>
                <w:rFonts w:hint="eastAsia" w:ascii="宋体" w:hAnsi="宋体" w:eastAsia="宋体" w:cs="宋体"/>
                <w:color w:val="auto"/>
                <w:sz w:val="21"/>
                <w:szCs w:val="21"/>
              </w:rPr>
              <w:t>人事</w:t>
            </w:r>
          </w:p>
        </w:tc>
        <w:tc>
          <w:tcPr>
            <w:tcW w:w="2034" w:type="dxa"/>
            <w:vAlign w:val="top"/>
          </w:tcPr>
          <w:p>
            <w:pPr>
              <w:pStyle w:val="31"/>
              <w:spacing w:before="175"/>
              <w:ind w:left="10" w:leftChars="0" w:right="0" w:rightChars="0"/>
              <w:jc w:val="center"/>
              <w:rPr>
                <w:rFonts w:ascii="Times New Roman"/>
                <w:color w:val="auto"/>
                <w:sz w:val="22"/>
              </w:rPr>
            </w:pPr>
            <w:r>
              <w:rPr>
                <w:rFonts w:hint="eastAsia" w:cs="宋体"/>
                <w:color w:val="auto"/>
                <w:sz w:val="21"/>
                <w:szCs w:val="21"/>
                <w:lang w:val="en-US" w:eastAsia="zh-CN"/>
              </w:rPr>
              <w:t>13755892582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20"/>
              <w:ind w:left="10"/>
              <w:rPr>
                <w:rFonts w:ascii="Times New Roman"/>
                <w:color w:val="auto"/>
                <w:sz w:val="21"/>
              </w:rPr>
            </w:pPr>
            <w:r>
              <w:rPr>
                <w:rFonts w:ascii="Times New Roman"/>
                <w:color w:val="auto"/>
                <w:w w:val="99"/>
                <w:sz w:val="21"/>
              </w:rPr>
              <w:t>4</w:t>
            </w:r>
          </w:p>
        </w:tc>
        <w:tc>
          <w:tcPr>
            <w:tcW w:w="1726" w:type="dxa"/>
          </w:tcPr>
          <w:p>
            <w:pPr>
              <w:pStyle w:val="31"/>
              <w:spacing w:before="6" w:line="260" w:lineRule="exact"/>
              <w:ind w:left="338"/>
              <w:jc w:val="left"/>
              <w:rPr>
                <w:color w:val="auto"/>
                <w:sz w:val="21"/>
              </w:rPr>
            </w:pPr>
            <w:r>
              <w:rPr>
                <w:color w:val="auto"/>
                <w:sz w:val="21"/>
              </w:rPr>
              <w:t>安全保卫组</w:t>
            </w:r>
          </w:p>
        </w:tc>
        <w:tc>
          <w:tcPr>
            <w:tcW w:w="1350" w:type="dxa"/>
          </w:tcPr>
          <w:p>
            <w:pPr>
              <w:pStyle w:val="31"/>
              <w:spacing w:before="6" w:line="260" w:lineRule="exact"/>
              <w:ind w:left="128" w:right="120"/>
              <w:rPr>
                <w:color w:val="auto"/>
                <w:sz w:val="21"/>
              </w:rPr>
            </w:pPr>
            <w:r>
              <w:rPr>
                <w:color w:val="auto"/>
                <w:sz w:val="21"/>
              </w:rPr>
              <w:t>组长</w:t>
            </w:r>
          </w:p>
        </w:tc>
        <w:tc>
          <w:tcPr>
            <w:tcW w:w="1294" w:type="dxa"/>
            <w:vAlign w:val="top"/>
          </w:tcPr>
          <w:p>
            <w:pPr>
              <w:pStyle w:val="31"/>
              <w:spacing w:before="175"/>
              <w:ind w:left="9" w:leftChars="0" w:right="0" w:rightChars="0"/>
              <w:jc w:val="center"/>
              <w:rPr>
                <w:color w:val="auto"/>
                <w:sz w:val="22"/>
              </w:rPr>
            </w:pPr>
            <w:r>
              <w:rPr>
                <w:rFonts w:hint="eastAsia" w:cs="宋体"/>
                <w:color w:val="auto"/>
                <w:sz w:val="21"/>
                <w:szCs w:val="21"/>
                <w:lang w:eastAsia="zh-CN"/>
              </w:rPr>
              <w:t>陈宇</w:t>
            </w:r>
          </w:p>
        </w:tc>
        <w:tc>
          <w:tcPr>
            <w:tcW w:w="2034" w:type="dxa"/>
            <w:vAlign w:val="top"/>
          </w:tcPr>
          <w:p>
            <w:pPr>
              <w:pStyle w:val="31"/>
              <w:spacing w:before="175"/>
              <w:ind w:left="517" w:leftChars="0" w:right="507" w:rightChars="0"/>
              <w:jc w:val="center"/>
              <w:rPr>
                <w:color w:val="auto"/>
                <w:sz w:val="22"/>
              </w:rPr>
            </w:pPr>
            <w:r>
              <w:rPr>
                <w:rFonts w:hint="eastAsia" w:ascii="宋体" w:hAnsi="宋体" w:eastAsia="宋体" w:cs="宋体"/>
                <w:color w:val="auto"/>
                <w:sz w:val="21"/>
                <w:szCs w:val="21"/>
              </w:rPr>
              <w:t>采购</w:t>
            </w:r>
          </w:p>
        </w:tc>
        <w:tc>
          <w:tcPr>
            <w:tcW w:w="2034" w:type="dxa"/>
            <w:vAlign w:val="top"/>
          </w:tcPr>
          <w:p>
            <w:pPr>
              <w:pStyle w:val="31"/>
              <w:spacing w:before="175"/>
              <w:ind w:left="10" w:leftChars="0" w:right="0" w:rightChars="0"/>
              <w:jc w:val="center"/>
              <w:rPr>
                <w:rFonts w:ascii="Times New Roman"/>
                <w:color w:val="auto"/>
                <w:sz w:val="22"/>
              </w:rPr>
            </w:pPr>
            <w:r>
              <w:rPr>
                <w:rFonts w:hint="eastAsia" w:ascii="宋体" w:hAnsi="宋体" w:eastAsia="宋体" w:cs="宋体"/>
                <w:color w:val="auto"/>
                <w:sz w:val="21"/>
                <w:szCs w:val="21"/>
              </w:rPr>
              <w:t>13576587803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19"/>
              <w:ind w:left="10"/>
              <w:rPr>
                <w:rFonts w:ascii="Times New Roman"/>
                <w:color w:val="auto"/>
                <w:sz w:val="21"/>
              </w:rPr>
            </w:pPr>
            <w:r>
              <w:rPr>
                <w:rFonts w:ascii="Times New Roman"/>
                <w:color w:val="auto"/>
                <w:w w:val="99"/>
                <w:sz w:val="21"/>
              </w:rPr>
              <w:t>5</w:t>
            </w:r>
          </w:p>
        </w:tc>
        <w:tc>
          <w:tcPr>
            <w:tcW w:w="1726" w:type="dxa"/>
          </w:tcPr>
          <w:p>
            <w:pPr>
              <w:pStyle w:val="31"/>
              <w:spacing w:before="5" w:line="260" w:lineRule="exact"/>
              <w:ind w:left="338"/>
              <w:jc w:val="left"/>
              <w:rPr>
                <w:color w:val="auto"/>
                <w:sz w:val="21"/>
              </w:rPr>
            </w:pPr>
            <w:r>
              <w:rPr>
                <w:color w:val="auto"/>
                <w:sz w:val="21"/>
              </w:rPr>
              <w:t>通讯联络组</w:t>
            </w:r>
          </w:p>
        </w:tc>
        <w:tc>
          <w:tcPr>
            <w:tcW w:w="1350" w:type="dxa"/>
          </w:tcPr>
          <w:p>
            <w:pPr>
              <w:pStyle w:val="31"/>
              <w:spacing w:before="5" w:line="260" w:lineRule="exact"/>
              <w:ind w:left="128" w:right="120"/>
              <w:rPr>
                <w:color w:val="auto"/>
                <w:sz w:val="21"/>
              </w:rPr>
            </w:pPr>
            <w:r>
              <w:rPr>
                <w:color w:val="auto"/>
                <w:sz w:val="21"/>
              </w:rPr>
              <w:t>组长</w:t>
            </w:r>
          </w:p>
        </w:tc>
        <w:tc>
          <w:tcPr>
            <w:tcW w:w="1294" w:type="dxa"/>
            <w:vAlign w:val="top"/>
          </w:tcPr>
          <w:p>
            <w:pPr>
              <w:pStyle w:val="31"/>
              <w:spacing w:before="177"/>
              <w:ind w:left="9" w:leftChars="0" w:right="0" w:rightChars="0"/>
              <w:jc w:val="center"/>
              <w:rPr>
                <w:color w:val="auto"/>
                <w:sz w:val="22"/>
              </w:rPr>
            </w:pPr>
            <w:r>
              <w:rPr>
                <w:rFonts w:hint="eastAsia" w:ascii="宋体" w:hAnsi="宋体" w:eastAsia="宋体" w:cs="宋体"/>
                <w:color w:val="auto"/>
                <w:sz w:val="21"/>
                <w:szCs w:val="21"/>
              </w:rPr>
              <w:t>李绍爱</w:t>
            </w:r>
          </w:p>
        </w:tc>
        <w:tc>
          <w:tcPr>
            <w:tcW w:w="2034" w:type="dxa"/>
            <w:vAlign w:val="top"/>
          </w:tcPr>
          <w:p>
            <w:pPr>
              <w:pStyle w:val="31"/>
              <w:spacing w:before="177"/>
              <w:ind w:left="517" w:leftChars="0" w:right="507" w:rightChars="0"/>
              <w:jc w:val="center"/>
              <w:rPr>
                <w:color w:val="auto"/>
                <w:sz w:val="22"/>
              </w:rPr>
            </w:pPr>
            <w:r>
              <w:rPr>
                <w:rFonts w:hint="eastAsia" w:ascii="宋体" w:hAnsi="宋体" w:eastAsia="宋体" w:cs="宋体"/>
                <w:color w:val="auto"/>
                <w:sz w:val="21"/>
                <w:szCs w:val="21"/>
              </w:rPr>
              <w:t>质检</w:t>
            </w:r>
          </w:p>
        </w:tc>
        <w:tc>
          <w:tcPr>
            <w:tcW w:w="2034" w:type="dxa"/>
            <w:vAlign w:val="top"/>
          </w:tcPr>
          <w:p>
            <w:pPr>
              <w:pStyle w:val="31"/>
              <w:spacing w:before="177"/>
              <w:ind w:left="10" w:leftChars="0" w:right="0" w:rightChars="0"/>
              <w:jc w:val="center"/>
              <w:rPr>
                <w:rFonts w:ascii="Times New Roman"/>
                <w:color w:val="auto"/>
                <w:sz w:val="22"/>
              </w:rPr>
            </w:pPr>
            <w:r>
              <w:rPr>
                <w:rFonts w:hint="eastAsia" w:ascii="宋体" w:hAnsi="宋体" w:eastAsia="宋体" w:cs="宋体"/>
                <w:color w:val="auto"/>
                <w:sz w:val="21"/>
                <w:szCs w:val="21"/>
              </w:rPr>
              <w:t>13006266971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19"/>
              <w:ind w:left="10"/>
              <w:rPr>
                <w:rFonts w:ascii="Times New Roman"/>
                <w:color w:val="auto"/>
                <w:sz w:val="21"/>
              </w:rPr>
            </w:pPr>
            <w:r>
              <w:rPr>
                <w:rFonts w:ascii="Times New Roman"/>
                <w:color w:val="auto"/>
                <w:w w:val="99"/>
                <w:sz w:val="21"/>
              </w:rPr>
              <w:t>6</w:t>
            </w:r>
          </w:p>
        </w:tc>
        <w:tc>
          <w:tcPr>
            <w:tcW w:w="1726" w:type="dxa"/>
          </w:tcPr>
          <w:p>
            <w:pPr>
              <w:pStyle w:val="31"/>
              <w:spacing w:before="5" w:line="259" w:lineRule="exact"/>
              <w:ind w:left="338"/>
              <w:jc w:val="left"/>
              <w:rPr>
                <w:color w:val="auto"/>
                <w:sz w:val="21"/>
              </w:rPr>
            </w:pPr>
            <w:r>
              <w:rPr>
                <w:color w:val="auto"/>
                <w:sz w:val="21"/>
              </w:rPr>
              <w:t>物资供应组</w:t>
            </w:r>
          </w:p>
        </w:tc>
        <w:tc>
          <w:tcPr>
            <w:tcW w:w="1350" w:type="dxa"/>
          </w:tcPr>
          <w:p>
            <w:pPr>
              <w:pStyle w:val="31"/>
              <w:spacing w:before="5" w:line="259" w:lineRule="exact"/>
              <w:ind w:left="128" w:right="120"/>
              <w:rPr>
                <w:color w:val="auto"/>
                <w:sz w:val="21"/>
              </w:rPr>
            </w:pPr>
            <w:r>
              <w:rPr>
                <w:color w:val="auto"/>
                <w:sz w:val="21"/>
              </w:rPr>
              <w:t>组长</w:t>
            </w:r>
          </w:p>
        </w:tc>
        <w:tc>
          <w:tcPr>
            <w:tcW w:w="1294" w:type="dxa"/>
            <w:vAlign w:val="top"/>
          </w:tcPr>
          <w:p>
            <w:pPr>
              <w:pStyle w:val="31"/>
              <w:spacing w:before="175"/>
              <w:ind w:left="9" w:leftChars="0" w:right="0" w:rightChars="0"/>
              <w:jc w:val="center"/>
              <w:rPr>
                <w:color w:val="auto"/>
                <w:sz w:val="22"/>
              </w:rPr>
            </w:pPr>
            <w:r>
              <w:rPr>
                <w:rFonts w:hint="eastAsia" w:cs="宋体"/>
                <w:color w:val="auto"/>
                <w:sz w:val="21"/>
                <w:szCs w:val="21"/>
                <w:lang w:eastAsia="zh-CN"/>
              </w:rPr>
              <w:t>王信春</w:t>
            </w:r>
          </w:p>
        </w:tc>
        <w:tc>
          <w:tcPr>
            <w:tcW w:w="2034" w:type="dxa"/>
            <w:vAlign w:val="top"/>
          </w:tcPr>
          <w:p>
            <w:pPr>
              <w:pStyle w:val="31"/>
              <w:spacing w:before="175"/>
              <w:ind w:left="517" w:leftChars="0" w:right="507" w:rightChars="0"/>
              <w:jc w:val="center"/>
              <w:rPr>
                <w:color w:val="auto"/>
                <w:sz w:val="22"/>
              </w:rPr>
            </w:pPr>
            <w:r>
              <w:rPr>
                <w:rFonts w:hint="eastAsia" w:ascii="宋体" w:hAnsi="宋体" w:eastAsia="宋体" w:cs="宋体"/>
                <w:color w:val="auto"/>
                <w:sz w:val="21"/>
                <w:szCs w:val="21"/>
              </w:rPr>
              <w:t>后勤</w:t>
            </w:r>
          </w:p>
        </w:tc>
        <w:tc>
          <w:tcPr>
            <w:tcW w:w="2034" w:type="dxa"/>
            <w:vAlign w:val="top"/>
          </w:tcPr>
          <w:p>
            <w:pPr>
              <w:pStyle w:val="31"/>
              <w:spacing w:before="175"/>
              <w:ind w:left="10" w:leftChars="0" w:right="0" w:rightChars="0"/>
              <w:jc w:val="center"/>
              <w:rPr>
                <w:rFonts w:ascii="Times New Roman"/>
                <w:color w:val="auto"/>
                <w:sz w:val="22"/>
              </w:rPr>
            </w:pPr>
            <w:r>
              <w:rPr>
                <w:rFonts w:hint="eastAsia" w:ascii="宋体" w:hAnsi="宋体" w:eastAsia="宋体" w:cs="宋体"/>
                <w:color w:val="auto"/>
                <w:sz w:val="21"/>
                <w:szCs w:val="21"/>
              </w:rPr>
              <w:t>18079573168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65" w:type="dxa"/>
          </w:tcPr>
          <w:p>
            <w:pPr>
              <w:pStyle w:val="31"/>
              <w:spacing w:before="22"/>
              <w:ind w:left="10"/>
              <w:rPr>
                <w:rFonts w:ascii="Times New Roman"/>
                <w:color w:val="auto"/>
                <w:sz w:val="21"/>
              </w:rPr>
            </w:pPr>
            <w:r>
              <w:rPr>
                <w:rFonts w:ascii="Times New Roman"/>
                <w:color w:val="auto"/>
                <w:w w:val="99"/>
                <w:sz w:val="21"/>
              </w:rPr>
              <w:t>7</w:t>
            </w:r>
          </w:p>
        </w:tc>
        <w:tc>
          <w:tcPr>
            <w:tcW w:w="1726" w:type="dxa"/>
          </w:tcPr>
          <w:p>
            <w:pPr>
              <w:pStyle w:val="31"/>
              <w:spacing w:before="8" w:line="258" w:lineRule="exact"/>
              <w:ind w:left="338"/>
              <w:jc w:val="left"/>
              <w:rPr>
                <w:color w:val="auto"/>
                <w:sz w:val="21"/>
              </w:rPr>
            </w:pPr>
            <w:r>
              <w:rPr>
                <w:color w:val="auto"/>
                <w:sz w:val="21"/>
              </w:rPr>
              <w:t>应急监测组</w:t>
            </w:r>
          </w:p>
        </w:tc>
        <w:tc>
          <w:tcPr>
            <w:tcW w:w="1350" w:type="dxa"/>
          </w:tcPr>
          <w:p>
            <w:pPr>
              <w:pStyle w:val="31"/>
              <w:spacing w:before="8" w:line="258" w:lineRule="exact"/>
              <w:ind w:left="128" w:right="120"/>
              <w:rPr>
                <w:color w:val="auto"/>
                <w:sz w:val="21"/>
              </w:rPr>
            </w:pPr>
            <w:r>
              <w:rPr>
                <w:color w:val="auto"/>
                <w:sz w:val="21"/>
              </w:rPr>
              <w:t>组长</w:t>
            </w:r>
          </w:p>
        </w:tc>
        <w:tc>
          <w:tcPr>
            <w:tcW w:w="1294" w:type="dxa"/>
            <w:vAlign w:val="top"/>
          </w:tcPr>
          <w:p>
            <w:pPr>
              <w:pStyle w:val="31"/>
              <w:spacing w:before="177"/>
              <w:ind w:left="9" w:leftChars="0" w:right="0" w:rightChars="0"/>
              <w:jc w:val="center"/>
              <w:rPr>
                <w:color w:val="auto"/>
                <w:sz w:val="22"/>
              </w:rPr>
            </w:pPr>
            <w:r>
              <w:rPr>
                <w:rFonts w:hint="eastAsia" w:cs="宋体"/>
                <w:color w:val="auto"/>
                <w:sz w:val="21"/>
                <w:szCs w:val="21"/>
                <w:lang w:eastAsia="zh-CN"/>
              </w:rPr>
              <w:t>夏锦波</w:t>
            </w:r>
          </w:p>
        </w:tc>
        <w:tc>
          <w:tcPr>
            <w:tcW w:w="2034" w:type="dxa"/>
            <w:vAlign w:val="top"/>
          </w:tcPr>
          <w:p>
            <w:pPr>
              <w:pStyle w:val="31"/>
              <w:spacing w:before="177"/>
              <w:ind w:left="517" w:leftChars="0" w:right="507" w:rightChars="0"/>
              <w:jc w:val="center"/>
              <w:rPr>
                <w:color w:val="auto"/>
                <w:sz w:val="22"/>
              </w:rPr>
            </w:pPr>
            <w:r>
              <w:rPr>
                <w:rFonts w:hint="eastAsia" w:ascii="宋体" w:hAnsi="宋体" w:eastAsia="宋体" w:cs="宋体"/>
                <w:color w:val="auto"/>
                <w:sz w:val="21"/>
                <w:szCs w:val="21"/>
              </w:rPr>
              <w:t>售后</w:t>
            </w:r>
          </w:p>
        </w:tc>
        <w:tc>
          <w:tcPr>
            <w:tcW w:w="2034" w:type="dxa"/>
            <w:vAlign w:val="top"/>
          </w:tcPr>
          <w:p>
            <w:pPr>
              <w:pStyle w:val="31"/>
              <w:spacing w:before="177"/>
              <w:ind w:left="10" w:leftChars="0" w:right="0" w:rightChars="0"/>
              <w:jc w:val="center"/>
              <w:rPr>
                <w:rFonts w:ascii="Times New Roman"/>
                <w:color w:val="auto"/>
                <w:sz w:val="22"/>
              </w:rPr>
            </w:pPr>
            <w:r>
              <w:rPr>
                <w:rFonts w:hint="eastAsia" w:ascii="宋体" w:hAnsi="宋体" w:eastAsia="宋体" w:cs="宋体"/>
                <w:color w:val="auto"/>
                <w:sz w:val="21"/>
                <w:szCs w:val="21"/>
              </w:rPr>
              <w:t>15970513801</w:t>
            </w:r>
          </w:p>
        </w:tc>
      </w:tr>
    </w:tbl>
    <w:p>
      <w:pPr>
        <w:pStyle w:val="8"/>
        <w:numPr>
          <w:ilvl w:val="1"/>
          <w:numId w:val="9"/>
        </w:numPr>
        <w:tabs>
          <w:tab w:val="left" w:pos="750"/>
        </w:tabs>
        <w:spacing w:before="0" w:after="0" w:line="240" w:lineRule="auto"/>
        <w:ind w:left="749" w:right="0" w:hanging="490"/>
        <w:jc w:val="left"/>
      </w:pPr>
      <w:bookmarkStart w:id="454" w:name="_bookmark114"/>
      <w:bookmarkEnd w:id="454"/>
      <w:bookmarkStart w:id="455" w:name="_bookmark114"/>
      <w:bookmarkEnd w:id="455"/>
      <w:bookmarkStart w:id="456" w:name="8.5 技术保障"/>
      <w:bookmarkEnd w:id="456"/>
      <w:bookmarkStart w:id="457" w:name="_Toc26441"/>
      <w:bookmarkStart w:id="458" w:name="_Toc27443"/>
      <w:r>
        <w:t>技术保障</w:t>
      </w:r>
      <w:bookmarkEnd w:id="457"/>
      <w:bookmarkEnd w:id="458"/>
    </w:p>
    <w:p>
      <w:pPr>
        <w:pStyle w:val="5"/>
        <w:spacing w:before="234" w:line="362" w:lineRule="auto"/>
        <w:ind w:left="260" w:right="229" w:firstLine="480"/>
      </w:pPr>
      <w:r>
        <w:t>建立环境安全预警系统，组建相关环境应急指导专家组，确保在启动预警前、事件发生后相关领域专家能迅速到位，为指挥决策提供服务。</w:t>
      </w:r>
    </w:p>
    <w:p>
      <w:pPr>
        <w:pStyle w:val="8"/>
        <w:numPr>
          <w:ilvl w:val="1"/>
          <w:numId w:val="9"/>
        </w:numPr>
        <w:tabs>
          <w:tab w:val="left" w:pos="750"/>
        </w:tabs>
        <w:spacing w:before="3" w:after="0" w:line="240" w:lineRule="auto"/>
        <w:ind w:left="749" w:right="0" w:hanging="490"/>
        <w:jc w:val="left"/>
      </w:pPr>
      <w:bookmarkStart w:id="459" w:name="_bookmark115"/>
      <w:bookmarkEnd w:id="459"/>
      <w:bookmarkStart w:id="460" w:name="8.6 其他保障"/>
      <w:bookmarkEnd w:id="460"/>
      <w:bookmarkStart w:id="461" w:name="_bookmark115"/>
      <w:bookmarkEnd w:id="461"/>
      <w:bookmarkStart w:id="462" w:name="_Toc24613"/>
      <w:bookmarkStart w:id="463" w:name="_Toc11398"/>
      <w:r>
        <w:t>其他保障</w:t>
      </w:r>
      <w:bookmarkEnd w:id="462"/>
      <w:bookmarkEnd w:id="463"/>
    </w:p>
    <w:p>
      <w:pPr>
        <w:pStyle w:val="30"/>
        <w:numPr>
          <w:ilvl w:val="0"/>
          <w:numId w:val="33"/>
        </w:numPr>
        <w:tabs>
          <w:tab w:val="left" w:pos="1341"/>
        </w:tabs>
        <w:spacing w:before="233" w:after="0" w:line="364" w:lineRule="auto"/>
        <w:ind w:left="260" w:right="229" w:firstLine="480"/>
        <w:jc w:val="left"/>
        <w:rPr>
          <w:sz w:val="24"/>
        </w:rPr>
      </w:pPr>
      <w:r>
        <w:rPr>
          <w:spacing w:val="-7"/>
          <w:sz w:val="24"/>
        </w:rPr>
        <w:t>交通运输保障：应急指挥部必须确保应急处置车辆的落实，加强对应急处置</w:t>
      </w:r>
      <w:r>
        <w:rPr>
          <w:spacing w:val="-4"/>
          <w:sz w:val="24"/>
        </w:rPr>
        <w:t>车辆的维护和管理，保证紧急情况下车辆的优先调度，确保应急处置工作的顺利开展。</w:t>
      </w:r>
    </w:p>
    <w:p>
      <w:pPr>
        <w:pStyle w:val="30"/>
        <w:numPr>
          <w:ilvl w:val="0"/>
          <w:numId w:val="33"/>
        </w:numPr>
        <w:tabs>
          <w:tab w:val="left" w:pos="1341"/>
        </w:tabs>
        <w:spacing w:before="1" w:after="0" w:line="362" w:lineRule="auto"/>
        <w:ind w:left="260" w:right="229" w:firstLine="480"/>
        <w:jc w:val="left"/>
        <w:rPr>
          <w:sz w:val="24"/>
        </w:rPr>
      </w:pPr>
      <w:r>
        <w:rPr>
          <w:spacing w:val="-7"/>
          <w:sz w:val="24"/>
        </w:rPr>
        <w:t>医疗保障：应急指挥部加强与医疗救治单位的联系并签定互救协议，建立医</w:t>
      </w:r>
      <w:r>
        <w:rPr>
          <w:spacing w:val="-4"/>
          <w:sz w:val="24"/>
        </w:rPr>
        <w:t>疗救治信息，保证受伤人员得到及时救治，减少人员伤亡。</w:t>
      </w:r>
    </w:p>
    <w:p>
      <w:pPr>
        <w:pStyle w:val="30"/>
        <w:numPr>
          <w:ilvl w:val="0"/>
          <w:numId w:val="33"/>
        </w:numPr>
        <w:tabs>
          <w:tab w:val="left" w:pos="1341"/>
        </w:tabs>
        <w:spacing w:before="1" w:after="0" w:line="362" w:lineRule="auto"/>
        <w:ind w:left="260" w:right="229" w:firstLine="480"/>
        <w:jc w:val="left"/>
        <w:rPr>
          <w:spacing w:val="-7"/>
          <w:sz w:val="24"/>
        </w:rPr>
      </w:pPr>
      <w:r>
        <w:rPr>
          <w:spacing w:val="-7"/>
          <w:sz w:val="24"/>
        </w:rPr>
        <w:t>治安保障：应急指挥部积极协助、配合地方政府及时疏散、撤离无关人员，加强事件现场周边的治安管理，维护社会治安，配合做好事件现场警戒，防止无关人员进入。</w:t>
      </w:r>
    </w:p>
    <w:p>
      <w:pPr>
        <w:pStyle w:val="30"/>
        <w:numPr>
          <w:ilvl w:val="0"/>
          <w:numId w:val="33"/>
        </w:numPr>
        <w:tabs>
          <w:tab w:val="left" w:pos="1341"/>
        </w:tabs>
        <w:spacing w:before="5" w:after="0" w:line="362" w:lineRule="auto"/>
        <w:ind w:left="260" w:right="109" w:firstLine="480"/>
        <w:jc w:val="left"/>
        <w:rPr>
          <w:sz w:val="24"/>
        </w:rPr>
      </w:pPr>
      <w:r>
        <w:rPr>
          <w:spacing w:val="-12"/>
          <w:sz w:val="24"/>
        </w:rPr>
        <w:t>社会动员保障：应急指挥部加强与兄弟单位日常的沟通与协作，配合地方政府</w:t>
      </w:r>
      <w:r>
        <w:rPr>
          <w:spacing w:val="-4"/>
          <w:sz w:val="24"/>
        </w:rPr>
        <w:t>，积极做好相邻区域、单位之间的联动工作。应急指挥部还需与相关部门签定互救协议。</w:t>
      </w:r>
    </w:p>
    <w:p>
      <w:pPr>
        <w:pStyle w:val="30"/>
        <w:numPr>
          <w:ilvl w:val="0"/>
          <w:numId w:val="33"/>
        </w:numPr>
        <w:tabs>
          <w:tab w:val="left" w:pos="1341"/>
        </w:tabs>
        <w:spacing w:before="4" w:after="0" w:line="364" w:lineRule="auto"/>
        <w:ind w:left="260" w:right="229" w:firstLine="480"/>
        <w:jc w:val="left"/>
        <w:rPr>
          <w:sz w:val="24"/>
        </w:rPr>
      </w:pPr>
      <w:r>
        <w:rPr>
          <w:spacing w:val="-6"/>
          <w:sz w:val="24"/>
        </w:rPr>
        <w:t>紧急避难场所保障：应急指挥部按照突发环境事件类型，制定人员和财产的</w:t>
      </w:r>
      <w:r>
        <w:rPr>
          <w:spacing w:val="-4"/>
          <w:sz w:val="24"/>
        </w:rPr>
        <w:t>避难方案。协助配合地方政府做好突发环境事件发生后人员和财产的疏散、避难工作。</w:t>
      </w:r>
    </w:p>
    <w:p>
      <w:pPr>
        <w:pStyle w:val="7"/>
        <w:numPr>
          <w:ilvl w:val="0"/>
          <w:numId w:val="9"/>
        </w:numPr>
        <w:tabs>
          <w:tab w:val="left" w:pos="580"/>
        </w:tabs>
        <w:spacing w:before="65" w:after="0" w:line="240" w:lineRule="auto"/>
        <w:ind w:left="579" w:right="0" w:hanging="320"/>
        <w:jc w:val="left"/>
      </w:pPr>
      <w:bookmarkStart w:id="464" w:name="9 应急培训和演练"/>
      <w:bookmarkEnd w:id="464"/>
      <w:bookmarkStart w:id="465" w:name="_bookmark116"/>
      <w:bookmarkEnd w:id="465"/>
      <w:bookmarkStart w:id="466" w:name="_bookmark116"/>
      <w:bookmarkEnd w:id="466"/>
      <w:bookmarkStart w:id="467" w:name="_Toc13153"/>
      <w:bookmarkStart w:id="468" w:name="_Toc25756"/>
      <w:r>
        <w:t>应急培训和演练</w:t>
      </w:r>
      <w:bookmarkEnd w:id="467"/>
      <w:bookmarkEnd w:id="468"/>
    </w:p>
    <w:p>
      <w:pPr>
        <w:pStyle w:val="8"/>
        <w:numPr>
          <w:ilvl w:val="1"/>
          <w:numId w:val="9"/>
        </w:numPr>
        <w:tabs>
          <w:tab w:val="left" w:pos="680"/>
        </w:tabs>
        <w:spacing w:before="211" w:after="0" w:line="240" w:lineRule="auto"/>
        <w:ind w:left="680" w:right="0" w:hanging="420"/>
        <w:jc w:val="left"/>
      </w:pPr>
      <w:bookmarkStart w:id="469" w:name="9.1培训"/>
      <w:bookmarkEnd w:id="469"/>
      <w:bookmarkStart w:id="470" w:name="_bookmark117"/>
      <w:bookmarkEnd w:id="470"/>
      <w:bookmarkStart w:id="471" w:name="_bookmark117"/>
      <w:bookmarkEnd w:id="471"/>
      <w:bookmarkStart w:id="472" w:name="_Toc27265"/>
      <w:bookmarkStart w:id="473" w:name="_Toc16654"/>
      <w:r>
        <w:t>培训</w:t>
      </w:r>
      <w:bookmarkEnd w:id="472"/>
      <w:bookmarkEnd w:id="473"/>
    </w:p>
    <w:p>
      <w:pPr>
        <w:pStyle w:val="5"/>
        <w:spacing w:before="233" w:line="364" w:lineRule="auto"/>
        <w:ind w:left="260" w:right="229" w:firstLine="480"/>
      </w:pPr>
      <w:r>
        <w:t>结合本公司的实际情况，积极开展突发环境事件应急能力的专业技能培训，保证在事故发生时所有人员临危不乱，积极有效地投入应急抢险工作中。</w:t>
      </w:r>
    </w:p>
    <w:p>
      <w:pPr>
        <w:pStyle w:val="9"/>
        <w:numPr>
          <w:ilvl w:val="2"/>
          <w:numId w:val="34"/>
        </w:numPr>
        <w:tabs>
          <w:tab w:val="left" w:pos="800"/>
        </w:tabs>
        <w:spacing w:before="0" w:after="0" w:line="306" w:lineRule="exact"/>
        <w:ind w:left="800" w:right="0" w:hanging="540"/>
        <w:jc w:val="left"/>
      </w:pPr>
      <w:bookmarkStart w:id="474" w:name="_bookmark118"/>
      <w:bookmarkEnd w:id="474"/>
      <w:bookmarkStart w:id="475" w:name="_bookmark118"/>
      <w:bookmarkEnd w:id="475"/>
      <w:bookmarkStart w:id="476" w:name="9.1.1培训内容"/>
      <w:bookmarkEnd w:id="476"/>
      <w:r>
        <w:t>培训内容</w:t>
      </w:r>
    </w:p>
    <w:p>
      <w:pPr>
        <w:pStyle w:val="5"/>
        <w:spacing w:before="209"/>
        <w:ind w:left="740"/>
      </w:pPr>
      <w:r>
        <w:t>公司内部每半年开展一次应急培训，培训内容主要包括以下内容：</w:t>
      </w:r>
    </w:p>
    <w:p>
      <w:pPr>
        <w:pStyle w:val="5"/>
        <w:spacing w:before="158" w:line="364" w:lineRule="auto"/>
        <w:ind w:left="260" w:right="229" w:firstLine="480"/>
        <w:jc w:val="both"/>
      </w:pPr>
      <w:r>
        <w:t>了解的本厂的生产工艺、装置情况；了解本厂三废产生和处理工艺、装置情况；掌握各种防护用品的作用及使用方法；掌握各种消防器材的使用功能；了解和掌握各种报警装置（固话、手机、网络、电铃、广播、火灾报警装置等）的作用和使用方法；了解和掌握现场救护和自救的有关常识；熟悉厂区内各安全通道、消防通道和事故疏散撤离线路，事故的防护范围及设定的安全区的位置；熟悉企业应急预案的程序、内容；明确应急抢险救援中各自的职责和任务；了解国家有关应急抢险的法律、法规、条例等。</w:t>
      </w:r>
    </w:p>
    <w:p>
      <w:pPr>
        <w:pStyle w:val="9"/>
        <w:numPr>
          <w:ilvl w:val="2"/>
          <w:numId w:val="34"/>
        </w:numPr>
        <w:tabs>
          <w:tab w:val="left" w:pos="800"/>
        </w:tabs>
        <w:spacing w:before="0" w:after="0" w:line="304" w:lineRule="exact"/>
        <w:ind w:left="800" w:right="0" w:hanging="540"/>
        <w:jc w:val="both"/>
      </w:pPr>
      <w:bookmarkStart w:id="477" w:name="_bookmark119"/>
      <w:bookmarkEnd w:id="477"/>
      <w:bookmarkStart w:id="478" w:name="9.1.2员工应急处置基本知识培训内容和方法"/>
      <w:bookmarkEnd w:id="478"/>
      <w:bookmarkStart w:id="479" w:name="_bookmark119"/>
      <w:bookmarkEnd w:id="479"/>
      <w:r>
        <w:t>员工应急处置基本知识培训内容和方法</w:t>
      </w:r>
    </w:p>
    <w:p>
      <w:pPr>
        <w:pStyle w:val="30"/>
        <w:numPr>
          <w:ilvl w:val="3"/>
          <w:numId w:val="34"/>
        </w:numPr>
        <w:tabs>
          <w:tab w:val="left" w:pos="1341"/>
        </w:tabs>
        <w:spacing w:before="208" w:after="0" w:line="240" w:lineRule="auto"/>
        <w:ind w:left="1341" w:right="0" w:hanging="601"/>
        <w:jc w:val="left"/>
        <w:rPr>
          <w:sz w:val="24"/>
        </w:rPr>
      </w:pPr>
      <w:r>
        <w:rPr>
          <w:sz w:val="24"/>
        </w:rPr>
        <w:t>培训内容</w:t>
      </w:r>
    </w:p>
    <w:p>
      <w:pPr>
        <w:pStyle w:val="5"/>
        <w:spacing w:before="158"/>
        <w:ind w:left="740"/>
      </w:pPr>
      <w:r>
        <w:t>①熟知本公司本部门的情况；</w:t>
      </w:r>
    </w:p>
    <w:p>
      <w:pPr>
        <w:pStyle w:val="5"/>
        <w:spacing w:before="161"/>
        <w:ind w:left="740"/>
      </w:pPr>
      <w:r>
        <w:t>②掌握自己所从事工作的抢险救援知识；</w:t>
      </w:r>
    </w:p>
    <w:p>
      <w:pPr>
        <w:pStyle w:val="5"/>
        <w:spacing w:before="160"/>
        <w:ind w:left="740"/>
      </w:pPr>
      <w:r>
        <w:t>③掌握火灾烧伤、化学品中毒时的处理方法；</w:t>
      </w:r>
    </w:p>
    <w:p>
      <w:pPr>
        <w:pStyle w:val="5"/>
        <w:spacing w:before="158"/>
        <w:ind w:left="740"/>
      </w:pPr>
      <w:r>
        <w:t>④掌握使用个人防护用品；</w:t>
      </w:r>
    </w:p>
    <w:p>
      <w:pPr>
        <w:pStyle w:val="5"/>
        <w:spacing w:before="161"/>
        <w:ind w:left="740"/>
      </w:pPr>
      <w:r>
        <w:t>⑤掌握使用消防器材；</w:t>
      </w:r>
    </w:p>
    <w:p>
      <w:pPr>
        <w:pStyle w:val="5"/>
        <w:spacing w:before="158"/>
        <w:ind w:left="740"/>
      </w:pPr>
      <w:r>
        <w:t>⑥掌握报警的有关常识；</w:t>
      </w:r>
    </w:p>
    <w:p>
      <w:pPr>
        <w:pStyle w:val="5"/>
        <w:spacing w:before="161"/>
        <w:ind w:left="740"/>
      </w:pPr>
      <w:r>
        <w:t>⑦掌握自救互救的技能；</w:t>
      </w:r>
    </w:p>
    <w:p>
      <w:pPr>
        <w:pStyle w:val="5"/>
        <w:spacing w:before="158"/>
        <w:ind w:left="740"/>
      </w:pPr>
      <w:r>
        <w:t>⑧提高员工的安全意识；</w:t>
      </w:r>
    </w:p>
    <w:p>
      <w:pPr>
        <w:pStyle w:val="30"/>
        <w:numPr>
          <w:ilvl w:val="3"/>
          <w:numId w:val="34"/>
        </w:numPr>
        <w:tabs>
          <w:tab w:val="left" w:pos="1341"/>
        </w:tabs>
        <w:spacing w:before="160" w:after="0" w:line="362" w:lineRule="auto"/>
        <w:ind w:left="740" w:right="7210" w:firstLine="0"/>
        <w:jc w:val="left"/>
        <w:rPr>
          <w:sz w:val="24"/>
        </w:rPr>
      </w:pPr>
      <w:r>
        <w:rPr>
          <w:sz w:val="24"/>
        </w:rPr>
        <w:t>培训时间</w:t>
      </w:r>
      <w:r>
        <w:rPr>
          <w:spacing w:val="-3"/>
          <w:sz w:val="24"/>
        </w:rPr>
        <w:t>每季培训一次。</w:t>
      </w:r>
    </w:p>
    <w:p>
      <w:pPr>
        <w:pStyle w:val="30"/>
        <w:numPr>
          <w:ilvl w:val="3"/>
          <w:numId w:val="34"/>
        </w:numPr>
        <w:tabs>
          <w:tab w:val="left" w:pos="1341"/>
        </w:tabs>
        <w:spacing w:before="5" w:after="0" w:line="240" w:lineRule="auto"/>
        <w:ind w:left="1341" w:right="0" w:hanging="601"/>
        <w:jc w:val="left"/>
      </w:pPr>
      <w:r>
        <w:rPr>
          <w:sz w:val="24"/>
        </w:rPr>
        <w:t>培训方法</w:t>
      </w:r>
      <w:r>
        <w:t>发放讲义，以课堂讲解为主，实际操作为辅。</w:t>
      </w:r>
    </w:p>
    <w:p>
      <w:pPr>
        <w:pStyle w:val="9"/>
        <w:numPr>
          <w:ilvl w:val="2"/>
          <w:numId w:val="34"/>
        </w:numPr>
        <w:tabs>
          <w:tab w:val="left" w:pos="800"/>
        </w:tabs>
        <w:spacing w:before="161" w:after="0" w:line="240" w:lineRule="auto"/>
        <w:ind w:left="800" w:right="0" w:hanging="540"/>
        <w:jc w:val="left"/>
      </w:pPr>
      <w:bookmarkStart w:id="480" w:name="_bookmark120"/>
      <w:bookmarkEnd w:id="480"/>
      <w:bookmarkStart w:id="481" w:name="9.1.3应急培训的方式、记录表 "/>
      <w:bookmarkEnd w:id="481"/>
      <w:bookmarkStart w:id="482" w:name="_bookmark120"/>
      <w:bookmarkEnd w:id="482"/>
      <w:r>
        <w:t>应急培训的方式、记录表</w:t>
      </w:r>
    </w:p>
    <w:p>
      <w:pPr>
        <w:pStyle w:val="5"/>
        <w:spacing w:before="208" w:line="362" w:lineRule="auto"/>
        <w:ind w:left="260" w:right="229" w:firstLine="480"/>
      </w:pPr>
      <w:r>
        <w:t>本公司对各级人员的应急培训，聘请有经验的专家讲课，以课堂讲解、实物讲解和现场实习相结合，使每位员工既有理论知识又有实际操作能力。每次培训完后都要进行</w:t>
      </w:r>
    </w:p>
    <w:p>
      <w:pPr>
        <w:pStyle w:val="5"/>
        <w:spacing w:before="64"/>
      </w:pPr>
      <w:r>
        <w:t>考试和考核，并要有详细的记录。</w:t>
      </w:r>
    </w:p>
    <w:p>
      <w:pPr>
        <w:pStyle w:val="8"/>
        <w:numPr>
          <w:ilvl w:val="1"/>
          <w:numId w:val="9"/>
        </w:numPr>
        <w:tabs>
          <w:tab w:val="left" w:pos="750"/>
        </w:tabs>
        <w:spacing w:before="158" w:after="0" w:line="240" w:lineRule="auto"/>
        <w:ind w:left="749" w:right="0" w:hanging="490"/>
        <w:jc w:val="left"/>
      </w:pPr>
      <w:bookmarkStart w:id="483" w:name="_bookmark121"/>
      <w:bookmarkEnd w:id="483"/>
      <w:bookmarkStart w:id="484" w:name="9.2 演练"/>
      <w:bookmarkEnd w:id="484"/>
      <w:bookmarkStart w:id="485" w:name="_bookmark121"/>
      <w:bookmarkEnd w:id="485"/>
      <w:bookmarkStart w:id="486" w:name="_Toc32638"/>
      <w:bookmarkStart w:id="487" w:name="_Toc10091"/>
      <w:r>
        <w:t>演练</w:t>
      </w:r>
      <w:bookmarkEnd w:id="486"/>
      <w:bookmarkEnd w:id="487"/>
    </w:p>
    <w:p>
      <w:pPr>
        <w:pStyle w:val="9"/>
        <w:numPr>
          <w:ilvl w:val="2"/>
          <w:numId w:val="35"/>
        </w:numPr>
        <w:tabs>
          <w:tab w:val="left" w:pos="800"/>
        </w:tabs>
        <w:spacing w:before="234" w:after="0" w:line="240" w:lineRule="auto"/>
        <w:ind w:left="800" w:right="0" w:hanging="540"/>
        <w:jc w:val="left"/>
      </w:pPr>
      <w:bookmarkStart w:id="488" w:name="_bookmark122"/>
      <w:bookmarkEnd w:id="488"/>
      <w:bookmarkStart w:id="489" w:name="_bookmark122"/>
      <w:bookmarkEnd w:id="489"/>
      <w:bookmarkStart w:id="490" w:name="9.2.1演练方式"/>
      <w:bookmarkEnd w:id="490"/>
      <w:r>
        <w:t>演练方式</w:t>
      </w:r>
    </w:p>
    <w:p>
      <w:pPr>
        <w:pStyle w:val="5"/>
        <w:spacing w:before="208"/>
        <w:ind w:left="740"/>
      </w:pPr>
      <w:r>
        <w:t>应急演习根据演习规模不同总的分为桌面演习、功能演习和全面演习。</w:t>
      </w:r>
    </w:p>
    <w:p>
      <w:pPr>
        <w:pStyle w:val="5"/>
        <w:spacing w:before="158" w:line="364" w:lineRule="auto"/>
        <w:ind w:left="260" w:right="229" w:firstLine="480"/>
        <w:jc w:val="both"/>
      </w:pPr>
      <w:r>
        <w:t>桌面演习是对演习情景进行口头演习，在会议室内举行。由应急组织的代表或关键岗位人员参加的，按照应急预案及其标准工作程序，讨论紧急情况时应采取行动的演习活动。</w:t>
      </w:r>
    </w:p>
    <w:p>
      <w:pPr>
        <w:pStyle w:val="5"/>
        <w:spacing w:line="362" w:lineRule="auto"/>
        <w:ind w:left="260" w:right="229" w:firstLine="480"/>
      </w:pPr>
      <w:r>
        <w:t>功能演习比桌面演习规模要大，主要目的是针对应急响应功能，检验应急人员以及应急体系的策划和响应能力为主，有更多的应急人员、机构和更多组织的参与。</w:t>
      </w:r>
    </w:p>
    <w:p>
      <w:pPr>
        <w:pStyle w:val="5"/>
        <w:spacing w:before="5" w:line="364" w:lineRule="auto"/>
        <w:ind w:left="260" w:right="229" w:firstLine="480"/>
        <w:jc w:val="both"/>
      </w:pPr>
      <w:r>
        <w:t>全面演习一般采取交流互动方式进行。演习过程要求尽量真实，辐射的内容要尽可能全面，调用的应急人员和资源尽可能多。同时要对人员、设备、行动及其他相关方面开展实战性演习，以检验各部门间相互协调的 应急响应能力。</w:t>
      </w:r>
    </w:p>
    <w:p>
      <w:pPr>
        <w:pStyle w:val="9"/>
        <w:numPr>
          <w:ilvl w:val="2"/>
          <w:numId w:val="35"/>
        </w:numPr>
        <w:tabs>
          <w:tab w:val="left" w:pos="800"/>
        </w:tabs>
        <w:spacing w:before="0" w:after="0" w:line="307" w:lineRule="exact"/>
        <w:ind w:left="800" w:right="0" w:hanging="540"/>
        <w:jc w:val="both"/>
      </w:pPr>
      <w:bookmarkStart w:id="491" w:name="_bookmark123"/>
      <w:bookmarkEnd w:id="491"/>
      <w:bookmarkStart w:id="492" w:name="_bookmark123"/>
      <w:bookmarkEnd w:id="492"/>
      <w:bookmarkStart w:id="493" w:name="9.2.2演练频次及范围"/>
      <w:bookmarkEnd w:id="493"/>
      <w:r>
        <w:t>演练频次及范围</w:t>
      </w:r>
    </w:p>
    <w:p>
      <w:pPr>
        <w:pStyle w:val="30"/>
        <w:numPr>
          <w:ilvl w:val="3"/>
          <w:numId w:val="35"/>
        </w:numPr>
        <w:tabs>
          <w:tab w:val="left" w:pos="1341"/>
        </w:tabs>
        <w:spacing w:before="206" w:after="0" w:line="364" w:lineRule="auto"/>
        <w:ind w:left="260" w:right="227" w:firstLine="480"/>
        <w:jc w:val="left"/>
        <w:rPr>
          <w:sz w:val="24"/>
        </w:rPr>
      </w:pPr>
      <w:r>
        <w:rPr>
          <w:spacing w:val="-4"/>
          <w:sz w:val="24"/>
        </w:rPr>
        <w:t>部门演练</w:t>
      </w:r>
      <w:r>
        <w:rPr>
          <w:sz w:val="24"/>
        </w:rPr>
        <w:t>（或训练</w:t>
      </w:r>
      <w:r>
        <w:rPr>
          <w:spacing w:val="-15"/>
          <w:sz w:val="24"/>
        </w:rPr>
        <w:t>）</w:t>
      </w:r>
      <w:r>
        <w:rPr>
          <w:spacing w:val="-8"/>
          <w:sz w:val="24"/>
        </w:rPr>
        <w:t>以报警、报告程序、现场应急处置、紧急、疏散等熟悉应</w:t>
      </w:r>
      <w:r>
        <w:rPr>
          <w:spacing w:val="-3"/>
          <w:sz w:val="24"/>
        </w:rPr>
        <w:t xml:space="preserve">急响应和某项应急功能的单项演练，演练频次每年 </w:t>
      </w:r>
      <w:r>
        <w:rPr>
          <w:sz w:val="24"/>
        </w:rPr>
        <w:t>2</w:t>
      </w:r>
      <w:r>
        <w:rPr>
          <w:spacing w:val="-12"/>
          <w:sz w:val="24"/>
        </w:rPr>
        <w:t xml:space="preserve"> 次以上；</w:t>
      </w:r>
    </w:p>
    <w:p>
      <w:pPr>
        <w:pStyle w:val="30"/>
        <w:numPr>
          <w:ilvl w:val="3"/>
          <w:numId w:val="35"/>
        </w:numPr>
        <w:tabs>
          <w:tab w:val="left" w:pos="1341"/>
        </w:tabs>
        <w:spacing w:before="0" w:after="0" w:line="364" w:lineRule="auto"/>
        <w:ind w:left="260" w:right="229" w:firstLine="480"/>
        <w:jc w:val="left"/>
        <w:rPr>
          <w:sz w:val="24"/>
        </w:rPr>
      </w:pPr>
      <w:r>
        <w:rPr>
          <w:spacing w:val="-1"/>
          <w:sz w:val="24"/>
        </w:rPr>
        <w:t>公司级演练以多个应急小组之间或某些外部应急组织之间相互 协调进行的演</w:t>
      </w:r>
      <w:r>
        <w:rPr>
          <w:sz w:val="24"/>
        </w:rPr>
        <w:t>练，公司级预案全部或部分功能的综合演练，演练频次每年 1</w:t>
      </w:r>
      <w:r>
        <w:rPr>
          <w:spacing w:val="-12"/>
          <w:sz w:val="24"/>
        </w:rPr>
        <w:t xml:space="preserve"> 次以上。</w:t>
      </w:r>
    </w:p>
    <w:p>
      <w:pPr>
        <w:pStyle w:val="30"/>
        <w:numPr>
          <w:ilvl w:val="3"/>
          <w:numId w:val="35"/>
        </w:numPr>
        <w:tabs>
          <w:tab w:val="left" w:pos="1341"/>
        </w:tabs>
        <w:spacing w:before="0" w:after="0" w:line="364" w:lineRule="auto"/>
        <w:ind w:left="260" w:right="229" w:firstLine="480"/>
        <w:jc w:val="left"/>
        <w:rPr>
          <w:sz w:val="24"/>
        </w:rPr>
      </w:pPr>
      <w:r>
        <w:rPr>
          <w:spacing w:val="-6"/>
          <w:sz w:val="24"/>
        </w:rPr>
        <w:t>与政府有关部门的演练，视政府组织频次情况确定，亦可结合公司级组织的</w:t>
      </w:r>
      <w:r>
        <w:rPr>
          <w:spacing w:val="-4"/>
          <w:sz w:val="24"/>
        </w:rPr>
        <w:t>演练进行。</w:t>
      </w:r>
    </w:p>
    <w:p>
      <w:pPr>
        <w:pStyle w:val="9"/>
        <w:numPr>
          <w:ilvl w:val="2"/>
          <w:numId w:val="35"/>
        </w:numPr>
        <w:tabs>
          <w:tab w:val="left" w:pos="800"/>
        </w:tabs>
        <w:spacing w:before="0" w:after="0" w:line="306" w:lineRule="exact"/>
        <w:ind w:left="800" w:right="0" w:hanging="540"/>
        <w:jc w:val="left"/>
      </w:pPr>
      <w:bookmarkStart w:id="494" w:name="_bookmark124"/>
      <w:bookmarkEnd w:id="494"/>
      <w:bookmarkStart w:id="495" w:name="_bookmark124"/>
      <w:bookmarkEnd w:id="495"/>
      <w:bookmarkStart w:id="496" w:name="9.2.3演练内容"/>
      <w:bookmarkEnd w:id="496"/>
      <w:r>
        <w:t>演练内容</w:t>
      </w:r>
    </w:p>
    <w:p>
      <w:pPr>
        <w:pStyle w:val="30"/>
        <w:numPr>
          <w:ilvl w:val="0"/>
          <w:numId w:val="36"/>
        </w:numPr>
        <w:tabs>
          <w:tab w:val="left" w:pos="1341"/>
        </w:tabs>
        <w:spacing w:before="206" w:after="0" w:line="240" w:lineRule="auto"/>
        <w:ind w:left="1341" w:right="0" w:hanging="601"/>
        <w:jc w:val="left"/>
        <w:rPr>
          <w:sz w:val="24"/>
        </w:rPr>
      </w:pPr>
      <w:r>
        <w:rPr>
          <w:sz w:val="24"/>
        </w:rPr>
        <w:t>事故报警方式；</w:t>
      </w:r>
    </w:p>
    <w:p>
      <w:pPr>
        <w:pStyle w:val="30"/>
        <w:numPr>
          <w:ilvl w:val="0"/>
          <w:numId w:val="36"/>
        </w:numPr>
        <w:tabs>
          <w:tab w:val="left" w:pos="1341"/>
        </w:tabs>
        <w:spacing w:before="160" w:after="0" w:line="240" w:lineRule="auto"/>
        <w:ind w:left="1341" w:right="0" w:hanging="601"/>
        <w:jc w:val="left"/>
        <w:rPr>
          <w:sz w:val="24"/>
        </w:rPr>
      </w:pPr>
      <w:r>
        <w:rPr>
          <w:sz w:val="24"/>
        </w:rPr>
        <w:t>公司内应急抢险；</w:t>
      </w:r>
    </w:p>
    <w:p>
      <w:pPr>
        <w:pStyle w:val="30"/>
        <w:numPr>
          <w:ilvl w:val="0"/>
          <w:numId w:val="36"/>
        </w:numPr>
        <w:tabs>
          <w:tab w:val="left" w:pos="1341"/>
        </w:tabs>
        <w:spacing w:before="158" w:after="0" w:line="240" w:lineRule="auto"/>
        <w:ind w:left="1341" w:right="0" w:hanging="601"/>
        <w:jc w:val="left"/>
        <w:rPr>
          <w:sz w:val="24"/>
        </w:rPr>
      </w:pPr>
      <w:r>
        <w:rPr>
          <w:sz w:val="24"/>
        </w:rPr>
        <w:t>急救与医疗；</w:t>
      </w:r>
    </w:p>
    <w:p>
      <w:pPr>
        <w:pStyle w:val="30"/>
        <w:numPr>
          <w:ilvl w:val="0"/>
          <w:numId w:val="36"/>
        </w:numPr>
        <w:tabs>
          <w:tab w:val="left" w:pos="1341"/>
        </w:tabs>
        <w:spacing w:before="159" w:after="0" w:line="240" w:lineRule="auto"/>
        <w:ind w:left="1341" w:right="0" w:hanging="601"/>
        <w:jc w:val="left"/>
        <w:rPr>
          <w:sz w:val="24"/>
        </w:rPr>
      </w:pPr>
      <w:r>
        <w:rPr>
          <w:sz w:val="24"/>
        </w:rPr>
        <w:t>环境污染事故处理方法；</w:t>
      </w:r>
    </w:p>
    <w:p>
      <w:pPr>
        <w:pStyle w:val="30"/>
        <w:numPr>
          <w:ilvl w:val="0"/>
          <w:numId w:val="36"/>
        </w:numPr>
        <w:tabs>
          <w:tab w:val="left" w:pos="1341"/>
        </w:tabs>
        <w:spacing w:before="160" w:after="0" w:line="240" w:lineRule="auto"/>
        <w:ind w:left="1341" w:right="0" w:hanging="601"/>
        <w:jc w:val="left"/>
        <w:rPr>
          <w:sz w:val="24"/>
        </w:rPr>
      </w:pPr>
      <w:r>
        <w:rPr>
          <w:sz w:val="24"/>
        </w:rPr>
        <w:t>事故区清点人数及人员控制；</w:t>
      </w:r>
    </w:p>
    <w:p>
      <w:pPr>
        <w:pStyle w:val="30"/>
        <w:numPr>
          <w:ilvl w:val="0"/>
          <w:numId w:val="36"/>
        </w:numPr>
        <w:tabs>
          <w:tab w:val="left" w:pos="1341"/>
        </w:tabs>
        <w:spacing w:before="158" w:after="0" w:line="240" w:lineRule="auto"/>
        <w:ind w:left="1341" w:right="0" w:hanging="601"/>
        <w:jc w:val="left"/>
        <w:rPr>
          <w:sz w:val="24"/>
        </w:rPr>
      </w:pPr>
      <w:r>
        <w:rPr>
          <w:sz w:val="24"/>
        </w:rPr>
        <w:t>交通控制及交通道口的管制；</w:t>
      </w:r>
    </w:p>
    <w:p>
      <w:pPr>
        <w:pStyle w:val="30"/>
        <w:numPr>
          <w:ilvl w:val="0"/>
          <w:numId w:val="36"/>
        </w:numPr>
        <w:tabs>
          <w:tab w:val="left" w:pos="1341"/>
        </w:tabs>
        <w:spacing w:before="161" w:after="0" w:line="240" w:lineRule="auto"/>
        <w:ind w:left="1341" w:right="0" w:hanging="601"/>
        <w:jc w:val="left"/>
        <w:rPr>
          <w:sz w:val="24"/>
        </w:rPr>
      </w:pPr>
      <w:r>
        <w:rPr>
          <w:sz w:val="24"/>
        </w:rPr>
        <w:t>周边单位、群众及无关人员的撤离以及有关撤离工作的演习；</w:t>
      </w:r>
    </w:p>
    <w:p>
      <w:pPr>
        <w:pStyle w:val="30"/>
        <w:numPr>
          <w:ilvl w:val="0"/>
          <w:numId w:val="36"/>
        </w:numPr>
        <w:tabs>
          <w:tab w:val="left" w:pos="1341"/>
        </w:tabs>
        <w:spacing w:before="160" w:after="0" w:line="240" w:lineRule="auto"/>
        <w:ind w:left="1341" w:right="0" w:hanging="601"/>
        <w:jc w:val="left"/>
        <w:rPr>
          <w:sz w:val="24"/>
        </w:rPr>
      </w:pPr>
      <w:r>
        <w:rPr>
          <w:sz w:val="24"/>
        </w:rPr>
        <w:t>信息报告演习；</w:t>
      </w:r>
    </w:p>
    <w:p>
      <w:pPr>
        <w:pStyle w:val="30"/>
        <w:numPr>
          <w:ilvl w:val="0"/>
          <w:numId w:val="36"/>
        </w:numPr>
        <w:tabs>
          <w:tab w:val="left" w:pos="1341"/>
        </w:tabs>
        <w:spacing w:before="158" w:after="0" w:line="240" w:lineRule="auto"/>
        <w:ind w:left="1341" w:right="0" w:hanging="601"/>
        <w:jc w:val="left"/>
        <w:rPr>
          <w:sz w:val="24"/>
        </w:rPr>
      </w:pPr>
      <w:r>
        <w:rPr>
          <w:sz w:val="24"/>
        </w:rPr>
        <w:t>事故进一步扩大所采取的措施；</w:t>
      </w:r>
    </w:p>
    <w:p>
      <w:pPr>
        <w:pStyle w:val="30"/>
        <w:numPr>
          <w:ilvl w:val="0"/>
          <w:numId w:val="36"/>
        </w:numPr>
        <w:tabs>
          <w:tab w:val="left" w:pos="1461"/>
        </w:tabs>
        <w:spacing w:before="161" w:after="0" w:line="240" w:lineRule="auto"/>
        <w:ind w:left="1461" w:right="0" w:hanging="721"/>
        <w:jc w:val="left"/>
        <w:rPr>
          <w:sz w:val="24"/>
        </w:rPr>
      </w:pPr>
      <w:r>
        <w:rPr>
          <w:sz w:val="24"/>
        </w:rPr>
        <w:t>污染恢复措施。</w:t>
      </w:r>
    </w:p>
    <w:p>
      <w:pPr>
        <w:spacing w:after="0" w:line="240" w:lineRule="auto"/>
        <w:jc w:val="left"/>
        <w:rPr>
          <w:rFonts w:hint="eastAsia"/>
          <w:sz w:val="24"/>
          <w:lang w:val="en-US" w:eastAsia="zh-CN"/>
        </w:rPr>
      </w:pPr>
      <w:r>
        <w:rPr>
          <w:rFonts w:hint="eastAsia"/>
          <w:sz w:val="24"/>
          <w:lang w:val="en-US" w:eastAsia="zh-CN"/>
        </w:rPr>
        <w:t xml:space="preserve"> </w:t>
      </w:r>
    </w:p>
    <w:p>
      <w:pPr>
        <w:pStyle w:val="9"/>
        <w:numPr>
          <w:ilvl w:val="2"/>
          <w:numId w:val="35"/>
        </w:numPr>
        <w:tabs>
          <w:tab w:val="left" w:pos="800"/>
        </w:tabs>
        <w:spacing w:before="64" w:after="0" w:line="240" w:lineRule="auto"/>
        <w:ind w:left="800" w:right="0" w:hanging="540"/>
        <w:jc w:val="left"/>
      </w:pPr>
      <w:bookmarkStart w:id="497" w:name="9.2.4演练的组织、评估和总结"/>
      <w:bookmarkEnd w:id="497"/>
      <w:bookmarkStart w:id="498" w:name="_bookmark125"/>
      <w:bookmarkEnd w:id="498"/>
      <w:bookmarkStart w:id="499" w:name="_bookmark125"/>
      <w:bookmarkEnd w:id="499"/>
      <w:r>
        <w:t>演练的组织、评估和总结</w:t>
      </w:r>
    </w:p>
    <w:p>
      <w:pPr>
        <w:pStyle w:val="5"/>
        <w:spacing w:before="206"/>
        <w:ind w:left="740"/>
      </w:pPr>
      <w:r>
        <w:t>应急演练由应急指挥部负责组织。</w:t>
      </w:r>
    </w:p>
    <w:p>
      <w:pPr>
        <w:pStyle w:val="5"/>
        <w:spacing w:before="160" w:line="362" w:lineRule="auto"/>
        <w:ind w:left="260" w:right="229" w:firstLine="480"/>
      </w:pPr>
      <w:r>
        <w:t>应急演练结束后，对演练进行评估和总结，辨识应急预案和程序中的缺陷与不足， 对演练过程中的不足项、整改项和改进项进行修订、完善。</w:t>
      </w:r>
    </w:p>
    <w:p>
      <w:pPr>
        <w:pStyle w:val="7"/>
        <w:numPr>
          <w:ilvl w:val="0"/>
          <w:numId w:val="9"/>
        </w:numPr>
        <w:tabs>
          <w:tab w:val="left" w:pos="740"/>
        </w:tabs>
        <w:spacing w:before="65" w:after="0" w:line="240" w:lineRule="auto"/>
        <w:ind w:left="740" w:right="0" w:hanging="480"/>
        <w:jc w:val="left"/>
      </w:pPr>
      <w:bookmarkStart w:id="500" w:name="_bookmark126"/>
      <w:bookmarkEnd w:id="500"/>
      <w:bookmarkStart w:id="501" w:name="_bookmark126"/>
      <w:bookmarkEnd w:id="501"/>
      <w:bookmarkStart w:id="502" w:name="10 奖惩"/>
      <w:bookmarkEnd w:id="502"/>
      <w:bookmarkStart w:id="503" w:name="_Toc11150"/>
      <w:bookmarkStart w:id="504" w:name="_Toc25402"/>
      <w:r>
        <w:t>奖惩</w:t>
      </w:r>
      <w:bookmarkEnd w:id="503"/>
      <w:bookmarkEnd w:id="504"/>
    </w:p>
    <w:p>
      <w:pPr>
        <w:pStyle w:val="30"/>
        <w:numPr>
          <w:ilvl w:val="0"/>
          <w:numId w:val="37"/>
        </w:numPr>
        <w:tabs>
          <w:tab w:val="left" w:pos="1341"/>
        </w:tabs>
        <w:spacing w:before="210" w:after="0" w:line="240" w:lineRule="auto"/>
        <w:ind w:left="1341" w:right="0" w:hanging="601"/>
        <w:jc w:val="left"/>
        <w:rPr>
          <w:sz w:val="24"/>
        </w:rPr>
      </w:pPr>
      <w:r>
        <w:rPr>
          <w:sz w:val="24"/>
        </w:rPr>
        <w:t>在突发事故中表现突出，成绩显著的，要给予表彰和奖励。</w:t>
      </w:r>
    </w:p>
    <w:p>
      <w:pPr>
        <w:pStyle w:val="30"/>
        <w:numPr>
          <w:ilvl w:val="0"/>
          <w:numId w:val="37"/>
        </w:numPr>
        <w:tabs>
          <w:tab w:val="left" w:pos="1341"/>
        </w:tabs>
        <w:spacing w:before="161" w:after="0" w:line="362" w:lineRule="auto"/>
        <w:ind w:left="260" w:right="107" w:firstLine="480"/>
        <w:jc w:val="left"/>
        <w:rPr>
          <w:sz w:val="24"/>
        </w:rPr>
      </w:pPr>
      <w:r>
        <w:rPr>
          <w:spacing w:val="-12"/>
          <w:sz w:val="24"/>
        </w:rPr>
        <w:t>不重视安全和环保工作，造成事故；或不参加培训与演练；或不参加应急救援</w:t>
      </w:r>
      <w:r>
        <w:rPr>
          <w:spacing w:val="-4"/>
          <w:sz w:val="24"/>
        </w:rPr>
        <w:t>；或在应急救援中擅离职守；视情节轻重，分别作警告、罚款、辞退处理。</w:t>
      </w:r>
    </w:p>
    <w:p>
      <w:pPr>
        <w:pStyle w:val="30"/>
        <w:numPr>
          <w:ilvl w:val="0"/>
          <w:numId w:val="37"/>
        </w:numPr>
        <w:tabs>
          <w:tab w:val="left" w:pos="1341"/>
        </w:tabs>
        <w:spacing w:before="5" w:after="0" w:line="364" w:lineRule="auto"/>
        <w:ind w:left="260" w:right="227" w:firstLine="480"/>
        <w:jc w:val="both"/>
        <w:rPr>
          <w:sz w:val="24"/>
        </w:rPr>
      </w:pPr>
      <w:r>
        <w:rPr>
          <w:spacing w:val="-6"/>
          <w:sz w:val="24"/>
        </w:rPr>
        <w:t>事故应急工作实行领导负责制和责任追究制。对迟报、谎报、瞒报和漏报事故</w:t>
      </w:r>
      <w:r>
        <w:rPr>
          <w:spacing w:val="-1"/>
          <w:sz w:val="24"/>
        </w:rPr>
        <w:t>重要情况或者应急管理工作中有其他失职、渎职行为的，依法对有关责任人给予行政处</w:t>
      </w:r>
      <w:r>
        <w:rPr>
          <w:sz w:val="24"/>
        </w:rPr>
        <w:t>分。构成犯罪的，依法追究刑事责任。</w:t>
      </w:r>
    </w:p>
    <w:p>
      <w:pPr>
        <w:pStyle w:val="30"/>
        <w:numPr>
          <w:ilvl w:val="0"/>
          <w:numId w:val="37"/>
        </w:numPr>
        <w:tabs>
          <w:tab w:val="left" w:pos="1341"/>
        </w:tabs>
        <w:spacing w:before="0" w:after="0" w:line="364" w:lineRule="auto"/>
        <w:ind w:left="260" w:right="227" w:firstLine="480"/>
        <w:jc w:val="left"/>
        <w:rPr>
          <w:sz w:val="24"/>
        </w:rPr>
      </w:pPr>
      <w:r>
        <w:rPr>
          <w:spacing w:val="-8"/>
          <w:sz w:val="24"/>
        </w:rPr>
        <w:t>在事故抢险过程中，受到伤亡的抢险人员，除按照工伤待遇处理外，还给予一</w:t>
      </w:r>
      <w:r>
        <w:rPr>
          <w:sz w:val="24"/>
        </w:rPr>
        <w:t>定的物质和金钱补助。</w:t>
      </w:r>
    </w:p>
    <w:p>
      <w:pPr>
        <w:spacing w:after="0" w:line="364" w:lineRule="auto"/>
        <w:jc w:val="left"/>
        <w:rPr>
          <w:sz w:val="24"/>
        </w:rPr>
        <w:sectPr>
          <w:footerReference r:id="rId15" w:type="default"/>
          <w:pgSz w:w="11920" w:h="16840"/>
          <w:pgMar w:top="1300" w:right="1100" w:bottom="880" w:left="1180" w:header="905" w:footer="697" w:gutter="0"/>
          <w:pgBorders>
            <w:top w:val="none" w:sz="0" w:space="0"/>
            <w:left w:val="none" w:sz="0" w:space="0"/>
            <w:bottom w:val="none" w:sz="0" w:space="0"/>
            <w:right w:val="none" w:sz="0" w:space="0"/>
          </w:pgBorders>
          <w:cols w:space="720" w:num="1"/>
        </w:sectPr>
      </w:pPr>
    </w:p>
    <w:p>
      <w:pPr>
        <w:pStyle w:val="7"/>
        <w:numPr>
          <w:ilvl w:val="0"/>
          <w:numId w:val="9"/>
        </w:numPr>
        <w:tabs>
          <w:tab w:val="left" w:pos="740"/>
        </w:tabs>
        <w:spacing w:before="65" w:after="0" w:line="240" w:lineRule="auto"/>
        <w:ind w:left="740" w:right="0" w:hanging="480"/>
        <w:jc w:val="left"/>
      </w:pPr>
      <w:bookmarkStart w:id="505" w:name="_bookmark127"/>
      <w:bookmarkEnd w:id="505"/>
      <w:bookmarkStart w:id="506" w:name="_bookmark127"/>
      <w:bookmarkEnd w:id="506"/>
      <w:bookmarkStart w:id="507" w:name="11 预案的评审、备案、发布和更新"/>
      <w:bookmarkEnd w:id="507"/>
      <w:bookmarkStart w:id="508" w:name="_Toc14959"/>
      <w:bookmarkStart w:id="509" w:name="_Toc6802"/>
      <w:r>
        <w:t>预案的评审、备案、发布和更新</w:t>
      </w:r>
      <w:bookmarkEnd w:id="508"/>
      <w:bookmarkEnd w:id="509"/>
    </w:p>
    <w:p>
      <w:pPr>
        <w:pStyle w:val="8"/>
        <w:numPr>
          <w:ilvl w:val="1"/>
          <w:numId w:val="9"/>
        </w:numPr>
        <w:tabs>
          <w:tab w:val="left" w:pos="875"/>
        </w:tabs>
        <w:spacing w:before="211" w:after="0" w:line="240" w:lineRule="auto"/>
        <w:ind w:left="874" w:right="0" w:hanging="615"/>
        <w:jc w:val="left"/>
      </w:pPr>
      <w:bookmarkStart w:id="510" w:name="_bookmark128"/>
      <w:bookmarkEnd w:id="510"/>
      <w:bookmarkStart w:id="511" w:name="_bookmark128"/>
      <w:bookmarkEnd w:id="511"/>
      <w:bookmarkStart w:id="512" w:name="11.1 预案评审与备案"/>
      <w:bookmarkEnd w:id="512"/>
      <w:bookmarkStart w:id="513" w:name="_Toc6176"/>
      <w:bookmarkStart w:id="514" w:name="_Toc19927"/>
      <w:r>
        <w:t>预案评审与备案</w:t>
      </w:r>
      <w:bookmarkEnd w:id="513"/>
      <w:bookmarkEnd w:id="514"/>
    </w:p>
    <w:p>
      <w:pPr>
        <w:pStyle w:val="5"/>
        <w:spacing w:before="233" w:line="364" w:lineRule="auto"/>
        <w:ind w:left="260" w:right="229" w:firstLine="480"/>
        <w:jc w:val="both"/>
      </w:pPr>
      <w:r>
        <w:t>本预案编制小组在预案初稿编写工作完成后，组织公司各主要部门负责人对其进行内部评估，保证预案语言简洁通畅、内容完整。经内部评审后，邀请管理部门及有关专家参加技术评估会，预案通过并修改完善后报送管理部门备案。</w:t>
      </w:r>
    </w:p>
    <w:p>
      <w:pPr>
        <w:pStyle w:val="8"/>
        <w:numPr>
          <w:ilvl w:val="1"/>
          <w:numId w:val="9"/>
        </w:numPr>
        <w:tabs>
          <w:tab w:val="left" w:pos="875"/>
        </w:tabs>
        <w:spacing w:before="0" w:after="0" w:line="240" w:lineRule="auto"/>
        <w:ind w:left="874" w:right="0" w:hanging="615"/>
        <w:jc w:val="left"/>
      </w:pPr>
      <w:bookmarkStart w:id="515" w:name="_bookmark129"/>
      <w:bookmarkEnd w:id="515"/>
      <w:bookmarkStart w:id="516" w:name="11.2 预案发布与发放"/>
      <w:bookmarkEnd w:id="516"/>
      <w:bookmarkStart w:id="517" w:name="_bookmark129"/>
      <w:bookmarkEnd w:id="517"/>
      <w:bookmarkStart w:id="518" w:name="_Toc25934"/>
      <w:bookmarkStart w:id="519" w:name="_Toc2944"/>
      <w:r>
        <w:t>预案发布与发放</w:t>
      </w:r>
      <w:bookmarkEnd w:id="518"/>
      <w:bookmarkEnd w:id="519"/>
    </w:p>
    <w:p>
      <w:pPr>
        <w:pStyle w:val="30"/>
        <w:numPr>
          <w:ilvl w:val="0"/>
          <w:numId w:val="38"/>
        </w:numPr>
        <w:tabs>
          <w:tab w:val="left" w:pos="1341"/>
        </w:tabs>
        <w:spacing w:before="234" w:after="0" w:line="240" w:lineRule="auto"/>
        <w:ind w:left="1341" w:right="0" w:hanging="601"/>
        <w:jc w:val="left"/>
        <w:rPr>
          <w:sz w:val="24"/>
        </w:rPr>
      </w:pPr>
      <w:r>
        <w:rPr>
          <w:sz w:val="24"/>
        </w:rPr>
        <w:t>应急预案经本公司内部及外部专家组评审后，由公司总经理签署发布。</w:t>
      </w:r>
    </w:p>
    <w:p>
      <w:pPr>
        <w:pStyle w:val="30"/>
        <w:numPr>
          <w:ilvl w:val="0"/>
          <w:numId w:val="38"/>
        </w:numPr>
        <w:tabs>
          <w:tab w:val="left" w:pos="1341"/>
        </w:tabs>
        <w:spacing w:before="158" w:after="0" w:line="364" w:lineRule="auto"/>
        <w:ind w:left="260" w:right="229" w:firstLine="480"/>
        <w:jc w:val="left"/>
        <w:rPr>
          <w:sz w:val="24"/>
        </w:rPr>
      </w:pPr>
      <w:r>
        <w:rPr>
          <w:spacing w:val="-3"/>
          <w:sz w:val="24"/>
        </w:rPr>
        <w:t>安全管理人员负责对应急预案的统一管理，及时发放给应急指挥小组成员和</w:t>
      </w:r>
      <w:r>
        <w:rPr>
          <w:spacing w:val="-4"/>
          <w:sz w:val="24"/>
        </w:rPr>
        <w:t>各部门主要负责人。</w:t>
      </w:r>
    </w:p>
    <w:p>
      <w:pPr>
        <w:pStyle w:val="30"/>
        <w:numPr>
          <w:ilvl w:val="0"/>
          <w:numId w:val="38"/>
        </w:numPr>
        <w:tabs>
          <w:tab w:val="left" w:pos="1341"/>
        </w:tabs>
        <w:spacing w:before="0" w:after="0" w:line="306" w:lineRule="exact"/>
        <w:ind w:left="1341" w:right="0" w:hanging="601"/>
        <w:jc w:val="left"/>
        <w:rPr>
          <w:sz w:val="24"/>
        </w:rPr>
      </w:pPr>
      <w:r>
        <w:rPr>
          <w:sz w:val="24"/>
        </w:rPr>
        <w:t>对已发放预案进行更新，确保各部门获得最新版本的应急预案。</w:t>
      </w:r>
    </w:p>
    <w:p>
      <w:pPr>
        <w:pStyle w:val="8"/>
        <w:numPr>
          <w:ilvl w:val="1"/>
          <w:numId w:val="9"/>
        </w:numPr>
        <w:tabs>
          <w:tab w:val="left" w:pos="875"/>
        </w:tabs>
        <w:spacing w:before="161" w:after="0" w:line="240" w:lineRule="auto"/>
        <w:ind w:left="874" w:right="0" w:hanging="615"/>
        <w:jc w:val="left"/>
      </w:pPr>
      <w:bookmarkStart w:id="520" w:name="11.3 预案的修订"/>
      <w:bookmarkEnd w:id="520"/>
      <w:bookmarkStart w:id="521" w:name="_bookmark130"/>
      <w:bookmarkEnd w:id="521"/>
      <w:bookmarkStart w:id="522" w:name="_bookmark130"/>
      <w:bookmarkEnd w:id="522"/>
      <w:bookmarkStart w:id="523" w:name="_Toc18870"/>
      <w:bookmarkStart w:id="524" w:name="_Toc4996"/>
      <w:r>
        <w:t>预案的修订</w:t>
      </w:r>
      <w:bookmarkEnd w:id="523"/>
      <w:bookmarkEnd w:id="524"/>
    </w:p>
    <w:p>
      <w:pPr>
        <w:pStyle w:val="5"/>
        <w:spacing w:before="233"/>
        <w:ind w:left="740"/>
      </w:pPr>
      <w:r>
        <w:t>有下列情形之一的，本应急预案应当及时进行修订：</w:t>
      </w:r>
    </w:p>
    <w:p>
      <w:pPr>
        <w:pStyle w:val="30"/>
        <w:numPr>
          <w:ilvl w:val="0"/>
          <w:numId w:val="39"/>
        </w:numPr>
        <w:tabs>
          <w:tab w:val="left" w:pos="1341"/>
        </w:tabs>
        <w:spacing w:before="158" w:after="0" w:line="240" w:lineRule="auto"/>
        <w:ind w:left="1341" w:right="0" w:hanging="601"/>
        <w:jc w:val="left"/>
        <w:rPr>
          <w:sz w:val="24"/>
        </w:rPr>
      </w:pPr>
      <w:r>
        <w:rPr>
          <w:sz w:val="24"/>
        </w:rPr>
        <w:t>公司的运营情况（如生产规模、产品方案等）和技术工艺发生变化的；</w:t>
      </w:r>
    </w:p>
    <w:p>
      <w:pPr>
        <w:pStyle w:val="30"/>
        <w:numPr>
          <w:ilvl w:val="0"/>
          <w:numId w:val="39"/>
        </w:numPr>
        <w:tabs>
          <w:tab w:val="left" w:pos="1341"/>
        </w:tabs>
        <w:spacing w:before="161" w:after="0" w:line="240" w:lineRule="auto"/>
        <w:ind w:left="1341" w:right="0" w:hanging="601"/>
        <w:jc w:val="left"/>
        <w:rPr>
          <w:sz w:val="24"/>
        </w:rPr>
      </w:pPr>
      <w:r>
        <w:rPr>
          <w:sz w:val="24"/>
        </w:rPr>
        <w:t>相关单位和人员发生变化或者应急组织指挥体系或职责调整的；</w:t>
      </w:r>
    </w:p>
    <w:p>
      <w:pPr>
        <w:pStyle w:val="30"/>
        <w:numPr>
          <w:ilvl w:val="0"/>
          <w:numId w:val="39"/>
        </w:numPr>
        <w:tabs>
          <w:tab w:val="left" w:pos="1341"/>
        </w:tabs>
        <w:spacing w:before="158" w:after="0" w:line="240" w:lineRule="auto"/>
        <w:ind w:left="1341" w:right="0" w:hanging="601"/>
        <w:jc w:val="left"/>
        <w:rPr>
          <w:sz w:val="24"/>
        </w:rPr>
      </w:pPr>
      <w:r>
        <w:rPr>
          <w:sz w:val="24"/>
        </w:rPr>
        <w:t>周围环境或者环境敏感点发生变化的；</w:t>
      </w:r>
    </w:p>
    <w:p>
      <w:pPr>
        <w:pStyle w:val="30"/>
        <w:numPr>
          <w:ilvl w:val="0"/>
          <w:numId w:val="39"/>
        </w:numPr>
        <w:tabs>
          <w:tab w:val="left" w:pos="1341"/>
        </w:tabs>
        <w:spacing w:before="160" w:after="0" w:line="240" w:lineRule="auto"/>
        <w:ind w:left="1341" w:right="0" w:hanging="601"/>
        <w:jc w:val="left"/>
        <w:rPr>
          <w:sz w:val="24"/>
        </w:rPr>
      </w:pPr>
      <w:r>
        <w:rPr>
          <w:sz w:val="24"/>
        </w:rPr>
        <w:t>环境应急预案依据的法律、法规、规章等发生变化的；</w:t>
      </w:r>
    </w:p>
    <w:p>
      <w:pPr>
        <w:pStyle w:val="30"/>
        <w:numPr>
          <w:ilvl w:val="0"/>
          <w:numId w:val="39"/>
        </w:numPr>
        <w:tabs>
          <w:tab w:val="left" w:pos="1341"/>
        </w:tabs>
        <w:spacing w:before="161" w:after="0" w:line="240" w:lineRule="auto"/>
        <w:ind w:left="1341" w:right="0" w:hanging="601"/>
        <w:jc w:val="left"/>
        <w:rPr>
          <w:sz w:val="24"/>
        </w:rPr>
      </w:pPr>
      <w:r>
        <w:rPr>
          <w:sz w:val="24"/>
        </w:rPr>
        <w:t>环境保护主管部门或其他政府相关部门认为应当适时修订的其他情形。</w:t>
      </w:r>
    </w:p>
    <w:p>
      <w:pPr>
        <w:pStyle w:val="8"/>
        <w:numPr>
          <w:ilvl w:val="1"/>
          <w:numId w:val="9"/>
        </w:numPr>
        <w:tabs>
          <w:tab w:val="left" w:pos="875"/>
        </w:tabs>
        <w:spacing w:before="159" w:after="0" w:line="240" w:lineRule="auto"/>
        <w:ind w:left="874" w:right="0" w:hanging="615"/>
        <w:jc w:val="left"/>
      </w:pPr>
      <w:bookmarkStart w:id="525" w:name="_bookmark131"/>
      <w:bookmarkEnd w:id="525"/>
      <w:bookmarkStart w:id="526" w:name="11.4 预案的更新、修订程序"/>
      <w:bookmarkEnd w:id="526"/>
      <w:bookmarkStart w:id="527" w:name="_bookmark131"/>
      <w:bookmarkEnd w:id="527"/>
      <w:bookmarkStart w:id="528" w:name="_Toc19717"/>
      <w:bookmarkStart w:id="529" w:name="_Toc20932"/>
      <w:r>
        <w:t>预案的更新、修订程序</w:t>
      </w:r>
      <w:bookmarkEnd w:id="528"/>
      <w:bookmarkEnd w:id="529"/>
    </w:p>
    <w:p>
      <w:pPr>
        <w:pStyle w:val="5"/>
        <w:spacing w:before="233" w:line="364" w:lineRule="auto"/>
        <w:ind w:left="260" w:right="229" w:firstLine="480"/>
        <w:jc w:val="both"/>
      </w:pPr>
      <w:r>
        <w:t>应急预案的修订由应急指挥部办公室根据上述情况的变化和原因，向单位领导提出申请，说明修改原因，经授权后组织修订，并将修改后的文件传递给相关部门。预案修订应建立修改记录（包括修改日期、页码、内容、修改人）。</w:t>
      </w:r>
    </w:p>
    <w:p>
      <w:pPr>
        <w:pStyle w:val="8"/>
        <w:numPr>
          <w:ilvl w:val="1"/>
          <w:numId w:val="9"/>
        </w:numPr>
        <w:tabs>
          <w:tab w:val="left" w:pos="875"/>
        </w:tabs>
        <w:spacing w:before="0" w:after="0" w:line="240" w:lineRule="auto"/>
        <w:ind w:left="874" w:right="0" w:hanging="615"/>
        <w:jc w:val="left"/>
      </w:pPr>
      <w:bookmarkStart w:id="530" w:name="_bookmark132"/>
      <w:bookmarkEnd w:id="530"/>
      <w:bookmarkStart w:id="531" w:name="_bookmark132"/>
      <w:bookmarkEnd w:id="531"/>
      <w:bookmarkStart w:id="532" w:name="11.5 预案的实施、生效时间"/>
      <w:bookmarkEnd w:id="532"/>
      <w:bookmarkStart w:id="533" w:name="_Toc2125"/>
      <w:bookmarkStart w:id="534" w:name="_Toc13427"/>
      <w:r>
        <w:t>预案的实施、生效时间</w:t>
      </w:r>
      <w:bookmarkEnd w:id="533"/>
      <w:bookmarkEnd w:id="534"/>
    </w:p>
    <w:p>
      <w:pPr>
        <w:pStyle w:val="5"/>
        <w:spacing w:before="231" w:line="364" w:lineRule="auto"/>
        <w:ind w:left="260" w:right="229" w:firstLine="480"/>
      </w:pPr>
      <w:r>
        <w:t>应急预案审批通过后，公司总经理下达发布命令后，由应急指挥部办公室组织公司全体人员召开预案实施会议，并将应急预案下发至各部门，会议结束预案开始实施。</w:t>
      </w:r>
    </w:p>
    <w:p>
      <w:pPr>
        <w:pStyle w:val="5"/>
        <w:spacing w:line="306" w:lineRule="exact"/>
        <w:ind w:left="740"/>
      </w:pPr>
      <w:r>
        <w:t>应急预案在公司总经理下达发布命令之日起开始生效。</w:t>
      </w:r>
    </w:p>
    <w:p>
      <w:pPr>
        <w:spacing w:after="0" w:line="306" w:lineRule="exact"/>
        <w:sectPr>
          <w:footerReference r:id="rId16" w:type="default"/>
          <w:pgSz w:w="11920" w:h="16840"/>
          <w:pgMar w:top="1300" w:right="1100" w:bottom="680" w:left="1180" w:header="905" w:footer="481" w:gutter="0"/>
          <w:pgBorders>
            <w:top w:val="none" w:sz="0" w:space="0"/>
            <w:left w:val="none" w:sz="0" w:space="0"/>
            <w:bottom w:val="none" w:sz="0" w:space="0"/>
            <w:right w:val="none" w:sz="0" w:space="0"/>
          </w:pgBorders>
          <w:pgNumType w:start="66"/>
          <w:cols w:space="720" w:num="1"/>
        </w:sectPr>
      </w:pPr>
    </w:p>
    <w:p>
      <w:pPr>
        <w:pStyle w:val="7"/>
        <w:numPr>
          <w:ilvl w:val="0"/>
          <w:numId w:val="9"/>
        </w:numPr>
        <w:tabs>
          <w:tab w:val="left" w:pos="900"/>
          <w:tab w:val="left" w:pos="901"/>
        </w:tabs>
        <w:spacing w:before="65" w:after="0" w:line="240" w:lineRule="auto"/>
        <w:ind w:left="900" w:right="0" w:hanging="641"/>
        <w:jc w:val="left"/>
      </w:pPr>
      <w:bookmarkStart w:id="535" w:name="_bookmark133"/>
      <w:bookmarkEnd w:id="535"/>
      <w:bookmarkStart w:id="536" w:name="12  附则"/>
      <w:bookmarkEnd w:id="536"/>
      <w:bookmarkStart w:id="537" w:name="_bookmark133"/>
      <w:bookmarkEnd w:id="537"/>
      <w:bookmarkStart w:id="538" w:name="_Toc26755"/>
      <w:bookmarkStart w:id="539" w:name="_Toc27911"/>
      <w:r>
        <w:t>附则</w:t>
      </w:r>
      <w:bookmarkEnd w:id="538"/>
      <w:bookmarkEnd w:id="539"/>
    </w:p>
    <w:p>
      <w:pPr>
        <w:pStyle w:val="5"/>
        <w:spacing w:before="210"/>
        <w:ind w:left="740"/>
      </w:pPr>
      <w:r>
        <w:t>本预案中部分名词术语定义：</w:t>
      </w:r>
    </w:p>
    <w:p>
      <w:pPr>
        <w:pStyle w:val="5"/>
        <w:spacing w:before="161" w:line="364" w:lineRule="auto"/>
        <w:ind w:left="260" w:right="227" w:firstLine="480"/>
        <w:jc w:val="both"/>
      </w:pPr>
      <w:r>
        <w:rPr>
          <w:b/>
        </w:rPr>
        <w:t>环境事件</w:t>
      </w:r>
      <w:r>
        <w:t>：是指由于违反环境保护法律法规的经济、社会活动与行为，以及意外因素的影响或不可抗拒的自然灾害等原因致使环境受到污染，人体健康受到危害，社会经济与人民群众财产受到损失，造成不良社会影响的突发性事件。</w:t>
      </w:r>
    </w:p>
    <w:p>
      <w:pPr>
        <w:pStyle w:val="5"/>
        <w:spacing w:line="362" w:lineRule="auto"/>
        <w:ind w:left="260" w:right="225" w:firstLine="480"/>
        <w:jc w:val="both"/>
      </w:pPr>
      <w:r>
        <w:rPr>
          <w:b/>
        </w:rPr>
        <w:t>突发性环境事件</w:t>
      </w:r>
      <w:r>
        <w:t>：指突然发生，造成或者可能造成重大人员伤亡、重大财产损失和对全国或者某一地区的经济社会稳定、政治安定构成重大威胁和损害，又重大社会影响的涉及公共安全的环境事件。</w:t>
      </w:r>
    </w:p>
    <w:p>
      <w:pPr>
        <w:pStyle w:val="5"/>
        <w:spacing w:before="5" w:line="362" w:lineRule="auto"/>
        <w:ind w:left="260" w:right="220" w:firstLine="480"/>
      </w:pPr>
      <w:r>
        <w:rPr>
          <w:b/>
        </w:rPr>
        <w:t>突发环境事件应急预案</w:t>
      </w:r>
      <w:r>
        <w:t>：是指针对可能发生的突发环境事件，为确保迅速、有序、高效地开展应急处置，减少人员伤亡和经济损失而预先制定的计划或方案。</w:t>
      </w:r>
    </w:p>
    <w:p>
      <w:pPr>
        <w:pStyle w:val="5"/>
        <w:spacing w:before="5"/>
        <w:ind w:left="740"/>
      </w:pPr>
      <w:r>
        <w:rPr>
          <w:b/>
        </w:rPr>
        <w:t>环境风险</w:t>
      </w:r>
      <w:r>
        <w:t>：是指突发环境事件对环境（或健康）的危险程度。</w:t>
      </w:r>
    </w:p>
    <w:p>
      <w:pPr>
        <w:pStyle w:val="5"/>
        <w:spacing w:before="161" w:line="364" w:lineRule="auto"/>
        <w:ind w:left="260" w:right="225" w:firstLine="480"/>
        <w:jc w:val="both"/>
      </w:pPr>
      <w:r>
        <w:rPr>
          <w:b/>
        </w:rPr>
        <w:t>环境风险源</w:t>
      </w:r>
      <w:r>
        <w:rPr>
          <w:spacing w:val="-1"/>
        </w:rPr>
        <w:t>：指可能发生突发环境事件并对周边环境造成危害的环境因素，环境风</w:t>
      </w:r>
      <w:r>
        <w:rPr>
          <w:spacing w:val="-6"/>
        </w:rPr>
        <w:t>险源的危险程度有所涉及的危险物质的特性、危险 物质存在的安全状态、所处的周边环</w:t>
      </w:r>
      <w:r>
        <w:t>境状况三个要素决定。</w:t>
      </w:r>
    </w:p>
    <w:p>
      <w:pPr>
        <w:pStyle w:val="5"/>
        <w:spacing w:line="364" w:lineRule="auto"/>
        <w:ind w:left="260" w:right="225" w:firstLine="480"/>
        <w:jc w:val="both"/>
      </w:pPr>
      <w:r>
        <w:rPr>
          <w:b/>
        </w:rPr>
        <w:t>环境敏感点</w:t>
      </w:r>
      <w:r>
        <w:t>：是指依法设立的各级各类自然、文化保护地，以及对建设项目的某类污染因子或者生态影响因子特别敏感的区域。具体参照《建设项目环境影响评价分类管理名录》中“环境敏感区”的定义。</w:t>
      </w:r>
    </w:p>
    <w:p>
      <w:pPr>
        <w:pStyle w:val="5"/>
        <w:spacing w:line="362" w:lineRule="auto"/>
        <w:ind w:left="260" w:right="227" w:firstLine="480"/>
      </w:pPr>
      <w:r>
        <w:rPr>
          <w:b/>
        </w:rPr>
        <w:t>应急演练</w:t>
      </w:r>
      <w:r>
        <w:t>：是指为检验应急预案的有效性、应急准备的完善性、应急响应能力的适应性和应急人员的协同性而进行的一种模拟应急响应的实践活动。</w:t>
      </w:r>
    </w:p>
    <w:p>
      <w:pPr>
        <w:pStyle w:val="5"/>
        <w:spacing w:before="1" w:line="362" w:lineRule="auto"/>
        <w:ind w:left="260" w:right="227" w:firstLine="480"/>
      </w:pPr>
      <w:r>
        <w:rPr>
          <w:b/>
        </w:rPr>
        <w:t>应急监测</w:t>
      </w:r>
      <w:r>
        <w:t>：在发生突发环境事件的情况下，为发现和查明环境污染情况和污染范围而进行的环境监测。包括定点监测和动态监测。</w:t>
      </w:r>
    </w:p>
    <w:p>
      <w:pPr>
        <w:pStyle w:val="5"/>
        <w:spacing w:before="5" w:line="362" w:lineRule="auto"/>
        <w:ind w:left="260" w:right="106" w:firstLine="480"/>
      </w:pPr>
      <w:r>
        <w:rPr>
          <w:b/>
        </w:rPr>
        <w:t>应急处置</w:t>
      </w:r>
      <w:r>
        <w:rPr>
          <w:spacing w:val="-18"/>
        </w:rPr>
        <w:t xml:space="preserve">：指在发生突发环境事件时，釆取的消除、减少事故危 害和防止事态恶化， </w:t>
      </w:r>
      <w:r>
        <w:t>最大限度降低环境影响的措施。</w:t>
      </w:r>
    </w:p>
    <w:p>
      <w:pPr>
        <w:pStyle w:val="5"/>
        <w:spacing w:before="5"/>
        <w:ind w:left="740"/>
      </w:pPr>
      <w:r>
        <w:rPr>
          <w:b/>
        </w:rPr>
        <w:t>应急响应</w:t>
      </w:r>
      <w:r>
        <w:t>：指环境污染事件发生后，有关组织或人员釆取的应急行动。</w:t>
      </w:r>
    </w:p>
    <w:p>
      <w:pPr>
        <w:spacing w:after="0"/>
        <w:sectPr>
          <w:pgSz w:w="11920" w:h="16840"/>
          <w:pgMar w:top="1300" w:right="1100" w:bottom="680" w:left="1180" w:header="905" w:footer="481" w:gutter="0"/>
          <w:pgBorders>
            <w:top w:val="none" w:sz="0" w:space="0"/>
            <w:left w:val="none" w:sz="0" w:space="0"/>
            <w:bottom w:val="none" w:sz="0" w:space="0"/>
            <w:right w:val="none" w:sz="0" w:space="0"/>
          </w:pgBorders>
          <w:cols w:space="720" w:num="1"/>
        </w:sectPr>
      </w:pPr>
    </w:p>
    <w:p>
      <w:pPr>
        <w:pStyle w:val="8"/>
        <w:spacing w:before="134" w:after="9"/>
        <w:ind w:left="260" w:firstLine="0"/>
      </w:pPr>
      <w:bookmarkStart w:id="540" w:name="附件1：环评批复"/>
      <w:bookmarkEnd w:id="540"/>
      <w:bookmarkStart w:id="541" w:name="_bookmark134"/>
      <w:bookmarkEnd w:id="541"/>
      <w:bookmarkStart w:id="542" w:name="_Toc20811"/>
      <w:bookmarkStart w:id="543" w:name="_Toc30363"/>
      <w:bookmarkStart w:id="544" w:name="_Toc30796"/>
      <w:r>
        <w:t>附件 1：环评批复</w:t>
      </w:r>
      <w:bookmarkEnd w:id="542"/>
      <w:bookmarkEnd w:id="543"/>
      <w:bookmarkEnd w:id="544"/>
    </w:p>
    <w:p>
      <w:pPr>
        <w:pStyle w:val="5"/>
        <w:ind w:left="260"/>
        <w:rPr>
          <w:sz w:val="20"/>
        </w:rPr>
      </w:pPr>
      <w:r>
        <w:rPr>
          <w:sz w:val="20"/>
        </w:rPr>
        <w:drawing>
          <wp:inline distT="0" distB="0" distL="0" distR="0">
            <wp:extent cx="5771515" cy="7393305"/>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26" cstate="print"/>
                    <a:stretch>
                      <a:fillRect/>
                    </a:stretch>
                  </pic:blipFill>
                  <pic:spPr>
                    <a:xfrm>
                      <a:off x="0" y="0"/>
                      <a:ext cx="5771939" cy="7393781"/>
                    </a:xfrm>
                    <a:prstGeom prst="rect">
                      <a:avLst/>
                    </a:prstGeom>
                  </pic:spPr>
                </pic:pic>
              </a:graphicData>
            </a:graphic>
          </wp:inline>
        </w:drawing>
      </w:r>
    </w:p>
    <w:p>
      <w:pPr>
        <w:spacing w:after="0"/>
        <w:rPr>
          <w:sz w:val="20"/>
        </w:rPr>
        <w:sectPr>
          <w:pgSz w:w="11920" w:h="16840"/>
          <w:pgMar w:top="1300" w:right="1100" w:bottom="680" w:left="1180" w:header="905" w:footer="481" w:gutter="0"/>
          <w:pgBorders>
            <w:top w:val="none" w:sz="0" w:space="0"/>
            <w:left w:val="none" w:sz="0" w:space="0"/>
            <w:bottom w:val="none" w:sz="0" w:space="0"/>
            <w:right w:val="none" w:sz="0" w:space="0"/>
          </w:pgBorders>
          <w:cols w:space="720" w:num="1"/>
        </w:sectPr>
      </w:pPr>
    </w:p>
    <w:p>
      <w:pPr>
        <w:pStyle w:val="5"/>
        <w:spacing w:before="5"/>
        <w:rPr>
          <w:rFonts w:ascii="Times New Roman"/>
          <w:sz w:val="5"/>
        </w:rPr>
      </w:pPr>
    </w:p>
    <w:p>
      <w:pPr>
        <w:pStyle w:val="5"/>
        <w:ind w:left="260"/>
        <w:rPr>
          <w:rFonts w:ascii="Times New Roman"/>
          <w:sz w:val="20"/>
        </w:rPr>
      </w:pPr>
      <w:r>
        <w:rPr>
          <w:rFonts w:ascii="Times New Roman"/>
          <w:sz w:val="20"/>
        </w:rPr>
        <w:drawing>
          <wp:inline distT="0" distB="0" distL="0" distR="0">
            <wp:extent cx="5756275" cy="7959725"/>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r:embed="rId27" cstate="print"/>
                    <a:stretch>
                      <a:fillRect/>
                    </a:stretch>
                  </pic:blipFill>
                  <pic:spPr>
                    <a:xfrm>
                      <a:off x="0" y="0"/>
                      <a:ext cx="5756885" cy="7960137"/>
                    </a:xfrm>
                    <a:prstGeom prst="rect">
                      <a:avLst/>
                    </a:prstGeom>
                  </pic:spPr>
                </pic:pic>
              </a:graphicData>
            </a:graphic>
          </wp:inline>
        </w:drawing>
      </w:r>
    </w:p>
    <w:p>
      <w:pPr>
        <w:spacing w:after="0"/>
        <w:rPr>
          <w:rFonts w:ascii="Times New Roman"/>
          <w:sz w:val="20"/>
        </w:rPr>
        <w:sectPr>
          <w:pgSz w:w="11920" w:h="16840"/>
          <w:pgMar w:top="1300" w:right="1100" w:bottom="680" w:left="1180" w:header="905" w:footer="481" w:gutter="0"/>
          <w:pgBorders>
            <w:top w:val="none" w:sz="0" w:space="0"/>
            <w:left w:val="none" w:sz="0" w:space="0"/>
            <w:bottom w:val="none" w:sz="0" w:space="0"/>
            <w:right w:val="none" w:sz="0" w:space="0"/>
          </w:pgBorders>
          <w:cols w:space="720" w:num="1"/>
        </w:sectPr>
      </w:pPr>
    </w:p>
    <w:p>
      <w:pPr>
        <w:pStyle w:val="5"/>
        <w:spacing w:before="5"/>
        <w:rPr>
          <w:rFonts w:ascii="Times New Roman"/>
          <w:sz w:val="5"/>
        </w:rPr>
      </w:pPr>
    </w:p>
    <w:p>
      <w:pPr>
        <w:pStyle w:val="5"/>
        <w:ind w:left="260"/>
        <w:rPr>
          <w:rFonts w:ascii="Times New Roman"/>
          <w:sz w:val="20"/>
        </w:rPr>
      </w:pPr>
      <w:r>
        <w:rPr>
          <w:rFonts w:ascii="Times New Roman"/>
          <w:sz w:val="20"/>
        </w:rPr>
        <w:drawing>
          <wp:inline distT="0" distB="0" distL="0" distR="0">
            <wp:extent cx="5756275" cy="7493635"/>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pic:cNvPicPr>
                      <a:picLocks noChangeAspect="1"/>
                    </pic:cNvPicPr>
                  </pic:nvPicPr>
                  <pic:blipFill>
                    <a:blip r:embed="rId28" cstate="print"/>
                    <a:stretch>
                      <a:fillRect/>
                    </a:stretch>
                  </pic:blipFill>
                  <pic:spPr>
                    <a:xfrm>
                      <a:off x="0" y="0"/>
                      <a:ext cx="5756504" cy="7493889"/>
                    </a:xfrm>
                    <a:prstGeom prst="rect">
                      <a:avLst/>
                    </a:prstGeom>
                  </pic:spPr>
                </pic:pic>
              </a:graphicData>
            </a:graphic>
          </wp:inline>
        </w:drawing>
      </w:r>
    </w:p>
    <w:p>
      <w:pPr>
        <w:spacing w:after="0"/>
        <w:rPr>
          <w:rFonts w:ascii="Times New Roman"/>
          <w:sz w:val="20"/>
        </w:rPr>
        <w:sectPr>
          <w:footerReference r:id="rId17" w:type="default"/>
          <w:pgSz w:w="11920" w:h="16840"/>
          <w:pgMar w:top="1300" w:right="1100" w:bottom="680" w:left="1180" w:header="905" w:footer="481" w:gutter="0"/>
          <w:pgBorders>
            <w:top w:val="none" w:sz="0" w:space="0"/>
            <w:left w:val="none" w:sz="0" w:space="0"/>
            <w:bottom w:val="none" w:sz="0" w:space="0"/>
            <w:right w:val="none" w:sz="0" w:space="0"/>
          </w:pgBorders>
          <w:pgNumType w:start="70"/>
          <w:cols w:space="720" w:num="1"/>
        </w:sectPr>
      </w:pPr>
    </w:p>
    <w:p>
      <w:pPr>
        <w:pStyle w:val="5"/>
        <w:spacing w:before="5"/>
        <w:rPr>
          <w:rFonts w:ascii="Times New Roman"/>
          <w:sz w:val="5"/>
        </w:rPr>
      </w:pPr>
    </w:p>
    <w:p>
      <w:pPr>
        <w:pStyle w:val="5"/>
        <w:ind w:left="260"/>
        <w:rPr>
          <w:rFonts w:ascii="Times New Roman"/>
          <w:sz w:val="20"/>
        </w:rPr>
      </w:pPr>
      <w:r>
        <w:rPr>
          <w:rFonts w:ascii="Times New Roman"/>
          <w:sz w:val="20"/>
        </w:rPr>
        <w:drawing>
          <wp:inline distT="0" distB="0" distL="0" distR="0">
            <wp:extent cx="5735955" cy="7428865"/>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29" cstate="print"/>
                    <a:stretch>
                      <a:fillRect/>
                    </a:stretch>
                  </pic:blipFill>
                  <pic:spPr>
                    <a:xfrm>
                      <a:off x="0" y="0"/>
                      <a:ext cx="5736160" cy="7429119"/>
                    </a:xfrm>
                    <a:prstGeom prst="rect">
                      <a:avLst/>
                    </a:prstGeom>
                  </pic:spPr>
                </pic:pic>
              </a:graphicData>
            </a:graphic>
          </wp:inline>
        </w:drawing>
      </w:r>
    </w:p>
    <w:p>
      <w:pPr>
        <w:spacing w:after="0"/>
        <w:rPr>
          <w:rFonts w:ascii="Times New Roman"/>
          <w:sz w:val="20"/>
        </w:rPr>
        <w:sectPr>
          <w:pgSz w:w="11920" w:h="16840"/>
          <w:pgMar w:top="1300" w:right="1100" w:bottom="680" w:left="1180" w:header="905" w:footer="481" w:gutter="0"/>
          <w:pgBorders>
            <w:top w:val="none" w:sz="0" w:space="0"/>
            <w:left w:val="none" w:sz="0" w:space="0"/>
            <w:bottom w:val="none" w:sz="0" w:space="0"/>
            <w:right w:val="none" w:sz="0" w:space="0"/>
          </w:pgBorders>
          <w:cols w:space="720" w:num="1"/>
        </w:sectPr>
      </w:pPr>
    </w:p>
    <w:p>
      <w:pPr>
        <w:pStyle w:val="5"/>
        <w:spacing w:before="5"/>
        <w:rPr>
          <w:rFonts w:ascii="Times New Roman"/>
          <w:sz w:val="5"/>
        </w:rPr>
      </w:pPr>
    </w:p>
    <w:p>
      <w:pPr>
        <w:pStyle w:val="5"/>
        <w:ind w:left="260"/>
        <w:rPr>
          <w:rFonts w:ascii="Times New Roman"/>
          <w:sz w:val="20"/>
        </w:rPr>
      </w:pPr>
      <w:r>
        <w:rPr>
          <w:rFonts w:ascii="Times New Roman"/>
          <w:sz w:val="20"/>
        </w:rPr>
        <w:drawing>
          <wp:inline distT="0" distB="0" distL="0" distR="0">
            <wp:extent cx="5789930" cy="8019415"/>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30" cstate="print"/>
                    <a:stretch>
                      <a:fillRect/>
                    </a:stretch>
                  </pic:blipFill>
                  <pic:spPr>
                    <a:xfrm>
                      <a:off x="0" y="0"/>
                      <a:ext cx="5790325" cy="8019478"/>
                    </a:xfrm>
                    <a:prstGeom prst="rect">
                      <a:avLst/>
                    </a:prstGeom>
                  </pic:spPr>
                </pic:pic>
              </a:graphicData>
            </a:graphic>
          </wp:inline>
        </w:drawing>
      </w:r>
    </w:p>
    <w:p>
      <w:pPr>
        <w:spacing w:after="0"/>
        <w:rPr>
          <w:rFonts w:ascii="Times New Roman"/>
          <w:sz w:val="20"/>
        </w:rPr>
        <w:sectPr>
          <w:pgSz w:w="11920" w:h="16840"/>
          <w:pgMar w:top="1300" w:right="1100" w:bottom="680" w:left="1180" w:header="905" w:footer="481" w:gutter="0"/>
          <w:pgBorders>
            <w:top w:val="none" w:sz="0" w:space="0"/>
            <w:left w:val="none" w:sz="0" w:space="0"/>
            <w:bottom w:val="none" w:sz="0" w:space="0"/>
            <w:right w:val="none" w:sz="0" w:space="0"/>
          </w:pgBorders>
          <w:cols w:space="720" w:num="1"/>
        </w:sectPr>
      </w:pPr>
    </w:p>
    <w:p>
      <w:pPr>
        <w:spacing w:before="64"/>
        <w:ind w:left="260" w:right="0" w:firstLine="0"/>
        <w:jc w:val="left"/>
        <w:rPr>
          <w:rFonts w:ascii="Calibri"/>
          <w:sz w:val="21"/>
        </w:rPr>
      </w:pPr>
      <w:r>
        <w:drawing>
          <wp:anchor distT="0" distB="0" distL="0" distR="0" simplePos="0" relativeHeight="251660288" behindDoc="0" locked="0" layoutInCell="1" allowOverlap="1">
            <wp:simplePos x="0" y="0"/>
            <wp:positionH relativeFrom="page">
              <wp:posOffset>923925</wp:posOffset>
            </wp:positionH>
            <wp:positionV relativeFrom="paragraph">
              <wp:posOffset>561340</wp:posOffset>
            </wp:positionV>
            <wp:extent cx="8213090" cy="5384165"/>
            <wp:effectExtent l="0" t="0" r="16510" b="6985"/>
            <wp:wrapTopAndBottom/>
            <wp:docPr id="4"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jpeg"/>
                    <pic:cNvPicPr>
                      <a:picLocks noChangeAspect="1"/>
                    </pic:cNvPicPr>
                  </pic:nvPicPr>
                  <pic:blipFill>
                    <a:blip r:embed="rId31" cstate="print"/>
                    <a:stretch>
                      <a:fillRect/>
                    </a:stretch>
                  </pic:blipFill>
                  <pic:spPr>
                    <a:xfrm>
                      <a:off x="0" y="0"/>
                      <a:ext cx="8213090" cy="5384165"/>
                    </a:xfrm>
                    <a:prstGeom prst="rect">
                      <a:avLst/>
                    </a:prstGeom>
                  </pic:spPr>
                </pic:pic>
              </a:graphicData>
            </a:graphic>
          </wp:anchor>
        </w:drawing>
      </w:r>
      <w:r>
        <w:rPr>
          <w:b/>
          <w:sz w:val="28"/>
        </w:rPr>
        <w:t>附图 1：厂区平面布置及风险源分布图</w:t>
      </w:r>
    </w:p>
    <w:sectPr>
      <w:pgSz w:w="16840" w:h="11920" w:orient="landscape"/>
      <w:pgMar w:top="880" w:right="2420" w:bottom="280" w:left="2420" w:header="0" w:footer="0"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18030">
    <w:altName w:val="宋体"/>
    <w:panose1 w:val="00000000000000000000"/>
    <w:charset w:val="00"/>
    <w:family w:val="auto"/>
    <w:pitch w:val="default"/>
    <w:sig w:usb0="00000000" w:usb1="00000000" w:usb2="00000000" w:usb3="00000000" w:csb0="00040001" w:csb1="00000000"/>
  </w:font>
  <w:font w:name="serif">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51" o:spid="_x0000_s2051" o:spt="202" type="#_x0000_t202" style="position:absolute;left:0pt;margin-left:296.05pt;margin-top:794.95pt;height:11pt;width:8.6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52" o:spid="_x0000_s2052" o:spt="202" type="#_x0000_t202" style="position:absolute;left:0pt;margin-left:293.75pt;margin-top:794.95pt;height:11pt;width:13.15pt;mso-position-horizontal-relative:page;mso-position-vertical-relative:page;z-index:-251652096;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10</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53" o:spid="_x0000_s2053" o:spt="202" type="#_x0000_t202" style="position:absolute;left:0pt;margin-left:293.75pt;margin-top:794.95pt;height:11pt;width:13.15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20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56" o:spid="_x0000_s2056" o:spt="202" type="#_x0000_t202" style="position:absolute;left:0pt;margin-left:413.2pt;margin-top:548.5pt;height:11pt;width:13.15pt;mso-position-horizontal-relative:page;mso-position-vertical-relative:page;z-index:-25164800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31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59" o:spid="_x0000_s2059" o:spt="202" type="#_x0000_t202" style="position:absolute;left:0pt;margin-left:293.9pt;margin-top:789.2pt;height:11pt;width:13.15pt;mso-position-horizontal-relative:page;mso-position-vertical-relative:page;z-index:-251644928;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35</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60" o:spid="_x0000_s2060" o:spt="202" type="#_x0000_t202" style="position:absolute;left:0pt;margin-left:293.9pt;margin-top:789.2pt;height:11pt;width:13.1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40</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61" o:spid="_x0000_s2061" o:spt="202" type="#_x0000_t202" style="position:absolute;left:0pt;margin-left:293.9pt;margin-top:789.2pt;height:11pt;width:13.15pt;mso-position-horizontal-relative:page;mso-position-vertical-relative:page;z-index:-25164288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50</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63" o:spid="_x0000_s2063" o:spt="202" type="#_x0000_t202" style="position:absolute;left:0pt;margin-left:293.9pt;margin-top:796.05pt;height:11pt;width:13.15pt;mso-position-horizontal-relative:page;mso-position-vertical-relative:page;z-index:-251641856;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60</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64" o:spid="_x0000_s2064" o:spt="202" type="#_x0000_t202" style="position:absolute;left:0pt;margin-left:293.2pt;margin-top:806.85pt;height:12.45pt;width:14.6pt;mso-position-horizontal-relative:page;mso-position-vertical-relative:page;z-index:-251640832;mso-width-relative:page;mso-height-relative:page;" filled="f" stroked="f" coordsize="21600,21600">
          <v:path/>
          <v:fill on="f" focussize="0,0"/>
          <v:stroke on="f" joinstyle="miter"/>
          <v:imagedata o:title=""/>
          <o:lock v:ext="edit"/>
          <v:textbox inset="0mm,0mm,0mm,0mm">
            <w:txbxContent>
              <w:p>
                <w:pPr>
                  <w:spacing w:before="0" w:line="233" w:lineRule="exact"/>
                  <w:ind w:left="40" w:right="0" w:firstLine="0"/>
                  <w:jc w:val="left"/>
                  <w:rPr>
                    <w:rFonts w:ascii="Calibri"/>
                    <w:sz w:val="21"/>
                  </w:rPr>
                </w:pPr>
                <w:r>
                  <w:fldChar w:fldCharType="begin"/>
                </w:r>
                <w:r>
                  <w:rPr>
                    <w:rFonts w:ascii="Calibri"/>
                    <w:sz w:val="21"/>
                  </w:rPr>
                  <w:instrText xml:space="preserve"> PAGE </w:instrText>
                </w:r>
                <w:r>
                  <w:fldChar w:fldCharType="separate"/>
                </w:r>
                <w:r>
                  <w:t>66</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_x0000_s2065" o:spid="_x0000_s2065" o:spt="202" type="#_x0000_t202" style="position:absolute;left:0pt;margin-left:293.2pt;margin-top:806.85pt;height:12.45pt;width:14.6pt;mso-position-horizontal-relative:page;mso-position-vertical-relative:page;z-index:-251639808;mso-width-relative:page;mso-height-relative:page;" filled="f" stroked="f" coordsize="21600,21600">
          <v:path/>
          <v:fill on="f" focussize="0,0"/>
          <v:stroke on="f" joinstyle="miter"/>
          <v:imagedata o:title=""/>
          <o:lock v:ext="edit"/>
          <v:textbox inset="0mm,0mm,0mm,0mm">
            <w:txbxContent>
              <w:p>
                <w:pPr>
                  <w:spacing w:before="0" w:line="233" w:lineRule="exact"/>
                  <w:ind w:left="40" w:right="0" w:firstLine="0"/>
                  <w:jc w:val="left"/>
                  <w:rPr>
                    <w:rFonts w:ascii="Calibri"/>
                    <w:sz w:val="21"/>
                  </w:rPr>
                </w:pPr>
                <w:r>
                  <w:fldChar w:fldCharType="begin"/>
                </w:r>
                <w:r>
                  <w:rPr>
                    <w:rFonts w:ascii="Calibri"/>
                    <w:sz w:val="21"/>
                  </w:rPr>
                  <w:instrText xml:space="preserve"> PAGE </w:instrText>
                </w:r>
                <w:r>
                  <w:fldChar w:fldCharType="separate"/>
                </w:r>
                <w:r>
                  <w:t>70</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line id="_x0000_s2049" o:spid="_x0000_s2049" o:spt="20" style="position:absolute;left:0pt;margin-left:72pt;margin-top:56.9pt;height:0pt;width:456.75pt;mso-position-horizontal-relative:page;mso-position-vertical-relative:page;z-index:-251655168;mso-width-relative:page;mso-height-relative:page;" stroked="t" coordsize="21600,21600">
          <v:path arrowok="t"/>
          <v:fill focussize="0,0"/>
          <v:stroke weight="0.72pt" color="#000000"/>
          <v:imagedata o:title=""/>
          <o:lock v:ext="edit"/>
        </v:line>
      </w:pict>
    </w:r>
    <w:r>
      <w:pict>
        <v:shape id="_x0000_s2050" o:spid="_x0000_s2050" o:spt="202" type="#_x0000_t202" style="position:absolute;left:0pt;margin-left:195.8pt;margin-top:44.2pt;height:11pt;width:209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sz w:val="18"/>
                  </w:rPr>
                </w:pPr>
                <w:r>
                  <w:rPr>
                    <w:sz w:val="18"/>
                  </w:rPr>
                  <w:t>宜春市佳绿肉类食品有限公司突发环境事件应急预案</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line id="_x0000_s2054" o:spid="_x0000_s2054" o:spt="20" style="position:absolute;left:0pt;margin-left:66.3pt;margin-top:56.9pt;height:0pt;width:706.95pt;mso-position-horizontal-relative:page;mso-position-vertical-relative:page;z-index:-251650048;mso-width-relative:page;mso-height-relative:page;" stroked="t" coordsize="21600,21600">
          <v:path arrowok="t"/>
          <v:fill focussize="0,0"/>
          <v:stroke weight="0.72pt" color="#000000"/>
          <v:imagedata o:title=""/>
          <o:lock v:ext="edit"/>
        </v:line>
      </w:pict>
    </w:r>
    <w:r>
      <w:pict>
        <v:shape id="_x0000_s2055" o:spid="_x0000_s2055" o:spt="202" type="#_x0000_t202" style="position:absolute;left:0pt;margin-left:315.3pt;margin-top:44.2pt;height:11pt;width:209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sz w:val="18"/>
                  </w:rPr>
                </w:pPr>
                <w:r>
                  <w:rPr>
                    <w:sz w:val="18"/>
                  </w:rPr>
                  <w:t>宜春市佳绿肉类食品有限公司突发环境事件应急预案</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line id="_x0000_s2057" o:spid="_x0000_s2057" o:spt="20" style="position:absolute;left:0pt;margin-left:72pt;margin-top:56.9pt;height:0pt;width:456.95pt;mso-position-horizontal-relative:page;mso-position-vertical-relative:page;z-index:-251646976;mso-width-relative:page;mso-height-relative:page;" stroked="t" coordsize="21600,21600">
          <v:path arrowok="t"/>
          <v:fill focussize="0,0"/>
          <v:stroke weight="0.72pt" color="#000000"/>
          <v:imagedata o:title=""/>
          <o:lock v:ext="edit"/>
        </v:line>
      </w:pict>
    </w:r>
    <w:r>
      <w:pict>
        <v:shape id="_x0000_s2058" o:spid="_x0000_s2058" o:spt="202" type="#_x0000_t202" style="position:absolute;left:0pt;margin-left:197pt;margin-top:44.2pt;height:11pt;width:209pt;mso-position-horizontal-relative:page;mso-position-vertical-relative:page;z-index:-251645952;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sz w:val="18"/>
                  </w:rPr>
                </w:pPr>
                <w:r>
                  <w:rPr>
                    <w:sz w:val="18"/>
                  </w:rPr>
                  <w:t>宜春市佳绿肉类食品有限公司突发环境事件应急预案</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1341"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69" w:hanging="601"/>
      </w:pPr>
      <w:rPr>
        <w:rFonts w:hint="default"/>
        <w:lang w:val="zh-CN" w:eastAsia="zh-CN" w:bidi="zh-CN"/>
      </w:rPr>
    </w:lvl>
    <w:lvl w:ilvl="2" w:tentative="0">
      <w:start w:val="0"/>
      <w:numFmt w:val="bullet"/>
      <w:lvlText w:val="•"/>
      <w:lvlJc w:val="left"/>
      <w:pPr>
        <w:ind w:left="2998" w:hanging="601"/>
      </w:pPr>
      <w:rPr>
        <w:rFonts w:hint="default"/>
        <w:lang w:val="zh-CN" w:eastAsia="zh-CN" w:bidi="zh-CN"/>
      </w:rPr>
    </w:lvl>
    <w:lvl w:ilvl="3" w:tentative="0">
      <w:start w:val="0"/>
      <w:numFmt w:val="bullet"/>
      <w:lvlText w:val="•"/>
      <w:lvlJc w:val="left"/>
      <w:pPr>
        <w:ind w:left="3827" w:hanging="601"/>
      </w:pPr>
      <w:rPr>
        <w:rFonts w:hint="default"/>
        <w:lang w:val="zh-CN" w:eastAsia="zh-CN" w:bidi="zh-CN"/>
      </w:rPr>
    </w:lvl>
    <w:lvl w:ilvl="4" w:tentative="0">
      <w:start w:val="0"/>
      <w:numFmt w:val="bullet"/>
      <w:lvlText w:val="•"/>
      <w:lvlJc w:val="left"/>
      <w:pPr>
        <w:ind w:left="4656" w:hanging="601"/>
      </w:pPr>
      <w:rPr>
        <w:rFonts w:hint="default"/>
        <w:lang w:val="zh-CN" w:eastAsia="zh-CN" w:bidi="zh-CN"/>
      </w:rPr>
    </w:lvl>
    <w:lvl w:ilvl="5" w:tentative="0">
      <w:start w:val="0"/>
      <w:numFmt w:val="bullet"/>
      <w:lvlText w:val="•"/>
      <w:lvlJc w:val="left"/>
      <w:pPr>
        <w:ind w:left="5485" w:hanging="601"/>
      </w:pPr>
      <w:rPr>
        <w:rFonts w:hint="default"/>
        <w:lang w:val="zh-CN" w:eastAsia="zh-CN" w:bidi="zh-CN"/>
      </w:rPr>
    </w:lvl>
    <w:lvl w:ilvl="6" w:tentative="0">
      <w:start w:val="0"/>
      <w:numFmt w:val="bullet"/>
      <w:lvlText w:val="•"/>
      <w:lvlJc w:val="left"/>
      <w:pPr>
        <w:ind w:left="6314" w:hanging="601"/>
      </w:pPr>
      <w:rPr>
        <w:rFonts w:hint="default"/>
        <w:lang w:val="zh-CN" w:eastAsia="zh-CN" w:bidi="zh-CN"/>
      </w:rPr>
    </w:lvl>
    <w:lvl w:ilvl="7" w:tentative="0">
      <w:start w:val="0"/>
      <w:numFmt w:val="bullet"/>
      <w:lvlText w:val="•"/>
      <w:lvlJc w:val="left"/>
      <w:pPr>
        <w:ind w:left="7143" w:hanging="601"/>
      </w:pPr>
      <w:rPr>
        <w:rFonts w:hint="default"/>
        <w:lang w:val="zh-CN" w:eastAsia="zh-CN" w:bidi="zh-CN"/>
      </w:rPr>
    </w:lvl>
    <w:lvl w:ilvl="8" w:tentative="0">
      <w:start w:val="0"/>
      <w:numFmt w:val="bullet"/>
      <w:lvlText w:val="•"/>
      <w:lvlJc w:val="left"/>
      <w:pPr>
        <w:ind w:left="7972" w:hanging="601"/>
      </w:pPr>
      <w:rPr>
        <w:rFonts w:hint="default"/>
        <w:lang w:val="zh-CN" w:eastAsia="zh-CN" w:bidi="zh-CN"/>
      </w:rPr>
    </w:lvl>
  </w:abstractNum>
  <w:abstractNum w:abstractNumId="1">
    <w:nsid w:val="8461FADE"/>
    <w:multiLevelType w:val="multilevel"/>
    <w:tmpl w:val="8461FADE"/>
    <w:lvl w:ilvl="0" w:tentative="0">
      <w:start w:val="6"/>
      <w:numFmt w:val="decimal"/>
      <w:lvlText w:val="%1"/>
      <w:lvlJc w:val="left"/>
      <w:pPr>
        <w:ind w:left="860" w:hanging="600"/>
        <w:jc w:val="left"/>
      </w:pPr>
      <w:rPr>
        <w:rFonts w:hint="default"/>
        <w:lang w:val="zh-CN" w:eastAsia="zh-CN" w:bidi="zh-CN"/>
      </w:rPr>
    </w:lvl>
    <w:lvl w:ilvl="1" w:tentative="0">
      <w:start w:val="3"/>
      <w:numFmt w:val="decimal"/>
      <w:lvlText w:val="%1.%2"/>
      <w:lvlJc w:val="left"/>
      <w:pPr>
        <w:ind w:left="860" w:hanging="600"/>
        <w:jc w:val="left"/>
      </w:pPr>
      <w:rPr>
        <w:rFonts w:hint="default"/>
        <w:lang w:val="zh-CN" w:eastAsia="zh-CN" w:bidi="zh-CN"/>
      </w:rPr>
    </w:lvl>
    <w:lvl w:ilvl="2" w:tentative="0">
      <w:start w:val="1"/>
      <w:numFmt w:val="decimal"/>
      <w:lvlText w:val="%1.%2.%3"/>
      <w:lvlJc w:val="left"/>
      <w:pPr>
        <w:ind w:left="860" w:hanging="600"/>
        <w:jc w:val="left"/>
      </w:pPr>
      <w:rPr>
        <w:rFonts w:hint="default" w:ascii="Times New Roman" w:hAnsi="Times New Roman" w:eastAsia="Times New Roman" w:cs="Times New Roman"/>
        <w:b/>
        <w:bCs/>
        <w:spacing w:val="-1"/>
        <w:w w:val="99"/>
        <w:sz w:val="24"/>
        <w:szCs w:val="24"/>
        <w:lang w:val="zh-CN" w:eastAsia="zh-CN" w:bidi="zh-CN"/>
      </w:rPr>
    </w:lvl>
    <w:lvl w:ilvl="3" w:tentative="0">
      <w:start w:val="1"/>
      <w:numFmt w:val="decimal"/>
      <w:lvlText w:val="（%4）"/>
      <w:lvlJc w:val="left"/>
      <w:pPr>
        <w:ind w:left="260" w:hanging="601"/>
        <w:jc w:val="left"/>
      </w:pPr>
      <w:rPr>
        <w:rFonts w:hint="default" w:ascii="宋体" w:hAnsi="宋体" w:eastAsia="宋体" w:cs="宋体"/>
        <w:spacing w:val="-27"/>
        <w:w w:val="100"/>
        <w:sz w:val="22"/>
        <w:szCs w:val="22"/>
        <w:lang w:val="zh-CN" w:eastAsia="zh-CN" w:bidi="zh-CN"/>
      </w:rPr>
    </w:lvl>
    <w:lvl w:ilvl="4" w:tentative="0">
      <w:start w:val="0"/>
      <w:numFmt w:val="bullet"/>
      <w:lvlText w:val="•"/>
      <w:lvlJc w:val="left"/>
      <w:pPr>
        <w:ind w:left="3783" w:hanging="601"/>
      </w:pPr>
      <w:rPr>
        <w:rFonts w:hint="default"/>
        <w:lang w:val="zh-CN" w:eastAsia="zh-CN" w:bidi="zh-CN"/>
      </w:rPr>
    </w:lvl>
    <w:lvl w:ilvl="5" w:tentative="0">
      <w:start w:val="0"/>
      <w:numFmt w:val="bullet"/>
      <w:lvlText w:val="•"/>
      <w:lvlJc w:val="left"/>
      <w:pPr>
        <w:ind w:left="4758" w:hanging="601"/>
      </w:pPr>
      <w:rPr>
        <w:rFonts w:hint="default"/>
        <w:lang w:val="zh-CN" w:eastAsia="zh-CN" w:bidi="zh-CN"/>
      </w:rPr>
    </w:lvl>
    <w:lvl w:ilvl="6" w:tentative="0">
      <w:start w:val="0"/>
      <w:numFmt w:val="bullet"/>
      <w:lvlText w:val="•"/>
      <w:lvlJc w:val="left"/>
      <w:pPr>
        <w:ind w:left="5732" w:hanging="601"/>
      </w:pPr>
      <w:rPr>
        <w:rFonts w:hint="default"/>
        <w:lang w:val="zh-CN" w:eastAsia="zh-CN" w:bidi="zh-CN"/>
      </w:rPr>
    </w:lvl>
    <w:lvl w:ilvl="7" w:tentative="0">
      <w:start w:val="0"/>
      <w:numFmt w:val="bullet"/>
      <w:lvlText w:val="•"/>
      <w:lvlJc w:val="left"/>
      <w:pPr>
        <w:ind w:left="6707" w:hanging="601"/>
      </w:pPr>
      <w:rPr>
        <w:rFonts w:hint="default"/>
        <w:lang w:val="zh-CN" w:eastAsia="zh-CN" w:bidi="zh-CN"/>
      </w:rPr>
    </w:lvl>
    <w:lvl w:ilvl="8" w:tentative="0">
      <w:start w:val="0"/>
      <w:numFmt w:val="bullet"/>
      <w:lvlText w:val="•"/>
      <w:lvlJc w:val="left"/>
      <w:pPr>
        <w:ind w:left="7681" w:hanging="601"/>
      </w:pPr>
      <w:rPr>
        <w:rFonts w:hint="default"/>
        <w:lang w:val="zh-CN" w:eastAsia="zh-CN" w:bidi="zh-CN"/>
      </w:rPr>
    </w:lvl>
  </w:abstractNum>
  <w:abstractNum w:abstractNumId="2">
    <w:nsid w:val="8CAEB125"/>
    <w:multiLevelType w:val="multilevel"/>
    <w:tmpl w:val="8CAEB125"/>
    <w:lvl w:ilvl="0" w:tentative="0">
      <w:start w:val="1"/>
      <w:numFmt w:val="decimal"/>
      <w:lvlText w:val="（%1）"/>
      <w:lvlJc w:val="left"/>
      <w:pPr>
        <w:ind w:left="1341"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69" w:hanging="601"/>
      </w:pPr>
      <w:rPr>
        <w:rFonts w:hint="default"/>
        <w:lang w:val="zh-CN" w:eastAsia="zh-CN" w:bidi="zh-CN"/>
      </w:rPr>
    </w:lvl>
    <w:lvl w:ilvl="2" w:tentative="0">
      <w:start w:val="0"/>
      <w:numFmt w:val="bullet"/>
      <w:lvlText w:val="•"/>
      <w:lvlJc w:val="left"/>
      <w:pPr>
        <w:ind w:left="2998" w:hanging="601"/>
      </w:pPr>
      <w:rPr>
        <w:rFonts w:hint="default"/>
        <w:lang w:val="zh-CN" w:eastAsia="zh-CN" w:bidi="zh-CN"/>
      </w:rPr>
    </w:lvl>
    <w:lvl w:ilvl="3" w:tentative="0">
      <w:start w:val="0"/>
      <w:numFmt w:val="bullet"/>
      <w:lvlText w:val="•"/>
      <w:lvlJc w:val="left"/>
      <w:pPr>
        <w:ind w:left="3827" w:hanging="601"/>
      </w:pPr>
      <w:rPr>
        <w:rFonts w:hint="default"/>
        <w:lang w:val="zh-CN" w:eastAsia="zh-CN" w:bidi="zh-CN"/>
      </w:rPr>
    </w:lvl>
    <w:lvl w:ilvl="4" w:tentative="0">
      <w:start w:val="0"/>
      <w:numFmt w:val="bullet"/>
      <w:lvlText w:val="•"/>
      <w:lvlJc w:val="left"/>
      <w:pPr>
        <w:ind w:left="4656" w:hanging="601"/>
      </w:pPr>
      <w:rPr>
        <w:rFonts w:hint="default"/>
        <w:lang w:val="zh-CN" w:eastAsia="zh-CN" w:bidi="zh-CN"/>
      </w:rPr>
    </w:lvl>
    <w:lvl w:ilvl="5" w:tentative="0">
      <w:start w:val="0"/>
      <w:numFmt w:val="bullet"/>
      <w:lvlText w:val="•"/>
      <w:lvlJc w:val="left"/>
      <w:pPr>
        <w:ind w:left="5485" w:hanging="601"/>
      </w:pPr>
      <w:rPr>
        <w:rFonts w:hint="default"/>
        <w:lang w:val="zh-CN" w:eastAsia="zh-CN" w:bidi="zh-CN"/>
      </w:rPr>
    </w:lvl>
    <w:lvl w:ilvl="6" w:tentative="0">
      <w:start w:val="0"/>
      <w:numFmt w:val="bullet"/>
      <w:lvlText w:val="•"/>
      <w:lvlJc w:val="left"/>
      <w:pPr>
        <w:ind w:left="6314" w:hanging="601"/>
      </w:pPr>
      <w:rPr>
        <w:rFonts w:hint="default"/>
        <w:lang w:val="zh-CN" w:eastAsia="zh-CN" w:bidi="zh-CN"/>
      </w:rPr>
    </w:lvl>
    <w:lvl w:ilvl="7" w:tentative="0">
      <w:start w:val="0"/>
      <w:numFmt w:val="bullet"/>
      <w:lvlText w:val="•"/>
      <w:lvlJc w:val="left"/>
      <w:pPr>
        <w:ind w:left="7143" w:hanging="601"/>
      </w:pPr>
      <w:rPr>
        <w:rFonts w:hint="default"/>
        <w:lang w:val="zh-CN" w:eastAsia="zh-CN" w:bidi="zh-CN"/>
      </w:rPr>
    </w:lvl>
    <w:lvl w:ilvl="8" w:tentative="0">
      <w:start w:val="0"/>
      <w:numFmt w:val="bullet"/>
      <w:lvlText w:val="•"/>
      <w:lvlJc w:val="left"/>
      <w:pPr>
        <w:ind w:left="7972" w:hanging="601"/>
      </w:pPr>
      <w:rPr>
        <w:rFonts w:hint="default"/>
        <w:lang w:val="zh-CN" w:eastAsia="zh-CN" w:bidi="zh-CN"/>
      </w:rPr>
    </w:lvl>
  </w:abstractNum>
  <w:abstractNum w:abstractNumId="3">
    <w:nsid w:val="91995D4F"/>
    <w:multiLevelType w:val="multilevel"/>
    <w:tmpl w:val="91995D4F"/>
    <w:lvl w:ilvl="0" w:tentative="0">
      <w:start w:val="9"/>
      <w:numFmt w:val="decimal"/>
      <w:lvlText w:val="%1"/>
      <w:lvlJc w:val="left"/>
      <w:pPr>
        <w:ind w:left="800" w:hanging="540"/>
        <w:jc w:val="left"/>
      </w:pPr>
      <w:rPr>
        <w:rFonts w:hint="default"/>
        <w:lang w:val="zh-CN" w:eastAsia="zh-CN" w:bidi="zh-CN"/>
      </w:rPr>
    </w:lvl>
    <w:lvl w:ilvl="1" w:tentative="0">
      <w:start w:val="1"/>
      <w:numFmt w:val="decimal"/>
      <w:lvlText w:val="%1.%2"/>
      <w:lvlJc w:val="left"/>
      <w:pPr>
        <w:ind w:left="800" w:hanging="540"/>
        <w:jc w:val="left"/>
      </w:pPr>
      <w:rPr>
        <w:rFonts w:hint="default"/>
        <w:lang w:val="zh-CN" w:eastAsia="zh-CN" w:bidi="zh-CN"/>
      </w:rPr>
    </w:lvl>
    <w:lvl w:ilvl="2" w:tentative="0">
      <w:start w:val="1"/>
      <w:numFmt w:val="decimal"/>
      <w:lvlText w:val="%1.%2.%3"/>
      <w:lvlJc w:val="left"/>
      <w:pPr>
        <w:ind w:left="800" w:hanging="54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4）"/>
      <w:lvlJc w:val="left"/>
      <w:pPr>
        <w:ind w:left="1341" w:hanging="601"/>
        <w:jc w:val="left"/>
      </w:pPr>
      <w:rPr>
        <w:rFonts w:hint="default" w:ascii="宋体" w:hAnsi="宋体" w:eastAsia="宋体" w:cs="宋体"/>
        <w:w w:val="100"/>
        <w:sz w:val="22"/>
        <w:szCs w:val="22"/>
        <w:lang w:val="zh-CN" w:eastAsia="zh-CN" w:bidi="zh-CN"/>
      </w:rPr>
    </w:lvl>
    <w:lvl w:ilvl="4" w:tentative="0">
      <w:start w:val="0"/>
      <w:numFmt w:val="bullet"/>
      <w:lvlText w:val="•"/>
      <w:lvlJc w:val="left"/>
      <w:pPr>
        <w:ind w:left="4103" w:hanging="601"/>
      </w:pPr>
      <w:rPr>
        <w:rFonts w:hint="default"/>
        <w:lang w:val="zh-CN" w:eastAsia="zh-CN" w:bidi="zh-CN"/>
      </w:rPr>
    </w:lvl>
    <w:lvl w:ilvl="5" w:tentative="0">
      <w:start w:val="0"/>
      <w:numFmt w:val="bullet"/>
      <w:lvlText w:val="•"/>
      <w:lvlJc w:val="left"/>
      <w:pPr>
        <w:ind w:left="5024" w:hanging="601"/>
      </w:pPr>
      <w:rPr>
        <w:rFonts w:hint="default"/>
        <w:lang w:val="zh-CN" w:eastAsia="zh-CN" w:bidi="zh-CN"/>
      </w:rPr>
    </w:lvl>
    <w:lvl w:ilvl="6" w:tentative="0">
      <w:start w:val="0"/>
      <w:numFmt w:val="bullet"/>
      <w:lvlText w:val="•"/>
      <w:lvlJc w:val="left"/>
      <w:pPr>
        <w:ind w:left="5946" w:hanging="601"/>
      </w:pPr>
      <w:rPr>
        <w:rFonts w:hint="default"/>
        <w:lang w:val="zh-CN" w:eastAsia="zh-CN" w:bidi="zh-CN"/>
      </w:rPr>
    </w:lvl>
    <w:lvl w:ilvl="7" w:tentative="0">
      <w:start w:val="0"/>
      <w:numFmt w:val="bullet"/>
      <w:lvlText w:val="•"/>
      <w:lvlJc w:val="left"/>
      <w:pPr>
        <w:ind w:left="6867" w:hanging="601"/>
      </w:pPr>
      <w:rPr>
        <w:rFonts w:hint="default"/>
        <w:lang w:val="zh-CN" w:eastAsia="zh-CN" w:bidi="zh-CN"/>
      </w:rPr>
    </w:lvl>
    <w:lvl w:ilvl="8" w:tentative="0">
      <w:start w:val="0"/>
      <w:numFmt w:val="bullet"/>
      <w:lvlText w:val="•"/>
      <w:lvlJc w:val="left"/>
      <w:pPr>
        <w:ind w:left="7788" w:hanging="601"/>
      </w:pPr>
      <w:rPr>
        <w:rFonts w:hint="default"/>
        <w:lang w:val="zh-CN" w:eastAsia="zh-CN" w:bidi="zh-CN"/>
      </w:rPr>
    </w:lvl>
  </w:abstractNum>
  <w:abstractNum w:abstractNumId="4">
    <w:nsid w:val="9239341B"/>
    <w:multiLevelType w:val="multilevel"/>
    <w:tmpl w:val="9239341B"/>
    <w:lvl w:ilvl="0" w:tentative="0">
      <w:start w:val="13"/>
      <w:numFmt w:val="decimal"/>
      <w:lvlText w:val="（%1）"/>
      <w:lvlJc w:val="left"/>
      <w:pPr>
        <w:ind w:left="2041" w:hanging="72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2926" w:hanging="721"/>
      </w:pPr>
      <w:rPr>
        <w:rFonts w:hint="default"/>
        <w:lang w:val="zh-CN" w:eastAsia="zh-CN" w:bidi="zh-CN"/>
      </w:rPr>
    </w:lvl>
    <w:lvl w:ilvl="2" w:tentative="0">
      <w:start w:val="0"/>
      <w:numFmt w:val="bullet"/>
      <w:lvlText w:val="•"/>
      <w:lvlJc w:val="left"/>
      <w:pPr>
        <w:ind w:left="3813" w:hanging="721"/>
      </w:pPr>
      <w:rPr>
        <w:rFonts w:hint="default"/>
        <w:lang w:val="zh-CN" w:eastAsia="zh-CN" w:bidi="zh-CN"/>
      </w:rPr>
    </w:lvl>
    <w:lvl w:ilvl="3" w:tentative="0">
      <w:start w:val="0"/>
      <w:numFmt w:val="bullet"/>
      <w:lvlText w:val="•"/>
      <w:lvlJc w:val="left"/>
      <w:pPr>
        <w:ind w:left="4700" w:hanging="721"/>
      </w:pPr>
      <w:rPr>
        <w:rFonts w:hint="default"/>
        <w:lang w:val="zh-CN" w:eastAsia="zh-CN" w:bidi="zh-CN"/>
      </w:rPr>
    </w:lvl>
    <w:lvl w:ilvl="4" w:tentative="0">
      <w:start w:val="0"/>
      <w:numFmt w:val="bullet"/>
      <w:lvlText w:val="•"/>
      <w:lvlJc w:val="left"/>
      <w:pPr>
        <w:ind w:left="5587" w:hanging="721"/>
      </w:pPr>
      <w:rPr>
        <w:rFonts w:hint="default"/>
        <w:lang w:val="zh-CN" w:eastAsia="zh-CN" w:bidi="zh-CN"/>
      </w:rPr>
    </w:lvl>
    <w:lvl w:ilvl="5" w:tentative="0">
      <w:start w:val="0"/>
      <w:numFmt w:val="bullet"/>
      <w:lvlText w:val="•"/>
      <w:lvlJc w:val="left"/>
      <w:pPr>
        <w:ind w:left="6474" w:hanging="721"/>
      </w:pPr>
      <w:rPr>
        <w:rFonts w:hint="default"/>
        <w:lang w:val="zh-CN" w:eastAsia="zh-CN" w:bidi="zh-CN"/>
      </w:rPr>
    </w:lvl>
    <w:lvl w:ilvl="6" w:tentative="0">
      <w:start w:val="0"/>
      <w:numFmt w:val="bullet"/>
      <w:lvlText w:val="•"/>
      <w:lvlJc w:val="left"/>
      <w:pPr>
        <w:ind w:left="7361" w:hanging="721"/>
      </w:pPr>
      <w:rPr>
        <w:rFonts w:hint="default"/>
        <w:lang w:val="zh-CN" w:eastAsia="zh-CN" w:bidi="zh-CN"/>
      </w:rPr>
    </w:lvl>
    <w:lvl w:ilvl="7" w:tentative="0">
      <w:start w:val="0"/>
      <w:numFmt w:val="bullet"/>
      <w:lvlText w:val="•"/>
      <w:lvlJc w:val="left"/>
      <w:pPr>
        <w:ind w:left="8248" w:hanging="721"/>
      </w:pPr>
      <w:rPr>
        <w:rFonts w:hint="default"/>
        <w:lang w:val="zh-CN" w:eastAsia="zh-CN" w:bidi="zh-CN"/>
      </w:rPr>
    </w:lvl>
    <w:lvl w:ilvl="8" w:tentative="0">
      <w:start w:val="0"/>
      <w:numFmt w:val="bullet"/>
      <w:lvlText w:val="•"/>
      <w:lvlJc w:val="left"/>
      <w:pPr>
        <w:ind w:left="9135" w:hanging="721"/>
      </w:pPr>
      <w:rPr>
        <w:rFonts w:hint="default"/>
        <w:lang w:val="zh-CN" w:eastAsia="zh-CN" w:bidi="zh-CN"/>
      </w:rPr>
    </w:lvl>
  </w:abstractNum>
  <w:abstractNum w:abstractNumId="5">
    <w:nsid w:val="9288B902"/>
    <w:multiLevelType w:val="multilevel"/>
    <w:tmpl w:val="9288B902"/>
    <w:lvl w:ilvl="0" w:tentative="0">
      <w:start w:val="6"/>
      <w:numFmt w:val="decimal"/>
      <w:lvlText w:val="%1"/>
      <w:lvlJc w:val="left"/>
      <w:pPr>
        <w:ind w:left="800" w:hanging="540"/>
        <w:jc w:val="left"/>
      </w:pPr>
      <w:rPr>
        <w:rFonts w:hint="default"/>
        <w:lang w:val="zh-CN" w:eastAsia="zh-CN" w:bidi="zh-CN"/>
      </w:rPr>
    </w:lvl>
    <w:lvl w:ilvl="1" w:tentative="0">
      <w:start w:val="1"/>
      <w:numFmt w:val="decimal"/>
      <w:lvlText w:val="%1.%2"/>
      <w:lvlJc w:val="left"/>
      <w:pPr>
        <w:ind w:left="800" w:hanging="540"/>
        <w:jc w:val="left"/>
      </w:pPr>
      <w:rPr>
        <w:rFonts w:hint="default"/>
        <w:lang w:val="zh-CN" w:eastAsia="zh-CN" w:bidi="zh-CN"/>
      </w:rPr>
    </w:lvl>
    <w:lvl w:ilvl="2" w:tentative="0">
      <w:start w:val="1"/>
      <w:numFmt w:val="decimal"/>
      <w:lvlText w:val="%1.%2.%3"/>
      <w:lvlJc w:val="left"/>
      <w:pPr>
        <w:ind w:left="800" w:hanging="540"/>
        <w:jc w:val="left"/>
      </w:pPr>
      <w:rPr>
        <w:rFonts w:hint="default" w:ascii="Times New Roman" w:hAnsi="Times New Roman" w:eastAsia="Times New Roman" w:cs="Times New Roman"/>
        <w:b/>
        <w:bCs/>
        <w:w w:val="99"/>
        <w:sz w:val="24"/>
        <w:szCs w:val="24"/>
        <w:lang w:val="zh-CN" w:eastAsia="zh-CN" w:bidi="zh-CN"/>
      </w:rPr>
    </w:lvl>
    <w:lvl w:ilvl="3" w:tentative="0">
      <w:start w:val="0"/>
      <w:numFmt w:val="bullet"/>
      <w:lvlText w:val="•"/>
      <w:lvlJc w:val="left"/>
      <w:pPr>
        <w:ind w:left="3449" w:hanging="540"/>
      </w:pPr>
      <w:rPr>
        <w:rFonts w:hint="default"/>
        <w:lang w:val="zh-CN" w:eastAsia="zh-CN" w:bidi="zh-CN"/>
      </w:rPr>
    </w:lvl>
    <w:lvl w:ilvl="4" w:tentative="0">
      <w:start w:val="0"/>
      <w:numFmt w:val="bullet"/>
      <w:lvlText w:val="•"/>
      <w:lvlJc w:val="left"/>
      <w:pPr>
        <w:ind w:left="4332" w:hanging="540"/>
      </w:pPr>
      <w:rPr>
        <w:rFonts w:hint="default"/>
        <w:lang w:val="zh-CN" w:eastAsia="zh-CN" w:bidi="zh-CN"/>
      </w:rPr>
    </w:lvl>
    <w:lvl w:ilvl="5" w:tentative="0">
      <w:start w:val="0"/>
      <w:numFmt w:val="bullet"/>
      <w:lvlText w:val="•"/>
      <w:lvlJc w:val="left"/>
      <w:pPr>
        <w:ind w:left="5215" w:hanging="540"/>
      </w:pPr>
      <w:rPr>
        <w:rFonts w:hint="default"/>
        <w:lang w:val="zh-CN" w:eastAsia="zh-CN" w:bidi="zh-CN"/>
      </w:rPr>
    </w:lvl>
    <w:lvl w:ilvl="6" w:tentative="0">
      <w:start w:val="0"/>
      <w:numFmt w:val="bullet"/>
      <w:lvlText w:val="•"/>
      <w:lvlJc w:val="left"/>
      <w:pPr>
        <w:ind w:left="6098" w:hanging="540"/>
      </w:pPr>
      <w:rPr>
        <w:rFonts w:hint="default"/>
        <w:lang w:val="zh-CN" w:eastAsia="zh-CN" w:bidi="zh-CN"/>
      </w:rPr>
    </w:lvl>
    <w:lvl w:ilvl="7" w:tentative="0">
      <w:start w:val="0"/>
      <w:numFmt w:val="bullet"/>
      <w:lvlText w:val="•"/>
      <w:lvlJc w:val="left"/>
      <w:pPr>
        <w:ind w:left="6981" w:hanging="540"/>
      </w:pPr>
      <w:rPr>
        <w:rFonts w:hint="default"/>
        <w:lang w:val="zh-CN" w:eastAsia="zh-CN" w:bidi="zh-CN"/>
      </w:rPr>
    </w:lvl>
    <w:lvl w:ilvl="8" w:tentative="0">
      <w:start w:val="0"/>
      <w:numFmt w:val="bullet"/>
      <w:lvlText w:val="•"/>
      <w:lvlJc w:val="left"/>
      <w:pPr>
        <w:ind w:left="7864" w:hanging="540"/>
      </w:pPr>
      <w:rPr>
        <w:rFonts w:hint="default"/>
        <w:lang w:val="zh-CN" w:eastAsia="zh-CN" w:bidi="zh-CN"/>
      </w:rPr>
    </w:lvl>
  </w:abstractNum>
  <w:abstractNum w:abstractNumId="6">
    <w:nsid w:val="9C8AC8EF"/>
    <w:multiLevelType w:val="multilevel"/>
    <w:tmpl w:val="9C8AC8EF"/>
    <w:lvl w:ilvl="0" w:tentative="0">
      <w:start w:val="2"/>
      <w:numFmt w:val="decimal"/>
      <w:lvlText w:val="%1"/>
      <w:lvlJc w:val="left"/>
      <w:pPr>
        <w:ind w:left="1260" w:hanging="420"/>
        <w:jc w:val="left"/>
      </w:pPr>
      <w:rPr>
        <w:rFonts w:hint="default"/>
        <w:lang w:val="zh-CN" w:eastAsia="zh-CN" w:bidi="zh-CN"/>
      </w:rPr>
    </w:lvl>
    <w:lvl w:ilvl="1" w:tentative="0">
      <w:start w:val="8"/>
      <w:numFmt w:val="decimal"/>
      <w:lvlText w:val="%1.%2"/>
      <w:lvlJc w:val="left"/>
      <w:pPr>
        <w:ind w:left="1260" w:hanging="420"/>
        <w:jc w:val="left"/>
      </w:pPr>
      <w:rPr>
        <w:rFonts w:hint="default"/>
        <w:b/>
        <w:bCs/>
        <w:spacing w:val="-1"/>
        <w:w w:val="100"/>
        <w:lang w:val="zh-CN" w:eastAsia="zh-CN" w:bidi="zh-CN"/>
      </w:rPr>
    </w:lvl>
    <w:lvl w:ilvl="2" w:tentative="0">
      <w:start w:val="1"/>
      <w:numFmt w:val="decimal"/>
      <w:lvlText w:val="（%3）"/>
      <w:lvlJc w:val="left"/>
      <w:pPr>
        <w:ind w:left="1921" w:hanging="601"/>
        <w:jc w:val="left"/>
      </w:pPr>
      <w:rPr>
        <w:rFonts w:hint="default" w:ascii="宋体" w:hAnsi="宋体" w:eastAsia="宋体" w:cs="宋体"/>
        <w:w w:val="100"/>
        <w:sz w:val="22"/>
        <w:szCs w:val="22"/>
        <w:lang w:val="zh-CN" w:eastAsia="zh-CN" w:bidi="zh-CN"/>
      </w:rPr>
    </w:lvl>
    <w:lvl w:ilvl="3" w:tentative="0">
      <w:start w:val="0"/>
      <w:numFmt w:val="bullet"/>
      <w:lvlText w:val="•"/>
      <w:lvlJc w:val="left"/>
      <w:pPr>
        <w:ind w:left="3917" w:hanging="601"/>
      </w:pPr>
      <w:rPr>
        <w:rFonts w:hint="default"/>
        <w:lang w:val="zh-CN" w:eastAsia="zh-CN" w:bidi="zh-CN"/>
      </w:rPr>
    </w:lvl>
    <w:lvl w:ilvl="4" w:tentative="0">
      <w:start w:val="0"/>
      <w:numFmt w:val="bullet"/>
      <w:lvlText w:val="•"/>
      <w:lvlJc w:val="left"/>
      <w:pPr>
        <w:ind w:left="4916" w:hanging="601"/>
      </w:pPr>
      <w:rPr>
        <w:rFonts w:hint="default"/>
        <w:lang w:val="zh-CN" w:eastAsia="zh-CN" w:bidi="zh-CN"/>
      </w:rPr>
    </w:lvl>
    <w:lvl w:ilvl="5" w:tentative="0">
      <w:start w:val="0"/>
      <w:numFmt w:val="bullet"/>
      <w:lvlText w:val="•"/>
      <w:lvlJc w:val="left"/>
      <w:pPr>
        <w:ind w:left="5915" w:hanging="601"/>
      </w:pPr>
      <w:rPr>
        <w:rFonts w:hint="default"/>
        <w:lang w:val="zh-CN" w:eastAsia="zh-CN" w:bidi="zh-CN"/>
      </w:rPr>
    </w:lvl>
    <w:lvl w:ilvl="6" w:tentative="0">
      <w:start w:val="0"/>
      <w:numFmt w:val="bullet"/>
      <w:lvlText w:val="•"/>
      <w:lvlJc w:val="left"/>
      <w:pPr>
        <w:ind w:left="6913" w:hanging="601"/>
      </w:pPr>
      <w:rPr>
        <w:rFonts w:hint="default"/>
        <w:lang w:val="zh-CN" w:eastAsia="zh-CN" w:bidi="zh-CN"/>
      </w:rPr>
    </w:lvl>
    <w:lvl w:ilvl="7" w:tentative="0">
      <w:start w:val="0"/>
      <w:numFmt w:val="bullet"/>
      <w:lvlText w:val="•"/>
      <w:lvlJc w:val="left"/>
      <w:pPr>
        <w:ind w:left="7912" w:hanging="601"/>
      </w:pPr>
      <w:rPr>
        <w:rFonts w:hint="default"/>
        <w:lang w:val="zh-CN" w:eastAsia="zh-CN" w:bidi="zh-CN"/>
      </w:rPr>
    </w:lvl>
    <w:lvl w:ilvl="8" w:tentative="0">
      <w:start w:val="0"/>
      <w:numFmt w:val="bullet"/>
      <w:lvlText w:val="•"/>
      <w:lvlJc w:val="left"/>
      <w:pPr>
        <w:ind w:left="8911" w:hanging="601"/>
      </w:pPr>
      <w:rPr>
        <w:rFonts w:hint="default"/>
        <w:lang w:val="zh-CN" w:eastAsia="zh-CN" w:bidi="zh-CN"/>
      </w:rPr>
    </w:lvl>
  </w:abstractNum>
  <w:abstractNum w:abstractNumId="7">
    <w:nsid w:val="B0F1ACD9"/>
    <w:multiLevelType w:val="multilevel"/>
    <w:tmpl w:val="B0F1ACD9"/>
    <w:lvl w:ilvl="0" w:tentative="0">
      <w:start w:val="4"/>
      <w:numFmt w:val="decimal"/>
      <w:lvlText w:val="%1"/>
      <w:lvlJc w:val="left"/>
      <w:pPr>
        <w:ind w:left="740" w:hanging="600"/>
        <w:jc w:val="left"/>
      </w:pPr>
      <w:rPr>
        <w:rFonts w:hint="default"/>
        <w:lang w:val="zh-CN" w:eastAsia="zh-CN" w:bidi="zh-CN"/>
      </w:rPr>
    </w:lvl>
    <w:lvl w:ilvl="1" w:tentative="0">
      <w:start w:val="2"/>
      <w:numFmt w:val="decimal"/>
      <w:lvlText w:val="%1.%2"/>
      <w:lvlJc w:val="left"/>
      <w:pPr>
        <w:ind w:left="740" w:hanging="600"/>
        <w:jc w:val="left"/>
      </w:pPr>
      <w:rPr>
        <w:rFonts w:hint="default"/>
        <w:lang w:val="zh-CN" w:eastAsia="zh-CN" w:bidi="zh-CN"/>
      </w:rPr>
    </w:lvl>
    <w:lvl w:ilvl="2" w:tentative="0">
      <w:start w:val="1"/>
      <w:numFmt w:val="decimal"/>
      <w:lvlText w:val="%1.%2.%3"/>
      <w:lvlJc w:val="left"/>
      <w:pPr>
        <w:ind w:left="740" w:hanging="600"/>
        <w:jc w:val="left"/>
      </w:pPr>
      <w:rPr>
        <w:rFonts w:hint="default" w:ascii="Times New Roman" w:hAnsi="Times New Roman" w:eastAsia="Times New Roman" w:cs="Times New Roman"/>
        <w:b/>
        <w:bCs/>
        <w:spacing w:val="-17"/>
        <w:w w:val="99"/>
        <w:sz w:val="24"/>
        <w:szCs w:val="24"/>
        <w:lang w:val="zh-CN" w:eastAsia="zh-CN" w:bidi="zh-CN"/>
      </w:rPr>
    </w:lvl>
    <w:lvl w:ilvl="3" w:tentative="0">
      <w:start w:val="1"/>
      <w:numFmt w:val="decimal"/>
      <w:lvlText w:val="（%4）"/>
      <w:lvlJc w:val="left"/>
      <w:pPr>
        <w:ind w:left="260" w:hanging="601"/>
        <w:jc w:val="left"/>
      </w:pPr>
      <w:rPr>
        <w:rFonts w:hint="default"/>
        <w:spacing w:val="-27"/>
        <w:w w:val="100"/>
        <w:lang w:val="zh-CN" w:eastAsia="zh-CN" w:bidi="zh-CN"/>
      </w:rPr>
    </w:lvl>
    <w:lvl w:ilvl="4" w:tentative="0">
      <w:start w:val="0"/>
      <w:numFmt w:val="bullet"/>
      <w:lvlText w:val="•"/>
      <w:lvlJc w:val="left"/>
      <w:pPr>
        <w:ind w:left="3703" w:hanging="601"/>
      </w:pPr>
      <w:rPr>
        <w:rFonts w:hint="default"/>
        <w:lang w:val="zh-CN" w:eastAsia="zh-CN" w:bidi="zh-CN"/>
      </w:rPr>
    </w:lvl>
    <w:lvl w:ilvl="5" w:tentative="0">
      <w:start w:val="0"/>
      <w:numFmt w:val="bullet"/>
      <w:lvlText w:val="•"/>
      <w:lvlJc w:val="left"/>
      <w:pPr>
        <w:ind w:left="4691" w:hanging="601"/>
      </w:pPr>
      <w:rPr>
        <w:rFonts w:hint="default"/>
        <w:lang w:val="zh-CN" w:eastAsia="zh-CN" w:bidi="zh-CN"/>
      </w:rPr>
    </w:lvl>
    <w:lvl w:ilvl="6" w:tentative="0">
      <w:start w:val="0"/>
      <w:numFmt w:val="bullet"/>
      <w:lvlText w:val="•"/>
      <w:lvlJc w:val="left"/>
      <w:pPr>
        <w:ind w:left="5679" w:hanging="601"/>
      </w:pPr>
      <w:rPr>
        <w:rFonts w:hint="default"/>
        <w:lang w:val="zh-CN" w:eastAsia="zh-CN" w:bidi="zh-CN"/>
      </w:rPr>
    </w:lvl>
    <w:lvl w:ilvl="7" w:tentative="0">
      <w:start w:val="0"/>
      <w:numFmt w:val="bullet"/>
      <w:lvlText w:val="•"/>
      <w:lvlJc w:val="left"/>
      <w:pPr>
        <w:ind w:left="6667" w:hanging="601"/>
      </w:pPr>
      <w:rPr>
        <w:rFonts w:hint="default"/>
        <w:lang w:val="zh-CN" w:eastAsia="zh-CN" w:bidi="zh-CN"/>
      </w:rPr>
    </w:lvl>
    <w:lvl w:ilvl="8" w:tentative="0">
      <w:start w:val="0"/>
      <w:numFmt w:val="bullet"/>
      <w:lvlText w:val="•"/>
      <w:lvlJc w:val="left"/>
      <w:pPr>
        <w:ind w:left="7655" w:hanging="601"/>
      </w:pPr>
      <w:rPr>
        <w:rFonts w:hint="default"/>
        <w:lang w:val="zh-CN" w:eastAsia="zh-CN" w:bidi="zh-CN"/>
      </w:rPr>
    </w:lvl>
  </w:abstractNum>
  <w:abstractNum w:abstractNumId="8">
    <w:nsid w:val="B8CEF35B"/>
    <w:multiLevelType w:val="multilevel"/>
    <w:tmpl w:val="B8CEF35B"/>
    <w:lvl w:ilvl="0" w:tentative="0">
      <w:start w:val="9"/>
      <w:numFmt w:val="decimal"/>
      <w:lvlText w:val="%1"/>
      <w:lvlJc w:val="left"/>
      <w:pPr>
        <w:ind w:left="800" w:hanging="540"/>
        <w:jc w:val="left"/>
      </w:pPr>
      <w:rPr>
        <w:rFonts w:hint="default"/>
        <w:lang w:val="zh-CN" w:eastAsia="zh-CN" w:bidi="zh-CN"/>
      </w:rPr>
    </w:lvl>
    <w:lvl w:ilvl="1" w:tentative="0">
      <w:start w:val="2"/>
      <w:numFmt w:val="decimal"/>
      <w:lvlText w:val="%1.%2"/>
      <w:lvlJc w:val="left"/>
      <w:pPr>
        <w:ind w:left="800" w:hanging="540"/>
        <w:jc w:val="left"/>
      </w:pPr>
      <w:rPr>
        <w:rFonts w:hint="default"/>
        <w:lang w:val="zh-CN" w:eastAsia="zh-CN" w:bidi="zh-CN"/>
      </w:rPr>
    </w:lvl>
    <w:lvl w:ilvl="2" w:tentative="0">
      <w:start w:val="1"/>
      <w:numFmt w:val="decimal"/>
      <w:lvlText w:val="%1.%2.%3"/>
      <w:lvlJc w:val="left"/>
      <w:pPr>
        <w:ind w:left="800" w:hanging="54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4）"/>
      <w:lvlJc w:val="left"/>
      <w:pPr>
        <w:ind w:left="260" w:hanging="601"/>
        <w:jc w:val="left"/>
      </w:pPr>
      <w:rPr>
        <w:rFonts w:hint="default" w:ascii="宋体" w:hAnsi="宋体" w:eastAsia="宋体" w:cs="宋体"/>
        <w:spacing w:val="-15"/>
        <w:w w:val="100"/>
        <w:sz w:val="22"/>
        <w:szCs w:val="22"/>
        <w:lang w:val="zh-CN" w:eastAsia="zh-CN" w:bidi="zh-CN"/>
      </w:rPr>
    </w:lvl>
    <w:lvl w:ilvl="4" w:tentative="0">
      <w:start w:val="0"/>
      <w:numFmt w:val="bullet"/>
      <w:lvlText w:val="•"/>
      <w:lvlJc w:val="left"/>
      <w:pPr>
        <w:ind w:left="3743" w:hanging="601"/>
      </w:pPr>
      <w:rPr>
        <w:rFonts w:hint="default"/>
        <w:lang w:val="zh-CN" w:eastAsia="zh-CN" w:bidi="zh-CN"/>
      </w:rPr>
    </w:lvl>
    <w:lvl w:ilvl="5" w:tentative="0">
      <w:start w:val="0"/>
      <w:numFmt w:val="bullet"/>
      <w:lvlText w:val="•"/>
      <w:lvlJc w:val="left"/>
      <w:pPr>
        <w:ind w:left="4724" w:hanging="601"/>
      </w:pPr>
      <w:rPr>
        <w:rFonts w:hint="default"/>
        <w:lang w:val="zh-CN" w:eastAsia="zh-CN" w:bidi="zh-CN"/>
      </w:rPr>
    </w:lvl>
    <w:lvl w:ilvl="6" w:tentative="0">
      <w:start w:val="0"/>
      <w:numFmt w:val="bullet"/>
      <w:lvlText w:val="•"/>
      <w:lvlJc w:val="left"/>
      <w:pPr>
        <w:ind w:left="5706" w:hanging="601"/>
      </w:pPr>
      <w:rPr>
        <w:rFonts w:hint="default"/>
        <w:lang w:val="zh-CN" w:eastAsia="zh-CN" w:bidi="zh-CN"/>
      </w:rPr>
    </w:lvl>
    <w:lvl w:ilvl="7" w:tentative="0">
      <w:start w:val="0"/>
      <w:numFmt w:val="bullet"/>
      <w:lvlText w:val="•"/>
      <w:lvlJc w:val="left"/>
      <w:pPr>
        <w:ind w:left="6687" w:hanging="601"/>
      </w:pPr>
      <w:rPr>
        <w:rFonts w:hint="default"/>
        <w:lang w:val="zh-CN" w:eastAsia="zh-CN" w:bidi="zh-CN"/>
      </w:rPr>
    </w:lvl>
    <w:lvl w:ilvl="8" w:tentative="0">
      <w:start w:val="0"/>
      <w:numFmt w:val="bullet"/>
      <w:lvlText w:val="•"/>
      <w:lvlJc w:val="left"/>
      <w:pPr>
        <w:ind w:left="7668" w:hanging="601"/>
      </w:pPr>
      <w:rPr>
        <w:rFonts w:hint="default"/>
        <w:lang w:val="zh-CN" w:eastAsia="zh-CN" w:bidi="zh-CN"/>
      </w:rPr>
    </w:lvl>
  </w:abstractNum>
  <w:abstractNum w:abstractNumId="9">
    <w:nsid w:val="BB64CFA9"/>
    <w:multiLevelType w:val="multilevel"/>
    <w:tmpl w:val="BB64CFA9"/>
    <w:lvl w:ilvl="0" w:tentative="0">
      <w:start w:val="1"/>
      <w:numFmt w:val="decimal"/>
      <w:lvlText w:val="（%1）"/>
      <w:lvlJc w:val="left"/>
      <w:pPr>
        <w:ind w:left="260" w:hanging="601"/>
        <w:jc w:val="left"/>
      </w:pPr>
      <w:rPr>
        <w:rFonts w:hint="default" w:ascii="宋体" w:hAnsi="宋体" w:eastAsia="宋体" w:cs="宋体"/>
        <w:spacing w:val="-34"/>
        <w:w w:val="100"/>
        <w:sz w:val="22"/>
        <w:szCs w:val="22"/>
        <w:lang w:val="zh-CN" w:eastAsia="zh-CN" w:bidi="zh-CN"/>
      </w:rPr>
    </w:lvl>
    <w:lvl w:ilvl="1" w:tentative="0">
      <w:start w:val="0"/>
      <w:numFmt w:val="bullet"/>
      <w:lvlText w:val="•"/>
      <w:lvlJc w:val="left"/>
      <w:pPr>
        <w:ind w:left="1197" w:hanging="601"/>
      </w:pPr>
      <w:rPr>
        <w:rFonts w:hint="default"/>
        <w:lang w:val="zh-CN" w:eastAsia="zh-CN" w:bidi="zh-CN"/>
      </w:rPr>
    </w:lvl>
    <w:lvl w:ilvl="2" w:tentative="0">
      <w:start w:val="0"/>
      <w:numFmt w:val="bullet"/>
      <w:lvlText w:val="•"/>
      <w:lvlJc w:val="left"/>
      <w:pPr>
        <w:ind w:left="2134" w:hanging="601"/>
      </w:pPr>
      <w:rPr>
        <w:rFonts w:hint="default"/>
        <w:lang w:val="zh-CN" w:eastAsia="zh-CN" w:bidi="zh-CN"/>
      </w:rPr>
    </w:lvl>
    <w:lvl w:ilvl="3" w:tentative="0">
      <w:start w:val="0"/>
      <w:numFmt w:val="bullet"/>
      <w:lvlText w:val="•"/>
      <w:lvlJc w:val="left"/>
      <w:pPr>
        <w:ind w:left="3071" w:hanging="601"/>
      </w:pPr>
      <w:rPr>
        <w:rFonts w:hint="default"/>
        <w:lang w:val="zh-CN" w:eastAsia="zh-CN" w:bidi="zh-CN"/>
      </w:rPr>
    </w:lvl>
    <w:lvl w:ilvl="4" w:tentative="0">
      <w:start w:val="0"/>
      <w:numFmt w:val="bullet"/>
      <w:lvlText w:val="•"/>
      <w:lvlJc w:val="left"/>
      <w:pPr>
        <w:ind w:left="4008" w:hanging="601"/>
      </w:pPr>
      <w:rPr>
        <w:rFonts w:hint="default"/>
        <w:lang w:val="zh-CN" w:eastAsia="zh-CN" w:bidi="zh-CN"/>
      </w:rPr>
    </w:lvl>
    <w:lvl w:ilvl="5" w:tentative="0">
      <w:start w:val="0"/>
      <w:numFmt w:val="bullet"/>
      <w:lvlText w:val="•"/>
      <w:lvlJc w:val="left"/>
      <w:pPr>
        <w:ind w:left="4945" w:hanging="601"/>
      </w:pPr>
      <w:rPr>
        <w:rFonts w:hint="default"/>
        <w:lang w:val="zh-CN" w:eastAsia="zh-CN" w:bidi="zh-CN"/>
      </w:rPr>
    </w:lvl>
    <w:lvl w:ilvl="6" w:tentative="0">
      <w:start w:val="0"/>
      <w:numFmt w:val="bullet"/>
      <w:lvlText w:val="•"/>
      <w:lvlJc w:val="left"/>
      <w:pPr>
        <w:ind w:left="5882" w:hanging="601"/>
      </w:pPr>
      <w:rPr>
        <w:rFonts w:hint="default"/>
        <w:lang w:val="zh-CN" w:eastAsia="zh-CN" w:bidi="zh-CN"/>
      </w:rPr>
    </w:lvl>
    <w:lvl w:ilvl="7" w:tentative="0">
      <w:start w:val="0"/>
      <w:numFmt w:val="bullet"/>
      <w:lvlText w:val="•"/>
      <w:lvlJc w:val="left"/>
      <w:pPr>
        <w:ind w:left="6819" w:hanging="601"/>
      </w:pPr>
      <w:rPr>
        <w:rFonts w:hint="default"/>
        <w:lang w:val="zh-CN" w:eastAsia="zh-CN" w:bidi="zh-CN"/>
      </w:rPr>
    </w:lvl>
    <w:lvl w:ilvl="8" w:tentative="0">
      <w:start w:val="0"/>
      <w:numFmt w:val="bullet"/>
      <w:lvlText w:val="•"/>
      <w:lvlJc w:val="left"/>
      <w:pPr>
        <w:ind w:left="7756" w:hanging="601"/>
      </w:pPr>
      <w:rPr>
        <w:rFonts w:hint="default"/>
        <w:lang w:val="zh-CN" w:eastAsia="zh-CN" w:bidi="zh-CN"/>
      </w:rPr>
    </w:lvl>
  </w:abstractNum>
  <w:abstractNum w:abstractNumId="10">
    <w:nsid w:val="BE923771"/>
    <w:multiLevelType w:val="multilevel"/>
    <w:tmpl w:val="BE923771"/>
    <w:lvl w:ilvl="0" w:tentative="0">
      <w:start w:val="5"/>
      <w:numFmt w:val="decimal"/>
      <w:lvlText w:val="%1"/>
      <w:lvlJc w:val="left"/>
      <w:pPr>
        <w:ind w:left="860" w:hanging="600"/>
        <w:jc w:val="left"/>
      </w:pPr>
      <w:rPr>
        <w:rFonts w:hint="default"/>
        <w:lang w:val="zh-CN" w:eastAsia="zh-CN" w:bidi="zh-CN"/>
      </w:rPr>
    </w:lvl>
    <w:lvl w:ilvl="1" w:tentative="0">
      <w:start w:val="2"/>
      <w:numFmt w:val="decimal"/>
      <w:lvlText w:val="%1.%2"/>
      <w:lvlJc w:val="left"/>
      <w:pPr>
        <w:ind w:left="860" w:hanging="600"/>
        <w:jc w:val="left"/>
      </w:pPr>
      <w:rPr>
        <w:rFonts w:hint="default"/>
        <w:lang w:val="zh-CN" w:eastAsia="zh-CN" w:bidi="zh-CN"/>
      </w:rPr>
    </w:lvl>
    <w:lvl w:ilvl="2" w:tentative="0">
      <w:start w:val="1"/>
      <w:numFmt w:val="decimal"/>
      <w:lvlText w:val="%1.%2.%3"/>
      <w:lvlJc w:val="left"/>
      <w:pPr>
        <w:ind w:left="860" w:hanging="60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1.%2.%3.%4"/>
      <w:lvlJc w:val="left"/>
      <w:pPr>
        <w:ind w:left="1040" w:hanging="780"/>
        <w:jc w:val="left"/>
      </w:pPr>
      <w:rPr>
        <w:rFonts w:hint="default" w:ascii="Times New Roman" w:hAnsi="Times New Roman" w:eastAsia="Times New Roman" w:cs="Times New Roman"/>
        <w:b/>
        <w:bCs/>
        <w:w w:val="99"/>
        <w:sz w:val="24"/>
        <w:szCs w:val="24"/>
        <w:lang w:val="zh-CN" w:eastAsia="zh-CN" w:bidi="zh-CN"/>
      </w:rPr>
    </w:lvl>
    <w:lvl w:ilvl="4" w:tentative="0">
      <w:start w:val="0"/>
      <w:numFmt w:val="bullet"/>
      <w:lvlText w:val="•"/>
      <w:lvlJc w:val="left"/>
      <w:pPr>
        <w:ind w:left="3903" w:hanging="780"/>
      </w:pPr>
      <w:rPr>
        <w:rFonts w:hint="default"/>
        <w:lang w:val="zh-CN" w:eastAsia="zh-CN" w:bidi="zh-CN"/>
      </w:rPr>
    </w:lvl>
    <w:lvl w:ilvl="5" w:tentative="0">
      <w:start w:val="0"/>
      <w:numFmt w:val="bullet"/>
      <w:lvlText w:val="•"/>
      <w:lvlJc w:val="left"/>
      <w:pPr>
        <w:ind w:left="4858" w:hanging="780"/>
      </w:pPr>
      <w:rPr>
        <w:rFonts w:hint="default"/>
        <w:lang w:val="zh-CN" w:eastAsia="zh-CN" w:bidi="zh-CN"/>
      </w:rPr>
    </w:lvl>
    <w:lvl w:ilvl="6" w:tentative="0">
      <w:start w:val="0"/>
      <w:numFmt w:val="bullet"/>
      <w:lvlText w:val="•"/>
      <w:lvlJc w:val="left"/>
      <w:pPr>
        <w:ind w:left="5812" w:hanging="780"/>
      </w:pPr>
      <w:rPr>
        <w:rFonts w:hint="default"/>
        <w:lang w:val="zh-CN" w:eastAsia="zh-CN" w:bidi="zh-CN"/>
      </w:rPr>
    </w:lvl>
    <w:lvl w:ilvl="7" w:tentative="0">
      <w:start w:val="0"/>
      <w:numFmt w:val="bullet"/>
      <w:lvlText w:val="•"/>
      <w:lvlJc w:val="left"/>
      <w:pPr>
        <w:ind w:left="6767" w:hanging="780"/>
      </w:pPr>
      <w:rPr>
        <w:rFonts w:hint="default"/>
        <w:lang w:val="zh-CN" w:eastAsia="zh-CN" w:bidi="zh-CN"/>
      </w:rPr>
    </w:lvl>
    <w:lvl w:ilvl="8" w:tentative="0">
      <w:start w:val="0"/>
      <w:numFmt w:val="bullet"/>
      <w:lvlText w:val="•"/>
      <w:lvlJc w:val="left"/>
      <w:pPr>
        <w:ind w:left="7721" w:hanging="780"/>
      </w:pPr>
      <w:rPr>
        <w:rFonts w:hint="default"/>
        <w:lang w:val="zh-CN" w:eastAsia="zh-CN" w:bidi="zh-CN"/>
      </w:rPr>
    </w:lvl>
  </w:abstractNum>
  <w:abstractNum w:abstractNumId="11">
    <w:nsid w:val="C8879AEF"/>
    <w:multiLevelType w:val="multilevel"/>
    <w:tmpl w:val="C8879AEF"/>
    <w:lvl w:ilvl="0" w:tentative="0">
      <w:start w:val="12"/>
      <w:numFmt w:val="lowerLetter"/>
      <w:lvlText w:val="%1"/>
      <w:lvlJc w:val="left"/>
      <w:pPr>
        <w:ind w:left="1384" w:hanging="545"/>
        <w:jc w:val="left"/>
      </w:pPr>
      <w:rPr>
        <w:rFonts w:hint="default"/>
        <w:lang w:val="zh-CN" w:eastAsia="zh-CN" w:bidi="zh-CN"/>
      </w:rPr>
    </w:lvl>
    <w:lvl w:ilvl="1" w:tentative="0">
      <w:start w:val="6"/>
      <w:numFmt w:val="decimal"/>
      <w:lvlText w:val="%1.%2"/>
      <w:lvlJc w:val="left"/>
      <w:pPr>
        <w:ind w:left="1384" w:hanging="545"/>
        <w:jc w:val="left"/>
      </w:pPr>
      <w:rPr>
        <w:rFonts w:hint="default"/>
        <w:lang w:val="zh-CN" w:eastAsia="zh-CN" w:bidi="zh-CN"/>
      </w:rPr>
    </w:lvl>
    <w:lvl w:ilvl="2" w:tentative="0">
      <w:start w:val="1"/>
      <w:numFmt w:val="decimal"/>
      <w:lvlText w:val="%1.%2.%3"/>
      <w:lvlJc w:val="left"/>
      <w:pPr>
        <w:ind w:left="1384" w:hanging="545"/>
        <w:jc w:val="left"/>
      </w:pPr>
      <w:rPr>
        <w:rFonts w:hint="default" w:ascii="Times New Roman" w:hAnsi="Times New Roman" w:eastAsia="Times New Roman" w:cs="Times New Roman"/>
        <w:b/>
        <w:bCs/>
        <w:spacing w:val="-3"/>
        <w:w w:val="99"/>
        <w:sz w:val="24"/>
        <w:szCs w:val="24"/>
        <w:lang w:val="zh-CN" w:eastAsia="zh-CN" w:bidi="zh-CN"/>
      </w:rPr>
    </w:lvl>
    <w:lvl w:ilvl="3" w:tentative="0">
      <w:start w:val="1"/>
      <w:numFmt w:val="decimal"/>
      <w:lvlText w:val="（%4）"/>
      <w:lvlJc w:val="left"/>
      <w:pPr>
        <w:ind w:left="1921" w:hanging="601"/>
        <w:jc w:val="left"/>
      </w:pPr>
      <w:rPr>
        <w:rFonts w:hint="default" w:ascii="宋体" w:hAnsi="宋体" w:eastAsia="宋体" w:cs="宋体"/>
        <w:spacing w:val="-60"/>
        <w:w w:val="100"/>
        <w:sz w:val="22"/>
        <w:szCs w:val="22"/>
        <w:lang w:val="zh-CN" w:eastAsia="zh-CN" w:bidi="zh-CN"/>
      </w:rPr>
    </w:lvl>
    <w:lvl w:ilvl="4" w:tentative="0">
      <w:start w:val="0"/>
      <w:numFmt w:val="bullet"/>
      <w:lvlText w:val="•"/>
      <w:lvlJc w:val="left"/>
      <w:pPr>
        <w:ind w:left="4916" w:hanging="601"/>
      </w:pPr>
      <w:rPr>
        <w:rFonts w:hint="default"/>
        <w:lang w:val="zh-CN" w:eastAsia="zh-CN" w:bidi="zh-CN"/>
      </w:rPr>
    </w:lvl>
    <w:lvl w:ilvl="5" w:tentative="0">
      <w:start w:val="0"/>
      <w:numFmt w:val="bullet"/>
      <w:lvlText w:val="•"/>
      <w:lvlJc w:val="left"/>
      <w:pPr>
        <w:ind w:left="5915" w:hanging="601"/>
      </w:pPr>
      <w:rPr>
        <w:rFonts w:hint="default"/>
        <w:lang w:val="zh-CN" w:eastAsia="zh-CN" w:bidi="zh-CN"/>
      </w:rPr>
    </w:lvl>
    <w:lvl w:ilvl="6" w:tentative="0">
      <w:start w:val="0"/>
      <w:numFmt w:val="bullet"/>
      <w:lvlText w:val="•"/>
      <w:lvlJc w:val="left"/>
      <w:pPr>
        <w:ind w:left="6913" w:hanging="601"/>
      </w:pPr>
      <w:rPr>
        <w:rFonts w:hint="default"/>
        <w:lang w:val="zh-CN" w:eastAsia="zh-CN" w:bidi="zh-CN"/>
      </w:rPr>
    </w:lvl>
    <w:lvl w:ilvl="7" w:tentative="0">
      <w:start w:val="0"/>
      <w:numFmt w:val="bullet"/>
      <w:lvlText w:val="•"/>
      <w:lvlJc w:val="left"/>
      <w:pPr>
        <w:ind w:left="7912" w:hanging="601"/>
      </w:pPr>
      <w:rPr>
        <w:rFonts w:hint="default"/>
        <w:lang w:val="zh-CN" w:eastAsia="zh-CN" w:bidi="zh-CN"/>
      </w:rPr>
    </w:lvl>
    <w:lvl w:ilvl="8" w:tentative="0">
      <w:start w:val="0"/>
      <w:numFmt w:val="bullet"/>
      <w:lvlText w:val="•"/>
      <w:lvlJc w:val="left"/>
      <w:pPr>
        <w:ind w:left="8911" w:hanging="601"/>
      </w:pPr>
      <w:rPr>
        <w:rFonts w:hint="default"/>
        <w:lang w:val="zh-CN" w:eastAsia="zh-CN" w:bidi="zh-CN"/>
      </w:rPr>
    </w:lvl>
  </w:abstractNum>
  <w:abstractNum w:abstractNumId="12">
    <w:nsid w:val="D7F9FE59"/>
    <w:multiLevelType w:val="multilevel"/>
    <w:tmpl w:val="D7F9FE59"/>
    <w:lvl w:ilvl="0" w:tentative="0">
      <w:start w:val="1"/>
      <w:numFmt w:val="decimal"/>
      <w:lvlText w:val="（%1）"/>
      <w:lvlJc w:val="left"/>
      <w:pPr>
        <w:ind w:left="1921" w:hanging="601"/>
        <w:jc w:val="left"/>
      </w:pPr>
      <w:rPr>
        <w:rFonts w:hint="default" w:ascii="宋体" w:hAnsi="宋体" w:eastAsia="宋体" w:cs="宋体"/>
        <w:spacing w:val="-2"/>
        <w:w w:val="100"/>
        <w:sz w:val="22"/>
        <w:szCs w:val="22"/>
        <w:lang w:val="zh-CN" w:eastAsia="zh-CN" w:bidi="zh-CN"/>
      </w:rPr>
    </w:lvl>
    <w:lvl w:ilvl="1" w:tentative="0">
      <w:start w:val="0"/>
      <w:numFmt w:val="bullet"/>
      <w:lvlText w:val="•"/>
      <w:lvlJc w:val="left"/>
      <w:pPr>
        <w:ind w:left="2818" w:hanging="601"/>
      </w:pPr>
      <w:rPr>
        <w:rFonts w:hint="default"/>
        <w:lang w:val="zh-CN" w:eastAsia="zh-CN" w:bidi="zh-CN"/>
      </w:rPr>
    </w:lvl>
    <w:lvl w:ilvl="2" w:tentative="0">
      <w:start w:val="0"/>
      <w:numFmt w:val="bullet"/>
      <w:lvlText w:val="•"/>
      <w:lvlJc w:val="left"/>
      <w:pPr>
        <w:ind w:left="3717" w:hanging="601"/>
      </w:pPr>
      <w:rPr>
        <w:rFonts w:hint="default"/>
        <w:lang w:val="zh-CN" w:eastAsia="zh-CN" w:bidi="zh-CN"/>
      </w:rPr>
    </w:lvl>
    <w:lvl w:ilvl="3" w:tentative="0">
      <w:start w:val="0"/>
      <w:numFmt w:val="bullet"/>
      <w:lvlText w:val="•"/>
      <w:lvlJc w:val="left"/>
      <w:pPr>
        <w:ind w:left="4616" w:hanging="601"/>
      </w:pPr>
      <w:rPr>
        <w:rFonts w:hint="default"/>
        <w:lang w:val="zh-CN" w:eastAsia="zh-CN" w:bidi="zh-CN"/>
      </w:rPr>
    </w:lvl>
    <w:lvl w:ilvl="4" w:tentative="0">
      <w:start w:val="0"/>
      <w:numFmt w:val="bullet"/>
      <w:lvlText w:val="•"/>
      <w:lvlJc w:val="left"/>
      <w:pPr>
        <w:ind w:left="5515" w:hanging="601"/>
      </w:pPr>
      <w:rPr>
        <w:rFonts w:hint="default"/>
        <w:lang w:val="zh-CN" w:eastAsia="zh-CN" w:bidi="zh-CN"/>
      </w:rPr>
    </w:lvl>
    <w:lvl w:ilvl="5" w:tentative="0">
      <w:start w:val="0"/>
      <w:numFmt w:val="bullet"/>
      <w:lvlText w:val="•"/>
      <w:lvlJc w:val="left"/>
      <w:pPr>
        <w:ind w:left="6414" w:hanging="601"/>
      </w:pPr>
      <w:rPr>
        <w:rFonts w:hint="default"/>
        <w:lang w:val="zh-CN" w:eastAsia="zh-CN" w:bidi="zh-CN"/>
      </w:rPr>
    </w:lvl>
    <w:lvl w:ilvl="6" w:tentative="0">
      <w:start w:val="0"/>
      <w:numFmt w:val="bullet"/>
      <w:lvlText w:val="•"/>
      <w:lvlJc w:val="left"/>
      <w:pPr>
        <w:ind w:left="7313" w:hanging="601"/>
      </w:pPr>
      <w:rPr>
        <w:rFonts w:hint="default"/>
        <w:lang w:val="zh-CN" w:eastAsia="zh-CN" w:bidi="zh-CN"/>
      </w:rPr>
    </w:lvl>
    <w:lvl w:ilvl="7" w:tentative="0">
      <w:start w:val="0"/>
      <w:numFmt w:val="bullet"/>
      <w:lvlText w:val="•"/>
      <w:lvlJc w:val="left"/>
      <w:pPr>
        <w:ind w:left="8212" w:hanging="601"/>
      </w:pPr>
      <w:rPr>
        <w:rFonts w:hint="default"/>
        <w:lang w:val="zh-CN" w:eastAsia="zh-CN" w:bidi="zh-CN"/>
      </w:rPr>
    </w:lvl>
    <w:lvl w:ilvl="8" w:tentative="0">
      <w:start w:val="0"/>
      <w:numFmt w:val="bullet"/>
      <w:lvlText w:val="•"/>
      <w:lvlJc w:val="left"/>
      <w:pPr>
        <w:ind w:left="9111" w:hanging="601"/>
      </w:pPr>
      <w:rPr>
        <w:rFonts w:hint="default"/>
        <w:lang w:val="zh-CN" w:eastAsia="zh-CN" w:bidi="zh-CN"/>
      </w:rPr>
    </w:lvl>
  </w:abstractNum>
  <w:abstractNum w:abstractNumId="13">
    <w:nsid w:val="DCBA6B53"/>
    <w:multiLevelType w:val="multilevel"/>
    <w:tmpl w:val="DCBA6B53"/>
    <w:lvl w:ilvl="0" w:tentative="0">
      <w:start w:val="2"/>
      <w:numFmt w:val="decimal"/>
      <w:lvlText w:val="%1"/>
      <w:lvlJc w:val="left"/>
      <w:pPr>
        <w:ind w:left="1159" w:hanging="320"/>
        <w:jc w:val="right"/>
      </w:pPr>
      <w:rPr>
        <w:rFonts w:hint="default" w:ascii="Times New Roman" w:hAnsi="Times New Roman" w:eastAsia="Times New Roman" w:cs="Times New Roman"/>
        <w:b/>
        <w:bCs/>
        <w:w w:val="99"/>
        <w:sz w:val="32"/>
        <w:szCs w:val="32"/>
        <w:lang w:val="zh-CN" w:eastAsia="zh-CN" w:bidi="zh-CN"/>
      </w:rPr>
    </w:lvl>
    <w:lvl w:ilvl="1" w:tentative="0">
      <w:start w:val="1"/>
      <w:numFmt w:val="decimal"/>
      <w:lvlText w:val="%1.%2"/>
      <w:lvlJc w:val="left"/>
      <w:pPr>
        <w:ind w:left="1329" w:hanging="490"/>
        <w:jc w:val="left"/>
      </w:pPr>
      <w:rPr>
        <w:rFonts w:hint="default" w:ascii="Times New Roman" w:hAnsi="Times New Roman" w:eastAsia="Times New Roman" w:cs="Times New Roman"/>
        <w:b/>
        <w:bCs/>
        <w:spacing w:val="-1"/>
        <w:w w:val="100"/>
        <w:sz w:val="28"/>
        <w:szCs w:val="28"/>
        <w:lang w:val="zh-CN" w:eastAsia="zh-CN" w:bidi="zh-CN"/>
      </w:rPr>
    </w:lvl>
    <w:lvl w:ilvl="2" w:tentative="0">
      <w:start w:val="1"/>
      <w:numFmt w:val="decimal"/>
      <w:lvlText w:val="（%3）"/>
      <w:lvlJc w:val="left"/>
      <w:pPr>
        <w:ind w:left="1921" w:hanging="601"/>
        <w:jc w:val="left"/>
      </w:pPr>
      <w:rPr>
        <w:rFonts w:hint="default" w:ascii="宋体" w:hAnsi="宋体" w:eastAsia="宋体" w:cs="宋体"/>
        <w:spacing w:val="-2"/>
        <w:w w:val="100"/>
        <w:sz w:val="22"/>
        <w:szCs w:val="22"/>
        <w:lang w:val="zh-CN" w:eastAsia="zh-CN" w:bidi="zh-CN"/>
      </w:rPr>
    </w:lvl>
    <w:lvl w:ilvl="3" w:tentative="0">
      <w:start w:val="0"/>
      <w:numFmt w:val="bullet"/>
      <w:lvlText w:val="•"/>
      <w:lvlJc w:val="left"/>
      <w:pPr>
        <w:ind w:left="1160" w:hanging="601"/>
      </w:pPr>
      <w:rPr>
        <w:rFonts w:hint="default"/>
        <w:lang w:val="zh-CN" w:eastAsia="zh-CN" w:bidi="zh-CN"/>
      </w:rPr>
    </w:lvl>
    <w:lvl w:ilvl="4" w:tentative="0">
      <w:start w:val="0"/>
      <w:numFmt w:val="bullet"/>
      <w:lvlText w:val="•"/>
      <w:lvlJc w:val="left"/>
      <w:pPr>
        <w:ind w:left="1320" w:hanging="601"/>
      </w:pPr>
      <w:rPr>
        <w:rFonts w:hint="default"/>
        <w:lang w:val="zh-CN" w:eastAsia="zh-CN" w:bidi="zh-CN"/>
      </w:rPr>
    </w:lvl>
    <w:lvl w:ilvl="5" w:tentative="0">
      <w:start w:val="0"/>
      <w:numFmt w:val="bullet"/>
      <w:lvlText w:val="•"/>
      <w:lvlJc w:val="left"/>
      <w:pPr>
        <w:ind w:left="1920" w:hanging="601"/>
      </w:pPr>
      <w:rPr>
        <w:rFonts w:hint="default"/>
        <w:lang w:val="zh-CN" w:eastAsia="zh-CN" w:bidi="zh-CN"/>
      </w:rPr>
    </w:lvl>
    <w:lvl w:ilvl="6" w:tentative="0">
      <w:start w:val="0"/>
      <w:numFmt w:val="bullet"/>
      <w:lvlText w:val="•"/>
      <w:lvlJc w:val="left"/>
      <w:pPr>
        <w:ind w:left="3462" w:hanging="601"/>
      </w:pPr>
      <w:rPr>
        <w:rFonts w:hint="default"/>
        <w:lang w:val="zh-CN" w:eastAsia="zh-CN" w:bidi="zh-CN"/>
      </w:rPr>
    </w:lvl>
    <w:lvl w:ilvl="7" w:tentative="0">
      <w:start w:val="0"/>
      <w:numFmt w:val="bullet"/>
      <w:lvlText w:val="•"/>
      <w:lvlJc w:val="left"/>
      <w:pPr>
        <w:ind w:left="5004" w:hanging="601"/>
      </w:pPr>
      <w:rPr>
        <w:rFonts w:hint="default"/>
        <w:lang w:val="zh-CN" w:eastAsia="zh-CN" w:bidi="zh-CN"/>
      </w:rPr>
    </w:lvl>
    <w:lvl w:ilvl="8" w:tentative="0">
      <w:start w:val="0"/>
      <w:numFmt w:val="bullet"/>
      <w:lvlText w:val="•"/>
      <w:lvlJc w:val="left"/>
      <w:pPr>
        <w:ind w:left="6546" w:hanging="601"/>
      </w:pPr>
      <w:rPr>
        <w:rFonts w:hint="default"/>
        <w:lang w:val="zh-CN" w:eastAsia="zh-CN" w:bidi="zh-CN"/>
      </w:rPr>
    </w:lvl>
  </w:abstractNum>
  <w:abstractNum w:abstractNumId="14">
    <w:nsid w:val="E093A4B0"/>
    <w:multiLevelType w:val="multilevel"/>
    <w:tmpl w:val="E093A4B0"/>
    <w:lvl w:ilvl="0" w:tentative="0">
      <w:start w:val="1"/>
      <w:numFmt w:val="decimal"/>
      <w:lvlText w:val="（%1）"/>
      <w:lvlJc w:val="left"/>
      <w:pPr>
        <w:ind w:left="260" w:hanging="601"/>
        <w:jc w:val="left"/>
      </w:pPr>
      <w:rPr>
        <w:rFonts w:hint="default" w:ascii="宋体" w:hAnsi="宋体" w:eastAsia="宋体" w:cs="宋体"/>
        <w:spacing w:val="-51"/>
        <w:w w:val="100"/>
        <w:sz w:val="22"/>
        <w:szCs w:val="22"/>
        <w:lang w:val="zh-CN" w:eastAsia="zh-CN" w:bidi="zh-CN"/>
      </w:rPr>
    </w:lvl>
    <w:lvl w:ilvl="1" w:tentative="0">
      <w:start w:val="0"/>
      <w:numFmt w:val="bullet"/>
      <w:lvlText w:val="•"/>
      <w:lvlJc w:val="left"/>
      <w:pPr>
        <w:ind w:left="1197" w:hanging="601"/>
      </w:pPr>
      <w:rPr>
        <w:rFonts w:hint="default"/>
        <w:lang w:val="zh-CN" w:eastAsia="zh-CN" w:bidi="zh-CN"/>
      </w:rPr>
    </w:lvl>
    <w:lvl w:ilvl="2" w:tentative="0">
      <w:start w:val="0"/>
      <w:numFmt w:val="bullet"/>
      <w:lvlText w:val="•"/>
      <w:lvlJc w:val="left"/>
      <w:pPr>
        <w:ind w:left="2134" w:hanging="601"/>
      </w:pPr>
      <w:rPr>
        <w:rFonts w:hint="default"/>
        <w:lang w:val="zh-CN" w:eastAsia="zh-CN" w:bidi="zh-CN"/>
      </w:rPr>
    </w:lvl>
    <w:lvl w:ilvl="3" w:tentative="0">
      <w:start w:val="0"/>
      <w:numFmt w:val="bullet"/>
      <w:lvlText w:val="•"/>
      <w:lvlJc w:val="left"/>
      <w:pPr>
        <w:ind w:left="3071" w:hanging="601"/>
      </w:pPr>
      <w:rPr>
        <w:rFonts w:hint="default"/>
        <w:lang w:val="zh-CN" w:eastAsia="zh-CN" w:bidi="zh-CN"/>
      </w:rPr>
    </w:lvl>
    <w:lvl w:ilvl="4" w:tentative="0">
      <w:start w:val="0"/>
      <w:numFmt w:val="bullet"/>
      <w:lvlText w:val="•"/>
      <w:lvlJc w:val="left"/>
      <w:pPr>
        <w:ind w:left="4008" w:hanging="601"/>
      </w:pPr>
      <w:rPr>
        <w:rFonts w:hint="default"/>
        <w:lang w:val="zh-CN" w:eastAsia="zh-CN" w:bidi="zh-CN"/>
      </w:rPr>
    </w:lvl>
    <w:lvl w:ilvl="5" w:tentative="0">
      <w:start w:val="0"/>
      <w:numFmt w:val="bullet"/>
      <w:lvlText w:val="•"/>
      <w:lvlJc w:val="left"/>
      <w:pPr>
        <w:ind w:left="4945" w:hanging="601"/>
      </w:pPr>
      <w:rPr>
        <w:rFonts w:hint="default"/>
        <w:lang w:val="zh-CN" w:eastAsia="zh-CN" w:bidi="zh-CN"/>
      </w:rPr>
    </w:lvl>
    <w:lvl w:ilvl="6" w:tentative="0">
      <w:start w:val="0"/>
      <w:numFmt w:val="bullet"/>
      <w:lvlText w:val="•"/>
      <w:lvlJc w:val="left"/>
      <w:pPr>
        <w:ind w:left="5882" w:hanging="601"/>
      </w:pPr>
      <w:rPr>
        <w:rFonts w:hint="default"/>
        <w:lang w:val="zh-CN" w:eastAsia="zh-CN" w:bidi="zh-CN"/>
      </w:rPr>
    </w:lvl>
    <w:lvl w:ilvl="7" w:tentative="0">
      <w:start w:val="0"/>
      <w:numFmt w:val="bullet"/>
      <w:lvlText w:val="•"/>
      <w:lvlJc w:val="left"/>
      <w:pPr>
        <w:ind w:left="6819" w:hanging="601"/>
      </w:pPr>
      <w:rPr>
        <w:rFonts w:hint="default"/>
        <w:lang w:val="zh-CN" w:eastAsia="zh-CN" w:bidi="zh-CN"/>
      </w:rPr>
    </w:lvl>
    <w:lvl w:ilvl="8" w:tentative="0">
      <w:start w:val="0"/>
      <w:numFmt w:val="bullet"/>
      <w:lvlText w:val="•"/>
      <w:lvlJc w:val="left"/>
      <w:pPr>
        <w:ind w:left="7756" w:hanging="601"/>
      </w:pPr>
      <w:rPr>
        <w:rFonts w:hint="default"/>
        <w:lang w:val="zh-CN" w:eastAsia="zh-CN" w:bidi="zh-CN"/>
      </w:rPr>
    </w:lvl>
  </w:abstractNum>
  <w:abstractNum w:abstractNumId="15">
    <w:nsid w:val="F4B5D9F5"/>
    <w:multiLevelType w:val="multilevel"/>
    <w:tmpl w:val="F4B5D9F5"/>
    <w:lvl w:ilvl="0" w:tentative="0">
      <w:start w:val="1"/>
      <w:numFmt w:val="decimal"/>
      <w:lvlText w:val="（%1）"/>
      <w:lvlJc w:val="left"/>
      <w:pPr>
        <w:ind w:left="1921" w:hanging="60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2818" w:hanging="601"/>
      </w:pPr>
      <w:rPr>
        <w:rFonts w:hint="default"/>
        <w:lang w:val="zh-CN" w:eastAsia="zh-CN" w:bidi="zh-CN"/>
      </w:rPr>
    </w:lvl>
    <w:lvl w:ilvl="2" w:tentative="0">
      <w:start w:val="0"/>
      <w:numFmt w:val="bullet"/>
      <w:lvlText w:val="•"/>
      <w:lvlJc w:val="left"/>
      <w:pPr>
        <w:ind w:left="3717" w:hanging="601"/>
      </w:pPr>
      <w:rPr>
        <w:rFonts w:hint="default"/>
        <w:lang w:val="zh-CN" w:eastAsia="zh-CN" w:bidi="zh-CN"/>
      </w:rPr>
    </w:lvl>
    <w:lvl w:ilvl="3" w:tentative="0">
      <w:start w:val="0"/>
      <w:numFmt w:val="bullet"/>
      <w:lvlText w:val="•"/>
      <w:lvlJc w:val="left"/>
      <w:pPr>
        <w:ind w:left="4616" w:hanging="601"/>
      </w:pPr>
      <w:rPr>
        <w:rFonts w:hint="default"/>
        <w:lang w:val="zh-CN" w:eastAsia="zh-CN" w:bidi="zh-CN"/>
      </w:rPr>
    </w:lvl>
    <w:lvl w:ilvl="4" w:tentative="0">
      <w:start w:val="0"/>
      <w:numFmt w:val="bullet"/>
      <w:lvlText w:val="•"/>
      <w:lvlJc w:val="left"/>
      <w:pPr>
        <w:ind w:left="5515" w:hanging="601"/>
      </w:pPr>
      <w:rPr>
        <w:rFonts w:hint="default"/>
        <w:lang w:val="zh-CN" w:eastAsia="zh-CN" w:bidi="zh-CN"/>
      </w:rPr>
    </w:lvl>
    <w:lvl w:ilvl="5" w:tentative="0">
      <w:start w:val="0"/>
      <w:numFmt w:val="bullet"/>
      <w:lvlText w:val="•"/>
      <w:lvlJc w:val="left"/>
      <w:pPr>
        <w:ind w:left="6414" w:hanging="601"/>
      </w:pPr>
      <w:rPr>
        <w:rFonts w:hint="default"/>
        <w:lang w:val="zh-CN" w:eastAsia="zh-CN" w:bidi="zh-CN"/>
      </w:rPr>
    </w:lvl>
    <w:lvl w:ilvl="6" w:tentative="0">
      <w:start w:val="0"/>
      <w:numFmt w:val="bullet"/>
      <w:lvlText w:val="•"/>
      <w:lvlJc w:val="left"/>
      <w:pPr>
        <w:ind w:left="7313" w:hanging="601"/>
      </w:pPr>
      <w:rPr>
        <w:rFonts w:hint="default"/>
        <w:lang w:val="zh-CN" w:eastAsia="zh-CN" w:bidi="zh-CN"/>
      </w:rPr>
    </w:lvl>
    <w:lvl w:ilvl="7" w:tentative="0">
      <w:start w:val="0"/>
      <w:numFmt w:val="bullet"/>
      <w:lvlText w:val="•"/>
      <w:lvlJc w:val="left"/>
      <w:pPr>
        <w:ind w:left="8212" w:hanging="601"/>
      </w:pPr>
      <w:rPr>
        <w:rFonts w:hint="default"/>
        <w:lang w:val="zh-CN" w:eastAsia="zh-CN" w:bidi="zh-CN"/>
      </w:rPr>
    </w:lvl>
    <w:lvl w:ilvl="8" w:tentative="0">
      <w:start w:val="0"/>
      <w:numFmt w:val="bullet"/>
      <w:lvlText w:val="•"/>
      <w:lvlJc w:val="left"/>
      <w:pPr>
        <w:ind w:left="9111" w:hanging="601"/>
      </w:pPr>
      <w:rPr>
        <w:rFonts w:hint="default"/>
        <w:lang w:val="zh-CN" w:eastAsia="zh-CN" w:bidi="zh-CN"/>
      </w:rPr>
    </w:lvl>
  </w:abstractNum>
  <w:abstractNum w:abstractNumId="16">
    <w:nsid w:val="F7735DC9"/>
    <w:multiLevelType w:val="multilevel"/>
    <w:tmpl w:val="F7735DC9"/>
    <w:lvl w:ilvl="0" w:tentative="0">
      <w:start w:val="1"/>
      <w:numFmt w:val="decimal"/>
      <w:lvlText w:val="（%1）"/>
      <w:lvlJc w:val="left"/>
      <w:pPr>
        <w:ind w:left="1341"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69" w:hanging="601"/>
      </w:pPr>
      <w:rPr>
        <w:rFonts w:hint="default"/>
        <w:lang w:val="zh-CN" w:eastAsia="zh-CN" w:bidi="zh-CN"/>
      </w:rPr>
    </w:lvl>
    <w:lvl w:ilvl="2" w:tentative="0">
      <w:start w:val="0"/>
      <w:numFmt w:val="bullet"/>
      <w:lvlText w:val="•"/>
      <w:lvlJc w:val="left"/>
      <w:pPr>
        <w:ind w:left="2998" w:hanging="601"/>
      </w:pPr>
      <w:rPr>
        <w:rFonts w:hint="default"/>
        <w:lang w:val="zh-CN" w:eastAsia="zh-CN" w:bidi="zh-CN"/>
      </w:rPr>
    </w:lvl>
    <w:lvl w:ilvl="3" w:tentative="0">
      <w:start w:val="0"/>
      <w:numFmt w:val="bullet"/>
      <w:lvlText w:val="•"/>
      <w:lvlJc w:val="left"/>
      <w:pPr>
        <w:ind w:left="3827" w:hanging="601"/>
      </w:pPr>
      <w:rPr>
        <w:rFonts w:hint="default"/>
        <w:lang w:val="zh-CN" w:eastAsia="zh-CN" w:bidi="zh-CN"/>
      </w:rPr>
    </w:lvl>
    <w:lvl w:ilvl="4" w:tentative="0">
      <w:start w:val="0"/>
      <w:numFmt w:val="bullet"/>
      <w:lvlText w:val="•"/>
      <w:lvlJc w:val="left"/>
      <w:pPr>
        <w:ind w:left="4656" w:hanging="601"/>
      </w:pPr>
      <w:rPr>
        <w:rFonts w:hint="default"/>
        <w:lang w:val="zh-CN" w:eastAsia="zh-CN" w:bidi="zh-CN"/>
      </w:rPr>
    </w:lvl>
    <w:lvl w:ilvl="5" w:tentative="0">
      <w:start w:val="0"/>
      <w:numFmt w:val="bullet"/>
      <w:lvlText w:val="•"/>
      <w:lvlJc w:val="left"/>
      <w:pPr>
        <w:ind w:left="5485" w:hanging="601"/>
      </w:pPr>
      <w:rPr>
        <w:rFonts w:hint="default"/>
        <w:lang w:val="zh-CN" w:eastAsia="zh-CN" w:bidi="zh-CN"/>
      </w:rPr>
    </w:lvl>
    <w:lvl w:ilvl="6" w:tentative="0">
      <w:start w:val="0"/>
      <w:numFmt w:val="bullet"/>
      <w:lvlText w:val="•"/>
      <w:lvlJc w:val="left"/>
      <w:pPr>
        <w:ind w:left="6314" w:hanging="601"/>
      </w:pPr>
      <w:rPr>
        <w:rFonts w:hint="default"/>
        <w:lang w:val="zh-CN" w:eastAsia="zh-CN" w:bidi="zh-CN"/>
      </w:rPr>
    </w:lvl>
    <w:lvl w:ilvl="7" w:tentative="0">
      <w:start w:val="0"/>
      <w:numFmt w:val="bullet"/>
      <w:lvlText w:val="•"/>
      <w:lvlJc w:val="left"/>
      <w:pPr>
        <w:ind w:left="7143" w:hanging="601"/>
      </w:pPr>
      <w:rPr>
        <w:rFonts w:hint="default"/>
        <w:lang w:val="zh-CN" w:eastAsia="zh-CN" w:bidi="zh-CN"/>
      </w:rPr>
    </w:lvl>
    <w:lvl w:ilvl="8" w:tentative="0">
      <w:start w:val="0"/>
      <w:numFmt w:val="bullet"/>
      <w:lvlText w:val="•"/>
      <w:lvlJc w:val="left"/>
      <w:pPr>
        <w:ind w:left="7972" w:hanging="601"/>
      </w:pPr>
      <w:rPr>
        <w:rFonts w:hint="default"/>
        <w:lang w:val="zh-CN" w:eastAsia="zh-CN" w:bidi="zh-CN"/>
      </w:rPr>
    </w:lvl>
  </w:abstractNum>
  <w:abstractNum w:abstractNumId="17">
    <w:nsid w:val="0248C179"/>
    <w:multiLevelType w:val="multilevel"/>
    <w:tmpl w:val="0248C179"/>
    <w:lvl w:ilvl="0" w:tentative="0">
      <w:start w:val="1"/>
      <w:numFmt w:val="decimal"/>
      <w:lvlText w:val="%1"/>
      <w:lvlJc w:val="left"/>
      <w:pPr>
        <w:ind w:left="1159" w:hanging="320"/>
        <w:jc w:val="left"/>
      </w:pPr>
      <w:rPr>
        <w:rFonts w:hint="default" w:ascii="Times New Roman" w:hAnsi="Times New Roman" w:eastAsia="Times New Roman" w:cs="Times New Roman"/>
        <w:b/>
        <w:bCs/>
        <w:w w:val="99"/>
        <w:sz w:val="32"/>
        <w:szCs w:val="32"/>
        <w:lang w:val="zh-CN" w:eastAsia="zh-CN" w:bidi="zh-CN"/>
      </w:rPr>
    </w:lvl>
    <w:lvl w:ilvl="1" w:tentative="0">
      <w:start w:val="1"/>
      <w:numFmt w:val="decimal"/>
      <w:lvlText w:val="%1.%2"/>
      <w:lvlJc w:val="left"/>
      <w:pPr>
        <w:ind w:left="1329" w:hanging="490"/>
        <w:jc w:val="left"/>
      </w:pPr>
      <w:rPr>
        <w:rFonts w:hint="default" w:ascii="Times New Roman" w:hAnsi="Times New Roman" w:eastAsia="Times New Roman" w:cs="Times New Roman"/>
        <w:b/>
        <w:bCs/>
        <w:spacing w:val="-1"/>
        <w:w w:val="100"/>
        <w:sz w:val="28"/>
        <w:szCs w:val="28"/>
        <w:lang w:val="zh-CN" w:eastAsia="zh-CN" w:bidi="zh-CN"/>
      </w:rPr>
    </w:lvl>
    <w:lvl w:ilvl="2" w:tentative="0">
      <w:start w:val="1"/>
      <w:numFmt w:val="decimal"/>
      <w:lvlText w:val="（%3）"/>
      <w:lvlJc w:val="left"/>
      <w:pPr>
        <w:ind w:left="1921" w:hanging="601"/>
        <w:jc w:val="left"/>
      </w:pPr>
      <w:rPr>
        <w:rFonts w:hint="default" w:ascii="宋体" w:hAnsi="宋体" w:eastAsia="宋体" w:cs="宋体"/>
        <w:spacing w:val="-60"/>
        <w:w w:val="100"/>
        <w:sz w:val="22"/>
        <w:szCs w:val="22"/>
        <w:lang w:val="zh-CN" w:eastAsia="zh-CN" w:bidi="zh-CN"/>
      </w:rPr>
    </w:lvl>
    <w:lvl w:ilvl="3" w:tentative="0">
      <w:start w:val="0"/>
      <w:numFmt w:val="bullet"/>
      <w:lvlText w:val="•"/>
      <w:lvlJc w:val="left"/>
      <w:pPr>
        <w:ind w:left="3043" w:hanging="601"/>
      </w:pPr>
      <w:rPr>
        <w:rFonts w:hint="default"/>
        <w:lang w:val="zh-CN" w:eastAsia="zh-CN" w:bidi="zh-CN"/>
      </w:rPr>
    </w:lvl>
    <w:lvl w:ilvl="4" w:tentative="0">
      <w:start w:val="0"/>
      <w:numFmt w:val="bullet"/>
      <w:lvlText w:val="•"/>
      <w:lvlJc w:val="left"/>
      <w:pPr>
        <w:ind w:left="4167" w:hanging="601"/>
      </w:pPr>
      <w:rPr>
        <w:rFonts w:hint="default"/>
        <w:lang w:val="zh-CN" w:eastAsia="zh-CN" w:bidi="zh-CN"/>
      </w:rPr>
    </w:lvl>
    <w:lvl w:ilvl="5" w:tentative="0">
      <w:start w:val="0"/>
      <w:numFmt w:val="bullet"/>
      <w:lvlText w:val="•"/>
      <w:lvlJc w:val="left"/>
      <w:pPr>
        <w:ind w:left="5290" w:hanging="601"/>
      </w:pPr>
      <w:rPr>
        <w:rFonts w:hint="default"/>
        <w:lang w:val="zh-CN" w:eastAsia="zh-CN" w:bidi="zh-CN"/>
      </w:rPr>
    </w:lvl>
    <w:lvl w:ilvl="6" w:tentative="0">
      <w:start w:val="0"/>
      <w:numFmt w:val="bullet"/>
      <w:lvlText w:val="•"/>
      <w:lvlJc w:val="left"/>
      <w:pPr>
        <w:ind w:left="6414" w:hanging="601"/>
      </w:pPr>
      <w:rPr>
        <w:rFonts w:hint="default"/>
        <w:lang w:val="zh-CN" w:eastAsia="zh-CN" w:bidi="zh-CN"/>
      </w:rPr>
    </w:lvl>
    <w:lvl w:ilvl="7" w:tentative="0">
      <w:start w:val="0"/>
      <w:numFmt w:val="bullet"/>
      <w:lvlText w:val="•"/>
      <w:lvlJc w:val="left"/>
      <w:pPr>
        <w:ind w:left="7538" w:hanging="601"/>
      </w:pPr>
      <w:rPr>
        <w:rFonts w:hint="default"/>
        <w:lang w:val="zh-CN" w:eastAsia="zh-CN" w:bidi="zh-CN"/>
      </w:rPr>
    </w:lvl>
    <w:lvl w:ilvl="8" w:tentative="0">
      <w:start w:val="0"/>
      <w:numFmt w:val="bullet"/>
      <w:lvlText w:val="•"/>
      <w:lvlJc w:val="left"/>
      <w:pPr>
        <w:ind w:left="8661" w:hanging="601"/>
      </w:pPr>
      <w:rPr>
        <w:rFonts w:hint="default"/>
        <w:lang w:val="zh-CN" w:eastAsia="zh-CN" w:bidi="zh-CN"/>
      </w:rPr>
    </w:lvl>
  </w:abstractNum>
  <w:abstractNum w:abstractNumId="18">
    <w:nsid w:val="0E640482"/>
    <w:multiLevelType w:val="multilevel"/>
    <w:tmpl w:val="0E640482"/>
    <w:lvl w:ilvl="0" w:tentative="0">
      <w:start w:val="3"/>
      <w:numFmt w:val="decimal"/>
      <w:lvlText w:val="%1"/>
      <w:lvlJc w:val="left"/>
      <w:pPr>
        <w:ind w:left="860" w:hanging="600"/>
        <w:jc w:val="left"/>
      </w:pPr>
      <w:rPr>
        <w:rFonts w:hint="default"/>
        <w:lang w:val="zh-CN" w:eastAsia="zh-CN" w:bidi="zh-CN"/>
      </w:rPr>
    </w:lvl>
    <w:lvl w:ilvl="1" w:tentative="0">
      <w:start w:val="5"/>
      <w:numFmt w:val="decimal"/>
      <w:lvlText w:val="%1.%2"/>
      <w:lvlJc w:val="left"/>
      <w:pPr>
        <w:ind w:left="860" w:hanging="600"/>
        <w:jc w:val="left"/>
      </w:pPr>
      <w:rPr>
        <w:rFonts w:hint="default"/>
        <w:lang w:val="zh-CN" w:eastAsia="zh-CN" w:bidi="zh-CN"/>
      </w:rPr>
    </w:lvl>
    <w:lvl w:ilvl="2" w:tentative="0">
      <w:start w:val="1"/>
      <w:numFmt w:val="decimal"/>
      <w:lvlText w:val="%1.%2.%3"/>
      <w:lvlJc w:val="left"/>
      <w:pPr>
        <w:ind w:left="860" w:hanging="60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1.%2.%3.%4"/>
      <w:lvlJc w:val="left"/>
      <w:pPr>
        <w:ind w:left="980" w:hanging="720"/>
        <w:jc w:val="left"/>
      </w:pPr>
      <w:rPr>
        <w:rFonts w:hint="default" w:ascii="Times New Roman" w:hAnsi="Times New Roman" w:eastAsia="Times New Roman" w:cs="Times New Roman"/>
        <w:b/>
        <w:bCs/>
        <w:w w:val="99"/>
        <w:sz w:val="24"/>
        <w:szCs w:val="24"/>
        <w:lang w:val="zh-CN" w:eastAsia="zh-CN" w:bidi="zh-CN"/>
      </w:rPr>
    </w:lvl>
    <w:lvl w:ilvl="4" w:tentative="0">
      <w:start w:val="0"/>
      <w:numFmt w:val="bullet"/>
      <w:lvlText w:val="•"/>
      <w:lvlJc w:val="left"/>
      <w:pPr>
        <w:ind w:left="3863" w:hanging="720"/>
      </w:pPr>
      <w:rPr>
        <w:rFonts w:hint="default"/>
        <w:lang w:val="zh-CN" w:eastAsia="zh-CN" w:bidi="zh-CN"/>
      </w:rPr>
    </w:lvl>
    <w:lvl w:ilvl="5" w:tentative="0">
      <w:start w:val="0"/>
      <w:numFmt w:val="bullet"/>
      <w:lvlText w:val="•"/>
      <w:lvlJc w:val="left"/>
      <w:pPr>
        <w:ind w:left="4824" w:hanging="720"/>
      </w:pPr>
      <w:rPr>
        <w:rFonts w:hint="default"/>
        <w:lang w:val="zh-CN" w:eastAsia="zh-CN" w:bidi="zh-CN"/>
      </w:rPr>
    </w:lvl>
    <w:lvl w:ilvl="6" w:tentative="0">
      <w:start w:val="0"/>
      <w:numFmt w:val="bullet"/>
      <w:lvlText w:val="•"/>
      <w:lvlJc w:val="left"/>
      <w:pPr>
        <w:ind w:left="5786" w:hanging="720"/>
      </w:pPr>
      <w:rPr>
        <w:rFonts w:hint="default"/>
        <w:lang w:val="zh-CN" w:eastAsia="zh-CN" w:bidi="zh-CN"/>
      </w:rPr>
    </w:lvl>
    <w:lvl w:ilvl="7" w:tentative="0">
      <w:start w:val="0"/>
      <w:numFmt w:val="bullet"/>
      <w:lvlText w:val="•"/>
      <w:lvlJc w:val="left"/>
      <w:pPr>
        <w:ind w:left="6747" w:hanging="720"/>
      </w:pPr>
      <w:rPr>
        <w:rFonts w:hint="default"/>
        <w:lang w:val="zh-CN" w:eastAsia="zh-CN" w:bidi="zh-CN"/>
      </w:rPr>
    </w:lvl>
    <w:lvl w:ilvl="8" w:tentative="0">
      <w:start w:val="0"/>
      <w:numFmt w:val="bullet"/>
      <w:lvlText w:val="•"/>
      <w:lvlJc w:val="left"/>
      <w:pPr>
        <w:ind w:left="7708" w:hanging="720"/>
      </w:pPr>
      <w:rPr>
        <w:rFonts w:hint="default"/>
        <w:lang w:val="zh-CN" w:eastAsia="zh-CN" w:bidi="zh-CN"/>
      </w:rPr>
    </w:lvl>
  </w:abstractNum>
  <w:abstractNum w:abstractNumId="19">
    <w:nsid w:val="1ACDE60F"/>
    <w:multiLevelType w:val="multilevel"/>
    <w:tmpl w:val="1ACDE60F"/>
    <w:lvl w:ilvl="0" w:tentative="0">
      <w:start w:val="1"/>
      <w:numFmt w:val="decimal"/>
      <w:lvlText w:val="（%1）"/>
      <w:lvlJc w:val="left"/>
      <w:pPr>
        <w:ind w:left="1341"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69" w:hanging="601"/>
      </w:pPr>
      <w:rPr>
        <w:rFonts w:hint="default"/>
        <w:lang w:val="zh-CN" w:eastAsia="zh-CN" w:bidi="zh-CN"/>
      </w:rPr>
    </w:lvl>
    <w:lvl w:ilvl="2" w:tentative="0">
      <w:start w:val="0"/>
      <w:numFmt w:val="bullet"/>
      <w:lvlText w:val="•"/>
      <w:lvlJc w:val="left"/>
      <w:pPr>
        <w:ind w:left="2998" w:hanging="601"/>
      </w:pPr>
      <w:rPr>
        <w:rFonts w:hint="default"/>
        <w:lang w:val="zh-CN" w:eastAsia="zh-CN" w:bidi="zh-CN"/>
      </w:rPr>
    </w:lvl>
    <w:lvl w:ilvl="3" w:tentative="0">
      <w:start w:val="0"/>
      <w:numFmt w:val="bullet"/>
      <w:lvlText w:val="•"/>
      <w:lvlJc w:val="left"/>
      <w:pPr>
        <w:ind w:left="3827" w:hanging="601"/>
      </w:pPr>
      <w:rPr>
        <w:rFonts w:hint="default"/>
        <w:lang w:val="zh-CN" w:eastAsia="zh-CN" w:bidi="zh-CN"/>
      </w:rPr>
    </w:lvl>
    <w:lvl w:ilvl="4" w:tentative="0">
      <w:start w:val="0"/>
      <w:numFmt w:val="bullet"/>
      <w:lvlText w:val="•"/>
      <w:lvlJc w:val="left"/>
      <w:pPr>
        <w:ind w:left="4656" w:hanging="601"/>
      </w:pPr>
      <w:rPr>
        <w:rFonts w:hint="default"/>
        <w:lang w:val="zh-CN" w:eastAsia="zh-CN" w:bidi="zh-CN"/>
      </w:rPr>
    </w:lvl>
    <w:lvl w:ilvl="5" w:tentative="0">
      <w:start w:val="0"/>
      <w:numFmt w:val="bullet"/>
      <w:lvlText w:val="•"/>
      <w:lvlJc w:val="left"/>
      <w:pPr>
        <w:ind w:left="5485" w:hanging="601"/>
      </w:pPr>
      <w:rPr>
        <w:rFonts w:hint="default"/>
        <w:lang w:val="zh-CN" w:eastAsia="zh-CN" w:bidi="zh-CN"/>
      </w:rPr>
    </w:lvl>
    <w:lvl w:ilvl="6" w:tentative="0">
      <w:start w:val="0"/>
      <w:numFmt w:val="bullet"/>
      <w:lvlText w:val="•"/>
      <w:lvlJc w:val="left"/>
      <w:pPr>
        <w:ind w:left="6314" w:hanging="601"/>
      </w:pPr>
      <w:rPr>
        <w:rFonts w:hint="default"/>
        <w:lang w:val="zh-CN" w:eastAsia="zh-CN" w:bidi="zh-CN"/>
      </w:rPr>
    </w:lvl>
    <w:lvl w:ilvl="7" w:tentative="0">
      <w:start w:val="0"/>
      <w:numFmt w:val="bullet"/>
      <w:lvlText w:val="•"/>
      <w:lvlJc w:val="left"/>
      <w:pPr>
        <w:ind w:left="7143" w:hanging="601"/>
      </w:pPr>
      <w:rPr>
        <w:rFonts w:hint="default"/>
        <w:lang w:val="zh-CN" w:eastAsia="zh-CN" w:bidi="zh-CN"/>
      </w:rPr>
    </w:lvl>
    <w:lvl w:ilvl="8" w:tentative="0">
      <w:start w:val="0"/>
      <w:numFmt w:val="bullet"/>
      <w:lvlText w:val="•"/>
      <w:lvlJc w:val="left"/>
      <w:pPr>
        <w:ind w:left="7972" w:hanging="601"/>
      </w:pPr>
      <w:rPr>
        <w:rFonts w:hint="default"/>
        <w:lang w:val="zh-CN" w:eastAsia="zh-CN" w:bidi="zh-CN"/>
      </w:rPr>
    </w:lvl>
  </w:abstractNum>
  <w:abstractNum w:abstractNumId="20">
    <w:nsid w:val="243FCF68"/>
    <w:multiLevelType w:val="multilevel"/>
    <w:tmpl w:val="243FCF68"/>
    <w:lvl w:ilvl="0" w:tentative="0">
      <w:start w:val="6"/>
      <w:numFmt w:val="decimal"/>
      <w:lvlText w:val="%1"/>
      <w:lvlJc w:val="left"/>
      <w:pPr>
        <w:ind w:left="800" w:hanging="540"/>
        <w:jc w:val="left"/>
      </w:pPr>
      <w:rPr>
        <w:rFonts w:hint="default"/>
        <w:lang w:val="zh-CN" w:eastAsia="zh-CN" w:bidi="zh-CN"/>
      </w:rPr>
    </w:lvl>
    <w:lvl w:ilvl="1" w:tentative="0">
      <w:start w:val="5"/>
      <w:numFmt w:val="decimal"/>
      <w:lvlText w:val="%1.%2"/>
      <w:lvlJc w:val="left"/>
      <w:pPr>
        <w:ind w:left="800" w:hanging="540"/>
        <w:jc w:val="left"/>
      </w:pPr>
      <w:rPr>
        <w:rFonts w:hint="default"/>
        <w:lang w:val="zh-CN" w:eastAsia="zh-CN" w:bidi="zh-CN"/>
      </w:rPr>
    </w:lvl>
    <w:lvl w:ilvl="2" w:tentative="0">
      <w:start w:val="1"/>
      <w:numFmt w:val="decimal"/>
      <w:lvlText w:val="%1.%2.%3"/>
      <w:lvlJc w:val="left"/>
      <w:pPr>
        <w:ind w:left="800" w:hanging="540"/>
        <w:jc w:val="left"/>
      </w:pPr>
      <w:rPr>
        <w:rFonts w:hint="default" w:ascii="Times New Roman" w:hAnsi="Times New Roman" w:eastAsia="Times New Roman" w:cs="Times New Roman"/>
        <w:b/>
        <w:bCs/>
        <w:w w:val="99"/>
        <w:sz w:val="24"/>
        <w:szCs w:val="24"/>
        <w:lang w:val="zh-CN" w:eastAsia="zh-CN" w:bidi="zh-CN"/>
      </w:rPr>
    </w:lvl>
    <w:lvl w:ilvl="3" w:tentative="0">
      <w:start w:val="0"/>
      <w:numFmt w:val="bullet"/>
      <w:lvlText w:val="•"/>
      <w:lvlJc w:val="left"/>
      <w:pPr>
        <w:ind w:left="3449" w:hanging="540"/>
      </w:pPr>
      <w:rPr>
        <w:rFonts w:hint="default"/>
        <w:lang w:val="zh-CN" w:eastAsia="zh-CN" w:bidi="zh-CN"/>
      </w:rPr>
    </w:lvl>
    <w:lvl w:ilvl="4" w:tentative="0">
      <w:start w:val="0"/>
      <w:numFmt w:val="bullet"/>
      <w:lvlText w:val="•"/>
      <w:lvlJc w:val="left"/>
      <w:pPr>
        <w:ind w:left="4332" w:hanging="540"/>
      </w:pPr>
      <w:rPr>
        <w:rFonts w:hint="default"/>
        <w:lang w:val="zh-CN" w:eastAsia="zh-CN" w:bidi="zh-CN"/>
      </w:rPr>
    </w:lvl>
    <w:lvl w:ilvl="5" w:tentative="0">
      <w:start w:val="0"/>
      <w:numFmt w:val="bullet"/>
      <w:lvlText w:val="•"/>
      <w:lvlJc w:val="left"/>
      <w:pPr>
        <w:ind w:left="5215" w:hanging="540"/>
      </w:pPr>
      <w:rPr>
        <w:rFonts w:hint="default"/>
        <w:lang w:val="zh-CN" w:eastAsia="zh-CN" w:bidi="zh-CN"/>
      </w:rPr>
    </w:lvl>
    <w:lvl w:ilvl="6" w:tentative="0">
      <w:start w:val="0"/>
      <w:numFmt w:val="bullet"/>
      <w:lvlText w:val="•"/>
      <w:lvlJc w:val="left"/>
      <w:pPr>
        <w:ind w:left="6098" w:hanging="540"/>
      </w:pPr>
      <w:rPr>
        <w:rFonts w:hint="default"/>
        <w:lang w:val="zh-CN" w:eastAsia="zh-CN" w:bidi="zh-CN"/>
      </w:rPr>
    </w:lvl>
    <w:lvl w:ilvl="7" w:tentative="0">
      <w:start w:val="0"/>
      <w:numFmt w:val="bullet"/>
      <w:lvlText w:val="•"/>
      <w:lvlJc w:val="left"/>
      <w:pPr>
        <w:ind w:left="6981" w:hanging="540"/>
      </w:pPr>
      <w:rPr>
        <w:rFonts w:hint="default"/>
        <w:lang w:val="zh-CN" w:eastAsia="zh-CN" w:bidi="zh-CN"/>
      </w:rPr>
    </w:lvl>
    <w:lvl w:ilvl="8" w:tentative="0">
      <w:start w:val="0"/>
      <w:numFmt w:val="bullet"/>
      <w:lvlText w:val="•"/>
      <w:lvlJc w:val="left"/>
      <w:pPr>
        <w:ind w:left="7864" w:hanging="540"/>
      </w:pPr>
      <w:rPr>
        <w:rFonts w:hint="default"/>
        <w:lang w:val="zh-CN" w:eastAsia="zh-CN" w:bidi="zh-CN"/>
      </w:rPr>
    </w:lvl>
  </w:abstractNum>
  <w:abstractNum w:abstractNumId="21">
    <w:nsid w:val="2470EC97"/>
    <w:multiLevelType w:val="multilevel"/>
    <w:tmpl w:val="2470EC97"/>
    <w:lvl w:ilvl="0" w:tentative="0">
      <w:start w:val="12"/>
      <w:numFmt w:val="lowerLetter"/>
      <w:lvlText w:val="%1"/>
      <w:lvlJc w:val="left"/>
      <w:pPr>
        <w:ind w:left="1384" w:hanging="545"/>
        <w:jc w:val="left"/>
      </w:pPr>
      <w:rPr>
        <w:rFonts w:hint="default"/>
        <w:lang w:val="zh-CN" w:eastAsia="zh-CN" w:bidi="zh-CN"/>
      </w:rPr>
    </w:lvl>
    <w:lvl w:ilvl="1" w:tentative="0">
      <w:start w:val="6"/>
      <w:numFmt w:val="decimal"/>
      <w:lvlText w:val="%1.%2"/>
      <w:lvlJc w:val="left"/>
      <w:pPr>
        <w:ind w:left="1384" w:hanging="545"/>
        <w:jc w:val="left"/>
      </w:pPr>
      <w:rPr>
        <w:rFonts w:hint="default"/>
        <w:lang w:val="zh-CN" w:eastAsia="zh-CN" w:bidi="zh-CN"/>
      </w:rPr>
    </w:lvl>
    <w:lvl w:ilvl="2" w:tentative="0">
      <w:start w:val="4"/>
      <w:numFmt w:val="decimal"/>
      <w:lvlText w:val="%1.%2.%3"/>
      <w:lvlJc w:val="left"/>
      <w:pPr>
        <w:ind w:left="1384" w:hanging="545"/>
        <w:jc w:val="left"/>
      </w:pPr>
      <w:rPr>
        <w:rFonts w:hint="default" w:ascii="Times New Roman" w:hAnsi="Times New Roman" w:eastAsia="Times New Roman" w:cs="Times New Roman"/>
        <w:b/>
        <w:bCs/>
        <w:spacing w:val="-3"/>
        <w:w w:val="99"/>
        <w:sz w:val="24"/>
        <w:szCs w:val="24"/>
        <w:lang w:val="zh-CN" w:eastAsia="zh-CN" w:bidi="zh-CN"/>
      </w:rPr>
    </w:lvl>
    <w:lvl w:ilvl="3" w:tentative="0">
      <w:start w:val="1"/>
      <w:numFmt w:val="decimal"/>
      <w:lvlText w:val="（%4）"/>
      <w:lvlJc w:val="left"/>
      <w:pPr>
        <w:ind w:left="1921" w:hanging="601"/>
        <w:jc w:val="left"/>
      </w:pPr>
      <w:rPr>
        <w:rFonts w:hint="default" w:ascii="宋体" w:hAnsi="宋体" w:eastAsia="宋体" w:cs="宋体"/>
        <w:spacing w:val="-60"/>
        <w:w w:val="100"/>
        <w:sz w:val="22"/>
        <w:szCs w:val="22"/>
        <w:lang w:val="zh-CN" w:eastAsia="zh-CN" w:bidi="zh-CN"/>
      </w:rPr>
    </w:lvl>
    <w:lvl w:ilvl="4" w:tentative="0">
      <w:start w:val="0"/>
      <w:numFmt w:val="bullet"/>
      <w:lvlText w:val="•"/>
      <w:lvlJc w:val="left"/>
      <w:pPr>
        <w:ind w:left="4916" w:hanging="601"/>
      </w:pPr>
      <w:rPr>
        <w:rFonts w:hint="default"/>
        <w:lang w:val="zh-CN" w:eastAsia="zh-CN" w:bidi="zh-CN"/>
      </w:rPr>
    </w:lvl>
    <w:lvl w:ilvl="5" w:tentative="0">
      <w:start w:val="0"/>
      <w:numFmt w:val="bullet"/>
      <w:lvlText w:val="•"/>
      <w:lvlJc w:val="left"/>
      <w:pPr>
        <w:ind w:left="5915" w:hanging="601"/>
      </w:pPr>
      <w:rPr>
        <w:rFonts w:hint="default"/>
        <w:lang w:val="zh-CN" w:eastAsia="zh-CN" w:bidi="zh-CN"/>
      </w:rPr>
    </w:lvl>
    <w:lvl w:ilvl="6" w:tentative="0">
      <w:start w:val="0"/>
      <w:numFmt w:val="bullet"/>
      <w:lvlText w:val="•"/>
      <w:lvlJc w:val="left"/>
      <w:pPr>
        <w:ind w:left="6913" w:hanging="601"/>
      </w:pPr>
      <w:rPr>
        <w:rFonts w:hint="default"/>
        <w:lang w:val="zh-CN" w:eastAsia="zh-CN" w:bidi="zh-CN"/>
      </w:rPr>
    </w:lvl>
    <w:lvl w:ilvl="7" w:tentative="0">
      <w:start w:val="0"/>
      <w:numFmt w:val="bullet"/>
      <w:lvlText w:val="•"/>
      <w:lvlJc w:val="left"/>
      <w:pPr>
        <w:ind w:left="7912" w:hanging="601"/>
      </w:pPr>
      <w:rPr>
        <w:rFonts w:hint="default"/>
        <w:lang w:val="zh-CN" w:eastAsia="zh-CN" w:bidi="zh-CN"/>
      </w:rPr>
    </w:lvl>
    <w:lvl w:ilvl="8" w:tentative="0">
      <w:start w:val="0"/>
      <w:numFmt w:val="bullet"/>
      <w:lvlText w:val="•"/>
      <w:lvlJc w:val="left"/>
      <w:pPr>
        <w:ind w:left="8911" w:hanging="601"/>
      </w:pPr>
      <w:rPr>
        <w:rFonts w:hint="default"/>
        <w:lang w:val="zh-CN" w:eastAsia="zh-CN" w:bidi="zh-CN"/>
      </w:rPr>
    </w:lvl>
  </w:abstractNum>
  <w:abstractNum w:abstractNumId="22">
    <w:nsid w:val="2A8F537B"/>
    <w:multiLevelType w:val="multilevel"/>
    <w:tmpl w:val="2A8F537B"/>
    <w:lvl w:ilvl="0" w:tentative="0">
      <w:start w:val="1"/>
      <w:numFmt w:val="decimal"/>
      <w:lvlText w:val="（%1）"/>
      <w:lvlJc w:val="left"/>
      <w:pPr>
        <w:ind w:left="1921"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818" w:hanging="601"/>
      </w:pPr>
      <w:rPr>
        <w:rFonts w:hint="default"/>
        <w:lang w:val="zh-CN" w:eastAsia="zh-CN" w:bidi="zh-CN"/>
      </w:rPr>
    </w:lvl>
    <w:lvl w:ilvl="2" w:tentative="0">
      <w:start w:val="0"/>
      <w:numFmt w:val="bullet"/>
      <w:lvlText w:val="•"/>
      <w:lvlJc w:val="left"/>
      <w:pPr>
        <w:ind w:left="3717" w:hanging="601"/>
      </w:pPr>
      <w:rPr>
        <w:rFonts w:hint="default"/>
        <w:lang w:val="zh-CN" w:eastAsia="zh-CN" w:bidi="zh-CN"/>
      </w:rPr>
    </w:lvl>
    <w:lvl w:ilvl="3" w:tentative="0">
      <w:start w:val="0"/>
      <w:numFmt w:val="bullet"/>
      <w:lvlText w:val="•"/>
      <w:lvlJc w:val="left"/>
      <w:pPr>
        <w:ind w:left="4616" w:hanging="601"/>
      </w:pPr>
      <w:rPr>
        <w:rFonts w:hint="default"/>
        <w:lang w:val="zh-CN" w:eastAsia="zh-CN" w:bidi="zh-CN"/>
      </w:rPr>
    </w:lvl>
    <w:lvl w:ilvl="4" w:tentative="0">
      <w:start w:val="0"/>
      <w:numFmt w:val="bullet"/>
      <w:lvlText w:val="•"/>
      <w:lvlJc w:val="left"/>
      <w:pPr>
        <w:ind w:left="5515" w:hanging="601"/>
      </w:pPr>
      <w:rPr>
        <w:rFonts w:hint="default"/>
        <w:lang w:val="zh-CN" w:eastAsia="zh-CN" w:bidi="zh-CN"/>
      </w:rPr>
    </w:lvl>
    <w:lvl w:ilvl="5" w:tentative="0">
      <w:start w:val="0"/>
      <w:numFmt w:val="bullet"/>
      <w:lvlText w:val="•"/>
      <w:lvlJc w:val="left"/>
      <w:pPr>
        <w:ind w:left="6414" w:hanging="601"/>
      </w:pPr>
      <w:rPr>
        <w:rFonts w:hint="default"/>
        <w:lang w:val="zh-CN" w:eastAsia="zh-CN" w:bidi="zh-CN"/>
      </w:rPr>
    </w:lvl>
    <w:lvl w:ilvl="6" w:tentative="0">
      <w:start w:val="0"/>
      <w:numFmt w:val="bullet"/>
      <w:lvlText w:val="•"/>
      <w:lvlJc w:val="left"/>
      <w:pPr>
        <w:ind w:left="7313" w:hanging="601"/>
      </w:pPr>
      <w:rPr>
        <w:rFonts w:hint="default"/>
        <w:lang w:val="zh-CN" w:eastAsia="zh-CN" w:bidi="zh-CN"/>
      </w:rPr>
    </w:lvl>
    <w:lvl w:ilvl="7" w:tentative="0">
      <w:start w:val="0"/>
      <w:numFmt w:val="bullet"/>
      <w:lvlText w:val="•"/>
      <w:lvlJc w:val="left"/>
      <w:pPr>
        <w:ind w:left="8212" w:hanging="601"/>
      </w:pPr>
      <w:rPr>
        <w:rFonts w:hint="default"/>
        <w:lang w:val="zh-CN" w:eastAsia="zh-CN" w:bidi="zh-CN"/>
      </w:rPr>
    </w:lvl>
    <w:lvl w:ilvl="8" w:tentative="0">
      <w:start w:val="0"/>
      <w:numFmt w:val="bullet"/>
      <w:lvlText w:val="•"/>
      <w:lvlJc w:val="left"/>
      <w:pPr>
        <w:ind w:left="9111" w:hanging="601"/>
      </w:pPr>
      <w:rPr>
        <w:rFonts w:hint="default"/>
        <w:lang w:val="zh-CN" w:eastAsia="zh-CN" w:bidi="zh-CN"/>
      </w:rPr>
    </w:lvl>
  </w:abstractNum>
  <w:abstractNum w:abstractNumId="23">
    <w:nsid w:val="30FC5B15"/>
    <w:multiLevelType w:val="multilevel"/>
    <w:tmpl w:val="30FC5B15"/>
    <w:lvl w:ilvl="0" w:tentative="0">
      <w:start w:val="7"/>
      <w:numFmt w:val="decimal"/>
      <w:lvlText w:val="%1"/>
      <w:lvlJc w:val="left"/>
      <w:pPr>
        <w:ind w:left="860" w:hanging="600"/>
        <w:jc w:val="left"/>
      </w:pPr>
      <w:rPr>
        <w:rFonts w:hint="default"/>
        <w:lang w:val="zh-CN" w:eastAsia="zh-CN" w:bidi="zh-CN"/>
      </w:rPr>
    </w:lvl>
    <w:lvl w:ilvl="1" w:tentative="0">
      <w:start w:val="1"/>
      <w:numFmt w:val="decimal"/>
      <w:lvlText w:val="%1.%2"/>
      <w:lvlJc w:val="left"/>
      <w:pPr>
        <w:ind w:left="860" w:hanging="600"/>
        <w:jc w:val="left"/>
      </w:pPr>
      <w:rPr>
        <w:rFonts w:hint="default"/>
        <w:lang w:val="zh-CN" w:eastAsia="zh-CN" w:bidi="zh-CN"/>
      </w:rPr>
    </w:lvl>
    <w:lvl w:ilvl="2" w:tentative="0">
      <w:start w:val="1"/>
      <w:numFmt w:val="decimal"/>
      <w:lvlText w:val="%1.%2.%3"/>
      <w:lvlJc w:val="left"/>
      <w:pPr>
        <w:ind w:left="860" w:hanging="60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4）"/>
      <w:lvlJc w:val="left"/>
      <w:pPr>
        <w:ind w:left="1341" w:hanging="601"/>
        <w:jc w:val="left"/>
      </w:pPr>
      <w:rPr>
        <w:rFonts w:hint="default" w:ascii="宋体" w:hAnsi="宋体" w:eastAsia="宋体" w:cs="宋体"/>
        <w:w w:val="100"/>
        <w:sz w:val="22"/>
        <w:szCs w:val="22"/>
        <w:lang w:val="zh-CN" w:eastAsia="zh-CN" w:bidi="zh-CN"/>
      </w:rPr>
    </w:lvl>
    <w:lvl w:ilvl="4" w:tentative="0">
      <w:start w:val="0"/>
      <w:numFmt w:val="bullet"/>
      <w:lvlText w:val="•"/>
      <w:lvlJc w:val="left"/>
      <w:pPr>
        <w:ind w:left="4103" w:hanging="601"/>
      </w:pPr>
      <w:rPr>
        <w:rFonts w:hint="default"/>
        <w:lang w:val="zh-CN" w:eastAsia="zh-CN" w:bidi="zh-CN"/>
      </w:rPr>
    </w:lvl>
    <w:lvl w:ilvl="5" w:tentative="0">
      <w:start w:val="0"/>
      <w:numFmt w:val="bullet"/>
      <w:lvlText w:val="•"/>
      <w:lvlJc w:val="left"/>
      <w:pPr>
        <w:ind w:left="5024" w:hanging="601"/>
      </w:pPr>
      <w:rPr>
        <w:rFonts w:hint="default"/>
        <w:lang w:val="zh-CN" w:eastAsia="zh-CN" w:bidi="zh-CN"/>
      </w:rPr>
    </w:lvl>
    <w:lvl w:ilvl="6" w:tentative="0">
      <w:start w:val="0"/>
      <w:numFmt w:val="bullet"/>
      <w:lvlText w:val="•"/>
      <w:lvlJc w:val="left"/>
      <w:pPr>
        <w:ind w:left="5946" w:hanging="601"/>
      </w:pPr>
      <w:rPr>
        <w:rFonts w:hint="default"/>
        <w:lang w:val="zh-CN" w:eastAsia="zh-CN" w:bidi="zh-CN"/>
      </w:rPr>
    </w:lvl>
    <w:lvl w:ilvl="7" w:tentative="0">
      <w:start w:val="0"/>
      <w:numFmt w:val="bullet"/>
      <w:lvlText w:val="•"/>
      <w:lvlJc w:val="left"/>
      <w:pPr>
        <w:ind w:left="6867" w:hanging="601"/>
      </w:pPr>
      <w:rPr>
        <w:rFonts w:hint="default"/>
        <w:lang w:val="zh-CN" w:eastAsia="zh-CN" w:bidi="zh-CN"/>
      </w:rPr>
    </w:lvl>
    <w:lvl w:ilvl="8" w:tentative="0">
      <w:start w:val="0"/>
      <w:numFmt w:val="bullet"/>
      <w:lvlText w:val="•"/>
      <w:lvlJc w:val="left"/>
      <w:pPr>
        <w:ind w:left="7788" w:hanging="601"/>
      </w:pPr>
      <w:rPr>
        <w:rFonts w:hint="default"/>
        <w:lang w:val="zh-CN" w:eastAsia="zh-CN" w:bidi="zh-CN"/>
      </w:rPr>
    </w:lvl>
  </w:abstractNum>
  <w:abstractNum w:abstractNumId="24">
    <w:nsid w:val="39A0D9AC"/>
    <w:multiLevelType w:val="multilevel"/>
    <w:tmpl w:val="39A0D9AC"/>
    <w:lvl w:ilvl="0" w:tentative="0">
      <w:start w:val="6"/>
      <w:numFmt w:val="decimal"/>
      <w:lvlText w:val="%1"/>
      <w:lvlJc w:val="left"/>
      <w:pPr>
        <w:ind w:left="800" w:hanging="540"/>
        <w:jc w:val="left"/>
      </w:pPr>
      <w:rPr>
        <w:rFonts w:hint="default"/>
        <w:lang w:val="zh-CN" w:eastAsia="zh-CN" w:bidi="zh-CN"/>
      </w:rPr>
    </w:lvl>
    <w:lvl w:ilvl="1" w:tentative="0">
      <w:start w:val="2"/>
      <w:numFmt w:val="decimal"/>
      <w:lvlText w:val="%1.%2"/>
      <w:lvlJc w:val="left"/>
      <w:pPr>
        <w:ind w:left="800" w:hanging="540"/>
        <w:jc w:val="left"/>
      </w:pPr>
      <w:rPr>
        <w:rFonts w:hint="default"/>
        <w:lang w:val="zh-CN" w:eastAsia="zh-CN" w:bidi="zh-CN"/>
      </w:rPr>
    </w:lvl>
    <w:lvl w:ilvl="2" w:tentative="0">
      <w:start w:val="1"/>
      <w:numFmt w:val="decimal"/>
      <w:lvlText w:val="%1.%2.%3"/>
      <w:lvlJc w:val="left"/>
      <w:pPr>
        <w:ind w:left="800" w:hanging="540"/>
        <w:jc w:val="left"/>
      </w:pPr>
      <w:rPr>
        <w:rFonts w:hint="default" w:ascii="Times New Roman" w:hAnsi="Times New Roman" w:eastAsia="Times New Roman" w:cs="Times New Roman"/>
        <w:b/>
        <w:bCs/>
        <w:w w:val="99"/>
        <w:sz w:val="24"/>
        <w:szCs w:val="24"/>
        <w:lang w:val="zh-CN" w:eastAsia="zh-CN" w:bidi="zh-CN"/>
      </w:rPr>
    </w:lvl>
    <w:lvl w:ilvl="3" w:tentative="0">
      <w:start w:val="0"/>
      <w:numFmt w:val="bullet"/>
      <w:lvlText w:val="•"/>
      <w:lvlJc w:val="left"/>
      <w:pPr>
        <w:ind w:left="3449" w:hanging="540"/>
      </w:pPr>
      <w:rPr>
        <w:rFonts w:hint="default"/>
        <w:lang w:val="zh-CN" w:eastAsia="zh-CN" w:bidi="zh-CN"/>
      </w:rPr>
    </w:lvl>
    <w:lvl w:ilvl="4" w:tentative="0">
      <w:start w:val="0"/>
      <w:numFmt w:val="bullet"/>
      <w:lvlText w:val="•"/>
      <w:lvlJc w:val="left"/>
      <w:pPr>
        <w:ind w:left="4332" w:hanging="540"/>
      </w:pPr>
      <w:rPr>
        <w:rFonts w:hint="default"/>
        <w:lang w:val="zh-CN" w:eastAsia="zh-CN" w:bidi="zh-CN"/>
      </w:rPr>
    </w:lvl>
    <w:lvl w:ilvl="5" w:tentative="0">
      <w:start w:val="0"/>
      <w:numFmt w:val="bullet"/>
      <w:lvlText w:val="•"/>
      <w:lvlJc w:val="left"/>
      <w:pPr>
        <w:ind w:left="5215" w:hanging="540"/>
      </w:pPr>
      <w:rPr>
        <w:rFonts w:hint="default"/>
        <w:lang w:val="zh-CN" w:eastAsia="zh-CN" w:bidi="zh-CN"/>
      </w:rPr>
    </w:lvl>
    <w:lvl w:ilvl="6" w:tentative="0">
      <w:start w:val="0"/>
      <w:numFmt w:val="bullet"/>
      <w:lvlText w:val="•"/>
      <w:lvlJc w:val="left"/>
      <w:pPr>
        <w:ind w:left="6098" w:hanging="540"/>
      </w:pPr>
      <w:rPr>
        <w:rFonts w:hint="default"/>
        <w:lang w:val="zh-CN" w:eastAsia="zh-CN" w:bidi="zh-CN"/>
      </w:rPr>
    </w:lvl>
    <w:lvl w:ilvl="7" w:tentative="0">
      <w:start w:val="0"/>
      <w:numFmt w:val="bullet"/>
      <w:lvlText w:val="•"/>
      <w:lvlJc w:val="left"/>
      <w:pPr>
        <w:ind w:left="6981" w:hanging="540"/>
      </w:pPr>
      <w:rPr>
        <w:rFonts w:hint="default"/>
        <w:lang w:val="zh-CN" w:eastAsia="zh-CN" w:bidi="zh-CN"/>
      </w:rPr>
    </w:lvl>
    <w:lvl w:ilvl="8" w:tentative="0">
      <w:start w:val="0"/>
      <w:numFmt w:val="bullet"/>
      <w:lvlText w:val="•"/>
      <w:lvlJc w:val="left"/>
      <w:pPr>
        <w:ind w:left="7864" w:hanging="540"/>
      </w:pPr>
      <w:rPr>
        <w:rFonts w:hint="default"/>
        <w:lang w:val="zh-CN" w:eastAsia="zh-CN" w:bidi="zh-CN"/>
      </w:rPr>
    </w:lvl>
  </w:abstractNum>
  <w:abstractNum w:abstractNumId="25">
    <w:nsid w:val="46A08BB8"/>
    <w:multiLevelType w:val="multilevel"/>
    <w:tmpl w:val="46A08BB8"/>
    <w:lvl w:ilvl="0" w:tentative="0">
      <w:start w:val="3"/>
      <w:numFmt w:val="decimal"/>
      <w:lvlText w:val="%1"/>
      <w:lvlJc w:val="left"/>
      <w:pPr>
        <w:ind w:left="860" w:hanging="540"/>
        <w:jc w:val="left"/>
      </w:pPr>
      <w:rPr>
        <w:rFonts w:hint="default"/>
        <w:lang w:val="zh-CN" w:eastAsia="zh-CN" w:bidi="zh-CN"/>
      </w:rPr>
    </w:lvl>
    <w:lvl w:ilvl="1" w:tentative="0">
      <w:start w:val="6"/>
      <w:numFmt w:val="decimal"/>
      <w:lvlText w:val="%1.%2"/>
      <w:lvlJc w:val="left"/>
      <w:pPr>
        <w:ind w:left="860" w:hanging="540"/>
        <w:jc w:val="left"/>
      </w:pPr>
      <w:rPr>
        <w:rFonts w:hint="default"/>
        <w:lang w:val="zh-CN" w:eastAsia="zh-CN" w:bidi="zh-CN"/>
      </w:rPr>
    </w:lvl>
    <w:lvl w:ilvl="2" w:tentative="0">
      <w:start w:val="1"/>
      <w:numFmt w:val="decimal"/>
      <w:lvlText w:val="%1.%2.%3"/>
      <w:lvlJc w:val="left"/>
      <w:pPr>
        <w:ind w:left="860" w:hanging="540"/>
        <w:jc w:val="left"/>
      </w:pPr>
      <w:rPr>
        <w:rFonts w:hint="default" w:ascii="Times New Roman" w:hAnsi="Times New Roman" w:eastAsia="Times New Roman" w:cs="Times New Roman"/>
        <w:b/>
        <w:bCs/>
        <w:spacing w:val="-15"/>
        <w:w w:val="99"/>
        <w:sz w:val="24"/>
        <w:szCs w:val="24"/>
        <w:lang w:val="zh-CN" w:eastAsia="zh-CN" w:bidi="zh-CN"/>
      </w:rPr>
    </w:lvl>
    <w:lvl w:ilvl="3" w:tentative="0">
      <w:start w:val="0"/>
      <w:numFmt w:val="bullet"/>
      <w:lvlText w:val="•"/>
      <w:lvlJc w:val="left"/>
      <w:pPr>
        <w:ind w:left="3491" w:hanging="540"/>
      </w:pPr>
      <w:rPr>
        <w:rFonts w:hint="default"/>
        <w:lang w:val="zh-CN" w:eastAsia="zh-CN" w:bidi="zh-CN"/>
      </w:rPr>
    </w:lvl>
    <w:lvl w:ilvl="4" w:tentative="0">
      <w:start w:val="0"/>
      <w:numFmt w:val="bullet"/>
      <w:lvlText w:val="•"/>
      <w:lvlJc w:val="left"/>
      <w:pPr>
        <w:ind w:left="4368" w:hanging="540"/>
      </w:pPr>
      <w:rPr>
        <w:rFonts w:hint="default"/>
        <w:lang w:val="zh-CN" w:eastAsia="zh-CN" w:bidi="zh-CN"/>
      </w:rPr>
    </w:lvl>
    <w:lvl w:ilvl="5" w:tentative="0">
      <w:start w:val="0"/>
      <w:numFmt w:val="bullet"/>
      <w:lvlText w:val="•"/>
      <w:lvlJc w:val="left"/>
      <w:pPr>
        <w:ind w:left="5245" w:hanging="540"/>
      </w:pPr>
      <w:rPr>
        <w:rFonts w:hint="default"/>
        <w:lang w:val="zh-CN" w:eastAsia="zh-CN" w:bidi="zh-CN"/>
      </w:rPr>
    </w:lvl>
    <w:lvl w:ilvl="6" w:tentative="0">
      <w:start w:val="0"/>
      <w:numFmt w:val="bullet"/>
      <w:lvlText w:val="•"/>
      <w:lvlJc w:val="left"/>
      <w:pPr>
        <w:ind w:left="6122" w:hanging="540"/>
      </w:pPr>
      <w:rPr>
        <w:rFonts w:hint="default"/>
        <w:lang w:val="zh-CN" w:eastAsia="zh-CN" w:bidi="zh-CN"/>
      </w:rPr>
    </w:lvl>
    <w:lvl w:ilvl="7" w:tentative="0">
      <w:start w:val="0"/>
      <w:numFmt w:val="bullet"/>
      <w:lvlText w:val="•"/>
      <w:lvlJc w:val="left"/>
      <w:pPr>
        <w:ind w:left="6999" w:hanging="540"/>
      </w:pPr>
      <w:rPr>
        <w:rFonts w:hint="default"/>
        <w:lang w:val="zh-CN" w:eastAsia="zh-CN" w:bidi="zh-CN"/>
      </w:rPr>
    </w:lvl>
    <w:lvl w:ilvl="8" w:tentative="0">
      <w:start w:val="0"/>
      <w:numFmt w:val="bullet"/>
      <w:lvlText w:val="•"/>
      <w:lvlJc w:val="left"/>
      <w:pPr>
        <w:ind w:left="7876" w:hanging="540"/>
      </w:pPr>
      <w:rPr>
        <w:rFonts w:hint="default"/>
        <w:lang w:val="zh-CN" w:eastAsia="zh-CN" w:bidi="zh-CN"/>
      </w:rPr>
    </w:lvl>
  </w:abstractNum>
  <w:abstractNum w:abstractNumId="26">
    <w:nsid w:val="4C1BAE26"/>
    <w:multiLevelType w:val="multilevel"/>
    <w:tmpl w:val="4C1BAE26"/>
    <w:lvl w:ilvl="0" w:tentative="0">
      <w:start w:val="3"/>
      <w:numFmt w:val="decimal"/>
      <w:lvlText w:val="%1"/>
      <w:lvlJc w:val="left"/>
      <w:pPr>
        <w:ind w:left="1440" w:hanging="600"/>
        <w:jc w:val="left"/>
      </w:pPr>
      <w:rPr>
        <w:rFonts w:hint="default"/>
        <w:lang w:val="zh-CN" w:eastAsia="zh-CN" w:bidi="zh-CN"/>
      </w:rPr>
    </w:lvl>
    <w:lvl w:ilvl="1" w:tentative="0">
      <w:start w:val="1"/>
      <w:numFmt w:val="decimal"/>
      <w:lvlText w:val="%1.%2"/>
      <w:lvlJc w:val="left"/>
      <w:pPr>
        <w:ind w:left="1440" w:hanging="600"/>
        <w:jc w:val="left"/>
      </w:pPr>
      <w:rPr>
        <w:rFonts w:hint="default"/>
        <w:lang w:val="zh-CN" w:eastAsia="zh-CN" w:bidi="zh-CN"/>
      </w:rPr>
    </w:lvl>
    <w:lvl w:ilvl="2" w:tentative="0">
      <w:start w:val="1"/>
      <w:numFmt w:val="decimal"/>
      <w:lvlText w:val="%1.%2.%3"/>
      <w:lvlJc w:val="left"/>
      <w:pPr>
        <w:ind w:left="1440" w:hanging="600"/>
        <w:jc w:val="left"/>
      </w:pPr>
      <w:rPr>
        <w:rFonts w:hint="default" w:ascii="Times New Roman" w:hAnsi="Times New Roman" w:eastAsia="Times New Roman" w:cs="Times New Roman"/>
        <w:b/>
        <w:bCs/>
        <w:w w:val="99"/>
        <w:sz w:val="24"/>
        <w:szCs w:val="24"/>
        <w:lang w:val="zh-CN" w:eastAsia="zh-CN" w:bidi="zh-CN"/>
      </w:rPr>
    </w:lvl>
    <w:lvl w:ilvl="3" w:tentative="0">
      <w:start w:val="0"/>
      <w:numFmt w:val="bullet"/>
      <w:lvlText w:val="•"/>
      <w:lvlJc w:val="left"/>
      <w:pPr>
        <w:ind w:left="4280" w:hanging="600"/>
      </w:pPr>
      <w:rPr>
        <w:rFonts w:hint="default"/>
        <w:lang w:val="zh-CN" w:eastAsia="zh-CN" w:bidi="zh-CN"/>
      </w:rPr>
    </w:lvl>
    <w:lvl w:ilvl="4" w:tentative="0">
      <w:start w:val="0"/>
      <w:numFmt w:val="bullet"/>
      <w:lvlText w:val="•"/>
      <w:lvlJc w:val="left"/>
      <w:pPr>
        <w:ind w:left="5227" w:hanging="600"/>
      </w:pPr>
      <w:rPr>
        <w:rFonts w:hint="default"/>
        <w:lang w:val="zh-CN" w:eastAsia="zh-CN" w:bidi="zh-CN"/>
      </w:rPr>
    </w:lvl>
    <w:lvl w:ilvl="5" w:tentative="0">
      <w:start w:val="0"/>
      <w:numFmt w:val="bullet"/>
      <w:lvlText w:val="•"/>
      <w:lvlJc w:val="left"/>
      <w:pPr>
        <w:ind w:left="6174" w:hanging="600"/>
      </w:pPr>
      <w:rPr>
        <w:rFonts w:hint="default"/>
        <w:lang w:val="zh-CN" w:eastAsia="zh-CN" w:bidi="zh-CN"/>
      </w:rPr>
    </w:lvl>
    <w:lvl w:ilvl="6" w:tentative="0">
      <w:start w:val="0"/>
      <w:numFmt w:val="bullet"/>
      <w:lvlText w:val="•"/>
      <w:lvlJc w:val="left"/>
      <w:pPr>
        <w:ind w:left="7121" w:hanging="600"/>
      </w:pPr>
      <w:rPr>
        <w:rFonts w:hint="default"/>
        <w:lang w:val="zh-CN" w:eastAsia="zh-CN" w:bidi="zh-CN"/>
      </w:rPr>
    </w:lvl>
    <w:lvl w:ilvl="7" w:tentative="0">
      <w:start w:val="0"/>
      <w:numFmt w:val="bullet"/>
      <w:lvlText w:val="•"/>
      <w:lvlJc w:val="left"/>
      <w:pPr>
        <w:ind w:left="8068" w:hanging="600"/>
      </w:pPr>
      <w:rPr>
        <w:rFonts w:hint="default"/>
        <w:lang w:val="zh-CN" w:eastAsia="zh-CN" w:bidi="zh-CN"/>
      </w:rPr>
    </w:lvl>
    <w:lvl w:ilvl="8" w:tentative="0">
      <w:start w:val="0"/>
      <w:numFmt w:val="bullet"/>
      <w:lvlText w:val="•"/>
      <w:lvlJc w:val="left"/>
      <w:pPr>
        <w:ind w:left="9015" w:hanging="600"/>
      </w:pPr>
      <w:rPr>
        <w:rFonts w:hint="default"/>
        <w:lang w:val="zh-CN" w:eastAsia="zh-CN" w:bidi="zh-CN"/>
      </w:rPr>
    </w:lvl>
  </w:abstractNum>
  <w:abstractNum w:abstractNumId="27">
    <w:nsid w:val="4D4DC07F"/>
    <w:multiLevelType w:val="multilevel"/>
    <w:tmpl w:val="4D4DC07F"/>
    <w:lvl w:ilvl="0" w:tentative="0">
      <w:start w:val="1"/>
      <w:numFmt w:val="decimal"/>
      <w:lvlText w:val="%1"/>
      <w:lvlJc w:val="left"/>
      <w:pPr>
        <w:ind w:left="1440" w:hanging="600"/>
        <w:jc w:val="left"/>
      </w:pPr>
      <w:rPr>
        <w:rFonts w:hint="default"/>
        <w:lang w:val="zh-CN" w:eastAsia="zh-CN" w:bidi="zh-CN"/>
      </w:rPr>
    </w:lvl>
    <w:lvl w:ilvl="1" w:tentative="0">
      <w:start w:val="6"/>
      <w:numFmt w:val="decimal"/>
      <w:lvlText w:val="%1.%2"/>
      <w:lvlJc w:val="left"/>
      <w:pPr>
        <w:ind w:left="1440" w:hanging="600"/>
        <w:jc w:val="left"/>
      </w:pPr>
      <w:rPr>
        <w:rFonts w:hint="default"/>
        <w:lang w:val="zh-CN" w:eastAsia="zh-CN" w:bidi="zh-CN"/>
      </w:rPr>
    </w:lvl>
    <w:lvl w:ilvl="2" w:tentative="0">
      <w:start w:val="2"/>
      <w:numFmt w:val="decimal"/>
      <w:lvlText w:val="%1.%2.%3"/>
      <w:lvlJc w:val="left"/>
      <w:pPr>
        <w:ind w:left="1440" w:hanging="60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4）"/>
      <w:lvlJc w:val="left"/>
      <w:pPr>
        <w:ind w:left="1921" w:hanging="601"/>
        <w:jc w:val="left"/>
      </w:pPr>
      <w:rPr>
        <w:rFonts w:hint="default" w:ascii="宋体" w:hAnsi="宋体" w:eastAsia="宋体" w:cs="宋体"/>
        <w:spacing w:val="-60"/>
        <w:w w:val="100"/>
        <w:sz w:val="22"/>
        <w:szCs w:val="22"/>
        <w:lang w:val="zh-CN" w:eastAsia="zh-CN" w:bidi="zh-CN"/>
      </w:rPr>
    </w:lvl>
    <w:lvl w:ilvl="4" w:tentative="0">
      <w:start w:val="0"/>
      <w:numFmt w:val="bullet"/>
      <w:lvlText w:val="•"/>
      <w:lvlJc w:val="left"/>
      <w:pPr>
        <w:ind w:left="4916" w:hanging="601"/>
      </w:pPr>
      <w:rPr>
        <w:rFonts w:hint="default"/>
        <w:lang w:val="zh-CN" w:eastAsia="zh-CN" w:bidi="zh-CN"/>
      </w:rPr>
    </w:lvl>
    <w:lvl w:ilvl="5" w:tentative="0">
      <w:start w:val="0"/>
      <w:numFmt w:val="bullet"/>
      <w:lvlText w:val="•"/>
      <w:lvlJc w:val="left"/>
      <w:pPr>
        <w:ind w:left="5915" w:hanging="601"/>
      </w:pPr>
      <w:rPr>
        <w:rFonts w:hint="default"/>
        <w:lang w:val="zh-CN" w:eastAsia="zh-CN" w:bidi="zh-CN"/>
      </w:rPr>
    </w:lvl>
    <w:lvl w:ilvl="6" w:tentative="0">
      <w:start w:val="0"/>
      <w:numFmt w:val="bullet"/>
      <w:lvlText w:val="•"/>
      <w:lvlJc w:val="left"/>
      <w:pPr>
        <w:ind w:left="6913" w:hanging="601"/>
      </w:pPr>
      <w:rPr>
        <w:rFonts w:hint="default"/>
        <w:lang w:val="zh-CN" w:eastAsia="zh-CN" w:bidi="zh-CN"/>
      </w:rPr>
    </w:lvl>
    <w:lvl w:ilvl="7" w:tentative="0">
      <w:start w:val="0"/>
      <w:numFmt w:val="bullet"/>
      <w:lvlText w:val="•"/>
      <w:lvlJc w:val="left"/>
      <w:pPr>
        <w:ind w:left="7912" w:hanging="601"/>
      </w:pPr>
      <w:rPr>
        <w:rFonts w:hint="default"/>
        <w:lang w:val="zh-CN" w:eastAsia="zh-CN" w:bidi="zh-CN"/>
      </w:rPr>
    </w:lvl>
    <w:lvl w:ilvl="8" w:tentative="0">
      <w:start w:val="0"/>
      <w:numFmt w:val="bullet"/>
      <w:lvlText w:val="•"/>
      <w:lvlJc w:val="left"/>
      <w:pPr>
        <w:ind w:left="8911" w:hanging="601"/>
      </w:pPr>
      <w:rPr>
        <w:rFonts w:hint="default"/>
        <w:lang w:val="zh-CN" w:eastAsia="zh-CN" w:bidi="zh-CN"/>
      </w:rPr>
    </w:lvl>
  </w:abstractNum>
  <w:abstractNum w:abstractNumId="28">
    <w:nsid w:val="4D94DA66"/>
    <w:multiLevelType w:val="multilevel"/>
    <w:tmpl w:val="4D94DA66"/>
    <w:lvl w:ilvl="0" w:tentative="0">
      <w:start w:val="6"/>
      <w:numFmt w:val="decimal"/>
      <w:lvlText w:val="%1"/>
      <w:lvlJc w:val="left"/>
      <w:pPr>
        <w:ind w:left="800" w:hanging="540"/>
        <w:jc w:val="left"/>
      </w:pPr>
      <w:rPr>
        <w:rFonts w:hint="default"/>
        <w:lang w:val="zh-CN" w:eastAsia="zh-CN" w:bidi="zh-CN"/>
      </w:rPr>
    </w:lvl>
    <w:lvl w:ilvl="1" w:tentative="0">
      <w:start w:val="6"/>
      <w:numFmt w:val="decimal"/>
      <w:lvlText w:val="%1.%2"/>
      <w:lvlJc w:val="left"/>
      <w:pPr>
        <w:ind w:left="800" w:hanging="540"/>
        <w:jc w:val="left"/>
      </w:pPr>
      <w:rPr>
        <w:rFonts w:hint="default"/>
        <w:lang w:val="zh-CN" w:eastAsia="zh-CN" w:bidi="zh-CN"/>
      </w:rPr>
    </w:lvl>
    <w:lvl w:ilvl="2" w:tentative="0">
      <w:start w:val="1"/>
      <w:numFmt w:val="decimal"/>
      <w:lvlText w:val="%1.%2.%3"/>
      <w:lvlJc w:val="left"/>
      <w:pPr>
        <w:ind w:left="800" w:hanging="54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4）"/>
      <w:lvlJc w:val="left"/>
      <w:pPr>
        <w:ind w:left="1341" w:hanging="601"/>
        <w:jc w:val="left"/>
      </w:pPr>
      <w:rPr>
        <w:rFonts w:hint="default" w:ascii="宋体" w:hAnsi="宋体" w:eastAsia="宋体" w:cs="宋体"/>
        <w:w w:val="100"/>
        <w:sz w:val="22"/>
        <w:szCs w:val="22"/>
        <w:lang w:val="zh-CN" w:eastAsia="zh-CN" w:bidi="zh-CN"/>
      </w:rPr>
    </w:lvl>
    <w:lvl w:ilvl="4" w:tentative="0">
      <w:start w:val="0"/>
      <w:numFmt w:val="bullet"/>
      <w:lvlText w:val="•"/>
      <w:lvlJc w:val="left"/>
      <w:pPr>
        <w:ind w:left="4103" w:hanging="601"/>
      </w:pPr>
      <w:rPr>
        <w:rFonts w:hint="default"/>
        <w:lang w:val="zh-CN" w:eastAsia="zh-CN" w:bidi="zh-CN"/>
      </w:rPr>
    </w:lvl>
    <w:lvl w:ilvl="5" w:tentative="0">
      <w:start w:val="0"/>
      <w:numFmt w:val="bullet"/>
      <w:lvlText w:val="•"/>
      <w:lvlJc w:val="left"/>
      <w:pPr>
        <w:ind w:left="5024" w:hanging="601"/>
      </w:pPr>
      <w:rPr>
        <w:rFonts w:hint="default"/>
        <w:lang w:val="zh-CN" w:eastAsia="zh-CN" w:bidi="zh-CN"/>
      </w:rPr>
    </w:lvl>
    <w:lvl w:ilvl="6" w:tentative="0">
      <w:start w:val="0"/>
      <w:numFmt w:val="bullet"/>
      <w:lvlText w:val="•"/>
      <w:lvlJc w:val="left"/>
      <w:pPr>
        <w:ind w:left="5946" w:hanging="601"/>
      </w:pPr>
      <w:rPr>
        <w:rFonts w:hint="default"/>
        <w:lang w:val="zh-CN" w:eastAsia="zh-CN" w:bidi="zh-CN"/>
      </w:rPr>
    </w:lvl>
    <w:lvl w:ilvl="7" w:tentative="0">
      <w:start w:val="0"/>
      <w:numFmt w:val="bullet"/>
      <w:lvlText w:val="•"/>
      <w:lvlJc w:val="left"/>
      <w:pPr>
        <w:ind w:left="6867" w:hanging="601"/>
      </w:pPr>
      <w:rPr>
        <w:rFonts w:hint="default"/>
        <w:lang w:val="zh-CN" w:eastAsia="zh-CN" w:bidi="zh-CN"/>
      </w:rPr>
    </w:lvl>
    <w:lvl w:ilvl="8" w:tentative="0">
      <w:start w:val="0"/>
      <w:numFmt w:val="bullet"/>
      <w:lvlText w:val="•"/>
      <w:lvlJc w:val="left"/>
      <w:pPr>
        <w:ind w:left="7788" w:hanging="601"/>
      </w:pPr>
      <w:rPr>
        <w:rFonts w:hint="default"/>
        <w:lang w:val="zh-CN" w:eastAsia="zh-CN" w:bidi="zh-CN"/>
      </w:rPr>
    </w:lvl>
  </w:abstractNum>
  <w:abstractNum w:abstractNumId="29">
    <w:nsid w:val="58765686"/>
    <w:multiLevelType w:val="multilevel"/>
    <w:tmpl w:val="58765686"/>
    <w:lvl w:ilvl="0" w:tentative="0">
      <w:start w:val="1"/>
      <w:numFmt w:val="decimal"/>
      <w:lvlText w:val="（%1）"/>
      <w:lvlJc w:val="left"/>
      <w:pPr>
        <w:ind w:left="260" w:hanging="601"/>
        <w:jc w:val="left"/>
      </w:pPr>
      <w:rPr>
        <w:rFonts w:hint="default" w:ascii="宋体" w:hAnsi="宋体" w:eastAsia="宋体" w:cs="宋体"/>
        <w:spacing w:val="-51"/>
        <w:w w:val="100"/>
        <w:sz w:val="22"/>
        <w:szCs w:val="22"/>
        <w:lang w:val="zh-CN" w:eastAsia="zh-CN" w:bidi="zh-CN"/>
      </w:rPr>
    </w:lvl>
    <w:lvl w:ilvl="1" w:tentative="0">
      <w:start w:val="0"/>
      <w:numFmt w:val="bullet"/>
      <w:lvlText w:val="•"/>
      <w:lvlJc w:val="left"/>
      <w:pPr>
        <w:ind w:left="1197" w:hanging="601"/>
      </w:pPr>
      <w:rPr>
        <w:rFonts w:hint="default"/>
        <w:lang w:val="zh-CN" w:eastAsia="zh-CN" w:bidi="zh-CN"/>
      </w:rPr>
    </w:lvl>
    <w:lvl w:ilvl="2" w:tentative="0">
      <w:start w:val="0"/>
      <w:numFmt w:val="bullet"/>
      <w:lvlText w:val="•"/>
      <w:lvlJc w:val="left"/>
      <w:pPr>
        <w:ind w:left="2134" w:hanging="601"/>
      </w:pPr>
      <w:rPr>
        <w:rFonts w:hint="default"/>
        <w:lang w:val="zh-CN" w:eastAsia="zh-CN" w:bidi="zh-CN"/>
      </w:rPr>
    </w:lvl>
    <w:lvl w:ilvl="3" w:tentative="0">
      <w:start w:val="0"/>
      <w:numFmt w:val="bullet"/>
      <w:lvlText w:val="•"/>
      <w:lvlJc w:val="left"/>
      <w:pPr>
        <w:ind w:left="3071" w:hanging="601"/>
      </w:pPr>
      <w:rPr>
        <w:rFonts w:hint="default"/>
        <w:lang w:val="zh-CN" w:eastAsia="zh-CN" w:bidi="zh-CN"/>
      </w:rPr>
    </w:lvl>
    <w:lvl w:ilvl="4" w:tentative="0">
      <w:start w:val="0"/>
      <w:numFmt w:val="bullet"/>
      <w:lvlText w:val="•"/>
      <w:lvlJc w:val="left"/>
      <w:pPr>
        <w:ind w:left="4008" w:hanging="601"/>
      </w:pPr>
      <w:rPr>
        <w:rFonts w:hint="default"/>
        <w:lang w:val="zh-CN" w:eastAsia="zh-CN" w:bidi="zh-CN"/>
      </w:rPr>
    </w:lvl>
    <w:lvl w:ilvl="5" w:tentative="0">
      <w:start w:val="0"/>
      <w:numFmt w:val="bullet"/>
      <w:lvlText w:val="•"/>
      <w:lvlJc w:val="left"/>
      <w:pPr>
        <w:ind w:left="4945" w:hanging="601"/>
      </w:pPr>
      <w:rPr>
        <w:rFonts w:hint="default"/>
        <w:lang w:val="zh-CN" w:eastAsia="zh-CN" w:bidi="zh-CN"/>
      </w:rPr>
    </w:lvl>
    <w:lvl w:ilvl="6" w:tentative="0">
      <w:start w:val="0"/>
      <w:numFmt w:val="bullet"/>
      <w:lvlText w:val="•"/>
      <w:lvlJc w:val="left"/>
      <w:pPr>
        <w:ind w:left="5882" w:hanging="601"/>
      </w:pPr>
      <w:rPr>
        <w:rFonts w:hint="default"/>
        <w:lang w:val="zh-CN" w:eastAsia="zh-CN" w:bidi="zh-CN"/>
      </w:rPr>
    </w:lvl>
    <w:lvl w:ilvl="7" w:tentative="0">
      <w:start w:val="0"/>
      <w:numFmt w:val="bullet"/>
      <w:lvlText w:val="•"/>
      <w:lvlJc w:val="left"/>
      <w:pPr>
        <w:ind w:left="6819" w:hanging="601"/>
      </w:pPr>
      <w:rPr>
        <w:rFonts w:hint="default"/>
        <w:lang w:val="zh-CN" w:eastAsia="zh-CN" w:bidi="zh-CN"/>
      </w:rPr>
    </w:lvl>
    <w:lvl w:ilvl="8" w:tentative="0">
      <w:start w:val="0"/>
      <w:numFmt w:val="bullet"/>
      <w:lvlText w:val="•"/>
      <w:lvlJc w:val="left"/>
      <w:pPr>
        <w:ind w:left="7756" w:hanging="601"/>
      </w:pPr>
      <w:rPr>
        <w:rFonts w:hint="default"/>
        <w:lang w:val="zh-CN" w:eastAsia="zh-CN" w:bidi="zh-CN"/>
      </w:rPr>
    </w:lvl>
  </w:abstractNum>
  <w:abstractNum w:abstractNumId="30">
    <w:nsid w:val="5A241D34"/>
    <w:multiLevelType w:val="multilevel"/>
    <w:tmpl w:val="5A241D34"/>
    <w:lvl w:ilvl="0" w:tentative="0">
      <w:start w:val="1"/>
      <w:numFmt w:val="decimal"/>
      <w:lvlText w:val="%1"/>
      <w:lvlJc w:val="left"/>
      <w:pPr>
        <w:ind w:left="1440" w:hanging="600"/>
        <w:jc w:val="left"/>
      </w:pPr>
      <w:rPr>
        <w:rFonts w:hint="default"/>
        <w:lang w:val="zh-CN" w:eastAsia="zh-CN" w:bidi="zh-CN"/>
      </w:rPr>
    </w:lvl>
    <w:lvl w:ilvl="1" w:tentative="0">
      <w:start w:val="5"/>
      <w:numFmt w:val="decimal"/>
      <w:lvlText w:val="%1.%2"/>
      <w:lvlJc w:val="left"/>
      <w:pPr>
        <w:ind w:left="1440" w:hanging="600"/>
        <w:jc w:val="left"/>
      </w:pPr>
      <w:rPr>
        <w:rFonts w:hint="default"/>
        <w:lang w:val="zh-CN" w:eastAsia="zh-CN" w:bidi="zh-CN"/>
      </w:rPr>
    </w:lvl>
    <w:lvl w:ilvl="2" w:tentative="0">
      <w:start w:val="1"/>
      <w:numFmt w:val="decimal"/>
      <w:lvlText w:val="%1.%2.%3"/>
      <w:lvlJc w:val="left"/>
      <w:pPr>
        <w:ind w:left="1440" w:hanging="600"/>
        <w:jc w:val="left"/>
      </w:pPr>
      <w:rPr>
        <w:rFonts w:hint="default" w:ascii="Times New Roman" w:hAnsi="Times New Roman" w:eastAsia="Times New Roman" w:cs="Times New Roman"/>
        <w:b/>
        <w:bCs/>
        <w:w w:val="99"/>
        <w:sz w:val="24"/>
        <w:szCs w:val="24"/>
        <w:lang w:val="zh-CN" w:eastAsia="zh-CN" w:bidi="zh-CN"/>
      </w:rPr>
    </w:lvl>
    <w:lvl w:ilvl="3" w:tentative="0">
      <w:start w:val="0"/>
      <w:numFmt w:val="bullet"/>
      <w:lvlText w:val="•"/>
      <w:lvlJc w:val="left"/>
      <w:pPr>
        <w:ind w:left="4280" w:hanging="600"/>
      </w:pPr>
      <w:rPr>
        <w:rFonts w:hint="default"/>
        <w:lang w:val="zh-CN" w:eastAsia="zh-CN" w:bidi="zh-CN"/>
      </w:rPr>
    </w:lvl>
    <w:lvl w:ilvl="4" w:tentative="0">
      <w:start w:val="0"/>
      <w:numFmt w:val="bullet"/>
      <w:lvlText w:val="•"/>
      <w:lvlJc w:val="left"/>
      <w:pPr>
        <w:ind w:left="5227" w:hanging="600"/>
      </w:pPr>
      <w:rPr>
        <w:rFonts w:hint="default"/>
        <w:lang w:val="zh-CN" w:eastAsia="zh-CN" w:bidi="zh-CN"/>
      </w:rPr>
    </w:lvl>
    <w:lvl w:ilvl="5" w:tentative="0">
      <w:start w:val="0"/>
      <w:numFmt w:val="bullet"/>
      <w:lvlText w:val="•"/>
      <w:lvlJc w:val="left"/>
      <w:pPr>
        <w:ind w:left="6174" w:hanging="600"/>
      </w:pPr>
      <w:rPr>
        <w:rFonts w:hint="default"/>
        <w:lang w:val="zh-CN" w:eastAsia="zh-CN" w:bidi="zh-CN"/>
      </w:rPr>
    </w:lvl>
    <w:lvl w:ilvl="6" w:tentative="0">
      <w:start w:val="0"/>
      <w:numFmt w:val="bullet"/>
      <w:lvlText w:val="•"/>
      <w:lvlJc w:val="left"/>
      <w:pPr>
        <w:ind w:left="7121" w:hanging="600"/>
      </w:pPr>
      <w:rPr>
        <w:rFonts w:hint="default"/>
        <w:lang w:val="zh-CN" w:eastAsia="zh-CN" w:bidi="zh-CN"/>
      </w:rPr>
    </w:lvl>
    <w:lvl w:ilvl="7" w:tentative="0">
      <w:start w:val="0"/>
      <w:numFmt w:val="bullet"/>
      <w:lvlText w:val="•"/>
      <w:lvlJc w:val="left"/>
      <w:pPr>
        <w:ind w:left="8068" w:hanging="600"/>
      </w:pPr>
      <w:rPr>
        <w:rFonts w:hint="default"/>
        <w:lang w:val="zh-CN" w:eastAsia="zh-CN" w:bidi="zh-CN"/>
      </w:rPr>
    </w:lvl>
    <w:lvl w:ilvl="8" w:tentative="0">
      <w:start w:val="0"/>
      <w:numFmt w:val="bullet"/>
      <w:lvlText w:val="•"/>
      <w:lvlJc w:val="left"/>
      <w:pPr>
        <w:ind w:left="9015" w:hanging="600"/>
      </w:pPr>
      <w:rPr>
        <w:rFonts w:hint="default"/>
        <w:lang w:val="zh-CN" w:eastAsia="zh-CN" w:bidi="zh-CN"/>
      </w:rPr>
    </w:lvl>
  </w:abstractNum>
  <w:abstractNum w:abstractNumId="31">
    <w:nsid w:val="5E29AB5A"/>
    <w:multiLevelType w:val="multilevel"/>
    <w:tmpl w:val="5E29AB5A"/>
    <w:lvl w:ilvl="0" w:tentative="0">
      <w:start w:val="1"/>
      <w:numFmt w:val="decimal"/>
      <w:lvlText w:val="（%1）"/>
      <w:lvlJc w:val="left"/>
      <w:pPr>
        <w:ind w:left="1341"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69" w:hanging="601"/>
      </w:pPr>
      <w:rPr>
        <w:rFonts w:hint="default"/>
        <w:lang w:val="zh-CN" w:eastAsia="zh-CN" w:bidi="zh-CN"/>
      </w:rPr>
    </w:lvl>
    <w:lvl w:ilvl="2" w:tentative="0">
      <w:start w:val="0"/>
      <w:numFmt w:val="bullet"/>
      <w:lvlText w:val="•"/>
      <w:lvlJc w:val="left"/>
      <w:pPr>
        <w:ind w:left="2998" w:hanging="601"/>
      </w:pPr>
      <w:rPr>
        <w:rFonts w:hint="default"/>
        <w:lang w:val="zh-CN" w:eastAsia="zh-CN" w:bidi="zh-CN"/>
      </w:rPr>
    </w:lvl>
    <w:lvl w:ilvl="3" w:tentative="0">
      <w:start w:val="0"/>
      <w:numFmt w:val="bullet"/>
      <w:lvlText w:val="•"/>
      <w:lvlJc w:val="left"/>
      <w:pPr>
        <w:ind w:left="3827" w:hanging="601"/>
      </w:pPr>
      <w:rPr>
        <w:rFonts w:hint="default"/>
        <w:lang w:val="zh-CN" w:eastAsia="zh-CN" w:bidi="zh-CN"/>
      </w:rPr>
    </w:lvl>
    <w:lvl w:ilvl="4" w:tentative="0">
      <w:start w:val="0"/>
      <w:numFmt w:val="bullet"/>
      <w:lvlText w:val="•"/>
      <w:lvlJc w:val="left"/>
      <w:pPr>
        <w:ind w:left="4656" w:hanging="601"/>
      </w:pPr>
      <w:rPr>
        <w:rFonts w:hint="default"/>
        <w:lang w:val="zh-CN" w:eastAsia="zh-CN" w:bidi="zh-CN"/>
      </w:rPr>
    </w:lvl>
    <w:lvl w:ilvl="5" w:tentative="0">
      <w:start w:val="0"/>
      <w:numFmt w:val="bullet"/>
      <w:lvlText w:val="•"/>
      <w:lvlJc w:val="left"/>
      <w:pPr>
        <w:ind w:left="5485" w:hanging="601"/>
      </w:pPr>
      <w:rPr>
        <w:rFonts w:hint="default"/>
        <w:lang w:val="zh-CN" w:eastAsia="zh-CN" w:bidi="zh-CN"/>
      </w:rPr>
    </w:lvl>
    <w:lvl w:ilvl="6" w:tentative="0">
      <w:start w:val="0"/>
      <w:numFmt w:val="bullet"/>
      <w:lvlText w:val="•"/>
      <w:lvlJc w:val="left"/>
      <w:pPr>
        <w:ind w:left="6314" w:hanging="601"/>
      </w:pPr>
      <w:rPr>
        <w:rFonts w:hint="default"/>
        <w:lang w:val="zh-CN" w:eastAsia="zh-CN" w:bidi="zh-CN"/>
      </w:rPr>
    </w:lvl>
    <w:lvl w:ilvl="7" w:tentative="0">
      <w:start w:val="0"/>
      <w:numFmt w:val="bullet"/>
      <w:lvlText w:val="•"/>
      <w:lvlJc w:val="left"/>
      <w:pPr>
        <w:ind w:left="7143" w:hanging="601"/>
      </w:pPr>
      <w:rPr>
        <w:rFonts w:hint="default"/>
        <w:lang w:val="zh-CN" w:eastAsia="zh-CN" w:bidi="zh-CN"/>
      </w:rPr>
    </w:lvl>
    <w:lvl w:ilvl="8" w:tentative="0">
      <w:start w:val="0"/>
      <w:numFmt w:val="bullet"/>
      <w:lvlText w:val="•"/>
      <w:lvlJc w:val="left"/>
      <w:pPr>
        <w:ind w:left="7972" w:hanging="601"/>
      </w:pPr>
      <w:rPr>
        <w:rFonts w:hint="default"/>
        <w:lang w:val="zh-CN" w:eastAsia="zh-CN" w:bidi="zh-CN"/>
      </w:rPr>
    </w:lvl>
  </w:abstractNum>
  <w:abstractNum w:abstractNumId="32">
    <w:nsid w:val="60382F6E"/>
    <w:multiLevelType w:val="multilevel"/>
    <w:tmpl w:val="60382F6E"/>
    <w:lvl w:ilvl="0" w:tentative="0">
      <w:start w:val="3"/>
      <w:numFmt w:val="decimal"/>
      <w:lvlText w:val="%1"/>
      <w:lvlJc w:val="left"/>
      <w:pPr>
        <w:ind w:left="1380" w:hanging="540"/>
        <w:jc w:val="left"/>
      </w:pPr>
      <w:rPr>
        <w:rFonts w:hint="default"/>
        <w:lang w:val="zh-CN" w:eastAsia="zh-CN" w:bidi="zh-CN"/>
      </w:rPr>
    </w:lvl>
    <w:lvl w:ilvl="1" w:tentative="0">
      <w:start w:val="3"/>
      <w:numFmt w:val="decimal"/>
      <w:lvlText w:val="%1.%2"/>
      <w:lvlJc w:val="left"/>
      <w:pPr>
        <w:ind w:left="1380" w:hanging="540"/>
        <w:jc w:val="left"/>
      </w:pPr>
      <w:rPr>
        <w:rFonts w:hint="default"/>
        <w:lang w:val="zh-CN" w:eastAsia="zh-CN" w:bidi="zh-CN"/>
      </w:rPr>
    </w:lvl>
    <w:lvl w:ilvl="2" w:tentative="0">
      <w:start w:val="1"/>
      <w:numFmt w:val="decimal"/>
      <w:lvlText w:val="%1.%2.%3"/>
      <w:lvlJc w:val="left"/>
      <w:pPr>
        <w:ind w:left="1380" w:hanging="540"/>
        <w:jc w:val="right"/>
      </w:pPr>
      <w:rPr>
        <w:rFonts w:hint="default" w:ascii="Times New Roman" w:hAnsi="Times New Roman" w:eastAsia="Times New Roman" w:cs="Times New Roman"/>
        <w:b/>
        <w:bCs/>
        <w:spacing w:val="-2"/>
        <w:w w:val="99"/>
        <w:sz w:val="24"/>
        <w:szCs w:val="24"/>
        <w:lang w:val="zh-CN" w:eastAsia="zh-CN" w:bidi="zh-CN"/>
      </w:rPr>
    </w:lvl>
    <w:lvl w:ilvl="3" w:tentative="0">
      <w:start w:val="0"/>
      <w:numFmt w:val="bullet"/>
      <w:lvlText w:val="•"/>
      <w:lvlJc w:val="left"/>
      <w:pPr>
        <w:ind w:left="4238" w:hanging="540"/>
      </w:pPr>
      <w:rPr>
        <w:rFonts w:hint="default"/>
        <w:lang w:val="zh-CN" w:eastAsia="zh-CN" w:bidi="zh-CN"/>
      </w:rPr>
    </w:lvl>
    <w:lvl w:ilvl="4" w:tentative="0">
      <w:start w:val="0"/>
      <w:numFmt w:val="bullet"/>
      <w:lvlText w:val="•"/>
      <w:lvlJc w:val="left"/>
      <w:pPr>
        <w:ind w:left="5191" w:hanging="540"/>
      </w:pPr>
      <w:rPr>
        <w:rFonts w:hint="default"/>
        <w:lang w:val="zh-CN" w:eastAsia="zh-CN" w:bidi="zh-CN"/>
      </w:rPr>
    </w:lvl>
    <w:lvl w:ilvl="5" w:tentative="0">
      <w:start w:val="0"/>
      <w:numFmt w:val="bullet"/>
      <w:lvlText w:val="•"/>
      <w:lvlJc w:val="left"/>
      <w:pPr>
        <w:ind w:left="6144" w:hanging="540"/>
      </w:pPr>
      <w:rPr>
        <w:rFonts w:hint="default"/>
        <w:lang w:val="zh-CN" w:eastAsia="zh-CN" w:bidi="zh-CN"/>
      </w:rPr>
    </w:lvl>
    <w:lvl w:ilvl="6" w:tentative="0">
      <w:start w:val="0"/>
      <w:numFmt w:val="bullet"/>
      <w:lvlText w:val="•"/>
      <w:lvlJc w:val="left"/>
      <w:pPr>
        <w:ind w:left="7097" w:hanging="540"/>
      </w:pPr>
      <w:rPr>
        <w:rFonts w:hint="default"/>
        <w:lang w:val="zh-CN" w:eastAsia="zh-CN" w:bidi="zh-CN"/>
      </w:rPr>
    </w:lvl>
    <w:lvl w:ilvl="7" w:tentative="0">
      <w:start w:val="0"/>
      <w:numFmt w:val="bullet"/>
      <w:lvlText w:val="•"/>
      <w:lvlJc w:val="left"/>
      <w:pPr>
        <w:ind w:left="8050" w:hanging="540"/>
      </w:pPr>
      <w:rPr>
        <w:rFonts w:hint="default"/>
        <w:lang w:val="zh-CN" w:eastAsia="zh-CN" w:bidi="zh-CN"/>
      </w:rPr>
    </w:lvl>
    <w:lvl w:ilvl="8" w:tentative="0">
      <w:start w:val="0"/>
      <w:numFmt w:val="bullet"/>
      <w:lvlText w:val="•"/>
      <w:lvlJc w:val="left"/>
      <w:pPr>
        <w:ind w:left="9003" w:hanging="540"/>
      </w:pPr>
      <w:rPr>
        <w:rFonts w:hint="default"/>
        <w:lang w:val="zh-CN" w:eastAsia="zh-CN" w:bidi="zh-CN"/>
      </w:rPr>
    </w:lvl>
  </w:abstractNum>
  <w:abstractNum w:abstractNumId="33">
    <w:nsid w:val="629F7852"/>
    <w:multiLevelType w:val="multilevel"/>
    <w:tmpl w:val="629F7852"/>
    <w:lvl w:ilvl="0" w:tentative="0">
      <w:start w:val="5"/>
      <w:numFmt w:val="decimal"/>
      <w:lvlText w:val="%1"/>
      <w:lvlJc w:val="left"/>
      <w:pPr>
        <w:ind w:left="860" w:hanging="600"/>
        <w:jc w:val="left"/>
      </w:pPr>
      <w:rPr>
        <w:rFonts w:hint="default"/>
        <w:lang w:val="zh-CN" w:eastAsia="zh-CN" w:bidi="zh-CN"/>
      </w:rPr>
    </w:lvl>
    <w:lvl w:ilvl="1" w:tentative="0">
      <w:start w:val="4"/>
      <w:numFmt w:val="decimal"/>
      <w:lvlText w:val="%1.%2"/>
      <w:lvlJc w:val="left"/>
      <w:pPr>
        <w:ind w:left="860" w:hanging="600"/>
        <w:jc w:val="left"/>
      </w:pPr>
      <w:rPr>
        <w:rFonts w:hint="default"/>
        <w:lang w:val="zh-CN" w:eastAsia="zh-CN" w:bidi="zh-CN"/>
      </w:rPr>
    </w:lvl>
    <w:lvl w:ilvl="2" w:tentative="0">
      <w:start w:val="1"/>
      <w:numFmt w:val="decimal"/>
      <w:lvlText w:val="%1.%2.%3"/>
      <w:lvlJc w:val="left"/>
      <w:pPr>
        <w:ind w:left="860" w:hanging="600"/>
        <w:jc w:val="left"/>
      </w:pPr>
      <w:rPr>
        <w:rFonts w:hint="default" w:ascii="Times New Roman" w:hAnsi="Times New Roman" w:eastAsia="Times New Roman" w:cs="Times New Roman"/>
        <w:b/>
        <w:bCs/>
        <w:w w:val="99"/>
        <w:sz w:val="24"/>
        <w:szCs w:val="24"/>
        <w:lang w:val="zh-CN" w:eastAsia="zh-CN" w:bidi="zh-CN"/>
      </w:rPr>
    </w:lvl>
    <w:lvl w:ilvl="3" w:tentative="0">
      <w:start w:val="0"/>
      <w:numFmt w:val="bullet"/>
      <w:lvlText w:val="•"/>
      <w:lvlJc w:val="left"/>
      <w:pPr>
        <w:ind w:left="3491" w:hanging="600"/>
      </w:pPr>
      <w:rPr>
        <w:rFonts w:hint="default"/>
        <w:lang w:val="zh-CN" w:eastAsia="zh-CN" w:bidi="zh-CN"/>
      </w:rPr>
    </w:lvl>
    <w:lvl w:ilvl="4" w:tentative="0">
      <w:start w:val="0"/>
      <w:numFmt w:val="bullet"/>
      <w:lvlText w:val="•"/>
      <w:lvlJc w:val="left"/>
      <w:pPr>
        <w:ind w:left="4368" w:hanging="600"/>
      </w:pPr>
      <w:rPr>
        <w:rFonts w:hint="default"/>
        <w:lang w:val="zh-CN" w:eastAsia="zh-CN" w:bidi="zh-CN"/>
      </w:rPr>
    </w:lvl>
    <w:lvl w:ilvl="5" w:tentative="0">
      <w:start w:val="0"/>
      <w:numFmt w:val="bullet"/>
      <w:lvlText w:val="•"/>
      <w:lvlJc w:val="left"/>
      <w:pPr>
        <w:ind w:left="5245" w:hanging="600"/>
      </w:pPr>
      <w:rPr>
        <w:rFonts w:hint="default"/>
        <w:lang w:val="zh-CN" w:eastAsia="zh-CN" w:bidi="zh-CN"/>
      </w:rPr>
    </w:lvl>
    <w:lvl w:ilvl="6" w:tentative="0">
      <w:start w:val="0"/>
      <w:numFmt w:val="bullet"/>
      <w:lvlText w:val="•"/>
      <w:lvlJc w:val="left"/>
      <w:pPr>
        <w:ind w:left="6122" w:hanging="600"/>
      </w:pPr>
      <w:rPr>
        <w:rFonts w:hint="default"/>
        <w:lang w:val="zh-CN" w:eastAsia="zh-CN" w:bidi="zh-CN"/>
      </w:rPr>
    </w:lvl>
    <w:lvl w:ilvl="7" w:tentative="0">
      <w:start w:val="0"/>
      <w:numFmt w:val="bullet"/>
      <w:lvlText w:val="•"/>
      <w:lvlJc w:val="left"/>
      <w:pPr>
        <w:ind w:left="6999" w:hanging="600"/>
      </w:pPr>
      <w:rPr>
        <w:rFonts w:hint="default"/>
        <w:lang w:val="zh-CN" w:eastAsia="zh-CN" w:bidi="zh-CN"/>
      </w:rPr>
    </w:lvl>
    <w:lvl w:ilvl="8" w:tentative="0">
      <w:start w:val="0"/>
      <w:numFmt w:val="bullet"/>
      <w:lvlText w:val="•"/>
      <w:lvlJc w:val="left"/>
      <w:pPr>
        <w:ind w:left="7876" w:hanging="600"/>
      </w:pPr>
      <w:rPr>
        <w:rFonts w:hint="default"/>
        <w:lang w:val="zh-CN" w:eastAsia="zh-CN" w:bidi="zh-CN"/>
      </w:rPr>
    </w:lvl>
  </w:abstractNum>
  <w:abstractNum w:abstractNumId="34">
    <w:nsid w:val="733B7E68"/>
    <w:multiLevelType w:val="singleLevel"/>
    <w:tmpl w:val="733B7E68"/>
    <w:lvl w:ilvl="0" w:tentative="0">
      <w:start w:val="2"/>
      <w:numFmt w:val="chineseCounting"/>
      <w:suff w:val="nothing"/>
      <w:lvlText w:val="%1、"/>
      <w:lvlJc w:val="left"/>
      <w:rPr>
        <w:rFonts w:hint="eastAsia"/>
      </w:rPr>
    </w:lvl>
  </w:abstractNum>
  <w:abstractNum w:abstractNumId="35">
    <w:nsid w:val="77ECEA79"/>
    <w:multiLevelType w:val="multilevel"/>
    <w:tmpl w:val="77ECEA79"/>
    <w:lvl w:ilvl="0" w:tentative="0">
      <w:start w:val="5"/>
      <w:numFmt w:val="decimal"/>
      <w:lvlText w:val="%1"/>
      <w:lvlJc w:val="left"/>
      <w:pPr>
        <w:ind w:left="860" w:hanging="600"/>
        <w:jc w:val="left"/>
      </w:pPr>
      <w:rPr>
        <w:rFonts w:hint="default"/>
        <w:lang w:val="zh-CN" w:eastAsia="zh-CN" w:bidi="zh-CN"/>
      </w:rPr>
    </w:lvl>
    <w:lvl w:ilvl="1" w:tentative="0">
      <w:start w:val="1"/>
      <w:numFmt w:val="decimal"/>
      <w:lvlText w:val="%1.%2"/>
      <w:lvlJc w:val="left"/>
      <w:pPr>
        <w:ind w:left="860" w:hanging="600"/>
        <w:jc w:val="left"/>
      </w:pPr>
      <w:rPr>
        <w:rFonts w:hint="default"/>
        <w:lang w:val="zh-CN" w:eastAsia="zh-CN" w:bidi="zh-CN"/>
      </w:rPr>
    </w:lvl>
    <w:lvl w:ilvl="2" w:tentative="0">
      <w:start w:val="1"/>
      <w:numFmt w:val="decimal"/>
      <w:lvlText w:val="%1.%2.%3"/>
      <w:lvlJc w:val="left"/>
      <w:pPr>
        <w:ind w:left="860" w:hanging="600"/>
        <w:jc w:val="left"/>
      </w:pPr>
      <w:rPr>
        <w:rFonts w:hint="default" w:ascii="Times New Roman" w:hAnsi="Times New Roman" w:eastAsia="Times New Roman" w:cs="Times New Roman"/>
        <w:b/>
        <w:bCs/>
        <w:w w:val="99"/>
        <w:sz w:val="24"/>
        <w:szCs w:val="24"/>
        <w:lang w:val="zh-CN" w:eastAsia="zh-CN" w:bidi="zh-CN"/>
      </w:rPr>
    </w:lvl>
    <w:lvl w:ilvl="3" w:tentative="0">
      <w:start w:val="1"/>
      <w:numFmt w:val="decimal"/>
      <w:lvlText w:val="（%4）"/>
      <w:lvlJc w:val="left"/>
      <w:pPr>
        <w:ind w:left="1341" w:hanging="601"/>
        <w:jc w:val="left"/>
      </w:pPr>
      <w:rPr>
        <w:rFonts w:hint="default" w:ascii="宋体" w:hAnsi="宋体" w:eastAsia="宋体" w:cs="宋体"/>
        <w:w w:val="100"/>
        <w:sz w:val="22"/>
        <w:szCs w:val="22"/>
        <w:lang w:val="zh-CN" w:eastAsia="zh-CN" w:bidi="zh-CN"/>
      </w:rPr>
    </w:lvl>
    <w:lvl w:ilvl="4" w:tentative="0">
      <w:start w:val="0"/>
      <w:numFmt w:val="bullet"/>
      <w:lvlText w:val="•"/>
      <w:lvlJc w:val="left"/>
      <w:pPr>
        <w:ind w:left="4103" w:hanging="601"/>
      </w:pPr>
      <w:rPr>
        <w:rFonts w:hint="default"/>
        <w:lang w:val="zh-CN" w:eastAsia="zh-CN" w:bidi="zh-CN"/>
      </w:rPr>
    </w:lvl>
    <w:lvl w:ilvl="5" w:tentative="0">
      <w:start w:val="0"/>
      <w:numFmt w:val="bullet"/>
      <w:lvlText w:val="•"/>
      <w:lvlJc w:val="left"/>
      <w:pPr>
        <w:ind w:left="5024" w:hanging="601"/>
      </w:pPr>
      <w:rPr>
        <w:rFonts w:hint="default"/>
        <w:lang w:val="zh-CN" w:eastAsia="zh-CN" w:bidi="zh-CN"/>
      </w:rPr>
    </w:lvl>
    <w:lvl w:ilvl="6" w:tentative="0">
      <w:start w:val="0"/>
      <w:numFmt w:val="bullet"/>
      <w:lvlText w:val="•"/>
      <w:lvlJc w:val="left"/>
      <w:pPr>
        <w:ind w:left="5946" w:hanging="601"/>
      </w:pPr>
      <w:rPr>
        <w:rFonts w:hint="default"/>
        <w:lang w:val="zh-CN" w:eastAsia="zh-CN" w:bidi="zh-CN"/>
      </w:rPr>
    </w:lvl>
    <w:lvl w:ilvl="7" w:tentative="0">
      <w:start w:val="0"/>
      <w:numFmt w:val="bullet"/>
      <w:lvlText w:val="•"/>
      <w:lvlJc w:val="left"/>
      <w:pPr>
        <w:ind w:left="6867" w:hanging="601"/>
      </w:pPr>
      <w:rPr>
        <w:rFonts w:hint="default"/>
        <w:lang w:val="zh-CN" w:eastAsia="zh-CN" w:bidi="zh-CN"/>
      </w:rPr>
    </w:lvl>
    <w:lvl w:ilvl="8" w:tentative="0">
      <w:start w:val="0"/>
      <w:numFmt w:val="bullet"/>
      <w:lvlText w:val="•"/>
      <w:lvlJc w:val="left"/>
      <w:pPr>
        <w:ind w:left="7788" w:hanging="601"/>
      </w:pPr>
      <w:rPr>
        <w:rFonts w:hint="default"/>
        <w:lang w:val="zh-CN" w:eastAsia="zh-CN" w:bidi="zh-CN"/>
      </w:rPr>
    </w:lvl>
  </w:abstractNum>
  <w:abstractNum w:abstractNumId="36">
    <w:nsid w:val="79AA4FA4"/>
    <w:multiLevelType w:val="multilevel"/>
    <w:tmpl w:val="79AA4FA4"/>
    <w:lvl w:ilvl="0" w:tentative="0">
      <w:start w:val="1"/>
      <w:numFmt w:val="decimal"/>
      <w:lvlText w:val="（%1）"/>
      <w:lvlJc w:val="left"/>
      <w:pPr>
        <w:ind w:left="260" w:hanging="601"/>
        <w:jc w:val="left"/>
      </w:pPr>
      <w:rPr>
        <w:rFonts w:hint="default" w:ascii="宋体" w:hAnsi="宋体" w:eastAsia="宋体" w:cs="宋体"/>
        <w:spacing w:val="-20"/>
        <w:w w:val="100"/>
        <w:sz w:val="22"/>
        <w:szCs w:val="22"/>
        <w:lang w:val="zh-CN" w:eastAsia="zh-CN" w:bidi="zh-CN"/>
      </w:rPr>
    </w:lvl>
    <w:lvl w:ilvl="1" w:tentative="0">
      <w:start w:val="0"/>
      <w:numFmt w:val="bullet"/>
      <w:lvlText w:val="•"/>
      <w:lvlJc w:val="left"/>
      <w:pPr>
        <w:ind w:left="1197" w:hanging="601"/>
      </w:pPr>
      <w:rPr>
        <w:rFonts w:hint="default"/>
        <w:lang w:val="zh-CN" w:eastAsia="zh-CN" w:bidi="zh-CN"/>
      </w:rPr>
    </w:lvl>
    <w:lvl w:ilvl="2" w:tentative="0">
      <w:start w:val="0"/>
      <w:numFmt w:val="bullet"/>
      <w:lvlText w:val="•"/>
      <w:lvlJc w:val="left"/>
      <w:pPr>
        <w:ind w:left="2134" w:hanging="601"/>
      </w:pPr>
      <w:rPr>
        <w:rFonts w:hint="default"/>
        <w:lang w:val="zh-CN" w:eastAsia="zh-CN" w:bidi="zh-CN"/>
      </w:rPr>
    </w:lvl>
    <w:lvl w:ilvl="3" w:tentative="0">
      <w:start w:val="0"/>
      <w:numFmt w:val="bullet"/>
      <w:lvlText w:val="•"/>
      <w:lvlJc w:val="left"/>
      <w:pPr>
        <w:ind w:left="3071" w:hanging="601"/>
      </w:pPr>
      <w:rPr>
        <w:rFonts w:hint="default"/>
        <w:lang w:val="zh-CN" w:eastAsia="zh-CN" w:bidi="zh-CN"/>
      </w:rPr>
    </w:lvl>
    <w:lvl w:ilvl="4" w:tentative="0">
      <w:start w:val="0"/>
      <w:numFmt w:val="bullet"/>
      <w:lvlText w:val="•"/>
      <w:lvlJc w:val="left"/>
      <w:pPr>
        <w:ind w:left="4008" w:hanging="601"/>
      </w:pPr>
      <w:rPr>
        <w:rFonts w:hint="default"/>
        <w:lang w:val="zh-CN" w:eastAsia="zh-CN" w:bidi="zh-CN"/>
      </w:rPr>
    </w:lvl>
    <w:lvl w:ilvl="5" w:tentative="0">
      <w:start w:val="0"/>
      <w:numFmt w:val="bullet"/>
      <w:lvlText w:val="•"/>
      <w:lvlJc w:val="left"/>
      <w:pPr>
        <w:ind w:left="4945" w:hanging="601"/>
      </w:pPr>
      <w:rPr>
        <w:rFonts w:hint="default"/>
        <w:lang w:val="zh-CN" w:eastAsia="zh-CN" w:bidi="zh-CN"/>
      </w:rPr>
    </w:lvl>
    <w:lvl w:ilvl="6" w:tentative="0">
      <w:start w:val="0"/>
      <w:numFmt w:val="bullet"/>
      <w:lvlText w:val="•"/>
      <w:lvlJc w:val="left"/>
      <w:pPr>
        <w:ind w:left="5882" w:hanging="601"/>
      </w:pPr>
      <w:rPr>
        <w:rFonts w:hint="default"/>
        <w:lang w:val="zh-CN" w:eastAsia="zh-CN" w:bidi="zh-CN"/>
      </w:rPr>
    </w:lvl>
    <w:lvl w:ilvl="7" w:tentative="0">
      <w:start w:val="0"/>
      <w:numFmt w:val="bullet"/>
      <w:lvlText w:val="•"/>
      <w:lvlJc w:val="left"/>
      <w:pPr>
        <w:ind w:left="6819" w:hanging="601"/>
      </w:pPr>
      <w:rPr>
        <w:rFonts w:hint="default"/>
        <w:lang w:val="zh-CN" w:eastAsia="zh-CN" w:bidi="zh-CN"/>
      </w:rPr>
    </w:lvl>
    <w:lvl w:ilvl="8" w:tentative="0">
      <w:start w:val="0"/>
      <w:numFmt w:val="bullet"/>
      <w:lvlText w:val="•"/>
      <w:lvlJc w:val="left"/>
      <w:pPr>
        <w:ind w:left="7756" w:hanging="601"/>
      </w:pPr>
      <w:rPr>
        <w:rFonts w:hint="default"/>
        <w:lang w:val="zh-CN" w:eastAsia="zh-CN" w:bidi="zh-CN"/>
      </w:rPr>
    </w:lvl>
  </w:abstractNum>
  <w:abstractNum w:abstractNumId="37">
    <w:nsid w:val="7C246926"/>
    <w:multiLevelType w:val="multilevel"/>
    <w:tmpl w:val="7C246926"/>
    <w:lvl w:ilvl="0" w:tentative="0">
      <w:start w:val="1"/>
      <w:numFmt w:val="decimal"/>
      <w:lvlText w:val="（%1）"/>
      <w:lvlJc w:val="left"/>
      <w:pPr>
        <w:ind w:left="740" w:hanging="601"/>
        <w:jc w:val="left"/>
      </w:pPr>
      <w:rPr>
        <w:rFonts w:hint="default" w:ascii="宋体" w:hAnsi="宋体" w:eastAsia="宋体" w:cs="宋体"/>
        <w:b/>
        <w:bCs/>
        <w:w w:val="99"/>
        <w:sz w:val="22"/>
        <w:szCs w:val="22"/>
        <w:lang w:val="zh-CN" w:eastAsia="zh-CN" w:bidi="zh-CN"/>
      </w:rPr>
    </w:lvl>
    <w:lvl w:ilvl="1" w:tentative="0">
      <w:start w:val="0"/>
      <w:numFmt w:val="bullet"/>
      <w:lvlText w:val="•"/>
      <w:lvlJc w:val="left"/>
      <w:pPr>
        <w:ind w:left="1629" w:hanging="601"/>
      </w:pPr>
      <w:rPr>
        <w:rFonts w:hint="default"/>
        <w:lang w:val="zh-CN" w:eastAsia="zh-CN" w:bidi="zh-CN"/>
      </w:rPr>
    </w:lvl>
    <w:lvl w:ilvl="2" w:tentative="0">
      <w:start w:val="0"/>
      <w:numFmt w:val="bullet"/>
      <w:lvlText w:val="•"/>
      <w:lvlJc w:val="left"/>
      <w:pPr>
        <w:ind w:left="2518" w:hanging="601"/>
      </w:pPr>
      <w:rPr>
        <w:rFonts w:hint="default"/>
        <w:lang w:val="zh-CN" w:eastAsia="zh-CN" w:bidi="zh-CN"/>
      </w:rPr>
    </w:lvl>
    <w:lvl w:ilvl="3" w:tentative="0">
      <w:start w:val="0"/>
      <w:numFmt w:val="bullet"/>
      <w:lvlText w:val="•"/>
      <w:lvlJc w:val="left"/>
      <w:pPr>
        <w:ind w:left="3407" w:hanging="601"/>
      </w:pPr>
      <w:rPr>
        <w:rFonts w:hint="default"/>
        <w:lang w:val="zh-CN" w:eastAsia="zh-CN" w:bidi="zh-CN"/>
      </w:rPr>
    </w:lvl>
    <w:lvl w:ilvl="4" w:tentative="0">
      <w:start w:val="0"/>
      <w:numFmt w:val="bullet"/>
      <w:lvlText w:val="•"/>
      <w:lvlJc w:val="left"/>
      <w:pPr>
        <w:ind w:left="4296" w:hanging="601"/>
      </w:pPr>
      <w:rPr>
        <w:rFonts w:hint="default"/>
        <w:lang w:val="zh-CN" w:eastAsia="zh-CN" w:bidi="zh-CN"/>
      </w:rPr>
    </w:lvl>
    <w:lvl w:ilvl="5" w:tentative="0">
      <w:start w:val="0"/>
      <w:numFmt w:val="bullet"/>
      <w:lvlText w:val="•"/>
      <w:lvlJc w:val="left"/>
      <w:pPr>
        <w:ind w:left="5185" w:hanging="601"/>
      </w:pPr>
      <w:rPr>
        <w:rFonts w:hint="default"/>
        <w:lang w:val="zh-CN" w:eastAsia="zh-CN" w:bidi="zh-CN"/>
      </w:rPr>
    </w:lvl>
    <w:lvl w:ilvl="6" w:tentative="0">
      <w:start w:val="0"/>
      <w:numFmt w:val="bullet"/>
      <w:lvlText w:val="•"/>
      <w:lvlJc w:val="left"/>
      <w:pPr>
        <w:ind w:left="6074" w:hanging="601"/>
      </w:pPr>
      <w:rPr>
        <w:rFonts w:hint="default"/>
        <w:lang w:val="zh-CN" w:eastAsia="zh-CN" w:bidi="zh-CN"/>
      </w:rPr>
    </w:lvl>
    <w:lvl w:ilvl="7" w:tentative="0">
      <w:start w:val="0"/>
      <w:numFmt w:val="bullet"/>
      <w:lvlText w:val="•"/>
      <w:lvlJc w:val="left"/>
      <w:pPr>
        <w:ind w:left="6963" w:hanging="601"/>
      </w:pPr>
      <w:rPr>
        <w:rFonts w:hint="default"/>
        <w:lang w:val="zh-CN" w:eastAsia="zh-CN" w:bidi="zh-CN"/>
      </w:rPr>
    </w:lvl>
    <w:lvl w:ilvl="8" w:tentative="0">
      <w:start w:val="0"/>
      <w:numFmt w:val="bullet"/>
      <w:lvlText w:val="•"/>
      <w:lvlJc w:val="left"/>
      <w:pPr>
        <w:ind w:left="7852" w:hanging="601"/>
      </w:pPr>
      <w:rPr>
        <w:rFonts w:hint="default"/>
        <w:lang w:val="zh-CN" w:eastAsia="zh-CN" w:bidi="zh-CN"/>
      </w:rPr>
    </w:lvl>
  </w:abstractNum>
  <w:abstractNum w:abstractNumId="38">
    <w:nsid w:val="7DEC2089"/>
    <w:multiLevelType w:val="multilevel"/>
    <w:tmpl w:val="7DEC2089"/>
    <w:lvl w:ilvl="0" w:tentative="0">
      <w:start w:val="1"/>
      <w:numFmt w:val="decimal"/>
      <w:lvlText w:val="（%1）"/>
      <w:lvlJc w:val="left"/>
      <w:pPr>
        <w:ind w:left="260" w:hanging="601"/>
        <w:jc w:val="left"/>
      </w:pPr>
      <w:rPr>
        <w:rFonts w:hint="default" w:ascii="宋体" w:hAnsi="宋体" w:eastAsia="宋体" w:cs="宋体"/>
        <w:spacing w:val="-51"/>
        <w:w w:val="100"/>
        <w:sz w:val="22"/>
        <w:szCs w:val="22"/>
        <w:lang w:val="zh-CN" w:eastAsia="zh-CN" w:bidi="zh-CN"/>
      </w:rPr>
    </w:lvl>
    <w:lvl w:ilvl="1" w:tentative="0">
      <w:start w:val="0"/>
      <w:numFmt w:val="bullet"/>
      <w:lvlText w:val="•"/>
      <w:lvlJc w:val="left"/>
      <w:pPr>
        <w:ind w:left="1197" w:hanging="601"/>
      </w:pPr>
      <w:rPr>
        <w:rFonts w:hint="default"/>
        <w:lang w:val="zh-CN" w:eastAsia="zh-CN" w:bidi="zh-CN"/>
      </w:rPr>
    </w:lvl>
    <w:lvl w:ilvl="2" w:tentative="0">
      <w:start w:val="0"/>
      <w:numFmt w:val="bullet"/>
      <w:lvlText w:val="•"/>
      <w:lvlJc w:val="left"/>
      <w:pPr>
        <w:ind w:left="2134" w:hanging="601"/>
      </w:pPr>
      <w:rPr>
        <w:rFonts w:hint="default"/>
        <w:lang w:val="zh-CN" w:eastAsia="zh-CN" w:bidi="zh-CN"/>
      </w:rPr>
    </w:lvl>
    <w:lvl w:ilvl="3" w:tentative="0">
      <w:start w:val="0"/>
      <w:numFmt w:val="bullet"/>
      <w:lvlText w:val="•"/>
      <w:lvlJc w:val="left"/>
      <w:pPr>
        <w:ind w:left="3071" w:hanging="601"/>
      </w:pPr>
      <w:rPr>
        <w:rFonts w:hint="default"/>
        <w:lang w:val="zh-CN" w:eastAsia="zh-CN" w:bidi="zh-CN"/>
      </w:rPr>
    </w:lvl>
    <w:lvl w:ilvl="4" w:tentative="0">
      <w:start w:val="0"/>
      <w:numFmt w:val="bullet"/>
      <w:lvlText w:val="•"/>
      <w:lvlJc w:val="left"/>
      <w:pPr>
        <w:ind w:left="4008" w:hanging="601"/>
      </w:pPr>
      <w:rPr>
        <w:rFonts w:hint="default"/>
        <w:lang w:val="zh-CN" w:eastAsia="zh-CN" w:bidi="zh-CN"/>
      </w:rPr>
    </w:lvl>
    <w:lvl w:ilvl="5" w:tentative="0">
      <w:start w:val="0"/>
      <w:numFmt w:val="bullet"/>
      <w:lvlText w:val="•"/>
      <w:lvlJc w:val="left"/>
      <w:pPr>
        <w:ind w:left="4945" w:hanging="601"/>
      </w:pPr>
      <w:rPr>
        <w:rFonts w:hint="default"/>
        <w:lang w:val="zh-CN" w:eastAsia="zh-CN" w:bidi="zh-CN"/>
      </w:rPr>
    </w:lvl>
    <w:lvl w:ilvl="6" w:tentative="0">
      <w:start w:val="0"/>
      <w:numFmt w:val="bullet"/>
      <w:lvlText w:val="•"/>
      <w:lvlJc w:val="left"/>
      <w:pPr>
        <w:ind w:left="5882" w:hanging="601"/>
      </w:pPr>
      <w:rPr>
        <w:rFonts w:hint="default"/>
        <w:lang w:val="zh-CN" w:eastAsia="zh-CN" w:bidi="zh-CN"/>
      </w:rPr>
    </w:lvl>
    <w:lvl w:ilvl="7" w:tentative="0">
      <w:start w:val="0"/>
      <w:numFmt w:val="bullet"/>
      <w:lvlText w:val="•"/>
      <w:lvlJc w:val="left"/>
      <w:pPr>
        <w:ind w:left="6819" w:hanging="601"/>
      </w:pPr>
      <w:rPr>
        <w:rFonts w:hint="default"/>
        <w:lang w:val="zh-CN" w:eastAsia="zh-CN" w:bidi="zh-CN"/>
      </w:rPr>
    </w:lvl>
    <w:lvl w:ilvl="8" w:tentative="0">
      <w:start w:val="0"/>
      <w:numFmt w:val="bullet"/>
      <w:lvlText w:val="•"/>
      <w:lvlJc w:val="left"/>
      <w:pPr>
        <w:ind w:left="7756" w:hanging="601"/>
      </w:pPr>
      <w:rPr>
        <w:rFonts w:hint="default"/>
        <w:lang w:val="zh-CN" w:eastAsia="zh-CN" w:bidi="zh-CN"/>
      </w:rPr>
    </w:lvl>
  </w:abstractNum>
  <w:num w:numId="1">
    <w:abstractNumId w:val="17"/>
  </w:num>
  <w:num w:numId="2">
    <w:abstractNumId w:val="4"/>
  </w:num>
  <w:num w:numId="3">
    <w:abstractNumId w:val="22"/>
  </w:num>
  <w:num w:numId="4">
    <w:abstractNumId w:val="30"/>
  </w:num>
  <w:num w:numId="5">
    <w:abstractNumId w:val="11"/>
  </w:num>
  <w:num w:numId="6">
    <w:abstractNumId w:val="27"/>
  </w:num>
  <w:num w:numId="7">
    <w:abstractNumId w:val="15"/>
  </w:num>
  <w:num w:numId="8">
    <w:abstractNumId w:val="21"/>
  </w:num>
  <w:num w:numId="9">
    <w:abstractNumId w:val="13"/>
  </w:num>
  <w:num w:numId="10">
    <w:abstractNumId w:val="12"/>
  </w:num>
  <w:num w:numId="11">
    <w:abstractNumId w:val="6"/>
  </w:num>
  <w:num w:numId="12">
    <w:abstractNumId w:val="34"/>
  </w:num>
  <w:num w:numId="13">
    <w:abstractNumId w:val="26"/>
  </w:num>
  <w:num w:numId="14">
    <w:abstractNumId w:val="32"/>
  </w:num>
  <w:num w:numId="15">
    <w:abstractNumId w:val="18"/>
  </w:num>
  <w:num w:numId="16">
    <w:abstractNumId w:val="25"/>
  </w:num>
  <w:num w:numId="17">
    <w:abstractNumId w:val="7"/>
  </w:num>
  <w:num w:numId="18">
    <w:abstractNumId w:val="37"/>
  </w:num>
  <w:num w:numId="19">
    <w:abstractNumId w:val="35"/>
  </w:num>
  <w:num w:numId="20">
    <w:abstractNumId w:val="10"/>
  </w:num>
  <w:num w:numId="21">
    <w:abstractNumId w:val="33"/>
  </w:num>
  <w:num w:numId="22">
    <w:abstractNumId w:val="5"/>
  </w:num>
  <w:num w:numId="23">
    <w:abstractNumId w:val="24"/>
  </w:num>
  <w:num w:numId="24">
    <w:abstractNumId w:val="1"/>
  </w:num>
  <w:num w:numId="25">
    <w:abstractNumId w:val="29"/>
  </w:num>
  <w:num w:numId="26">
    <w:abstractNumId w:val="38"/>
  </w:num>
  <w:num w:numId="27">
    <w:abstractNumId w:val="20"/>
  </w:num>
  <w:num w:numId="28">
    <w:abstractNumId w:val="28"/>
  </w:num>
  <w:num w:numId="29">
    <w:abstractNumId w:val="16"/>
  </w:num>
  <w:num w:numId="30">
    <w:abstractNumId w:val="14"/>
  </w:num>
  <w:num w:numId="31">
    <w:abstractNumId w:val="23"/>
  </w:num>
  <w:num w:numId="32">
    <w:abstractNumId w:val="36"/>
  </w:num>
  <w:num w:numId="33">
    <w:abstractNumId w:val="9"/>
  </w:num>
  <w:num w:numId="34">
    <w:abstractNumId w:val="3"/>
  </w:num>
  <w:num w:numId="35">
    <w:abstractNumId w:val="8"/>
  </w:num>
  <w:num w:numId="36">
    <w:abstractNumId w:val="31"/>
  </w:num>
  <w:num w:numId="37">
    <w:abstractNumId w:val="0"/>
  </w:num>
  <w:num w:numId="38">
    <w:abstractNumId w:val="19"/>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Y2NlYmY4OThlNWM3MTk5NTMzODQyZjg0YTg4OTdmYTQifQ=="/>
  </w:docVars>
  <w:rsids>
    <w:rsidRoot w:val="00000000"/>
    <w:rsid w:val="05502F45"/>
    <w:rsid w:val="08E35389"/>
    <w:rsid w:val="0D104767"/>
    <w:rsid w:val="103813CE"/>
    <w:rsid w:val="113B0426"/>
    <w:rsid w:val="14883697"/>
    <w:rsid w:val="14B0131E"/>
    <w:rsid w:val="1A4864EF"/>
    <w:rsid w:val="1CD162A8"/>
    <w:rsid w:val="2DAB0AD8"/>
    <w:rsid w:val="358A6743"/>
    <w:rsid w:val="36892A2D"/>
    <w:rsid w:val="39483D81"/>
    <w:rsid w:val="3DE5230A"/>
    <w:rsid w:val="4058213A"/>
    <w:rsid w:val="41820123"/>
    <w:rsid w:val="43A93CC1"/>
    <w:rsid w:val="49C5702B"/>
    <w:rsid w:val="49D9127D"/>
    <w:rsid w:val="4B5064B5"/>
    <w:rsid w:val="4EBB32FA"/>
    <w:rsid w:val="57C52553"/>
    <w:rsid w:val="5B9D3720"/>
    <w:rsid w:val="62880BD3"/>
    <w:rsid w:val="674978E6"/>
    <w:rsid w:val="6A474E0C"/>
    <w:rsid w:val="6CFD527C"/>
    <w:rsid w:val="79B014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7">
    <w:name w:val="heading 1"/>
    <w:basedOn w:val="1"/>
    <w:next w:val="1"/>
    <w:qFormat/>
    <w:uiPriority w:val="1"/>
    <w:pPr>
      <w:spacing w:before="65"/>
      <w:ind w:left="579" w:hanging="320"/>
      <w:outlineLvl w:val="1"/>
    </w:pPr>
    <w:rPr>
      <w:rFonts w:ascii="宋体" w:hAnsi="宋体" w:eastAsia="宋体" w:cs="宋体"/>
      <w:b/>
      <w:bCs/>
      <w:sz w:val="32"/>
      <w:szCs w:val="32"/>
      <w:lang w:val="zh-CN" w:eastAsia="zh-CN" w:bidi="zh-CN"/>
    </w:rPr>
  </w:style>
  <w:style w:type="paragraph" w:styleId="8">
    <w:name w:val="heading 2"/>
    <w:basedOn w:val="1"/>
    <w:next w:val="1"/>
    <w:qFormat/>
    <w:uiPriority w:val="1"/>
    <w:pPr>
      <w:ind w:left="749" w:hanging="490"/>
      <w:outlineLvl w:val="2"/>
    </w:pPr>
    <w:rPr>
      <w:rFonts w:ascii="宋体" w:hAnsi="宋体" w:eastAsia="宋体" w:cs="宋体"/>
      <w:b/>
      <w:bCs/>
      <w:sz w:val="28"/>
      <w:szCs w:val="28"/>
      <w:lang w:val="zh-CN" w:eastAsia="zh-CN" w:bidi="zh-CN"/>
    </w:rPr>
  </w:style>
  <w:style w:type="paragraph" w:styleId="9">
    <w:name w:val="heading 3"/>
    <w:basedOn w:val="1"/>
    <w:next w:val="1"/>
    <w:qFormat/>
    <w:uiPriority w:val="1"/>
    <w:pPr>
      <w:ind w:left="800" w:hanging="540"/>
      <w:outlineLvl w:val="3"/>
    </w:pPr>
    <w:rPr>
      <w:rFonts w:ascii="宋体" w:hAnsi="宋体" w:eastAsia="宋体" w:cs="宋体"/>
      <w:b/>
      <w:bCs/>
      <w:sz w:val="24"/>
      <w:szCs w:val="24"/>
      <w:lang w:val="zh-CN" w:eastAsia="zh-CN" w:bidi="zh-CN"/>
    </w:rPr>
  </w:style>
  <w:style w:type="character" w:default="1" w:styleId="16">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spacing w:after="0" w:line="460" w:lineRule="exact"/>
      <w:ind w:left="0" w:firstLine="200" w:firstLineChars="200"/>
    </w:pPr>
    <w:rPr>
      <w:sz w:val="24"/>
    </w:rPr>
  </w:style>
  <w:style w:type="paragraph" w:styleId="3">
    <w:name w:val="Body Text Indent"/>
    <w:basedOn w:val="1"/>
    <w:qFormat/>
    <w:uiPriority w:val="0"/>
    <w:pPr>
      <w:spacing w:after="120"/>
      <w:ind w:left="420"/>
    </w:pPr>
  </w:style>
  <w:style w:type="paragraph" w:styleId="4">
    <w:name w:val="Body Text First Indent"/>
    <w:basedOn w:val="5"/>
    <w:next w:val="1"/>
    <w:qFormat/>
    <w:uiPriority w:val="0"/>
    <w:pPr>
      <w:spacing w:after="120"/>
      <w:ind w:firstLine="420" w:firstLineChars="100"/>
    </w:pPr>
    <w:rPr>
      <w:rFonts w:ascii="Times New Roman" w:hAnsi="Times New Roman"/>
      <w:spacing w:val="0"/>
      <w:sz w:val="21"/>
    </w:rPr>
  </w:style>
  <w:style w:type="paragraph" w:styleId="5">
    <w:name w:val="Body Text"/>
    <w:basedOn w:val="1"/>
    <w:next w:val="6"/>
    <w:qFormat/>
    <w:uiPriority w:val="1"/>
    <w:rPr>
      <w:rFonts w:ascii="宋体" w:hAnsi="宋体" w:eastAsia="宋体" w:cs="宋体"/>
      <w:sz w:val="24"/>
      <w:szCs w:val="24"/>
      <w:lang w:val="zh-CN" w:eastAsia="zh-CN" w:bidi="zh-CN"/>
    </w:rPr>
  </w:style>
  <w:style w:type="paragraph" w:customStyle="1" w:styleId="6">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paragraph" w:styleId="10">
    <w:name w:val="toc 3"/>
    <w:basedOn w:val="1"/>
    <w:next w:val="1"/>
    <w:qFormat/>
    <w:uiPriority w:val="1"/>
    <w:pPr>
      <w:spacing w:before="158"/>
      <w:ind w:left="1833" w:hanging="541"/>
    </w:pPr>
    <w:rPr>
      <w:rFonts w:ascii="宋体" w:hAnsi="宋体" w:eastAsia="宋体" w:cs="宋体"/>
      <w:sz w:val="24"/>
      <w:szCs w:val="24"/>
      <w:lang w:val="zh-CN" w:eastAsia="zh-CN" w:bidi="zh-CN"/>
    </w:rPr>
  </w:style>
  <w:style w:type="paragraph" w:styleId="11">
    <w:name w:val="Date"/>
    <w:basedOn w:val="1"/>
    <w:next w:val="1"/>
    <w:qFormat/>
    <w:uiPriority w:val="0"/>
    <w:rPr>
      <w:sz w:val="28"/>
      <w:szCs w:val="20"/>
    </w:rPr>
  </w:style>
  <w:style w:type="paragraph" w:styleId="12">
    <w:name w:val="toc 1"/>
    <w:basedOn w:val="1"/>
    <w:next w:val="1"/>
    <w:qFormat/>
    <w:uiPriority w:val="1"/>
    <w:pPr>
      <w:spacing w:before="4"/>
      <w:ind w:left="1113" w:right="200" w:hanging="1114"/>
    </w:pPr>
    <w:rPr>
      <w:rFonts w:ascii="宋体" w:hAnsi="宋体" w:eastAsia="宋体" w:cs="宋体"/>
      <w:sz w:val="24"/>
      <w:szCs w:val="24"/>
      <w:lang w:val="zh-CN" w:eastAsia="zh-CN" w:bidi="zh-CN"/>
    </w:rPr>
  </w:style>
  <w:style w:type="paragraph" w:styleId="13">
    <w:name w:val="toc 2"/>
    <w:basedOn w:val="1"/>
    <w:next w:val="1"/>
    <w:qFormat/>
    <w:uiPriority w:val="1"/>
    <w:pPr>
      <w:spacing w:before="158"/>
      <w:ind w:left="1113" w:hanging="241"/>
    </w:pPr>
    <w:rPr>
      <w:rFonts w:ascii="宋体" w:hAnsi="宋体" w:eastAsia="宋体" w:cs="宋体"/>
      <w:sz w:val="24"/>
      <w:szCs w:val="24"/>
      <w:lang w:val="zh-CN" w:eastAsia="zh-CN" w:bidi="zh-CN"/>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character" w:styleId="18">
    <w:name w:val="FollowedHyperlink"/>
    <w:basedOn w:val="16"/>
    <w:qFormat/>
    <w:uiPriority w:val="0"/>
    <w:rPr>
      <w:color w:val="338DE6"/>
      <w:u w:val="none"/>
    </w:rPr>
  </w:style>
  <w:style w:type="character" w:styleId="19">
    <w:name w:val="Emphasis"/>
    <w:basedOn w:val="16"/>
    <w:qFormat/>
    <w:uiPriority w:val="0"/>
  </w:style>
  <w:style w:type="character" w:styleId="20">
    <w:name w:val="HTML Definition"/>
    <w:basedOn w:val="16"/>
    <w:qFormat/>
    <w:uiPriority w:val="0"/>
  </w:style>
  <w:style w:type="character" w:styleId="21">
    <w:name w:val="HTML Variable"/>
    <w:basedOn w:val="16"/>
    <w:qFormat/>
    <w:uiPriority w:val="0"/>
  </w:style>
  <w:style w:type="character" w:styleId="22">
    <w:name w:val="Hyperlink"/>
    <w:basedOn w:val="16"/>
    <w:qFormat/>
    <w:uiPriority w:val="0"/>
    <w:rPr>
      <w:color w:val="338DE6"/>
      <w:u w:val="none"/>
    </w:rPr>
  </w:style>
  <w:style w:type="character" w:styleId="23">
    <w:name w:val="HTML Code"/>
    <w:basedOn w:val="16"/>
    <w:qFormat/>
    <w:uiPriority w:val="0"/>
    <w:rPr>
      <w:rFonts w:ascii="serif" w:hAnsi="serif" w:eastAsia="serif" w:cs="serif"/>
      <w:sz w:val="21"/>
      <w:szCs w:val="21"/>
    </w:rPr>
  </w:style>
  <w:style w:type="character" w:styleId="24">
    <w:name w:val="HTML Cite"/>
    <w:basedOn w:val="16"/>
    <w:qFormat/>
    <w:uiPriority w:val="0"/>
  </w:style>
  <w:style w:type="character" w:styleId="25">
    <w:name w:val="HTML Keyboard"/>
    <w:basedOn w:val="16"/>
    <w:qFormat/>
    <w:uiPriority w:val="0"/>
    <w:rPr>
      <w:rFonts w:hint="default" w:ascii="serif" w:hAnsi="serif" w:eastAsia="serif" w:cs="serif"/>
      <w:sz w:val="21"/>
      <w:szCs w:val="21"/>
    </w:rPr>
  </w:style>
  <w:style w:type="character" w:styleId="26">
    <w:name w:val="HTML Sample"/>
    <w:basedOn w:val="16"/>
    <w:qFormat/>
    <w:uiPriority w:val="0"/>
    <w:rPr>
      <w:rFonts w:hint="default" w:ascii="serif" w:hAnsi="serif" w:eastAsia="serif" w:cs="serif"/>
      <w:sz w:val="21"/>
      <w:szCs w:val="21"/>
    </w:rPr>
  </w:style>
  <w:style w:type="paragraph" w:customStyle="1" w:styleId="27">
    <w:name w:val="Default"/>
    <w:basedOn w:val="28"/>
    <w:next w:val="2"/>
    <w:qFormat/>
    <w:uiPriority w:val="0"/>
    <w:pPr>
      <w:widowControl w:val="0"/>
      <w:autoSpaceDE w:val="0"/>
      <w:autoSpaceDN w:val="0"/>
      <w:adjustRightInd w:val="0"/>
    </w:pPr>
    <w:rPr>
      <w:rFonts w:ascii="宋体" w:hAnsi="Times New Roman" w:cs="Arial"/>
      <w:color w:val="000000"/>
      <w:kern w:val="2"/>
      <w:sz w:val="24"/>
      <w:szCs w:val="24"/>
      <w:lang w:val="en-US" w:eastAsia="zh-CN" w:bidi="ar-SA"/>
    </w:rPr>
  </w:style>
  <w:style w:type="paragraph" w:customStyle="1" w:styleId="28">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table" w:customStyle="1" w:styleId="29">
    <w:name w:val="Table Normal"/>
    <w:semiHidden/>
    <w:unhideWhenUsed/>
    <w:qFormat/>
    <w:uiPriority w:val="2"/>
    <w:tblPr>
      <w:tblCellMar>
        <w:top w:w="0" w:type="dxa"/>
        <w:left w:w="0" w:type="dxa"/>
        <w:bottom w:w="0" w:type="dxa"/>
        <w:right w:w="0" w:type="dxa"/>
      </w:tblCellMar>
    </w:tblPr>
  </w:style>
  <w:style w:type="paragraph" w:styleId="30">
    <w:name w:val="List Paragraph"/>
    <w:basedOn w:val="1"/>
    <w:qFormat/>
    <w:uiPriority w:val="1"/>
    <w:pPr>
      <w:ind w:left="1341" w:hanging="601"/>
    </w:pPr>
    <w:rPr>
      <w:rFonts w:ascii="宋体" w:hAnsi="宋体" w:eastAsia="宋体" w:cs="宋体"/>
      <w:lang w:val="zh-CN" w:eastAsia="zh-CN" w:bidi="zh-CN"/>
    </w:rPr>
  </w:style>
  <w:style w:type="paragraph" w:customStyle="1" w:styleId="31">
    <w:name w:val="Table Paragraph"/>
    <w:basedOn w:val="1"/>
    <w:qFormat/>
    <w:uiPriority w:val="1"/>
    <w:pPr>
      <w:jc w:val="center"/>
    </w:pPr>
    <w:rPr>
      <w:rFonts w:ascii="宋体" w:hAnsi="宋体" w:eastAsia="宋体" w:cs="宋体"/>
      <w:lang w:val="zh-CN" w:eastAsia="zh-CN" w:bidi="zh-CN"/>
    </w:rPr>
  </w:style>
  <w:style w:type="paragraph" w:customStyle="1" w:styleId="32">
    <w:name w:val="样式55"/>
    <w:basedOn w:val="33"/>
    <w:qFormat/>
    <w:uiPriority w:val="0"/>
    <w:pPr>
      <w:spacing w:beforeLines="0" w:afterLines="0"/>
      <w:ind w:firstLine="480"/>
    </w:pPr>
  </w:style>
  <w:style w:type="paragraph" w:customStyle="1" w:styleId="33">
    <w:name w:val="正文（YHY-GDB)"/>
    <w:basedOn w:val="1"/>
    <w:qFormat/>
    <w:uiPriority w:val="0"/>
    <w:pPr>
      <w:spacing w:beforeLines="50" w:afterLines="50" w:line="360" w:lineRule="auto"/>
      <w:ind w:firstLine="200" w:firstLineChars="200"/>
    </w:pPr>
    <w:rPr>
      <w:sz w:val="24"/>
    </w:rPr>
  </w:style>
  <w:style w:type="paragraph" w:customStyle="1" w:styleId="34">
    <w:name w:val="样式56"/>
    <w:basedOn w:val="35"/>
    <w:qFormat/>
    <w:uiPriority w:val="0"/>
  </w:style>
  <w:style w:type="paragraph" w:customStyle="1" w:styleId="35">
    <w:name w:val="表文"/>
    <w:qFormat/>
    <w:uiPriority w:val="0"/>
    <w:pPr>
      <w:jc w:val="center"/>
    </w:pPr>
    <w:rPr>
      <w:rFonts w:ascii="Times New Roman" w:hAnsi="Times New Roman" w:eastAsia="宋体" w:cs="Times New Roman"/>
      <w:sz w:val="21"/>
      <w:lang w:val="en-US" w:eastAsia="zh-CN" w:bidi="ar-SA"/>
    </w:rPr>
  </w:style>
  <w:style w:type="paragraph" w:customStyle="1" w:styleId="36">
    <w:name w:val="表格中文字"/>
    <w:basedOn w:val="1"/>
    <w:qFormat/>
    <w:uiPriority w:val="0"/>
    <w:pPr>
      <w:adjustRightInd w:val="0"/>
      <w:snapToGrid w:val="0"/>
      <w:jc w:val="center"/>
    </w:pPr>
    <w:rPr>
      <w:kern w:val="18"/>
      <w:szCs w:val="21"/>
    </w:rPr>
  </w:style>
  <w:style w:type="paragraph" w:customStyle="1" w:styleId="37">
    <w:name w:val="表格内容jenney"/>
    <w:basedOn w:val="1"/>
    <w:qFormat/>
    <w:uiPriority w:val="0"/>
    <w:pPr>
      <w:adjustRightInd w:val="0"/>
      <w:snapToGrid w:val="0"/>
      <w:jc w:val="center"/>
    </w:pPr>
    <w:rPr>
      <w:snapToGrid w:val="0"/>
      <w:kern w:val="0"/>
      <w:szCs w:val="20"/>
    </w:rPr>
  </w:style>
  <w:style w:type="character" w:customStyle="1" w:styleId="38">
    <w:name w:val="fontborder"/>
    <w:basedOn w:val="16"/>
    <w:qFormat/>
    <w:uiPriority w:val="0"/>
    <w:rPr>
      <w:bdr w:val="single" w:color="000000" w:sz="6" w:space="0"/>
    </w:rPr>
  </w:style>
  <w:style w:type="character" w:customStyle="1" w:styleId="39">
    <w:name w:val="fontstrikethrough"/>
    <w:basedOn w:val="16"/>
    <w:qFormat/>
    <w:uiPriority w:val="0"/>
    <w:rPr>
      <w:strike/>
    </w:rPr>
  </w:style>
  <w:style w:type="character" w:customStyle="1" w:styleId="40">
    <w:name w:val="normal1"/>
    <w:basedOn w:val="16"/>
    <w:qFormat/>
    <w:uiPriority w:val="0"/>
    <w:rPr>
      <w:b/>
      <w:sz w:val="19"/>
      <w:szCs w:val="19"/>
    </w:rPr>
  </w:style>
  <w:style w:type="paragraph" w:customStyle="1" w:styleId="41">
    <w:name w:val="表格内容样式"/>
    <w:basedOn w:val="1"/>
    <w:qFormat/>
    <w:uiPriority w:val="0"/>
    <w:pPr>
      <w:widowControl/>
      <w:adjustRightInd w:val="0"/>
      <w:snapToGrid w:val="0"/>
      <w:jc w:val="center"/>
    </w:pPr>
    <w:rPr>
      <w:rFonts w:ascii="Times New Roman" w:hAnsi="Times New Roman"/>
      <w:color w:val="000000"/>
      <w:kern w:val="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3.jpeg"/><Relationship Id="rId30" Type="http://schemas.openxmlformats.org/officeDocument/2006/relationships/image" Target="media/image12.jpeg"/><Relationship Id="rId3" Type="http://schemas.openxmlformats.org/officeDocument/2006/relationships/footnotes" Target="footnotes.xml"/><Relationship Id="rId29" Type="http://schemas.openxmlformats.org/officeDocument/2006/relationships/image" Target="media/image11.jpeg"/><Relationship Id="rId28" Type="http://schemas.openxmlformats.org/officeDocument/2006/relationships/image" Target="media/image10.jpeg"/><Relationship Id="rId27" Type="http://schemas.openxmlformats.org/officeDocument/2006/relationships/image" Target="media/image9.jpeg"/><Relationship Id="rId26" Type="http://schemas.openxmlformats.org/officeDocument/2006/relationships/image" Target="media/image8.jpeg"/><Relationship Id="rId25" Type="http://schemas.openxmlformats.org/officeDocument/2006/relationships/image" Target="media/image7.jpeg"/><Relationship Id="rId24" Type="http://schemas.openxmlformats.org/officeDocument/2006/relationships/image" Target="media/image6.png"/><Relationship Id="rId23" Type="http://schemas.openxmlformats.org/officeDocument/2006/relationships/image" Target="media/image5.jpeg"/><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3"/>
    <customShpInfo spid="_x0000_s2064"/>
    <customShpInfo spid="_x0000_s206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38126</Words>
  <Characters>40754</Characters>
  <TotalTime>1</TotalTime>
  <ScaleCrop>false</ScaleCrop>
  <LinksUpToDate>false</LinksUpToDate>
  <CharactersWithSpaces>43510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2020-12-04T07:25:00Z</dcterms:created>
  <dc:creator>Administrator</dc:creator>
  <cp:lastModifiedBy>仙人掌</cp:lastModifiedBy>
  <dcterms:modified xsi:type="dcterms:W3CDTF">2023-10-09T08:48:50Z</dcterms:modified>
  <dc:title>南方汇通股份有限公司重大环境污染事故应急预案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2019-04-30T00:00:00Z</vt:filetime>
  </property>
  <property fmtid="{D5CDD505-2E9C-101B-9397-08002B2CF9AE}" pid="3" name="Creator">
    <vt:lpwstr>WPS 文字</vt:lpwstr>
  </property>
  <property fmtid="{D5CDD505-2E9C-101B-9397-08002B2CF9AE}" pid="4" name="LastSaved">
    <vt:filetime>2020-12-04T00:00:00Z</vt:filetime>
  </property>
  <property fmtid="{D5CDD505-2E9C-101B-9397-08002B2CF9AE}" pid="5" name="KSOProductBuildVer">
    <vt:lpwstr>2052-12.1.0.15374</vt:lpwstr>
  </property>
  <property fmtid="{D5CDD505-2E9C-101B-9397-08002B2CF9AE}" pid="6" name="ICV">
    <vt:lpwstr>489AAE355E954708A6F184057D61F9B2</vt:lpwstr>
  </property>
</Properties>
</file>