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BC5" w:rsidRDefault="00015BC5">
      <w:pPr>
        <w:jc w:val="center"/>
        <w:rPr>
          <w:b/>
          <w:bCs/>
          <w:sz w:val="48"/>
          <w:szCs w:val="48"/>
        </w:rPr>
      </w:pPr>
    </w:p>
    <w:p w:rsidR="00015BC5" w:rsidRDefault="00BC55F7">
      <w:pPr>
        <w:jc w:val="center"/>
        <w:rPr>
          <w:b/>
          <w:bCs/>
          <w:sz w:val="48"/>
          <w:szCs w:val="48"/>
        </w:rPr>
      </w:pPr>
      <w:r>
        <w:rPr>
          <w:rFonts w:hint="eastAsia"/>
          <w:b/>
          <w:bCs/>
          <w:sz w:val="48"/>
          <w:szCs w:val="48"/>
        </w:rPr>
        <w:t>南阳市金鑫矿业有限公司</w:t>
      </w:r>
    </w:p>
    <w:p w:rsidR="00015BC5" w:rsidRDefault="00BC55F7">
      <w:pPr>
        <w:jc w:val="center"/>
        <w:rPr>
          <w:b/>
          <w:bCs/>
          <w:sz w:val="48"/>
          <w:szCs w:val="48"/>
        </w:rPr>
      </w:pPr>
      <w:r>
        <w:rPr>
          <w:rFonts w:hint="eastAsia"/>
          <w:b/>
          <w:bCs/>
          <w:sz w:val="48"/>
          <w:szCs w:val="48"/>
        </w:rPr>
        <w:t>土壤和地下水检测方案</w:t>
      </w:r>
    </w:p>
    <w:p w:rsidR="00015BC5" w:rsidRDefault="00015BC5">
      <w:pPr>
        <w:jc w:val="center"/>
        <w:rPr>
          <w:sz w:val="32"/>
          <w:szCs w:val="32"/>
        </w:rPr>
      </w:pPr>
    </w:p>
    <w:p w:rsidR="00015BC5" w:rsidRDefault="00015BC5">
      <w:pPr>
        <w:jc w:val="center"/>
        <w:rPr>
          <w:sz w:val="32"/>
          <w:szCs w:val="32"/>
        </w:rPr>
      </w:pPr>
    </w:p>
    <w:p w:rsidR="00015BC5" w:rsidRDefault="00015BC5">
      <w:pPr>
        <w:jc w:val="center"/>
        <w:rPr>
          <w:sz w:val="32"/>
          <w:szCs w:val="32"/>
        </w:rPr>
      </w:pPr>
    </w:p>
    <w:p w:rsidR="00015BC5" w:rsidRDefault="00015BC5">
      <w:pPr>
        <w:jc w:val="center"/>
        <w:rPr>
          <w:sz w:val="32"/>
          <w:szCs w:val="32"/>
        </w:rPr>
      </w:pPr>
    </w:p>
    <w:p w:rsidR="00015BC5" w:rsidRDefault="00015BC5">
      <w:pPr>
        <w:jc w:val="center"/>
        <w:rPr>
          <w:sz w:val="32"/>
          <w:szCs w:val="32"/>
        </w:rPr>
      </w:pPr>
    </w:p>
    <w:p w:rsidR="00015BC5" w:rsidRDefault="00015BC5">
      <w:pPr>
        <w:jc w:val="center"/>
        <w:rPr>
          <w:sz w:val="32"/>
          <w:szCs w:val="32"/>
        </w:rPr>
      </w:pPr>
    </w:p>
    <w:p w:rsidR="00015BC5" w:rsidRDefault="00015BC5">
      <w:pPr>
        <w:jc w:val="center"/>
        <w:rPr>
          <w:sz w:val="32"/>
          <w:szCs w:val="32"/>
        </w:rPr>
      </w:pPr>
    </w:p>
    <w:p w:rsidR="00015BC5" w:rsidRDefault="00015BC5">
      <w:pPr>
        <w:jc w:val="center"/>
        <w:rPr>
          <w:b/>
          <w:sz w:val="32"/>
          <w:szCs w:val="32"/>
        </w:rPr>
      </w:pPr>
    </w:p>
    <w:p w:rsidR="00015BC5" w:rsidRDefault="00BC55F7">
      <w:pPr>
        <w:jc w:val="center"/>
        <w:rPr>
          <w:b/>
          <w:sz w:val="32"/>
          <w:szCs w:val="32"/>
        </w:rPr>
      </w:pPr>
      <w:r>
        <w:rPr>
          <w:rFonts w:hint="eastAsia"/>
          <w:b/>
          <w:sz w:val="32"/>
          <w:szCs w:val="32"/>
        </w:rPr>
        <w:t xml:space="preserve">  </w:t>
      </w:r>
      <w:r>
        <w:rPr>
          <w:rFonts w:hint="eastAsia"/>
          <w:b/>
          <w:sz w:val="32"/>
          <w:szCs w:val="32"/>
        </w:rPr>
        <w:t>编制单位：河南省微米检测科技有限公司</w:t>
      </w:r>
    </w:p>
    <w:p w:rsidR="00015BC5" w:rsidRDefault="00015BC5">
      <w:pPr>
        <w:jc w:val="center"/>
        <w:rPr>
          <w:b/>
          <w:sz w:val="32"/>
          <w:szCs w:val="32"/>
        </w:rPr>
      </w:pPr>
    </w:p>
    <w:p w:rsidR="00015BC5" w:rsidRDefault="00BC55F7">
      <w:pPr>
        <w:ind w:firstLineChars="400" w:firstLine="1285"/>
        <w:rPr>
          <w:b/>
          <w:sz w:val="32"/>
          <w:szCs w:val="32"/>
        </w:rPr>
      </w:pPr>
      <w:r>
        <w:rPr>
          <w:rFonts w:hint="eastAsia"/>
          <w:b/>
          <w:sz w:val="32"/>
          <w:szCs w:val="32"/>
        </w:rPr>
        <w:t>委托单位：南阳市金鑫矿业有限公司</w:t>
      </w:r>
    </w:p>
    <w:p w:rsidR="00015BC5" w:rsidRDefault="00015BC5">
      <w:pPr>
        <w:ind w:firstLineChars="400" w:firstLine="1285"/>
        <w:rPr>
          <w:b/>
          <w:sz w:val="32"/>
          <w:szCs w:val="32"/>
        </w:rPr>
      </w:pPr>
    </w:p>
    <w:p w:rsidR="00015BC5" w:rsidRDefault="00BC55F7">
      <w:pPr>
        <w:ind w:firstLineChars="400" w:firstLine="1285"/>
        <w:rPr>
          <w:b/>
          <w:sz w:val="32"/>
          <w:szCs w:val="32"/>
        </w:rPr>
      </w:pPr>
      <w:r>
        <w:rPr>
          <w:rFonts w:hint="eastAsia"/>
          <w:b/>
          <w:sz w:val="32"/>
          <w:szCs w:val="32"/>
        </w:rPr>
        <w:t>见证单位：南阳市生态环保局淅川分局土壤办</w:t>
      </w:r>
    </w:p>
    <w:p w:rsidR="00015BC5" w:rsidRDefault="00015BC5">
      <w:pPr>
        <w:jc w:val="center"/>
        <w:rPr>
          <w:b/>
          <w:sz w:val="32"/>
          <w:szCs w:val="32"/>
        </w:rPr>
      </w:pPr>
    </w:p>
    <w:p w:rsidR="00015BC5" w:rsidRDefault="00BC55F7">
      <w:pPr>
        <w:ind w:firstLineChars="400" w:firstLine="1285"/>
        <w:rPr>
          <w:b/>
          <w:sz w:val="32"/>
          <w:szCs w:val="32"/>
        </w:rPr>
      </w:pPr>
      <w:r>
        <w:rPr>
          <w:rFonts w:hint="eastAsia"/>
          <w:b/>
          <w:sz w:val="32"/>
          <w:szCs w:val="32"/>
        </w:rPr>
        <w:t>编制时间：</w:t>
      </w:r>
      <w:r>
        <w:rPr>
          <w:rFonts w:hint="eastAsia"/>
          <w:b/>
          <w:sz w:val="32"/>
          <w:szCs w:val="32"/>
        </w:rPr>
        <w:t>2022</w:t>
      </w:r>
      <w:r>
        <w:rPr>
          <w:rFonts w:hint="eastAsia"/>
          <w:b/>
          <w:sz w:val="32"/>
          <w:szCs w:val="32"/>
        </w:rPr>
        <w:t>年</w:t>
      </w:r>
      <w:r>
        <w:rPr>
          <w:rFonts w:hint="eastAsia"/>
          <w:b/>
          <w:sz w:val="32"/>
          <w:szCs w:val="32"/>
        </w:rPr>
        <w:t>07</w:t>
      </w:r>
      <w:r>
        <w:rPr>
          <w:rFonts w:hint="eastAsia"/>
          <w:b/>
          <w:sz w:val="32"/>
          <w:szCs w:val="32"/>
        </w:rPr>
        <w:t>月</w:t>
      </w:r>
      <w:r>
        <w:rPr>
          <w:rFonts w:hint="eastAsia"/>
          <w:b/>
          <w:sz w:val="32"/>
          <w:szCs w:val="32"/>
        </w:rPr>
        <w:t>29</w:t>
      </w:r>
      <w:r>
        <w:rPr>
          <w:rFonts w:hint="eastAsia"/>
          <w:b/>
          <w:sz w:val="32"/>
          <w:szCs w:val="32"/>
        </w:rPr>
        <w:t>日</w:t>
      </w:r>
    </w:p>
    <w:p w:rsidR="00015BC5" w:rsidRDefault="00015BC5">
      <w:pPr>
        <w:ind w:firstLineChars="400" w:firstLine="1285"/>
        <w:rPr>
          <w:b/>
          <w:sz w:val="32"/>
          <w:szCs w:val="32"/>
        </w:rPr>
      </w:pPr>
    </w:p>
    <w:p w:rsidR="00015BC5" w:rsidRDefault="00015BC5">
      <w:pPr>
        <w:ind w:firstLineChars="400" w:firstLine="1285"/>
        <w:rPr>
          <w:b/>
          <w:sz w:val="32"/>
          <w:szCs w:val="32"/>
        </w:rPr>
      </w:pPr>
    </w:p>
    <w:p w:rsidR="00015BC5" w:rsidRDefault="00015BC5">
      <w:pPr>
        <w:ind w:firstLineChars="400" w:firstLine="1285"/>
        <w:rPr>
          <w:b/>
          <w:sz w:val="32"/>
          <w:szCs w:val="32"/>
        </w:rPr>
      </w:pPr>
    </w:p>
    <w:p w:rsidR="00015BC5" w:rsidRDefault="00015BC5">
      <w:pPr>
        <w:ind w:firstLineChars="400" w:firstLine="1285"/>
        <w:rPr>
          <w:b/>
          <w:sz w:val="32"/>
          <w:szCs w:val="32"/>
        </w:rPr>
      </w:pPr>
    </w:p>
    <w:p w:rsidR="00015BC5" w:rsidRDefault="00BC55F7">
      <w:pPr>
        <w:numPr>
          <w:ilvl w:val="0"/>
          <w:numId w:val="1"/>
        </w:numPr>
        <w:rPr>
          <w:b/>
          <w:sz w:val="28"/>
          <w:szCs w:val="28"/>
        </w:rPr>
      </w:pPr>
      <w:r>
        <w:rPr>
          <w:rFonts w:hint="eastAsia"/>
          <w:b/>
          <w:sz w:val="28"/>
          <w:szCs w:val="28"/>
        </w:rPr>
        <w:lastRenderedPageBreak/>
        <w:t>政策依据</w:t>
      </w:r>
    </w:p>
    <w:p w:rsidR="00015BC5" w:rsidRDefault="00BC55F7">
      <w:pPr>
        <w:rPr>
          <w:b/>
          <w:bCs/>
          <w:sz w:val="28"/>
          <w:szCs w:val="28"/>
        </w:rPr>
      </w:pPr>
      <w:r>
        <w:rPr>
          <w:rFonts w:hint="eastAsia"/>
          <w:b/>
          <w:sz w:val="28"/>
          <w:szCs w:val="28"/>
        </w:rPr>
        <w:t xml:space="preserve">   </w:t>
      </w:r>
      <w:r w:rsidR="00267E64">
        <w:rPr>
          <w:rFonts w:hint="eastAsia"/>
          <w:b/>
          <w:bCs/>
          <w:sz w:val="28"/>
          <w:szCs w:val="28"/>
        </w:rPr>
        <w:t>为贯彻落实《中华人民共和国土壤污染防治法》，</w:t>
      </w:r>
      <w:r>
        <w:rPr>
          <w:rFonts w:hint="eastAsia"/>
          <w:b/>
          <w:bCs/>
          <w:sz w:val="28"/>
          <w:szCs w:val="28"/>
        </w:rPr>
        <w:t>《河南省土壤污染防治攻坚战土壤环境监测制度与能力建设工作任务分工的通知》（豫环文</w:t>
      </w:r>
      <w:r>
        <w:rPr>
          <w:rFonts w:hint="eastAsia"/>
          <w:b/>
          <w:bCs/>
          <w:sz w:val="28"/>
          <w:szCs w:val="28"/>
        </w:rPr>
        <w:t>{2018}101</w:t>
      </w:r>
      <w:r>
        <w:rPr>
          <w:rFonts w:hint="eastAsia"/>
          <w:b/>
          <w:bCs/>
          <w:sz w:val="28"/>
          <w:szCs w:val="28"/>
        </w:rPr>
        <w:t>号）精神，按照《河南省环境保护厅办公室关于做好土壤环境重点监管企业及周边土壤环境监测工作的通知》（豫环办</w:t>
      </w:r>
      <w:r>
        <w:rPr>
          <w:rFonts w:hint="eastAsia"/>
          <w:b/>
          <w:bCs/>
          <w:sz w:val="28"/>
          <w:szCs w:val="28"/>
        </w:rPr>
        <w:t>{2018}66</w:t>
      </w:r>
      <w:r w:rsidR="006860CD">
        <w:rPr>
          <w:rFonts w:hint="eastAsia"/>
          <w:b/>
          <w:bCs/>
          <w:sz w:val="28"/>
          <w:szCs w:val="28"/>
        </w:rPr>
        <w:t>号）</w:t>
      </w:r>
      <w:r w:rsidR="00267876">
        <w:rPr>
          <w:rFonts w:hint="eastAsia"/>
          <w:b/>
          <w:bCs/>
          <w:sz w:val="28"/>
          <w:szCs w:val="28"/>
        </w:rPr>
        <w:t>、</w:t>
      </w:r>
      <w:r w:rsidR="006860CD">
        <w:rPr>
          <w:rFonts w:hint="eastAsia"/>
          <w:b/>
          <w:bCs/>
          <w:sz w:val="28"/>
          <w:szCs w:val="28"/>
        </w:rPr>
        <w:t>《河南省</w:t>
      </w:r>
      <w:r w:rsidR="006860CD">
        <w:rPr>
          <w:rFonts w:hint="eastAsia"/>
          <w:b/>
          <w:bCs/>
          <w:sz w:val="28"/>
          <w:szCs w:val="28"/>
        </w:rPr>
        <w:t>2022</w:t>
      </w:r>
      <w:r w:rsidR="006860CD">
        <w:rPr>
          <w:rFonts w:hint="eastAsia"/>
          <w:b/>
          <w:bCs/>
          <w:sz w:val="28"/>
          <w:szCs w:val="28"/>
        </w:rPr>
        <w:t>年生态环境监测方案》及</w:t>
      </w:r>
      <w:r w:rsidR="00267876">
        <w:rPr>
          <w:rFonts w:hint="eastAsia"/>
          <w:b/>
          <w:bCs/>
          <w:sz w:val="28"/>
          <w:szCs w:val="28"/>
        </w:rPr>
        <w:t>南阳市生态环境局</w:t>
      </w:r>
      <w:r>
        <w:rPr>
          <w:rFonts w:hint="eastAsia"/>
          <w:b/>
          <w:bCs/>
          <w:sz w:val="28"/>
          <w:szCs w:val="28"/>
        </w:rPr>
        <w:t>《</w:t>
      </w:r>
      <w:r>
        <w:rPr>
          <w:b/>
          <w:bCs/>
          <w:sz w:val="28"/>
          <w:szCs w:val="28"/>
        </w:rPr>
        <w:t>关于</w:t>
      </w:r>
      <w:r w:rsidR="00267876">
        <w:rPr>
          <w:rFonts w:hint="eastAsia"/>
          <w:b/>
          <w:bCs/>
          <w:sz w:val="28"/>
          <w:szCs w:val="28"/>
        </w:rPr>
        <w:t>下达</w:t>
      </w:r>
      <w:r>
        <w:rPr>
          <w:b/>
          <w:bCs/>
          <w:sz w:val="28"/>
          <w:szCs w:val="28"/>
        </w:rPr>
        <w:t>202</w:t>
      </w:r>
      <w:r w:rsidR="006860CD">
        <w:rPr>
          <w:rFonts w:hint="eastAsia"/>
          <w:b/>
          <w:bCs/>
          <w:sz w:val="28"/>
          <w:szCs w:val="28"/>
        </w:rPr>
        <w:t>2</w:t>
      </w:r>
      <w:r>
        <w:rPr>
          <w:b/>
          <w:bCs/>
          <w:sz w:val="28"/>
          <w:szCs w:val="28"/>
        </w:rPr>
        <w:t>年度土壤污染重点监管单位</w:t>
      </w:r>
      <w:r w:rsidR="00267876">
        <w:rPr>
          <w:rFonts w:hint="eastAsia"/>
          <w:b/>
          <w:bCs/>
          <w:sz w:val="28"/>
          <w:szCs w:val="28"/>
        </w:rPr>
        <w:t>监测任务的通知</w:t>
      </w:r>
      <w:r>
        <w:rPr>
          <w:rFonts w:hint="eastAsia"/>
          <w:b/>
          <w:bCs/>
          <w:sz w:val="28"/>
          <w:szCs w:val="28"/>
        </w:rPr>
        <w:t>》</w:t>
      </w:r>
      <w:r w:rsidR="00267876">
        <w:rPr>
          <w:rFonts w:hint="eastAsia"/>
          <w:b/>
          <w:bCs/>
          <w:sz w:val="28"/>
          <w:szCs w:val="28"/>
        </w:rPr>
        <w:t>（宛环办【</w:t>
      </w:r>
      <w:r w:rsidR="00267876">
        <w:rPr>
          <w:rFonts w:hint="eastAsia"/>
          <w:b/>
          <w:bCs/>
          <w:sz w:val="28"/>
          <w:szCs w:val="28"/>
        </w:rPr>
        <w:t>2022</w:t>
      </w:r>
      <w:r w:rsidR="00267876">
        <w:rPr>
          <w:rFonts w:hint="eastAsia"/>
          <w:b/>
          <w:bCs/>
          <w:sz w:val="28"/>
          <w:szCs w:val="28"/>
        </w:rPr>
        <w:t>】</w:t>
      </w:r>
      <w:r w:rsidR="00267876">
        <w:rPr>
          <w:rFonts w:hint="eastAsia"/>
          <w:b/>
          <w:bCs/>
          <w:sz w:val="28"/>
          <w:szCs w:val="28"/>
        </w:rPr>
        <w:t>6</w:t>
      </w:r>
      <w:r w:rsidR="00267876">
        <w:rPr>
          <w:rFonts w:hint="eastAsia"/>
          <w:b/>
          <w:bCs/>
          <w:sz w:val="28"/>
          <w:szCs w:val="28"/>
        </w:rPr>
        <w:t>号）</w:t>
      </w:r>
      <w:r>
        <w:rPr>
          <w:rFonts w:hint="eastAsia"/>
          <w:b/>
          <w:bCs/>
          <w:sz w:val="28"/>
          <w:szCs w:val="28"/>
        </w:rPr>
        <w:t>。</w:t>
      </w:r>
    </w:p>
    <w:p w:rsidR="00015BC5" w:rsidRDefault="00BC55F7">
      <w:pPr>
        <w:rPr>
          <w:b/>
          <w:sz w:val="28"/>
          <w:szCs w:val="28"/>
        </w:rPr>
      </w:pPr>
      <w:r>
        <w:rPr>
          <w:rFonts w:hint="eastAsia"/>
          <w:b/>
          <w:sz w:val="28"/>
          <w:szCs w:val="28"/>
        </w:rPr>
        <w:t>二、</w:t>
      </w:r>
      <w:r>
        <w:rPr>
          <w:b/>
          <w:sz w:val="28"/>
          <w:szCs w:val="28"/>
        </w:rPr>
        <w:t>检测目的</w:t>
      </w:r>
    </w:p>
    <w:p w:rsidR="00015BC5" w:rsidRDefault="00BC55F7">
      <w:pPr>
        <w:rPr>
          <w:b/>
          <w:sz w:val="28"/>
          <w:szCs w:val="28"/>
        </w:rPr>
      </w:pPr>
      <w:r>
        <w:rPr>
          <w:b/>
          <w:sz w:val="28"/>
          <w:szCs w:val="28"/>
        </w:rPr>
        <w:t>I</w:t>
      </w:r>
      <w:r>
        <w:rPr>
          <w:b/>
          <w:sz w:val="28"/>
          <w:szCs w:val="28"/>
        </w:rPr>
        <w:t>、判断土壤被污染状况</w:t>
      </w:r>
      <w:r>
        <w:rPr>
          <w:b/>
          <w:sz w:val="28"/>
          <w:szCs w:val="28"/>
        </w:rPr>
        <w:t>,</w:t>
      </w:r>
      <w:r>
        <w:rPr>
          <w:b/>
          <w:sz w:val="28"/>
          <w:szCs w:val="28"/>
        </w:rPr>
        <w:t>为</w:t>
      </w:r>
      <w:r>
        <w:rPr>
          <w:rFonts w:hint="eastAsia"/>
          <w:b/>
          <w:sz w:val="28"/>
          <w:szCs w:val="28"/>
        </w:rPr>
        <w:t>企业</w:t>
      </w:r>
      <w:r>
        <w:rPr>
          <w:b/>
          <w:sz w:val="28"/>
          <w:szCs w:val="28"/>
        </w:rPr>
        <w:t>及行政主管部门采取对策提供科学依据。防止土壤污染</w:t>
      </w:r>
      <w:r>
        <w:rPr>
          <w:rFonts w:hint="eastAsia"/>
          <w:b/>
          <w:sz w:val="28"/>
          <w:szCs w:val="28"/>
        </w:rPr>
        <w:t>，</w:t>
      </w:r>
      <w:r>
        <w:rPr>
          <w:b/>
          <w:sz w:val="28"/>
          <w:szCs w:val="28"/>
        </w:rPr>
        <w:t>保护土壤生态环境。</w:t>
      </w:r>
    </w:p>
    <w:p w:rsidR="00015BC5" w:rsidRDefault="00BC55F7">
      <w:pPr>
        <w:rPr>
          <w:b/>
          <w:sz w:val="28"/>
          <w:szCs w:val="28"/>
        </w:rPr>
      </w:pPr>
      <w:r>
        <w:rPr>
          <w:rFonts w:hint="eastAsia"/>
          <w:b/>
          <w:sz w:val="28"/>
          <w:szCs w:val="28"/>
        </w:rPr>
        <w:t>2</w:t>
      </w:r>
      <w:r>
        <w:rPr>
          <w:rFonts w:hint="eastAsia"/>
          <w:b/>
          <w:sz w:val="28"/>
          <w:szCs w:val="28"/>
        </w:rPr>
        <w:t>、</w:t>
      </w:r>
      <w:r>
        <w:rPr>
          <w:b/>
          <w:sz w:val="28"/>
          <w:szCs w:val="28"/>
        </w:rPr>
        <w:t>通过分析测定土壤中</w:t>
      </w:r>
      <w:r>
        <w:rPr>
          <w:rFonts w:hint="eastAsia"/>
          <w:b/>
          <w:sz w:val="28"/>
          <w:szCs w:val="28"/>
        </w:rPr>
        <w:t>和地下水中</w:t>
      </w:r>
      <w:r>
        <w:rPr>
          <w:b/>
          <w:sz w:val="28"/>
          <w:szCs w:val="28"/>
        </w:rPr>
        <w:t>某些元素的含量</w:t>
      </w:r>
      <w:r>
        <w:rPr>
          <w:rFonts w:hint="eastAsia"/>
          <w:b/>
          <w:sz w:val="28"/>
          <w:szCs w:val="28"/>
        </w:rPr>
        <w:t>，</w:t>
      </w:r>
      <w:r>
        <w:rPr>
          <w:b/>
          <w:sz w:val="28"/>
          <w:szCs w:val="28"/>
        </w:rPr>
        <w:t>确定土壤的污染程度</w:t>
      </w:r>
      <w:r>
        <w:rPr>
          <w:rFonts w:hint="eastAsia"/>
          <w:b/>
          <w:sz w:val="28"/>
          <w:szCs w:val="28"/>
        </w:rPr>
        <w:t>，</w:t>
      </w:r>
      <w:r>
        <w:rPr>
          <w:b/>
          <w:sz w:val="28"/>
          <w:szCs w:val="28"/>
        </w:rPr>
        <w:t>为保护土壤生态环境提供防治提供依据</w:t>
      </w:r>
      <w:r>
        <w:rPr>
          <w:rFonts w:hint="eastAsia"/>
          <w:b/>
          <w:sz w:val="28"/>
          <w:szCs w:val="28"/>
        </w:rPr>
        <w:t>。</w:t>
      </w:r>
    </w:p>
    <w:p w:rsidR="00015BC5" w:rsidRDefault="00BC55F7">
      <w:pPr>
        <w:rPr>
          <w:b/>
          <w:sz w:val="28"/>
          <w:szCs w:val="28"/>
        </w:rPr>
      </w:pPr>
      <w:r>
        <w:rPr>
          <w:rFonts w:hint="eastAsia"/>
          <w:b/>
          <w:sz w:val="28"/>
          <w:szCs w:val="28"/>
        </w:rPr>
        <w:t>三、</w:t>
      </w:r>
      <w:r>
        <w:rPr>
          <w:b/>
          <w:sz w:val="28"/>
          <w:szCs w:val="28"/>
        </w:rPr>
        <w:t>检测</w:t>
      </w:r>
      <w:r>
        <w:rPr>
          <w:rFonts w:hint="eastAsia"/>
          <w:b/>
          <w:sz w:val="28"/>
          <w:szCs w:val="28"/>
        </w:rPr>
        <w:t>因子</w:t>
      </w:r>
    </w:p>
    <w:p w:rsidR="00015BC5" w:rsidRDefault="00BC55F7">
      <w:pPr>
        <w:rPr>
          <w:b/>
          <w:sz w:val="28"/>
          <w:szCs w:val="28"/>
        </w:rPr>
      </w:pPr>
      <w:r>
        <w:rPr>
          <w:rFonts w:hint="eastAsia"/>
          <w:b/>
          <w:sz w:val="28"/>
          <w:szCs w:val="28"/>
        </w:rPr>
        <w:t xml:space="preserve"> </w:t>
      </w:r>
      <w:r>
        <w:rPr>
          <w:rFonts w:hint="eastAsia"/>
          <w:b/>
          <w:sz w:val="28"/>
          <w:szCs w:val="28"/>
        </w:rPr>
        <w:t>依据《在产企业土壤地下水检测指南》。</w:t>
      </w:r>
    </w:p>
    <w:p w:rsidR="00015BC5" w:rsidRDefault="00BC55F7">
      <w:pPr>
        <w:rPr>
          <w:b/>
          <w:sz w:val="28"/>
          <w:szCs w:val="28"/>
        </w:rPr>
      </w:pPr>
      <w:r>
        <w:rPr>
          <w:rFonts w:hint="eastAsia"/>
          <w:b/>
          <w:sz w:val="28"/>
          <w:szCs w:val="28"/>
        </w:rPr>
        <w:t>土壤因子：</w:t>
      </w:r>
      <w:r>
        <w:rPr>
          <w:rFonts w:hint="eastAsia"/>
          <w:b/>
          <w:sz w:val="28"/>
          <w:szCs w:val="28"/>
        </w:rPr>
        <w:t xml:space="preserve"> pH</w:t>
      </w:r>
      <w:r>
        <w:rPr>
          <w:rFonts w:hint="eastAsia"/>
          <w:b/>
          <w:sz w:val="28"/>
          <w:szCs w:val="28"/>
        </w:rPr>
        <w:t>、氟化物、铜、锌、镍、铬（六价）、铅、镉、汞、砷、钴。</w:t>
      </w:r>
    </w:p>
    <w:p w:rsidR="00015BC5" w:rsidRDefault="00BC55F7">
      <w:pPr>
        <w:rPr>
          <w:b/>
          <w:sz w:val="28"/>
          <w:szCs w:val="28"/>
        </w:rPr>
      </w:pPr>
      <w:r>
        <w:rPr>
          <w:rFonts w:hint="eastAsia"/>
          <w:b/>
          <w:sz w:val="28"/>
          <w:szCs w:val="28"/>
        </w:rPr>
        <w:t>地下水因子：</w:t>
      </w:r>
      <w:r>
        <w:rPr>
          <w:rFonts w:hint="eastAsia"/>
          <w:b/>
          <w:sz w:val="28"/>
          <w:szCs w:val="28"/>
        </w:rPr>
        <w:t>pH</w:t>
      </w:r>
      <w:r>
        <w:rPr>
          <w:rFonts w:hint="eastAsia"/>
          <w:b/>
          <w:sz w:val="28"/>
          <w:szCs w:val="28"/>
        </w:rPr>
        <w:t>、锌、硝酸盐氮、挥发酚、溶解性总固体、耗氧量、</w:t>
      </w:r>
      <w:r w:rsidR="004919F7">
        <w:rPr>
          <w:rFonts w:hint="eastAsia"/>
          <w:b/>
          <w:sz w:val="28"/>
          <w:szCs w:val="28"/>
        </w:rPr>
        <w:t>阴离子表面活性剂、</w:t>
      </w:r>
      <w:r>
        <w:rPr>
          <w:rFonts w:hint="eastAsia"/>
          <w:b/>
          <w:sz w:val="28"/>
          <w:szCs w:val="28"/>
        </w:rPr>
        <w:t>硫酸盐、石油类、铅、铬（六价）、苯、</w:t>
      </w:r>
      <w:r>
        <w:rPr>
          <w:rFonts w:hint="eastAsia"/>
          <w:b/>
          <w:sz w:val="28"/>
          <w:szCs w:val="28"/>
        </w:rPr>
        <w:t>2-4</w:t>
      </w:r>
      <w:r>
        <w:rPr>
          <w:rFonts w:hint="eastAsia"/>
          <w:b/>
          <w:sz w:val="28"/>
          <w:szCs w:val="28"/>
        </w:rPr>
        <w:t>二硝基甲苯、</w:t>
      </w:r>
      <w:r>
        <w:rPr>
          <w:rFonts w:hint="eastAsia"/>
          <w:b/>
          <w:sz w:val="28"/>
          <w:szCs w:val="28"/>
        </w:rPr>
        <w:t>2-6</w:t>
      </w:r>
      <w:r>
        <w:rPr>
          <w:rFonts w:hint="eastAsia"/>
          <w:b/>
          <w:sz w:val="28"/>
          <w:szCs w:val="28"/>
        </w:rPr>
        <w:t>二硝基甲苯。</w:t>
      </w:r>
    </w:p>
    <w:p w:rsidR="00015BC5" w:rsidRDefault="00BC55F7">
      <w:pPr>
        <w:rPr>
          <w:b/>
          <w:sz w:val="28"/>
          <w:szCs w:val="28"/>
        </w:rPr>
      </w:pPr>
      <w:r>
        <w:rPr>
          <w:rFonts w:hint="eastAsia"/>
          <w:b/>
          <w:sz w:val="28"/>
          <w:szCs w:val="28"/>
        </w:rPr>
        <w:t>四、</w:t>
      </w:r>
      <w:r>
        <w:rPr>
          <w:b/>
          <w:sz w:val="28"/>
          <w:szCs w:val="28"/>
        </w:rPr>
        <w:t>检测点的布设与依据</w:t>
      </w:r>
    </w:p>
    <w:p w:rsidR="00015BC5" w:rsidRDefault="00BC55F7">
      <w:pPr>
        <w:rPr>
          <w:b/>
          <w:sz w:val="28"/>
          <w:szCs w:val="28"/>
        </w:rPr>
      </w:pPr>
      <w:r>
        <w:rPr>
          <w:b/>
          <w:sz w:val="28"/>
          <w:szCs w:val="28"/>
        </w:rPr>
        <w:t>1</w:t>
      </w:r>
      <w:r>
        <w:rPr>
          <w:b/>
          <w:sz w:val="28"/>
          <w:szCs w:val="28"/>
        </w:rPr>
        <w:t>、检测依据</w:t>
      </w:r>
    </w:p>
    <w:p w:rsidR="00015BC5" w:rsidRDefault="00BC55F7">
      <w:pPr>
        <w:ind w:firstLineChars="200" w:firstLine="562"/>
        <w:rPr>
          <w:b/>
          <w:sz w:val="28"/>
          <w:szCs w:val="28"/>
        </w:rPr>
      </w:pPr>
      <w:r>
        <w:rPr>
          <w:b/>
          <w:sz w:val="28"/>
          <w:szCs w:val="28"/>
        </w:rPr>
        <w:lastRenderedPageBreak/>
        <w:t>依据</w:t>
      </w:r>
      <w:r>
        <w:rPr>
          <w:b/>
          <w:sz w:val="28"/>
          <w:szCs w:val="28"/>
        </w:rPr>
        <w:t>HJ/T 166-2004</w:t>
      </w:r>
      <w:r>
        <w:rPr>
          <w:b/>
          <w:sz w:val="28"/>
          <w:szCs w:val="28"/>
        </w:rPr>
        <w:t>《土壤环境环检测技术规范》、</w:t>
      </w:r>
      <w:r>
        <w:rPr>
          <w:b/>
          <w:sz w:val="28"/>
          <w:szCs w:val="28"/>
        </w:rPr>
        <w:t xml:space="preserve"> </w:t>
      </w:r>
      <w:r>
        <w:rPr>
          <w:b/>
          <w:sz w:val="28"/>
          <w:szCs w:val="28"/>
        </w:rPr>
        <w:t>《场地环境调查技术导则》</w:t>
      </w:r>
      <w:r>
        <w:rPr>
          <w:rFonts w:hint="eastAsia"/>
          <w:b/>
          <w:sz w:val="28"/>
          <w:szCs w:val="28"/>
        </w:rPr>
        <w:t>（</w:t>
      </w:r>
      <w:r>
        <w:rPr>
          <w:rFonts w:hint="eastAsia"/>
          <w:b/>
          <w:sz w:val="28"/>
          <w:szCs w:val="28"/>
        </w:rPr>
        <w:t>HJ251</w:t>
      </w:r>
      <w:r>
        <w:rPr>
          <w:rFonts w:hint="eastAsia"/>
          <w:b/>
          <w:sz w:val="28"/>
          <w:szCs w:val="28"/>
        </w:rPr>
        <w:t>—</w:t>
      </w:r>
      <w:r>
        <w:rPr>
          <w:rFonts w:hint="eastAsia"/>
          <w:b/>
          <w:sz w:val="28"/>
          <w:szCs w:val="28"/>
        </w:rPr>
        <w:t>2014</w:t>
      </w:r>
      <w:r>
        <w:rPr>
          <w:rFonts w:hint="eastAsia"/>
          <w:b/>
          <w:sz w:val="28"/>
          <w:szCs w:val="28"/>
        </w:rPr>
        <w:t>）</w:t>
      </w:r>
      <w:r>
        <w:rPr>
          <w:b/>
          <w:sz w:val="28"/>
          <w:szCs w:val="28"/>
        </w:rPr>
        <w:t>、</w:t>
      </w:r>
      <w:r>
        <w:rPr>
          <w:b/>
          <w:sz w:val="28"/>
          <w:szCs w:val="28"/>
        </w:rPr>
        <w:t xml:space="preserve"> </w:t>
      </w:r>
      <w:r>
        <w:rPr>
          <w:b/>
          <w:sz w:val="28"/>
          <w:szCs w:val="28"/>
        </w:rPr>
        <w:t>《场地环境检测技术导则》</w:t>
      </w:r>
      <w:r>
        <w:rPr>
          <w:rFonts w:hint="eastAsia"/>
          <w:b/>
          <w:sz w:val="28"/>
          <w:szCs w:val="28"/>
        </w:rPr>
        <w:t>（</w:t>
      </w:r>
      <w:r>
        <w:rPr>
          <w:rFonts w:hint="eastAsia"/>
          <w:b/>
          <w:sz w:val="28"/>
          <w:szCs w:val="28"/>
        </w:rPr>
        <w:t>HJ252</w:t>
      </w:r>
      <w:r>
        <w:rPr>
          <w:rFonts w:hint="eastAsia"/>
          <w:b/>
          <w:sz w:val="28"/>
          <w:szCs w:val="28"/>
        </w:rPr>
        <w:t>—</w:t>
      </w:r>
      <w:r>
        <w:rPr>
          <w:rFonts w:hint="eastAsia"/>
          <w:b/>
          <w:sz w:val="28"/>
          <w:szCs w:val="28"/>
        </w:rPr>
        <w:t>2014</w:t>
      </w:r>
      <w:r>
        <w:rPr>
          <w:rFonts w:hint="eastAsia"/>
          <w:b/>
          <w:sz w:val="28"/>
          <w:szCs w:val="28"/>
        </w:rPr>
        <w:t>）</w:t>
      </w:r>
      <w:r>
        <w:rPr>
          <w:b/>
          <w:sz w:val="28"/>
          <w:szCs w:val="28"/>
        </w:rPr>
        <w:t>中相关采样要求进行土壤样品采集。</w:t>
      </w:r>
    </w:p>
    <w:p w:rsidR="00015BC5" w:rsidRDefault="00BC55F7">
      <w:pPr>
        <w:rPr>
          <w:b/>
          <w:sz w:val="28"/>
          <w:szCs w:val="28"/>
        </w:rPr>
      </w:pPr>
      <w:r>
        <w:rPr>
          <w:b/>
          <w:sz w:val="28"/>
          <w:szCs w:val="28"/>
        </w:rPr>
        <w:t>2</w:t>
      </w:r>
      <w:r>
        <w:rPr>
          <w:rFonts w:hint="eastAsia"/>
          <w:b/>
          <w:sz w:val="28"/>
          <w:szCs w:val="28"/>
        </w:rPr>
        <w:t>、</w:t>
      </w:r>
      <w:r>
        <w:rPr>
          <w:b/>
          <w:sz w:val="28"/>
          <w:szCs w:val="28"/>
        </w:rPr>
        <w:t>布</w:t>
      </w:r>
      <w:r>
        <w:rPr>
          <w:rFonts w:hint="eastAsia"/>
          <w:b/>
          <w:sz w:val="28"/>
          <w:szCs w:val="28"/>
        </w:rPr>
        <w:t>点</w:t>
      </w:r>
      <w:r>
        <w:rPr>
          <w:b/>
          <w:sz w:val="28"/>
          <w:szCs w:val="28"/>
        </w:rPr>
        <w:t>原则</w:t>
      </w:r>
    </w:p>
    <w:p w:rsidR="00015BC5" w:rsidRDefault="00BC55F7">
      <w:pPr>
        <w:numPr>
          <w:ilvl w:val="0"/>
          <w:numId w:val="2"/>
        </w:numPr>
        <w:rPr>
          <w:b/>
          <w:sz w:val="28"/>
          <w:szCs w:val="28"/>
        </w:rPr>
      </w:pPr>
      <w:r>
        <w:rPr>
          <w:rFonts w:hint="eastAsia"/>
          <w:b/>
          <w:sz w:val="28"/>
          <w:szCs w:val="28"/>
        </w:rPr>
        <w:t>根据原场地使用功能和污染特征，选择可能污染较重的区域，作为土壤污染物识别的监测地块。</w:t>
      </w:r>
    </w:p>
    <w:p w:rsidR="00015BC5" w:rsidRDefault="00BC55F7">
      <w:pPr>
        <w:numPr>
          <w:ilvl w:val="0"/>
          <w:numId w:val="2"/>
        </w:numPr>
        <w:rPr>
          <w:b/>
          <w:sz w:val="28"/>
          <w:szCs w:val="28"/>
        </w:rPr>
      </w:pPr>
      <w:r>
        <w:rPr>
          <w:rFonts w:hint="eastAsia"/>
          <w:b/>
          <w:sz w:val="28"/>
          <w:szCs w:val="28"/>
        </w:rPr>
        <w:t>采样污染较均匀的场地（包括污染物种类和污染程度）和地貌严重破坏的场地（包括拆迁性破坏、历史变更性破坏），可根据场地的形状采用系统随机布点法，在每个区域的中心采样。</w:t>
      </w:r>
    </w:p>
    <w:p w:rsidR="00015BC5" w:rsidRDefault="00BC55F7">
      <w:pPr>
        <w:numPr>
          <w:ilvl w:val="0"/>
          <w:numId w:val="2"/>
        </w:numPr>
        <w:rPr>
          <w:b/>
          <w:sz w:val="28"/>
          <w:szCs w:val="28"/>
        </w:rPr>
      </w:pPr>
      <w:r>
        <w:rPr>
          <w:b/>
          <w:sz w:val="28"/>
          <w:szCs w:val="28"/>
        </w:rPr>
        <w:t>采样点</w:t>
      </w:r>
      <w:r>
        <w:rPr>
          <w:rFonts w:hint="eastAsia"/>
          <w:b/>
          <w:sz w:val="28"/>
          <w:szCs w:val="28"/>
        </w:rPr>
        <w:t>应参考地下水迁移走向确定。</w:t>
      </w:r>
    </w:p>
    <w:p w:rsidR="00015BC5" w:rsidRDefault="00BC55F7">
      <w:pPr>
        <w:rPr>
          <w:b/>
          <w:sz w:val="28"/>
          <w:szCs w:val="28"/>
        </w:rPr>
      </w:pPr>
      <w:r>
        <w:rPr>
          <w:b/>
          <w:sz w:val="28"/>
          <w:szCs w:val="28"/>
        </w:rPr>
        <w:t>3</w:t>
      </w:r>
      <w:r>
        <w:rPr>
          <w:rFonts w:hint="eastAsia"/>
          <w:b/>
          <w:sz w:val="28"/>
          <w:szCs w:val="28"/>
        </w:rPr>
        <w:t>、土壤</w:t>
      </w:r>
      <w:r>
        <w:rPr>
          <w:b/>
          <w:sz w:val="28"/>
          <w:szCs w:val="28"/>
        </w:rPr>
        <w:t>布</w:t>
      </w:r>
      <w:r>
        <w:rPr>
          <w:rFonts w:hint="eastAsia"/>
          <w:b/>
          <w:sz w:val="28"/>
          <w:szCs w:val="28"/>
        </w:rPr>
        <w:t>点</w:t>
      </w:r>
      <w:r>
        <w:rPr>
          <w:b/>
          <w:sz w:val="28"/>
          <w:szCs w:val="28"/>
        </w:rPr>
        <w:t>方案</w:t>
      </w:r>
    </w:p>
    <w:p w:rsidR="00015BC5" w:rsidRDefault="00BC55F7">
      <w:pPr>
        <w:rPr>
          <w:b/>
          <w:sz w:val="28"/>
          <w:szCs w:val="28"/>
        </w:rPr>
      </w:pPr>
      <w:r>
        <w:rPr>
          <w:b/>
          <w:sz w:val="28"/>
          <w:szCs w:val="28"/>
        </w:rPr>
        <w:t>3.1</w:t>
      </w:r>
      <w:r>
        <w:rPr>
          <w:b/>
          <w:sz w:val="28"/>
          <w:szCs w:val="28"/>
        </w:rPr>
        <w:t>、</w:t>
      </w:r>
      <w:r>
        <w:rPr>
          <w:rFonts w:hint="eastAsia"/>
          <w:b/>
          <w:sz w:val="28"/>
          <w:szCs w:val="28"/>
        </w:rPr>
        <w:t>厂界周边检测点位：四个点位：西厂界、北厂界、南厂界、东厂界。</w:t>
      </w:r>
    </w:p>
    <w:p w:rsidR="00015BC5" w:rsidRDefault="00BC55F7">
      <w:pPr>
        <w:rPr>
          <w:b/>
          <w:sz w:val="28"/>
          <w:szCs w:val="28"/>
        </w:rPr>
      </w:pPr>
      <w:r>
        <w:rPr>
          <w:b/>
          <w:sz w:val="28"/>
          <w:szCs w:val="28"/>
        </w:rPr>
        <w:t>3.2</w:t>
      </w:r>
      <w:r>
        <w:rPr>
          <w:rFonts w:hint="eastAsia"/>
          <w:b/>
          <w:sz w:val="28"/>
          <w:szCs w:val="28"/>
        </w:rPr>
        <w:t>、</w:t>
      </w:r>
      <w:r>
        <w:rPr>
          <w:b/>
          <w:sz w:val="28"/>
          <w:szCs w:val="28"/>
        </w:rPr>
        <w:t>厂区内检测</w:t>
      </w:r>
      <w:r>
        <w:rPr>
          <w:rFonts w:hint="eastAsia"/>
          <w:b/>
          <w:sz w:val="28"/>
          <w:szCs w:val="28"/>
        </w:rPr>
        <w:t>点位：厂区内布</w:t>
      </w:r>
      <w:r w:rsidR="004053A3">
        <w:rPr>
          <w:rFonts w:hint="eastAsia"/>
          <w:b/>
          <w:sz w:val="28"/>
          <w:szCs w:val="28"/>
        </w:rPr>
        <w:t>二</w:t>
      </w:r>
      <w:r>
        <w:rPr>
          <w:rFonts w:hint="eastAsia"/>
          <w:b/>
          <w:sz w:val="28"/>
          <w:szCs w:val="28"/>
        </w:rPr>
        <w:t>个点位：选矿车间旁</w:t>
      </w:r>
      <w:r w:rsidR="004053A3">
        <w:rPr>
          <w:rFonts w:hint="eastAsia"/>
          <w:b/>
          <w:sz w:val="28"/>
          <w:szCs w:val="28"/>
        </w:rPr>
        <w:t>、</w:t>
      </w:r>
      <w:r w:rsidR="00E82BCA">
        <w:rPr>
          <w:rFonts w:hint="eastAsia"/>
          <w:b/>
          <w:sz w:val="28"/>
          <w:szCs w:val="28"/>
        </w:rPr>
        <w:t>物料堆放</w:t>
      </w:r>
      <w:r>
        <w:rPr>
          <w:rFonts w:hint="eastAsia"/>
          <w:b/>
          <w:sz w:val="28"/>
          <w:szCs w:val="28"/>
        </w:rPr>
        <w:t>区旁。</w:t>
      </w:r>
    </w:p>
    <w:p w:rsidR="00015BC5" w:rsidRDefault="00BC55F7">
      <w:pPr>
        <w:rPr>
          <w:rFonts w:asciiTheme="minorEastAsia" w:hAnsiTheme="minorEastAsia"/>
          <w:b/>
          <w:sz w:val="28"/>
          <w:szCs w:val="28"/>
        </w:rPr>
      </w:pPr>
      <w:r>
        <w:rPr>
          <w:rFonts w:hint="eastAsia"/>
          <w:b/>
          <w:sz w:val="28"/>
          <w:szCs w:val="28"/>
        </w:rPr>
        <w:t>3.3</w:t>
      </w:r>
      <w:r>
        <w:rPr>
          <w:rFonts w:hint="eastAsia"/>
          <w:b/>
          <w:sz w:val="28"/>
          <w:szCs w:val="28"/>
        </w:rPr>
        <w:t>、扣除地表非土壤硬化层厚度</w:t>
      </w:r>
      <w:r>
        <w:rPr>
          <w:rFonts w:asciiTheme="minorEastAsia" w:hAnsiTheme="minorEastAsia" w:hint="eastAsia"/>
          <w:b/>
          <w:bCs/>
          <w:sz w:val="28"/>
          <w:szCs w:val="28"/>
        </w:rPr>
        <w:t>0.2米深度</w:t>
      </w:r>
      <w:r>
        <w:rPr>
          <w:rFonts w:asciiTheme="minorEastAsia" w:hAnsiTheme="minorEastAsia" w:hint="eastAsia"/>
          <w:b/>
          <w:sz w:val="28"/>
          <w:szCs w:val="28"/>
        </w:rPr>
        <w:t>。</w:t>
      </w:r>
    </w:p>
    <w:p w:rsidR="00015BC5" w:rsidRDefault="00BC55F7">
      <w:pPr>
        <w:rPr>
          <w:rFonts w:asciiTheme="minorEastAsia" w:hAnsiTheme="minorEastAsia"/>
          <w:b/>
          <w:sz w:val="28"/>
          <w:szCs w:val="28"/>
        </w:rPr>
      </w:pPr>
      <w:r>
        <w:rPr>
          <w:rFonts w:asciiTheme="minorEastAsia" w:hAnsiTheme="minorEastAsia" w:hint="eastAsia"/>
          <w:b/>
          <w:sz w:val="28"/>
          <w:szCs w:val="28"/>
        </w:rPr>
        <w:t>4、地下水布点方案</w:t>
      </w:r>
    </w:p>
    <w:p w:rsidR="00015BC5" w:rsidRDefault="00BC55F7">
      <w:pPr>
        <w:rPr>
          <w:rFonts w:asciiTheme="minorEastAsia" w:hAnsiTheme="minorEastAsia"/>
          <w:b/>
          <w:sz w:val="28"/>
          <w:szCs w:val="28"/>
        </w:rPr>
      </w:pPr>
      <w:r>
        <w:rPr>
          <w:rFonts w:asciiTheme="minorEastAsia" w:hAnsiTheme="minorEastAsia" w:hint="eastAsia"/>
          <w:b/>
          <w:sz w:val="28"/>
          <w:szCs w:val="28"/>
        </w:rPr>
        <w:t>4.1、厂区检测点位：一个点位：厂区内自备井。</w:t>
      </w:r>
    </w:p>
    <w:p w:rsidR="00015BC5" w:rsidRDefault="00BC55F7">
      <w:pPr>
        <w:rPr>
          <w:rFonts w:asciiTheme="minorEastAsia" w:hAnsiTheme="minorEastAsia"/>
          <w:b/>
          <w:sz w:val="28"/>
          <w:szCs w:val="28"/>
        </w:rPr>
      </w:pPr>
      <w:r>
        <w:rPr>
          <w:rFonts w:asciiTheme="minorEastAsia" w:hAnsiTheme="minorEastAsia" w:hint="eastAsia"/>
          <w:b/>
          <w:sz w:val="28"/>
          <w:szCs w:val="28"/>
        </w:rPr>
        <w:t>4.2、厂界周边检测点位:一个点位：厂区下游地下水检测点位。</w:t>
      </w:r>
    </w:p>
    <w:p w:rsidR="00015BC5" w:rsidRDefault="00BC55F7">
      <w:pPr>
        <w:pStyle w:val="a7"/>
        <w:numPr>
          <w:ilvl w:val="0"/>
          <w:numId w:val="3"/>
        </w:numPr>
        <w:ind w:firstLineChars="0"/>
        <w:rPr>
          <w:b/>
          <w:sz w:val="28"/>
          <w:szCs w:val="28"/>
        </w:rPr>
      </w:pPr>
      <w:r>
        <w:rPr>
          <w:b/>
          <w:sz w:val="28"/>
          <w:szCs w:val="28"/>
        </w:rPr>
        <w:t>采样方法</w:t>
      </w:r>
    </w:p>
    <w:p w:rsidR="00810A87" w:rsidRDefault="00BC55F7">
      <w:pPr>
        <w:pStyle w:val="a7"/>
        <w:ind w:left="160" w:firstLineChars="150" w:firstLine="422"/>
        <w:rPr>
          <w:b/>
          <w:sz w:val="28"/>
          <w:szCs w:val="28"/>
        </w:rPr>
      </w:pPr>
      <w:r>
        <w:rPr>
          <w:rFonts w:hint="eastAsia"/>
          <w:b/>
          <w:sz w:val="28"/>
          <w:szCs w:val="28"/>
        </w:rPr>
        <w:t>土壤：</w:t>
      </w:r>
      <w:r>
        <w:rPr>
          <w:b/>
          <w:sz w:val="28"/>
          <w:szCs w:val="28"/>
        </w:rPr>
        <w:t>常用采样筒取样、土钻取样和挖坑取样三种采样方法。用竹铲、竹片直接采集样品</w:t>
      </w:r>
      <w:r>
        <w:rPr>
          <w:rFonts w:hint="eastAsia"/>
          <w:b/>
          <w:sz w:val="28"/>
          <w:szCs w:val="28"/>
        </w:rPr>
        <w:t>。</w:t>
      </w:r>
      <w:r>
        <w:rPr>
          <w:b/>
          <w:sz w:val="28"/>
          <w:szCs w:val="28"/>
        </w:rPr>
        <w:t>用铁铲</w:t>
      </w:r>
      <w:r>
        <w:rPr>
          <w:rFonts w:hint="eastAsia"/>
          <w:b/>
          <w:sz w:val="28"/>
          <w:szCs w:val="28"/>
        </w:rPr>
        <w:t>或</w:t>
      </w:r>
      <w:r>
        <w:rPr>
          <w:b/>
          <w:sz w:val="28"/>
          <w:szCs w:val="28"/>
        </w:rPr>
        <w:t>挖掘</w:t>
      </w:r>
      <w:r>
        <w:rPr>
          <w:rFonts w:hint="eastAsia"/>
          <w:b/>
          <w:sz w:val="28"/>
          <w:szCs w:val="28"/>
        </w:rPr>
        <w:t>采样的，需</w:t>
      </w:r>
      <w:r>
        <w:rPr>
          <w:b/>
          <w:sz w:val="28"/>
          <w:szCs w:val="28"/>
        </w:rPr>
        <w:t>用竹片去</w:t>
      </w:r>
      <w:r>
        <w:rPr>
          <w:rFonts w:hint="eastAsia"/>
          <w:b/>
          <w:sz w:val="28"/>
          <w:szCs w:val="28"/>
        </w:rPr>
        <w:t>掉</w:t>
      </w:r>
      <w:r>
        <w:rPr>
          <w:b/>
          <w:sz w:val="28"/>
          <w:szCs w:val="28"/>
        </w:rPr>
        <w:lastRenderedPageBreak/>
        <w:t>与金属采样接触的部分</w:t>
      </w:r>
      <w:r>
        <w:rPr>
          <w:rFonts w:hint="eastAsia"/>
          <w:b/>
          <w:sz w:val="28"/>
          <w:szCs w:val="28"/>
        </w:rPr>
        <w:t>，</w:t>
      </w:r>
      <w:r>
        <w:rPr>
          <w:b/>
          <w:sz w:val="28"/>
          <w:szCs w:val="28"/>
        </w:rPr>
        <w:t>再用竹铲或竹片采集土样</w:t>
      </w:r>
      <w:r>
        <w:rPr>
          <w:rFonts w:hint="eastAsia"/>
          <w:b/>
          <w:sz w:val="28"/>
          <w:szCs w:val="28"/>
        </w:rPr>
        <w:t>。</w:t>
      </w:r>
    </w:p>
    <w:p w:rsidR="00015BC5" w:rsidRDefault="00BC55F7">
      <w:pPr>
        <w:numPr>
          <w:ilvl w:val="0"/>
          <w:numId w:val="3"/>
        </w:numPr>
        <w:rPr>
          <w:b/>
          <w:sz w:val="28"/>
          <w:szCs w:val="28"/>
        </w:rPr>
      </w:pPr>
      <w:r>
        <w:rPr>
          <w:b/>
          <w:sz w:val="28"/>
          <w:szCs w:val="28"/>
        </w:rPr>
        <w:t>检测方法</w:t>
      </w:r>
    </w:p>
    <w:p w:rsidR="00015BC5" w:rsidRDefault="00BC55F7">
      <w:pPr>
        <w:numPr>
          <w:ilvl w:val="0"/>
          <w:numId w:val="4"/>
        </w:numPr>
        <w:rPr>
          <w:b/>
          <w:sz w:val="24"/>
        </w:rPr>
      </w:pPr>
      <w:r>
        <w:rPr>
          <w:rFonts w:hint="eastAsia"/>
          <w:b/>
          <w:sz w:val="24"/>
        </w:rPr>
        <w:t>土壤检测方法</w:t>
      </w:r>
    </w:p>
    <w:p w:rsidR="00015BC5" w:rsidRDefault="00015BC5">
      <w:pPr>
        <w:rPr>
          <w:b/>
          <w:sz w:val="24"/>
        </w:rPr>
      </w:pPr>
    </w:p>
    <w:tbl>
      <w:tblPr>
        <w:tblW w:w="9823" w:type="dxa"/>
        <w:jc w:val="center"/>
        <w:tblBorders>
          <w:top w:val="single" w:sz="4" w:space="0" w:color="000000"/>
          <w:bottom w:val="single" w:sz="4" w:space="0" w:color="000000"/>
          <w:insideH w:val="single" w:sz="4" w:space="0" w:color="000000"/>
          <w:insideV w:val="single" w:sz="4" w:space="0" w:color="000000"/>
        </w:tblBorders>
        <w:tblLayout w:type="fixed"/>
        <w:tblLook w:val="04A0"/>
      </w:tblPr>
      <w:tblGrid>
        <w:gridCol w:w="1351"/>
        <w:gridCol w:w="3024"/>
        <w:gridCol w:w="2076"/>
        <w:gridCol w:w="1905"/>
        <w:gridCol w:w="1467"/>
      </w:tblGrid>
      <w:tr w:rsidR="00015BC5">
        <w:trPr>
          <w:trHeight w:val="567"/>
          <w:jc w:val="center"/>
        </w:trPr>
        <w:tc>
          <w:tcPr>
            <w:tcW w:w="1351" w:type="dxa"/>
            <w:vAlign w:val="center"/>
          </w:tcPr>
          <w:p w:rsidR="00015BC5" w:rsidRDefault="00BC55F7">
            <w:pPr>
              <w:pStyle w:val="10"/>
              <w:rPr>
                <w:sz w:val="24"/>
              </w:rPr>
            </w:pPr>
            <w:r>
              <w:rPr>
                <w:sz w:val="24"/>
              </w:rPr>
              <w:t>检测因子</w:t>
            </w:r>
          </w:p>
        </w:tc>
        <w:tc>
          <w:tcPr>
            <w:tcW w:w="3024" w:type="dxa"/>
            <w:vAlign w:val="center"/>
          </w:tcPr>
          <w:p w:rsidR="00015BC5" w:rsidRDefault="00BC55F7">
            <w:pPr>
              <w:pStyle w:val="10"/>
              <w:rPr>
                <w:sz w:val="24"/>
              </w:rPr>
            </w:pPr>
            <w:r>
              <w:rPr>
                <w:sz w:val="24"/>
              </w:rPr>
              <w:t>检测方法</w:t>
            </w:r>
          </w:p>
        </w:tc>
        <w:tc>
          <w:tcPr>
            <w:tcW w:w="2076" w:type="dxa"/>
            <w:vAlign w:val="center"/>
          </w:tcPr>
          <w:p w:rsidR="00015BC5" w:rsidRDefault="00BC55F7">
            <w:pPr>
              <w:pStyle w:val="10"/>
              <w:rPr>
                <w:sz w:val="24"/>
              </w:rPr>
            </w:pPr>
            <w:r>
              <w:rPr>
                <w:sz w:val="24"/>
              </w:rPr>
              <w:t>方法来源</w:t>
            </w:r>
          </w:p>
        </w:tc>
        <w:tc>
          <w:tcPr>
            <w:tcW w:w="1905" w:type="dxa"/>
            <w:vAlign w:val="center"/>
          </w:tcPr>
          <w:p w:rsidR="00015BC5" w:rsidRDefault="00BC55F7">
            <w:pPr>
              <w:pStyle w:val="10"/>
              <w:rPr>
                <w:sz w:val="24"/>
              </w:rPr>
            </w:pPr>
            <w:r>
              <w:rPr>
                <w:sz w:val="24"/>
              </w:rPr>
              <w:t>仪器</w:t>
            </w:r>
            <w:r>
              <w:rPr>
                <w:rFonts w:hint="eastAsia"/>
                <w:sz w:val="24"/>
              </w:rPr>
              <w:t>名称及型号</w:t>
            </w:r>
          </w:p>
        </w:tc>
        <w:tc>
          <w:tcPr>
            <w:tcW w:w="1467" w:type="dxa"/>
            <w:vAlign w:val="center"/>
          </w:tcPr>
          <w:p w:rsidR="00015BC5" w:rsidRDefault="00BC55F7">
            <w:pPr>
              <w:pStyle w:val="10"/>
              <w:rPr>
                <w:sz w:val="24"/>
              </w:rPr>
            </w:pPr>
            <w:r>
              <w:rPr>
                <w:sz w:val="24"/>
              </w:rPr>
              <w:t>检出限</w:t>
            </w:r>
          </w:p>
        </w:tc>
      </w:tr>
      <w:tr w:rsidR="00015BC5">
        <w:trPr>
          <w:trHeight w:val="567"/>
          <w:jc w:val="center"/>
        </w:trPr>
        <w:tc>
          <w:tcPr>
            <w:tcW w:w="1351" w:type="dxa"/>
            <w:vAlign w:val="center"/>
          </w:tcPr>
          <w:p w:rsidR="00015BC5" w:rsidRDefault="00BC55F7">
            <w:pPr>
              <w:pStyle w:val="10"/>
              <w:rPr>
                <w:sz w:val="24"/>
              </w:rPr>
            </w:pPr>
            <w:r>
              <w:rPr>
                <w:color w:val="auto"/>
                <w:sz w:val="24"/>
              </w:rPr>
              <w:t>pH</w:t>
            </w:r>
          </w:p>
        </w:tc>
        <w:tc>
          <w:tcPr>
            <w:tcW w:w="3024" w:type="dxa"/>
            <w:vAlign w:val="center"/>
          </w:tcPr>
          <w:p w:rsidR="00015BC5" w:rsidRDefault="00BC55F7">
            <w:pPr>
              <w:pStyle w:val="10"/>
              <w:rPr>
                <w:sz w:val="24"/>
              </w:rPr>
            </w:pPr>
            <w:r>
              <w:rPr>
                <w:sz w:val="24"/>
              </w:rPr>
              <w:t>土壤</w:t>
            </w:r>
            <w:r>
              <w:rPr>
                <w:rFonts w:hint="eastAsia"/>
                <w:sz w:val="24"/>
              </w:rPr>
              <w:t xml:space="preserve"> </w:t>
            </w:r>
            <w:r>
              <w:rPr>
                <w:color w:val="auto"/>
                <w:sz w:val="24"/>
              </w:rPr>
              <w:t>pH</w:t>
            </w:r>
            <w:r>
              <w:rPr>
                <w:sz w:val="24"/>
              </w:rPr>
              <w:t>的测定</w:t>
            </w:r>
          </w:p>
        </w:tc>
        <w:tc>
          <w:tcPr>
            <w:tcW w:w="2076" w:type="dxa"/>
            <w:vAlign w:val="center"/>
          </w:tcPr>
          <w:p w:rsidR="00015BC5" w:rsidRDefault="00BC55F7">
            <w:pPr>
              <w:pStyle w:val="10"/>
              <w:rPr>
                <w:sz w:val="24"/>
              </w:rPr>
            </w:pPr>
            <w:r>
              <w:rPr>
                <w:sz w:val="24"/>
              </w:rPr>
              <w:t>NY/T 1377-2007</w:t>
            </w:r>
          </w:p>
        </w:tc>
        <w:tc>
          <w:tcPr>
            <w:tcW w:w="1905" w:type="dxa"/>
            <w:vAlign w:val="center"/>
          </w:tcPr>
          <w:p w:rsidR="00015BC5" w:rsidRDefault="00BC55F7">
            <w:pPr>
              <w:pStyle w:val="10"/>
              <w:rPr>
                <w:sz w:val="24"/>
              </w:rPr>
            </w:pPr>
            <w:r>
              <w:rPr>
                <w:sz w:val="24"/>
              </w:rPr>
              <w:t>酸度计</w:t>
            </w:r>
            <w:r>
              <w:rPr>
                <w:sz w:val="24"/>
              </w:rPr>
              <w:t>/PHS-3C</w:t>
            </w:r>
          </w:p>
        </w:tc>
        <w:tc>
          <w:tcPr>
            <w:tcW w:w="1467" w:type="dxa"/>
            <w:vAlign w:val="center"/>
          </w:tcPr>
          <w:p w:rsidR="00015BC5" w:rsidRDefault="00BC55F7">
            <w:pPr>
              <w:pStyle w:val="10"/>
              <w:rPr>
                <w:sz w:val="24"/>
              </w:rPr>
            </w:pPr>
            <w:r>
              <w:rPr>
                <w:sz w:val="24"/>
              </w:rPr>
              <w:t>/</w:t>
            </w:r>
          </w:p>
        </w:tc>
      </w:tr>
      <w:tr w:rsidR="00015BC5">
        <w:trPr>
          <w:trHeight w:val="567"/>
          <w:jc w:val="center"/>
        </w:trPr>
        <w:tc>
          <w:tcPr>
            <w:tcW w:w="1351" w:type="dxa"/>
            <w:vAlign w:val="center"/>
          </w:tcPr>
          <w:p w:rsidR="00015BC5" w:rsidRDefault="00BC55F7">
            <w:pPr>
              <w:pStyle w:val="10"/>
              <w:rPr>
                <w:sz w:val="24"/>
              </w:rPr>
            </w:pPr>
            <w:r>
              <w:rPr>
                <w:rFonts w:hint="eastAsia"/>
                <w:sz w:val="24"/>
              </w:rPr>
              <w:t>氟化物</w:t>
            </w:r>
          </w:p>
        </w:tc>
        <w:tc>
          <w:tcPr>
            <w:tcW w:w="3024" w:type="dxa"/>
            <w:vAlign w:val="center"/>
          </w:tcPr>
          <w:p w:rsidR="00015BC5" w:rsidRDefault="00BC55F7">
            <w:pPr>
              <w:pStyle w:val="10"/>
              <w:rPr>
                <w:sz w:val="24"/>
              </w:rPr>
            </w:pPr>
            <w:r>
              <w:rPr>
                <w:rFonts w:hint="eastAsia"/>
                <w:sz w:val="24"/>
              </w:rPr>
              <w:t>土壤质量</w:t>
            </w:r>
            <w:r>
              <w:rPr>
                <w:rFonts w:hint="eastAsia"/>
                <w:sz w:val="24"/>
              </w:rPr>
              <w:t xml:space="preserve"> </w:t>
            </w:r>
            <w:r>
              <w:rPr>
                <w:rFonts w:hint="eastAsia"/>
                <w:sz w:val="24"/>
              </w:rPr>
              <w:t>氟化物的测定</w:t>
            </w:r>
            <w:r>
              <w:rPr>
                <w:rFonts w:hint="eastAsia"/>
                <w:sz w:val="24"/>
              </w:rPr>
              <w:t xml:space="preserve"> </w:t>
            </w:r>
            <w:r>
              <w:rPr>
                <w:rFonts w:hint="eastAsia"/>
                <w:sz w:val="24"/>
              </w:rPr>
              <w:t>离子选择电极法</w:t>
            </w:r>
          </w:p>
        </w:tc>
        <w:tc>
          <w:tcPr>
            <w:tcW w:w="2076" w:type="dxa"/>
            <w:vAlign w:val="center"/>
          </w:tcPr>
          <w:p w:rsidR="00015BC5" w:rsidRDefault="00BC55F7">
            <w:pPr>
              <w:pStyle w:val="10"/>
              <w:rPr>
                <w:sz w:val="24"/>
              </w:rPr>
            </w:pPr>
            <w:r>
              <w:rPr>
                <w:rFonts w:hAnsi="宋体" w:hint="eastAsia"/>
                <w:sz w:val="24"/>
              </w:rPr>
              <w:t>GB/T 22104-2008</w:t>
            </w:r>
          </w:p>
        </w:tc>
        <w:tc>
          <w:tcPr>
            <w:tcW w:w="1905" w:type="dxa"/>
            <w:vAlign w:val="center"/>
          </w:tcPr>
          <w:p w:rsidR="00015BC5" w:rsidRDefault="00BC55F7">
            <w:pPr>
              <w:pStyle w:val="10"/>
              <w:rPr>
                <w:sz w:val="24"/>
              </w:rPr>
            </w:pPr>
            <w:r>
              <w:rPr>
                <w:sz w:val="24"/>
              </w:rPr>
              <w:t>氟离子选择电极</w:t>
            </w:r>
            <w:r>
              <w:rPr>
                <w:sz w:val="24"/>
              </w:rPr>
              <w:t>/PF-2-01</w:t>
            </w:r>
          </w:p>
        </w:tc>
        <w:tc>
          <w:tcPr>
            <w:tcW w:w="1467" w:type="dxa"/>
            <w:vAlign w:val="center"/>
          </w:tcPr>
          <w:p w:rsidR="00015BC5" w:rsidRDefault="00BC55F7">
            <w:pPr>
              <w:pStyle w:val="10"/>
              <w:rPr>
                <w:sz w:val="24"/>
              </w:rPr>
            </w:pPr>
            <w:r>
              <w:rPr>
                <w:rFonts w:hint="eastAsia"/>
                <w:sz w:val="24"/>
              </w:rPr>
              <w:t>2.5</w:t>
            </w:r>
            <w:r>
              <w:rPr>
                <w:sz w:val="24"/>
              </w:rPr>
              <w:t>μ</w:t>
            </w:r>
            <w:r>
              <w:rPr>
                <w:rFonts w:hint="eastAsia"/>
                <w:sz w:val="24"/>
              </w:rPr>
              <w:t>g</w:t>
            </w:r>
          </w:p>
        </w:tc>
      </w:tr>
      <w:tr w:rsidR="00015BC5">
        <w:trPr>
          <w:trHeight w:val="567"/>
          <w:jc w:val="center"/>
        </w:trPr>
        <w:tc>
          <w:tcPr>
            <w:tcW w:w="1351" w:type="dxa"/>
            <w:vAlign w:val="center"/>
          </w:tcPr>
          <w:p w:rsidR="00015BC5" w:rsidRDefault="00BC55F7">
            <w:pPr>
              <w:pStyle w:val="10"/>
              <w:rPr>
                <w:sz w:val="24"/>
              </w:rPr>
            </w:pPr>
            <w:r>
              <w:rPr>
                <w:sz w:val="24"/>
              </w:rPr>
              <w:t>铜</w:t>
            </w:r>
          </w:p>
        </w:tc>
        <w:tc>
          <w:tcPr>
            <w:tcW w:w="3024" w:type="dxa"/>
            <w:vAlign w:val="center"/>
          </w:tcPr>
          <w:p w:rsidR="00015BC5" w:rsidRDefault="00BC55F7">
            <w:pPr>
              <w:pStyle w:val="10"/>
              <w:rPr>
                <w:sz w:val="24"/>
              </w:rPr>
            </w:pPr>
            <w:r>
              <w:rPr>
                <w:sz w:val="24"/>
              </w:rPr>
              <w:t>土壤和沉积物</w:t>
            </w:r>
            <w:r>
              <w:rPr>
                <w:sz w:val="24"/>
              </w:rPr>
              <w:t xml:space="preserve"> </w:t>
            </w:r>
            <w:r>
              <w:rPr>
                <w:sz w:val="24"/>
              </w:rPr>
              <w:t>铜、锌、铅、镍、铬的测定</w:t>
            </w:r>
            <w:r>
              <w:rPr>
                <w:sz w:val="24"/>
              </w:rPr>
              <w:t xml:space="preserve"> </w:t>
            </w:r>
          </w:p>
          <w:p w:rsidR="00015BC5" w:rsidRDefault="00BC55F7">
            <w:pPr>
              <w:pStyle w:val="10"/>
              <w:rPr>
                <w:sz w:val="24"/>
              </w:rPr>
            </w:pPr>
            <w:r>
              <w:rPr>
                <w:sz w:val="24"/>
              </w:rPr>
              <w:t>火焰原子吸收分光光度法</w:t>
            </w:r>
            <w:r>
              <w:rPr>
                <w:sz w:val="24"/>
              </w:rPr>
              <w:t xml:space="preserve"> </w:t>
            </w:r>
          </w:p>
        </w:tc>
        <w:tc>
          <w:tcPr>
            <w:tcW w:w="2076" w:type="dxa"/>
            <w:vAlign w:val="center"/>
          </w:tcPr>
          <w:p w:rsidR="00015BC5" w:rsidRDefault="00BC55F7">
            <w:pPr>
              <w:pStyle w:val="10"/>
              <w:rPr>
                <w:sz w:val="24"/>
              </w:rPr>
            </w:pPr>
            <w:r>
              <w:rPr>
                <w:sz w:val="24"/>
              </w:rPr>
              <w:t>HJ 491-2019</w:t>
            </w:r>
          </w:p>
        </w:tc>
        <w:tc>
          <w:tcPr>
            <w:tcW w:w="1905" w:type="dxa"/>
            <w:vAlign w:val="center"/>
          </w:tcPr>
          <w:p w:rsidR="00015BC5" w:rsidRDefault="00BC55F7">
            <w:pPr>
              <w:pStyle w:val="10"/>
              <w:rPr>
                <w:sz w:val="24"/>
              </w:rPr>
            </w:pPr>
            <w:r>
              <w:rPr>
                <w:sz w:val="24"/>
              </w:rPr>
              <w:t>原子吸收分光光度计</w:t>
            </w:r>
            <w:r>
              <w:rPr>
                <w:sz w:val="24"/>
              </w:rPr>
              <w:t>/AA-6880</w:t>
            </w:r>
          </w:p>
        </w:tc>
        <w:tc>
          <w:tcPr>
            <w:tcW w:w="1467" w:type="dxa"/>
            <w:vAlign w:val="center"/>
          </w:tcPr>
          <w:p w:rsidR="00015BC5" w:rsidRDefault="00BC55F7">
            <w:pPr>
              <w:pStyle w:val="10"/>
              <w:rPr>
                <w:sz w:val="24"/>
              </w:rPr>
            </w:pPr>
            <w:r>
              <w:rPr>
                <w:sz w:val="24"/>
              </w:rPr>
              <w:t>1mg/kg</w:t>
            </w:r>
          </w:p>
        </w:tc>
      </w:tr>
      <w:tr w:rsidR="00015BC5">
        <w:trPr>
          <w:trHeight w:val="567"/>
          <w:jc w:val="center"/>
        </w:trPr>
        <w:tc>
          <w:tcPr>
            <w:tcW w:w="1351" w:type="dxa"/>
            <w:vAlign w:val="center"/>
          </w:tcPr>
          <w:p w:rsidR="00015BC5" w:rsidRDefault="00BC55F7">
            <w:pPr>
              <w:pStyle w:val="10"/>
              <w:rPr>
                <w:sz w:val="24"/>
              </w:rPr>
            </w:pPr>
            <w:r>
              <w:rPr>
                <w:sz w:val="24"/>
              </w:rPr>
              <w:t>锌</w:t>
            </w:r>
          </w:p>
        </w:tc>
        <w:tc>
          <w:tcPr>
            <w:tcW w:w="3024" w:type="dxa"/>
            <w:vAlign w:val="center"/>
          </w:tcPr>
          <w:p w:rsidR="00015BC5" w:rsidRDefault="00BC55F7">
            <w:pPr>
              <w:pStyle w:val="10"/>
              <w:rPr>
                <w:sz w:val="24"/>
              </w:rPr>
            </w:pPr>
            <w:r>
              <w:rPr>
                <w:sz w:val="24"/>
              </w:rPr>
              <w:t>土壤和沉积物</w:t>
            </w:r>
            <w:r>
              <w:rPr>
                <w:sz w:val="24"/>
              </w:rPr>
              <w:t xml:space="preserve"> </w:t>
            </w:r>
            <w:r>
              <w:rPr>
                <w:sz w:val="24"/>
              </w:rPr>
              <w:t>铜、锌、铅、镍、铬的测定</w:t>
            </w:r>
            <w:r>
              <w:rPr>
                <w:sz w:val="24"/>
              </w:rPr>
              <w:t xml:space="preserve"> </w:t>
            </w:r>
          </w:p>
          <w:p w:rsidR="00015BC5" w:rsidRDefault="00BC55F7">
            <w:pPr>
              <w:pStyle w:val="10"/>
              <w:rPr>
                <w:sz w:val="24"/>
              </w:rPr>
            </w:pPr>
            <w:r>
              <w:rPr>
                <w:sz w:val="24"/>
              </w:rPr>
              <w:t>火焰原子吸收分光光度法</w:t>
            </w:r>
            <w:r>
              <w:rPr>
                <w:sz w:val="24"/>
              </w:rPr>
              <w:t xml:space="preserve"> </w:t>
            </w:r>
          </w:p>
        </w:tc>
        <w:tc>
          <w:tcPr>
            <w:tcW w:w="2076" w:type="dxa"/>
            <w:vAlign w:val="center"/>
          </w:tcPr>
          <w:p w:rsidR="00015BC5" w:rsidRDefault="00BC55F7">
            <w:pPr>
              <w:pStyle w:val="10"/>
              <w:rPr>
                <w:sz w:val="24"/>
              </w:rPr>
            </w:pPr>
            <w:r>
              <w:rPr>
                <w:sz w:val="24"/>
              </w:rPr>
              <w:t>HJ 491-2019</w:t>
            </w:r>
          </w:p>
        </w:tc>
        <w:tc>
          <w:tcPr>
            <w:tcW w:w="1905" w:type="dxa"/>
            <w:vAlign w:val="center"/>
          </w:tcPr>
          <w:p w:rsidR="00015BC5" w:rsidRDefault="00BC55F7">
            <w:pPr>
              <w:pStyle w:val="10"/>
              <w:rPr>
                <w:sz w:val="24"/>
              </w:rPr>
            </w:pPr>
            <w:r>
              <w:rPr>
                <w:sz w:val="24"/>
              </w:rPr>
              <w:t>原子吸收分光光度计</w:t>
            </w:r>
            <w:r>
              <w:rPr>
                <w:sz w:val="24"/>
              </w:rPr>
              <w:t>/AA-6880</w:t>
            </w:r>
          </w:p>
        </w:tc>
        <w:tc>
          <w:tcPr>
            <w:tcW w:w="1467" w:type="dxa"/>
            <w:vAlign w:val="center"/>
          </w:tcPr>
          <w:p w:rsidR="00015BC5" w:rsidRDefault="00BC55F7">
            <w:pPr>
              <w:pStyle w:val="10"/>
              <w:rPr>
                <w:sz w:val="24"/>
              </w:rPr>
            </w:pPr>
            <w:r>
              <w:rPr>
                <w:sz w:val="24"/>
              </w:rPr>
              <w:t>1mg/kg</w:t>
            </w:r>
          </w:p>
        </w:tc>
      </w:tr>
      <w:tr w:rsidR="00015BC5">
        <w:trPr>
          <w:trHeight w:val="567"/>
          <w:jc w:val="center"/>
        </w:trPr>
        <w:tc>
          <w:tcPr>
            <w:tcW w:w="1351" w:type="dxa"/>
            <w:vAlign w:val="center"/>
          </w:tcPr>
          <w:p w:rsidR="00015BC5" w:rsidRDefault="00BC55F7">
            <w:pPr>
              <w:pStyle w:val="10"/>
              <w:rPr>
                <w:sz w:val="24"/>
              </w:rPr>
            </w:pPr>
            <w:r>
              <w:rPr>
                <w:sz w:val="24"/>
              </w:rPr>
              <w:t>镍</w:t>
            </w:r>
          </w:p>
        </w:tc>
        <w:tc>
          <w:tcPr>
            <w:tcW w:w="3024" w:type="dxa"/>
            <w:vAlign w:val="center"/>
          </w:tcPr>
          <w:p w:rsidR="00015BC5" w:rsidRDefault="00BC55F7">
            <w:pPr>
              <w:pStyle w:val="10"/>
              <w:rPr>
                <w:sz w:val="24"/>
              </w:rPr>
            </w:pPr>
            <w:r>
              <w:rPr>
                <w:sz w:val="24"/>
              </w:rPr>
              <w:t>土壤和沉积物</w:t>
            </w:r>
            <w:r>
              <w:rPr>
                <w:sz w:val="24"/>
              </w:rPr>
              <w:t xml:space="preserve"> </w:t>
            </w:r>
            <w:r>
              <w:rPr>
                <w:sz w:val="24"/>
              </w:rPr>
              <w:t>铜、锌、铅、镍、铬的测定</w:t>
            </w:r>
            <w:r>
              <w:rPr>
                <w:sz w:val="24"/>
              </w:rPr>
              <w:t xml:space="preserve"> </w:t>
            </w:r>
          </w:p>
          <w:p w:rsidR="00015BC5" w:rsidRDefault="00BC55F7">
            <w:pPr>
              <w:pStyle w:val="10"/>
              <w:rPr>
                <w:sz w:val="24"/>
              </w:rPr>
            </w:pPr>
            <w:r>
              <w:rPr>
                <w:sz w:val="24"/>
              </w:rPr>
              <w:t>火焰原子吸收分光光度法</w:t>
            </w:r>
            <w:r>
              <w:rPr>
                <w:sz w:val="24"/>
              </w:rPr>
              <w:t xml:space="preserve"> </w:t>
            </w:r>
          </w:p>
        </w:tc>
        <w:tc>
          <w:tcPr>
            <w:tcW w:w="2076" w:type="dxa"/>
            <w:vAlign w:val="center"/>
          </w:tcPr>
          <w:p w:rsidR="00015BC5" w:rsidRDefault="00BC55F7">
            <w:pPr>
              <w:pStyle w:val="10"/>
              <w:rPr>
                <w:sz w:val="24"/>
              </w:rPr>
            </w:pPr>
            <w:r>
              <w:rPr>
                <w:sz w:val="24"/>
              </w:rPr>
              <w:t>HJ 491-2019</w:t>
            </w:r>
          </w:p>
        </w:tc>
        <w:tc>
          <w:tcPr>
            <w:tcW w:w="1905" w:type="dxa"/>
            <w:vAlign w:val="center"/>
          </w:tcPr>
          <w:p w:rsidR="00015BC5" w:rsidRDefault="00BC55F7">
            <w:pPr>
              <w:pStyle w:val="10"/>
              <w:rPr>
                <w:sz w:val="24"/>
              </w:rPr>
            </w:pPr>
            <w:r>
              <w:rPr>
                <w:sz w:val="24"/>
              </w:rPr>
              <w:t>原子吸收分光光度计</w:t>
            </w:r>
            <w:r>
              <w:rPr>
                <w:sz w:val="24"/>
              </w:rPr>
              <w:t>/AA-6880</w:t>
            </w:r>
          </w:p>
        </w:tc>
        <w:tc>
          <w:tcPr>
            <w:tcW w:w="1467" w:type="dxa"/>
            <w:vAlign w:val="center"/>
          </w:tcPr>
          <w:p w:rsidR="00015BC5" w:rsidRDefault="00BC55F7">
            <w:pPr>
              <w:pStyle w:val="10"/>
              <w:rPr>
                <w:sz w:val="24"/>
              </w:rPr>
            </w:pPr>
            <w:r>
              <w:rPr>
                <w:sz w:val="24"/>
              </w:rPr>
              <w:t>3mg/kg</w:t>
            </w:r>
          </w:p>
        </w:tc>
      </w:tr>
      <w:tr w:rsidR="00015BC5">
        <w:trPr>
          <w:trHeight w:val="567"/>
          <w:jc w:val="center"/>
        </w:trPr>
        <w:tc>
          <w:tcPr>
            <w:tcW w:w="1351" w:type="dxa"/>
            <w:vAlign w:val="center"/>
          </w:tcPr>
          <w:p w:rsidR="00015BC5" w:rsidRDefault="00BC55F7">
            <w:pPr>
              <w:pStyle w:val="10"/>
              <w:rPr>
                <w:color w:val="auto"/>
                <w:sz w:val="24"/>
              </w:rPr>
            </w:pPr>
            <w:r>
              <w:rPr>
                <w:sz w:val="24"/>
              </w:rPr>
              <w:t>铬</w:t>
            </w:r>
            <w:r>
              <w:rPr>
                <w:rFonts w:hint="eastAsia"/>
                <w:sz w:val="24"/>
              </w:rPr>
              <w:t>（六价）</w:t>
            </w:r>
          </w:p>
        </w:tc>
        <w:tc>
          <w:tcPr>
            <w:tcW w:w="3024" w:type="dxa"/>
            <w:vAlign w:val="center"/>
          </w:tcPr>
          <w:p w:rsidR="00015BC5" w:rsidRDefault="00BC55F7">
            <w:pPr>
              <w:pStyle w:val="10"/>
              <w:rPr>
                <w:sz w:val="24"/>
              </w:rPr>
            </w:pPr>
            <w:r>
              <w:rPr>
                <w:sz w:val="24"/>
              </w:rPr>
              <w:t>土壤和沉积物</w:t>
            </w:r>
            <w:r>
              <w:rPr>
                <w:sz w:val="24"/>
              </w:rPr>
              <w:t xml:space="preserve"> </w:t>
            </w:r>
            <w:r>
              <w:rPr>
                <w:rFonts w:hint="eastAsia"/>
                <w:sz w:val="24"/>
              </w:rPr>
              <w:t>六价铬</w:t>
            </w:r>
            <w:r>
              <w:rPr>
                <w:sz w:val="24"/>
              </w:rPr>
              <w:t>的测定</w:t>
            </w:r>
            <w:r>
              <w:rPr>
                <w:sz w:val="24"/>
              </w:rPr>
              <w:t xml:space="preserve"> </w:t>
            </w:r>
            <w:r>
              <w:rPr>
                <w:rFonts w:hint="eastAsia"/>
                <w:sz w:val="24"/>
              </w:rPr>
              <w:t>碱溶液提取</w:t>
            </w:r>
            <w:r>
              <w:rPr>
                <w:rFonts w:hint="eastAsia"/>
                <w:sz w:val="24"/>
              </w:rPr>
              <w:t>-</w:t>
            </w:r>
            <w:r>
              <w:rPr>
                <w:rFonts w:hint="eastAsia"/>
                <w:sz w:val="24"/>
              </w:rPr>
              <w:t>火焰原子吸收分光光度法</w:t>
            </w:r>
          </w:p>
        </w:tc>
        <w:tc>
          <w:tcPr>
            <w:tcW w:w="2076" w:type="dxa"/>
            <w:vAlign w:val="center"/>
          </w:tcPr>
          <w:p w:rsidR="00015BC5" w:rsidRDefault="00BC55F7">
            <w:pPr>
              <w:pStyle w:val="10"/>
              <w:rPr>
                <w:sz w:val="24"/>
              </w:rPr>
            </w:pPr>
            <w:r>
              <w:rPr>
                <w:sz w:val="24"/>
              </w:rPr>
              <w:t xml:space="preserve">HJ </w:t>
            </w:r>
            <w:r>
              <w:rPr>
                <w:rFonts w:hint="eastAsia"/>
                <w:sz w:val="24"/>
              </w:rPr>
              <w:t>1082</w:t>
            </w:r>
            <w:r>
              <w:rPr>
                <w:sz w:val="24"/>
              </w:rPr>
              <w:t>-2019</w:t>
            </w:r>
          </w:p>
        </w:tc>
        <w:tc>
          <w:tcPr>
            <w:tcW w:w="1905" w:type="dxa"/>
            <w:vAlign w:val="center"/>
          </w:tcPr>
          <w:p w:rsidR="00015BC5" w:rsidRDefault="00BC55F7">
            <w:pPr>
              <w:pStyle w:val="10"/>
              <w:rPr>
                <w:sz w:val="24"/>
              </w:rPr>
            </w:pPr>
            <w:r>
              <w:rPr>
                <w:sz w:val="24"/>
              </w:rPr>
              <w:t>原子吸收分光光度计</w:t>
            </w:r>
            <w:r>
              <w:rPr>
                <w:sz w:val="24"/>
              </w:rPr>
              <w:t>/AA-6880</w:t>
            </w:r>
          </w:p>
        </w:tc>
        <w:tc>
          <w:tcPr>
            <w:tcW w:w="1467" w:type="dxa"/>
            <w:vAlign w:val="center"/>
          </w:tcPr>
          <w:p w:rsidR="00015BC5" w:rsidRDefault="00BC55F7">
            <w:pPr>
              <w:pStyle w:val="10"/>
              <w:rPr>
                <w:color w:val="auto"/>
                <w:sz w:val="24"/>
              </w:rPr>
            </w:pPr>
            <w:r>
              <w:rPr>
                <w:rFonts w:hint="eastAsia"/>
                <w:sz w:val="24"/>
              </w:rPr>
              <w:t>0.5</w:t>
            </w:r>
            <w:r>
              <w:rPr>
                <w:sz w:val="24"/>
              </w:rPr>
              <w:t>mg/kg</w:t>
            </w:r>
          </w:p>
        </w:tc>
      </w:tr>
      <w:tr w:rsidR="00015BC5">
        <w:trPr>
          <w:trHeight w:val="567"/>
          <w:jc w:val="center"/>
        </w:trPr>
        <w:tc>
          <w:tcPr>
            <w:tcW w:w="1351" w:type="dxa"/>
            <w:vAlign w:val="center"/>
          </w:tcPr>
          <w:p w:rsidR="00015BC5" w:rsidRDefault="00BC55F7">
            <w:pPr>
              <w:pStyle w:val="10"/>
              <w:rPr>
                <w:color w:val="FF0000"/>
                <w:sz w:val="24"/>
              </w:rPr>
            </w:pPr>
            <w:r>
              <w:rPr>
                <w:color w:val="auto"/>
                <w:sz w:val="24"/>
              </w:rPr>
              <w:t>铅</w:t>
            </w:r>
          </w:p>
        </w:tc>
        <w:tc>
          <w:tcPr>
            <w:tcW w:w="3024" w:type="dxa"/>
            <w:vAlign w:val="center"/>
          </w:tcPr>
          <w:p w:rsidR="00015BC5" w:rsidRDefault="00BC55F7">
            <w:pPr>
              <w:pStyle w:val="10"/>
              <w:rPr>
                <w:color w:val="FF0000"/>
                <w:sz w:val="24"/>
              </w:rPr>
            </w:pPr>
            <w:r>
              <w:rPr>
                <w:sz w:val="24"/>
              </w:rPr>
              <w:t>土壤质量</w:t>
            </w:r>
            <w:r>
              <w:rPr>
                <w:sz w:val="24"/>
              </w:rPr>
              <w:t xml:space="preserve"> </w:t>
            </w:r>
            <w:r>
              <w:rPr>
                <w:sz w:val="24"/>
              </w:rPr>
              <w:t>铅、镉的测定</w:t>
            </w:r>
            <w:r>
              <w:rPr>
                <w:sz w:val="24"/>
              </w:rPr>
              <w:t xml:space="preserve"> </w:t>
            </w:r>
            <w:r>
              <w:rPr>
                <w:sz w:val="24"/>
              </w:rPr>
              <w:t>石墨炉原子吸收分光光度法</w:t>
            </w:r>
            <w:r>
              <w:rPr>
                <w:color w:val="FF0000"/>
                <w:sz w:val="24"/>
              </w:rPr>
              <w:t xml:space="preserve"> </w:t>
            </w:r>
          </w:p>
        </w:tc>
        <w:tc>
          <w:tcPr>
            <w:tcW w:w="2076" w:type="dxa"/>
            <w:vAlign w:val="center"/>
          </w:tcPr>
          <w:p w:rsidR="00015BC5" w:rsidRDefault="00BC55F7">
            <w:pPr>
              <w:pStyle w:val="10"/>
              <w:rPr>
                <w:color w:val="FF0000"/>
                <w:sz w:val="24"/>
              </w:rPr>
            </w:pPr>
            <w:r>
              <w:rPr>
                <w:sz w:val="24"/>
              </w:rPr>
              <w:t>GB/T 17141-1997</w:t>
            </w:r>
          </w:p>
        </w:tc>
        <w:tc>
          <w:tcPr>
            <w:tcW w:w="1905" w:type="dxa"/>
            <w:vAlign w:val="center"/>
          </w:tcPr>
          <w:p w:rsidR="00015BC5" w:rsidRDefault="00BC55F7">
            <w:pPr>
              <w:pStyle w:val="10"/>
              <w:rPr>
                <w:sz w:val="24"/>
              </w:rPr>
            </w:pPr>
            <w:r>
              <w:rPr>
                <w:sz w:val="24"/>
              </w:rPr>
              <w:t>原子吸收分光光度计</w:t>
            </w:r>
            <w:r>
              <w:rPr>
                <w:sz w:val="24"/>
              </w:rPr>
              <w:t>/AA-6880</w:t>
            </w:r>
          </w:p>
        </w:tc>
        <w:tc>
          <w:tcPr>
            <w:tcW w:w="1467" w:type="dxa"/>
            <w:vAlign w:val="center"/>
          </w:tcPr>
          <w:p w:rsidR="00015BC5" w:rsidRDefault="00BC55F7">
            <w:pPr>
              <w:pStyle w:val="10"/>
              <w:rPr>
                <w:sz w:val="24"/>
              </w:rPr>
            </w:pPr>
            <w:r>
              <w:rPr>
                <w:rFonts w:hint="eastAsia"/>
                <w:color w:val="auto"/>
                <w:sz w:val="24"/>
              </w:rPr>
              <w:t>0.1</w:t>
            </w:r>
            <w:r>
              <w:rPr>
                <w:sz w:val="24"/>
              </w:rPr>
              <w:t>mg/kg</w:t>
            </w:r>
          </w:p>
        </w:tc>
      </w:tr>
      <w:tr w:rsidR="00015BC5">
        <w:trPr>
          <w:trHeight w:val="567"/>
          <w:jc w:val="center"/>
        </w:trPr>
        <w:tc>
          <w:tcPr>
            <w:tcW w:w="1351" w:type="dxa"/>
            <w:vAlign w:val="center"/>
          </w:tcPr>
          <w:p w:rsidR="00015BC5" w:rsidRDefault="00BC55F7">
            <w:pPr>
              <w:pStyle w:val="10"/>
              <w:rPr>
                <w:sz w:val="24"/>
              </w:rPr>
            </w:pPr>
            <w:r>
              <w:rPr>
                <w:sz w:val="24"/>
              </w:rPr>
              <w:t>镉</w:t>
            </w:r>
          </w:p>
        </w:tc>
        <w:tc>
          <w:tcPr>
            <w:tcW w:w="3024" w:type="dxa"/>
            <w:vAlign w:val="center"/>
          </w:tcPr>
          <w:p w:rsidR="00015BC5" w:rsidRDefault="00BC55F7">
            <w:pPr>
              <w:pStyle w:val="10"/>
              <w:rPr>
                <w:sz w:val="24"/>
              </w:rPr>
            </w:pPr>
            <w:r>
              <w:rPr>
                <w:sz w:val="24"/>
              </w:rPr>
              <w:t>土壤质量</w:t>
            </w:r>
            <w:r>
              <w:rPr>
                <w:sz w:val="24"/>
              </w:rPr>
              <w:t xml:space="preserve"> </w:t>
            </w:r>
            <w:r>
              <w:rPr>
                <w:sz w:val="24"/>
              </w:rPr>
              <w:t>铅、镉的测定</w:t>
            </w:r>
            <w:r>
              <w:rPr>
                <w:sz w:val="24"/>
              </w:rPr>
              <w:t xml:space="preserve"> </w:t>
            </w:r>
            <w:r>
              <w:rPr>
                <w:sz w:val="24"/>
              </w:rPr>
              <w:t>石墨炉原子吸收分光光度法</w:t>
            </w:r>
          </w:p>
        </w:tc>
        <w:tc>
          <w:tcPr>
            <w:tcW w:w="2076" w:type="dxa"/>
            <w:vAlign w:val="center"/>
          </w:tcPr>
          <w:p w:rsidR="00015BC5" w:rsidRDefault="00BC55F7">
            <w:pPr>
              <w:pStyle w:val="10"/>
              <w:rPr>
                <w:sz w:val="24"/>
              </w:rPr>
            </w:pPr>
            <w:r>
              <w:rPr>
                <w:sz w:val="24"/>
              </w:rPr>
              <w:t>GB/T 17141-1997</w:t>
            </w:r>
          </w:p>
        </w:tc>
        <w:tc>
          <w:tcPr>
            <w:tcW w:w="1905" w:type="dxa"/>
            <w:vAlign w:val="center"/>
          </w:tcPr>
          <w:p w:rsidR="00015BC5" w:rsidRDefault="00BC55F7">
            <w:pPr>
              <w:pStyle w:val="10"/>
              <w:rPr>
                <w:sz w:val="24"/>
              </w:rPr>
            </w:pPr>
            <w:r>
              <w:rPr>
                <w:sz w:val="24"/>
              </w:rPr>
              <w:t>原子吸收分光光度计</w:t>
            </w:r>
            <w:r>
              <w:rPr>
                <w:sz w:val="24"/>
              </w:rPr>
              <w:t>/AA-6880</w:t>
            </w:r>
          </w:p>
        </w:tc>
        <w:tc>
          <w:tcPr>
            <w:tcW w:w="1467" w:type="dxa"/>
            <w:vAlign w:val="center"/>
          </w:tcPr>
          <w:p w:rsidR="00015BC5" w:rsidRDefault="00BC55F7">
            <w:pPr>
              <w:pStyle w:val="10"/>
              <w:rPr>
                <w:sz w:val="24"/>
              </w:rPr>
            </w:pPr>
            <w:r>
              <w:rPr>
                <w:sz w:val="24"/>
              </w:rPr>
              <w:t>0.01mg/kg</w:t>
            </w:r>
          </w:p>
        </w:tc>
      </w:tr>
      <w:tr w:rsidR="00015BC5">
        <w:trPr>
          <w:trHeight w:val="567"/>
          <w:jc w:val="center"/>
        </w:trPr>
        <w:tc>
          <w:tcPr>
            <w:tcW w:w="1351" w:type="dxa"/>
            <w:vAlign w:val="center"/>
          </w:tcPr>
          <w:p w:rsidR="00015BC5" w:rsidRDefault="00BC55F7">
            <w:pPr>
              <w:pStyle w:val="10"/>
              <w:rPr>
                <w:sz w:val="24"/>
              </w:rPr>
            </w:pPr>
            <w:r>
              <w:rPr>
                <w:sz w:val="24"/>
              </w:rPr>
              <w:t>汞</w:t>
            </w:r>
          </w:p>
        </w:tc>
        <w:tc>
          <w:tcPr>
            <w:tcW w:w="3024" w:type="dxa"/>
            <w:vAlign w:val="center"/>
          </w:tcPr>
          <w:p w:rsidR="00015BC5" w:rsidRDefault="00BC55F7">
            <w:pPr>
              <w:pStyle w:val="10"/>
              <w:rPr>
                <w:sz w:val="24"/>
              </w:rPr>
            </w:pPr>
            <w:r>
              <w:rPr>
                <w:sz w:val="24"/>
              </w:rPr>
              <w:t>土壤质量</w:t>
            </w:r>
            <w:r>
              <w:rPr>
                <w:sz w:val="24"/>
              </w:rPr>
              <w:t xml:space="preserve"> </w:t>
            </w:r>
            <w:r>
              <w:rPr>
                <w:sz w:val="24"/>
              </w:rPr>
              <w:t>总汞、总砷、总铅的测定</w:t>
            </w:r>
            <w:r>
              <w:rPr>
                <w:sz w:val="24"/>
              </w:rPr>
              <w:t xml:space="preserve"> </w:t>
            </w:r>
            <w:r>
              <w:rPr>
                <w:sz w:val="24"/>
              </w:rPr>
              <w:t>原子荧光法</w:t>
            </w:r>
            <w:r>
              <w:rPr>
                <w:sz w:val="24"/>
              </w:rPr>
              <w:t xml:space="preserve"> </w:t>
            </w:r>
            <w:r>
              <w:rPr>
                <w:sz w:val="24"/>
              </w:rPr>
              <w:t>第</w:t>
            </w:r>
            <w:r>
              <w:rPr>
                <w:sz w:val="24"/>
              </w:rPr>
              <w:t>1</w:t>
            </w:r>
            <w:r>
              <w:rPr>
                <w:sz w:val="24"/>
              </w:rPr>
              <w:t>部分：土壤中总汞的测定</w:t>
            </w:r>
          </w:p>
        </w:tc>
        <w:tc>
          <w:tcPr>
            <w:tcW w:w="2076" w:type="dxa"/>
            <w:vAlign w:val="center"/>
          </w:tcPr>
          <w:p w:rsidR="00015BC5" w:rsidRDefault="00BC55F7">
            <w:pPr>
              <w:pStyle w:val="10"/>
              <w:rPr>
                <w:sz w:val="24"/>
              </w:rPr>
            </w:pPr>
            <w:r>
              <w:rPr>
                <w:sz w:val="24"/>
              </w:rPr>
              <w:t>GB/T 22105.1-2008</w:t>
            </w:r>
          </w:p>
        </w:tc>
        <w:tc>
          <w:tcPr>
            <w:tcW w:w="1905" w:type="dxa"/>
            <w:vAlign w:val="center"/>
          </w:tcPr>
          <w:p w:rsidR="00015BC5" w:rsidRDefault="00BC55F7">
            <w:pPr>
              <w:pStyle w:val="10"/>
              <w:rPr>
                <w:sz w:val="24"/>
              </w:rPr>
            </w:pPr>
            <w:r>
              <w:rPr>
                <w:sz w:val="24"/>
              </w:rPr>
              <w:t>原子荧光光度计</w:t>
            </w:r>
            <w:r>
              <w:rPr>
                <w:sz w:val="24"/>
              </w:rPr>
              <w:t>/AFS-2202E</w:t>
            </w:r>
          </w:p>
        </w:tc>
        <w:tc>
          <w:tcPr>
            <w:tcW w:w="1467" w:type="dxa"/>
            <w:vAlign w:val="center"/>
          </w:tcPr>
          <w:p w:rsidR="00015BC5" w:rsidRDefault="00BC55F7">
            <w:pPr>
              <w:pStyle w:val="10"/>
              <w:rPr>
                <w:sz w:val="24"/>
              </w:rPr>
            </w:pPr>
            <w:r>
              <w:rPr>
                <w:sz w:val="24"/>
              </w:rPr>
              <w:t>0.002mg/kg</w:t>
            </w:r>
          </w:p>
        </w:tc>
      </w:tr>
      <w:tr w:rsidR="00015BC5">
        <w:trPr>
          <w:trHeight w:val="567"/>
          <w:jc w:val="center"/>
        </w:trPr>
        <w:tc>
          <w:tcPr>
            <w:tcW w:w="1351" w:type="dxa"/>
            <w:vAlign w:val="center"/>
          </w:tcPr>
          <w:p w:rsidR="00015BC5" w:rsidRDefault="00BC55F7">
            <w:pPr>
              <w:pStyle w:val="10"/>
              <w:rPr>
                <w:sz w:val="24"/>
              </w:rPr>
            </w:pPr>
            <w:r>
              <w:rPr>
                <w:sz w:val="24"/>
              </w:rPr>
              <w:t>砷</w:t>
            </w:r>
          </w:p>
        </w:tc>
        <w:tc>
          <w:tcPr>
            <w:tcW w:w="3024" w:type="dxa"/>
            <w:vAlign w:val="center"/>
          </w:tcPr>
          <w:p w:rsidR="00015BC5" w:rsidRDefault="00BC55F7">
            <w:pPr>
              <w:pStyle w:val="10"/>
              <w:rPr>
                <w:sz w:val="24"/>
              </w:rPr>
            </w:pPr>
            <w:r>
              <w:rPr>
                <w:sz w:val="24"/>
              </w:rPr>
              <w:t>土壤质量</w:t>
            </w:r>
            <w:r>
              <w:rPr>
                <w:sz w:val="24"/>
              </w:rPr>
              <w:t xml:space="preserve"> </w:t>
            </w:r>
            <w:r>
              <w:rPr>
                <w:sz w:val="24"/>
              </w:rPr>
              <w:t>总汞、总砷、总铅的测定</w:t>
            </w:r>
            <w:r>
              <w:rPr>
                <w:sz w:val="24"/>
              </w:rPr>
              <w:t xml:space="preserve"> </w:t>
            </w:r>
            <w:r>
              <w:rPr>
                <w:sz w:val="24"/>
              </w:rPr>
              <w:t>原子荧光法</w:t>
            </w:r>
            <w:r>
              <w:rPr>
                <w:sz w:val="24"/>
              </w:rPr>
              <w:t xml:space="preserve"> </w:t>
            </w:r>
            <w:r>
              <w:rPr>
                <w:sz w:val="24"/>
              </w:rPr>
              <w:t>第</w:t>
            </w:r>
            <w:r>
              <w:rPr>
                <w:sz w:val="24"/>
              </w:rPr>
              <w:t>2</w:t>
            </w:r>
            <w:r>
              <w:rPr>
                <w:sz w:val="24"/>
              </w:rPr>
              <w:t>部分：土壤中总砷的测定</w:t>
            </w:r>
          </w:p>
        </w:tc>
        <w:tc>
          <w:tcPr>
            <w:tcW w:w="2076" w:type="dxa"/>
            <w:vAlign w:val="center"/>
          </w:tcPr>
          <w:p w:rsidR="00015BC5" w:rsidRDefault="00BC55F7">
            <w:pPr>
              <w:pStyle w:val="10"/>
              <w:rPr>
                <w:sz w:val="24"/>
              </w:rPr>
            </w:pPr>
            <w:r>
              <w:rPr>
                <w:sz w:val="24"/>
              </w:rPr>
              <w:t>GB/T 22105.2-2008</w:t>
            </w:r>
          </w:p>
        </w:tc>
        <w:tc>
          <w:tcPr>
            <w:tcW w:w="1905" w:type="dxa"/>
            <w:vAlign w:val="center"/>
          </w:tcPr>
          <w:p w:rsidR="00015BC5" w:rsidRDefault="00BC55F7">
            <w:pPr>
              <w:pStyle w:val="10"/>
              <w:rPr>
                <w:sz w:val="24"/>
              </w:rPr>
            </w:pPr>
            <w:r>
              <w:rPr>
                <w:sz w:val="24"/>
              </w:rPr>
              <w:t>原子荧光光度计</w:t>
            </w:r>
            <w:r>
              <w:rPr>
                <w:sz w:val="24"/>
              </w:rPr>
              <w:t>/AFS-2202E</w:t>
            </w:r>
          </w:p>
        </w:tc>
        <w:tc>
          <w:tcPr>
            <w:tcW w:w="1467" w:type="dxa"/>
            <w:vAlign w:val="center"/>
          </w:tcPr>
          <w:p w:rsidR="00015BC5" w:rsidRDefault="00BC55F7">
            <w:pPr>
              <w:pStyle w:val="10"/>
              <w:rPr>
                <w:sz w:val="24"/>
              </w:rPr>
            </w:pPr>
            <w:r>
              <w:rPr>
                <w:sz w:val="24"/>
              </w:rPr>
              <w:t>0.01mg/kg</w:t>
            </w:r>
          </w:p>
        </w:tc>
      </w:tr>
      <w:tr w:rsidR="00015BC5">
        <w:trPr>
          <w:trHeight w:val="567"/>
          <w:jc w:val="center"/>
        </w:trPr>
        <w:tc>
          <w:tcPr>
            <w:tcW w:w="1351" w:type="dxa"/>
            <w:vAlign w:val="center"/>
          </w:tcPr>
          <w:p w:rsidR="00015BC5" w:rsidRDefault="00BC55F7">
            <w:pPr>
              <w:pStyle w:val="10"/>
              <w:rPr>
                <w:sz w:val="24"/>
              </w:rPr>
            </w:pPr>
            <w:r>
              <w:rPr>
                <w:rFonts w:hint="eastAsia"/>
                <w:sz w:val="24"/>
              </w:rPr>
              <w:t>钴</w:t>
            </w:r>
          </w:p>
        </w:tc>
        <w:tc>
          <w:tcPr>
            <w:tcW w:w="3024" w:type="dxa"/>
            <w:vAlign w:val="center"/>
          </w:tcPr>
          <w:p w:rsidR="00015BC5" w:rsidRDefault="00BC55F7">
            <w:pPr>
              <w:pStyle w:val="10"/>
              <w:rPr>
                <w:sz w:val="24"/>
              </w:rPr>
            </w:pPr>
            <w:r>
              <w:rPr>
                <w:rFonts w:hint="eastAsia"/>
                <w:sz w:val="24"/>
              </w:rPr>
              <w:t>土壤和沉积物</w:t>
            </w:r>
            <w:r>
              <w:rPr>
                <w:rFonts w:hint="eastAsia"/>
                <w:sz w:val="24"/>
              </w:rPr>
              <w:t xml:space="preserve"> </w:t>
            </w:r>
            <w:r>
              <w:rPr>
                <w:rFonts w:hint="eastAsia"/>
                <w:sz w:val="24"/>
              </w:rPr>
              <w:t>钴的测定</w:t>
            </w:r>
            <w:r>
              <w:rPr>
                <w:rFonts w:hint="eastAsia"/>
                <w:sz w:val="24"/>
              </w:rPr>
              <w:t xml:space="preserve"> </w:t>
            </w:r>
            <w:r>
              <w:rPr>
                <w:rFonts w:hint="eastAsia"/>
                <w:sz w:val="24"/>
              </w:rPr>
              <w:t>火焰原子吸收分光光度法</w:t>
            </w:r>
          </w:p>
        </w:tc>
        <w:tc>
          <w:tcPr>
            <w:tcW w:w="2076" w:type="dxa"/>
            <w:vAlign w:val="center"/>
          </w:tcPr>
          <w:p w:rsidR="00015BC5" w:rsidRDefault="00BC55F7">
            <w:pPr>
              <w:pStyle w:val="10"/>
              <w:rPr>
                <w:sz w:val="24"/>
              </w:rPr>
            </w:pPr>
            <w:r>
              <w:rPr>
                <w:rFonts w:hint="eastAsia"/>
                <w:sz w:val="24"/>
              </w:rPr>
              <w:t>HJ 1081-2019</w:t>
            </w:r>
          </w:p>
        </w:tc>
        <w:tc>
          <w:tcPr>
            <w:tcW w:w="1905" w:type="dxa"/>
            <w:vAlign w:val="center"/>
          </w:tcPr>
          <w:p w:rsidR="00015BC5" w:rsidRDefault="00BC55F7">
            <w:pPr>
              <w:pStyle w:val="10"/>
              <w:rPr>
                <w:sz w:val="24"/>
              </w:rPr>
            </w:pPr>
            <w:r>
              <w:rPr>
                <w:sz w:val="24"/>
              </w:rPr>
              <w:t>原子吸收分光光度计</w:t>
            </w:r>
            <w:r>
              <w:rPr>
                <w:sz w:val="24"/>
              </w:rPr>
              <w:t>/AA-6880</w:t>
            </w:r>
          </w:p>
        </w:tc>
        <w:tc>
          <w:tcPr>
            <w:tcW w:w="1467" w:type="dxa"/>
            <w:vAlign w:val="center"/>
          </w:tcPr>
          <w:p w:rsidR="00015BC5" w:rsidRDefault="00BC55F7">
            <w:pPr>
              <w:pStyle w:val="10"/>
              <w:rPr>
                <w:sz w:val="24"/>
              </w:rPr>
            </w:pPr>
            <w:r>
              <w:rPr>
                <w:rFonts w:hint="eastAsia"/>
                <w:sz w:val="24"/>
              </w:rPr>
              <w:t>2</w:t>
            </w:r>
            <w:r>
              <w:rPr>
                <w:sz w:val="24"/>
              </w:rPr>
              <w:t>mg/kg</w:t>
            </w:r>
          </w:p>
        </w:tc>
      </w:tr>
    </w:tbl>
    <w:p w:rsidR="00015BC5" w:rsidRDefault="00015BC5">
      <w:pPr>
        <w:pStyle w:val="a7"/>
        <w:ind w:firstLineChars="0" w:firstLine="0"/>
        <w:jc w:val="left"/>
        <w:rPr>
          <w:b/>
          <w:sz w:val="28"/>
          <w:szCs w:val="28"/>
        </w:rPr>
      </w:pPr>
    </w:p>
    <w:p w:rsidR="00015BC5" w:rsidRDefault="00015BC5">
      <w:pPr>
        <w:pStyle w:val="a7"/>
        <w:ind w:firstLineChars="0" w:firstLine="0"/>
        <w:jc w:val="left"/>
        <w:rPr>
          <w:b/>
          <w:sz w:val="28"/>
          <w:szCs w:val="28"/>
        </w:rPr>
      </w:pPr>
    </w:p>
    <w:p w:rsidR="00015BC5" w:rsidRDefault="00015BC5">
      <w:pPr>
        <w:pStyle w:val="a7"/>
        <w:ind w:firstLineChars="0" w:firstLine="0"/>
        <w:jc w:val="left"/>
        <w:rPr>
          <w:b/>
          <w:sz w:val="28"/>
          <w:szCs w:val="28"/>
        </w:rPr>
      </w:pPr>
    </w:p>
    <w:p w:rsidR="00015BC5" w:rsidRDefault="00015BC5">
      <w:pPr>
        <w:pStyle w:val="a7"/>
        <w:ind w:firstLineChars="0" w:firstLine="0"/>
        <w:jc w:val="left"/>
        <w:rPr>
          <w:b/>
          <w:sz w:val="28"/>
          <w:szCs w:val="28"/>
        </w:rPr>
      </w:pPr>
    </w:p>
    <w:p w:rsidR="00015BC5" w:rsidRDefault="00015BC5">
      <w:pPr>
        <w:pStyle w:val="a7"/>
        <w:ind w:firstLineChars="0" w:firstLine="0"/>
        <w:jc w:val="left"/>
        <w:rPr>
          <w:b/>
          <w:sz w:val="28"/>
          <w:szCs w:val="28"/>
        </w:rPr>
      </w:pPr>
    </w:p>
    <w:p w:rsidR="00015BC5" w:rsidRDefault="00BC55F7">
      <w:pPr>
        <w:pStyle w:val="a7"/>
        <w:numPr>
          <w:ilvl w:val="0"/>
          <w:numId w:val="5"/>
        </w:numPr>
        <w:ind w:firstLineChars="0" w:firstLine="0"/>
        <w:jc w:val="left"/>
        <w:rPr>
          <w:b/>
          <w:sz w:val="28"/>
          <w:szCs w:val="28"/>
        </w:rPr>
      </w:pPr>
      <w:r>
        <w:rPr>
          <w:rFonts w:hint="eastAsia"/>
          <w:b/>
          <w:sz w:val="28"/>
          <w:szCs w:val="28"/>
        </w:rPr>
        <w:t>地下水监测方法</w:t>
      </w:r>
    </w:p>
    <w:tbl>
      <w:tblPr>
        <w:tblW w:w="9910" w:type="dxa"/>
        <w:jc w:val="center"/>
        <w:tblBorders>
          <w:top w:val="single" w:sz="4" w:space="0" w:color="000000"/>
          <w:bottom w:val="single" w:sz="4" w:space="0" w:color="000000"/>
          <w:insideH w:val="single" w:sz="4" w:space="0" w:color="000000"/>
          <w:insideV w:val="single" w:sz="4" w:space="0" w:color="000000"/>
        </w:tblBorders>
        <w:tblLayout w:type="fixed"/>
        <w:tblCellMar>
          <w:left w:w="28" w:type="dxa"/>
          <w:right w:w="28" w:type="dxa"/>
        </w:tblCellMar>
        <w:tblLook w:val="04A0"/>
      </w:tblPr>
      <w:tblGrid>
        <w:gridCol w:w="1231"/>
        <w:gridCol w:w="3118"/>
        <w:gridCol w:w="2186"/>
        <w:gridCol w:w="1939"/>
        <w:gridCol w:w="1436"/>
      </w:tblGrid>
      <w:tr w:rsidR="00015BC5">
        <w:trPr>
          <w:trHeight w:val="624"/>
          <w:tblHeader/>
          <w:jc w:val="center"/>
        </w:trPr>
        <w:tc>
          <w:tcPr>
            <w:tcW w:w="1231" w:type="dxa"/>
            <w:vAlign w:val="center"/>
          </w:tcPr>
          <w:p w:rsidR="00015BC5" w:rsidRDefault="00BC55F7">
            <w:pPr>
              <w:pStyle w:val="a8"/>
              <w:keepNext w:val="0"/>
              <w:overflowPunct w:val="0"/>
              <w:topLinePunct/>
              <w:snapToGrid w:val="0"/>
              <w:spacing w:line="240" w:lineRule="auto"/>
              <w:rPr>
                <w:spacing w:val="2"/>
                <w:sz w:val="24"/>
                <w:szCs w:val="24"/>
              </w:rPr>
            </w:pPr>
            <w:r>
              <w:rPr>
                <w:bCs/>
                <w:sz w:val="24"/>
                <w:szCs w:val="24"/>
              </w:rPr>
              <w:t>检测因子</w:t>
            </w:r>
          </w:p>
        </w:tc>
        <w:tc>
          <w:tcPr>
            <w:tcW w:w="3118" w:type="dxa"/>
            <w:vAlign w:val="center"/>
          </w:tcPr>
          <w:p w:rsidR="00015BC5" w:rsidRDefault="00BC55F7">
            <w:pPr>
              <w:pStyle w:val="a8"/>
              <w:keepNext w:val="0"/>
              <w:overflowPunct w:val="0"/>
              <w:topLinePunct/>
              <w:snapToGrid w:val="0"/>
              <w:spacing w:line="240" w:lineRule="auto"/>
              <w:rPr>
                <w:spacing w:val="2"/>
                <w:sz w:val="24"/>
                <w:szCs w:val="24"/>
              </w:rPr>
            </w:pPr>
            <w:r>
              <w:rPr>
                <w:bCs/>
                <w:sz w:val="24"/>
                <w:szCs w:val="24"/>
              </w:rPr>
              <w:t>检测方法</w:t>
            </w:r>
          </w:p>
        </w:tc>
        <w:tc>
          <w:tcPr>
            <w:tcW w:w="2186" w:type="dxa"/>
            <w:vAlign w:val="center"/>
          </w:tcPr>
          <w:p w:rsidR="00015BC5" w:rsidRDefault="00BC55F7">
            <w:pPr>
              <w:jc w:val="center"/>
              <w:rPr>
                <w:sz w:val="24"/>
              </w:rPr>
            </w:pPr>
            <w:r>
              <w:rPr>
                <w:rFonts w:ascii="Times New Roman" w:hAnsi="Times New Roman" w:cs="Times New Roman"/>
                <w:sz w:val="24"/>
              </w:rPr>
              <w:t>方法</w:t>
            </w:r>
            <w:r>
              <w:rPr>
                <w:rFonts w:cs="Times New Roman" w:hint="eastAsia"/>
                <w:sz w:val="24"/>
              </w:rPr>
              <w:t>来</w:t>
            </w:r>
            <w:r>
              <w:rPr>
                <w:rFonts w:ascii="Times New Roman" w:hAnsi="Times New Roman" w:cs="Times New Roman"/>
                <w:sz w:val="24"/>
              </w:rPr>
              <w:t>源</w:t>
            </w:r>
          </w:p>
        </w:tc>
        <w:tc>
          <w:tcPr>
            <w:tcW w:w="1939" w:type="dxa"/>
            <w:vAlign w:val="center"/>
          </w:tcPr>
          <w:p w:rsidR="00015BC5" w:rsidRDefault="00BC55F7">
            <w:pPr>
              <w:jc w:val="center"/>
              <w:rPr>
                <w:sz w:val="24"/>
              </w:rPr>
            </w:pPr>
            <w:r>
              <w:rPr>
                <w:rFonts w:ascii="Times New Roman" w:hAnsi="Times New Roman" w:cs="Times New Roman"/>
                <w:bCs/>
                <w:sz w:val="24"/>
              </w:rPr>
              <w:t>仪器</w:t>
            </w:r>
            <w:r>
              <w:rPr>
                <w:rFonts w:cs="Times New Roman" w:hint="eastAsia"/>
                <w:bCs/>
                <w:sz w:val="24"/>
              </w:rPr>
              <w:t>名称及型号</w:t>
            </w:r>
          </w:p>
        </w:tc>
        <w:tc>
          <w:tcPr>
            <w:tcW w:w="1436" w:type="dxa"/>
            <w:vAlign w:val="center"/>
          </w:tcPr>
          <w:p w:rsidR="00015BC5" w:rsidRDefault="00BC55F7">
            <w:pPr>
              <w:pStyle w:val="a8"/>
              <w:keepNext w:val="0"/>
              <w:overflowPunct w:val="0"/>
              <w:topLinePunct/>
              <w:snapToGrid w:val="0"/>
              <w:spacing w:line="240" w:lineRule="auto"/>
              <w:rPr>
                <w:bCs/>
                <w:sz w:val="24"/>
                <w:szCs w:val="24"/>
              </w:rPr>
            </w:pPr>
            <w:r>
              <w:rPr>
                <w:bCs/>
                <w:sz w:val="24"/>
                <w:szCs w:val="24"/>
              </w:rPr>
              <w:t>检出限</w:t>
            </w:r>
          </w:p>
          <w:p w:rsidR="00015BC5" w:rsidRDefault="00BC55F7">
            <w:pPr>
              <w:pStyle w:val="a8"/>
              <w:keepNext w:val="0"/>
              <w:overflowPunct w:val="0"/>
              <w:topLinePunct/>
              <w:snapToGrid w:val="0"/>
              <w:spacing w:line="240" w:lineRule="auto"/>
              <w:rPr>
                <w:spacing w:val="2"/>
                <w:sz w:val="24"/>
                <w:szCs w:val="24"/>
              </w:rPr>
            </w:pPr>
            <w:r>
              <w:rPr>
                <w:bCs/>
                <w:sz w:val="24"/>
                <w:szCs w:val="24"/>
              </w:rPr>
              <w:t>/</w:t>
            </w:r>
            <w:r>
              <w:rPr>
                <w:bCs/>
                <w:sz w:val="24"/>
                <w:szCs w:val="24"/>
              </w:rPr>
              <w:t>检测下限</w:t>
            </w:r>
          </w:p>
        </w:tc>
      </w:tr>
      <w:tr w:rsidR="00015BC5">
        <w:trPr>
          <w:trHeight w:val="624"/>
          <w:jc w:val="center"/>
        </w:trPr>
        <w:tc>
          <w:tcPr>
            <w:tcW w:w="1231" w:type="dxa"/>
            <w:vAlign w:val="center"/>
          </w:tcPr>
          <w:p w:rsidR="00015BC5" w:rsidRDefault="00BC55F7">
            <w:pPr>
              <w:pStyle w:val="a8"/>
              <w:keepNext w:val="0"/>
              <w:overflowPunct w:val="0"/>
              <w:topLinePunct/>
              <w:snapToGrid w:val="0"/>
              <w:spacing w:line="240" w:lineRule="auto"/>
              <w:rPr>
                <w:kern w:val="2"/>
                <w:sz w:val="24"/>
                <w:szCs w:val="24"/>
              </w:rPr>
            </w:pPr>
            <w:r>
              <w:rPr>
                <w:rFonts w:eastAsia="宋体"/>
                <w:kern w:val="2"/>
                <w:sz w:val="24"/>
                <w:szCs w:val="24"/>
              </w:rPr>
              <w:t>pH</w:t>
            </w:r>
          </w:p>
        </w:tc>
        <w:tc>
          <w:tcPr>
            <w:tcW w:w="3118" w:type="dxa"/>
            <w:vAlign w:val="center"/>
          </w:tcPr>
          <w:p w:rsidR="00015BC5" w:rsidRDefault="00BC55F7">
            <w:pPr>
              <w:widowControl/>
              <w:jc w:val="center"/>
              <w:rPr>
                <w:kern w:val="0"/>
                <w:sz w:val="24"/>
                <w:szCs w:val="20"/>
              </w:rPr>
            </w:pPr>
            <w:r>
              <w:rPr>
                <w:rFonts w:eastAsia="宋体"/>
                <w:sz w:val="24"/>
              </w:rPr>
              <w:t>水质</w:t>
            </w:r>
            <w:r>
              <w:rPr>
                <w:rFonts w:eastAsia="宋体"/>
                <w:sz w:val="24"/>
              </w:rPr>
              <w:t xml:space="preserve"> pH</w:t>
            </w:r>
            <w:r>
              <w:rPr>
                <w:rFonts w:eastAsia="宋体"/>
                <w:sz w:val="24"/>
              </w:rPr>
              <w:t>值的测定</w:t>
            </w:r>
            <w:r>
              <w:rPr>
                <w:rFonts w:hint="eastAsia"/>
                <w:sz w:val="24"/>
              </w:rPr>
              <w:t xml:space="preserve"> </w:t>
            </w:r>
            <w:r>
              <w:rPr>
                <w:rFonts w:eastAsia="宋体"/>
                <w:sz w:val="24"/>
              </w:rPr>
              <w:t>电极法</w:t>
            </w:r>
          </w:p>
        </w:tc>
        <w:tc>
          <w:tcPr>
            <w:tcW w:w="2186" w:type="dxa"/>
            <w:vAlign w:val="center"/>
          </w:tcPr>
          <w:p w:rsidR="00015BC5" w:rsidRDefault="00BC55F7">
            <w:pPr>
              <w:pStyle w:val="a8"/>
              <w:keepNext w:val="0"/>
              <w:overflowPunct w:val="0"/>
              <w:topLinePunct/>
              <w:snapToGrid w:val="0"/>
              <w:spacing w:line="240" w:lineRule="auto"/>
              <w:rPr>
                <w:kern w:val="2"/>
                <w:sz w:val="24"/>
                <w:szCs w:val="24"/>
              </w:rPr>
            </w:pPr>
            <w:r>
              <w:rPr>
                <w:rFonts w:hint="eastAsia"/>
                <w:kern w:val="2"/>
                <w:sz w:val="24"/>
                <w:szCs w:val="24"/>
              </w:rPr>
              <w:t>HJ</w:t>
            </w:r>
            <w:r>
              <w:rPr>
                <w:rFonts w:eastAsia="宋体"/>
                <w:kern w:val="2"/>
                <w:sz w:val="24"/>
                <w:szCs w:val="24"/>
              </w:rPr>
              <w:t xml:space="preserve"> </w:t>
            </w:r>
            <w:r>
              <w:rPr>
                <w:rFonts w:hint="eastAsia"/>
                <w:kern w:val="2"/>
                <w:sz w:val="24"/>
                <w:szCs w:val="24"/>
              </w:rPr>
              <w:t>1147</w:t>
            </w:r>
            <w:r>
              <w:rPr>
                <w:rFonts w:eastAsia="宋体"/>
                <w:kern w:val="2"/>
                <w:sz w:val="24"/>
                <w:szCs w:val="24"/>
              </w:rPr>
              <w:t>-</w:t>
            </w:r>
            <w:r>
              <w:rPr>
                <w:rFonts w:hint="eastAsia"/>
                <w:kern w:val="2"/>
                <w:sz w:val="24"/>
                <w:szCs w:val="24"/>
              </w:rPr>
              <w:t>2020</w:t>
            </w:r>
          </w:p>
        </w:tc>
        <w:tc>
          <w:tcPr>
            <w:tcW w:w="1939" w:type="dxa"/>
            <w:vAlign w:val="center"/>
          </w:tcPr>
          <w:p w:rsidR="00015BC5" w:rsidRDefault="00BC55F7">
            <w:pPr>
              <w:pStyle w:val="a8"/>
              <w:keepNext w:val="0"/>
              <w:overflowPunct w:val="0"/>
              <w:topLinePunct/>
              <w:snapToGrid w:val="0"/>
              <w:spacing w:line="240" w:lineRule="auto"/>
              <w:rPr>
                <w:bCs/>
                <w:sz w:val="24"/>
                <w:szCs w:val="24"/>
              </w:rPr>
            </w:pPr>
            <w:r>
              <w:rPr>
                <w:rFonts w:eastAsia="宋体" w:hint="eastAsia"/>
                <w:color w:val="000000"/>
                <w:kern w:val="2"/>
                <w:sz w:val="24"/>
                <w:szCs w:val="24"/>
              </w:rPr>
              <w:t>便携式</w:t>
            </w:r>
            <w:r>
              <w:rPr>
                <w:rFonts w:eastAsia="宋体"/>
                <w:color w:val="000000"/>
                <w:kern w:val="2"/>
                <w:sz w:val="24"/>
                <w:szCs w:val="24"/>
              </w:rPr>
              <w:t>pH</w:t>
            </w:r>
            <w:r>
              <w:rPr>
                <w:rFonts w:eastAsia="宋体" w:hint="eastAsia"/>
                <w:color w:val="000000"/>
                <w:kern w:val="2"/>
                <w:sz w:val="24"/>
                <w:szCs w:val="24"/>
              </w:rPr>
              <w:t>计</w:t>
            </w:r>
            <w:r>
              <w:rPr>
                <w:rFonts w:eastAsia="宋体"/>
                <w:kern w:val="2"/>
                <w:sz w:val="24"/>
                <w:szCs w:val="24"/>
              </w:rPr>
              <w:t>/PHB-4</w:t>
            </w:r>
          </w:p>
        </w:tc>
        <w:tc>
          <w:tcPr>
            <w:tcW w:w="1436" w:type="dxa"/>
            <w:vAlign w:val="center"/>
          </w:tcPr>
          <w:p w:rsidR="00015BC5" w:rsidRDefault="00BC55F7">
            <w:pPr>
              <w:pStyle w:val="a8"/>
              <w:keepNext w:val="0"/>
              <w:overflowPunct w:val="0"/>
              <w:topLinePunct/>
              <w:snapToGrid w:val="0"/>
              <w:spacing w:line="240" w:lineRule="auto"/>
              <w:rPr>
                <w:bCs/>
                <w:sz w:val="24"/>
                <w:szCs w:val="24"/>
              </w:rPr>
            </w:pPr>
            <w:r>
              <w:rPr>
                <w:rFonts w:eastAsia="宋体"/>
                <w:kern w:val="2"/>
                <w:sz w:val="24"/>
                <w:szCs w:val="24"/>
              </w:rPr>
              <w:t>/</w:t>
            </w:r>
          </w:p>
        </w:tc>
      </w:tr>
      <w:tr w:rsidR="00015BC5">
        <w:tblPrEx>
          <w:tblCellMar>
            <w:left w:w="108" w:type="dxa"/>
            <w:right w:w="108" w:type="dxa"/>
          </w:tblCellMar>
        </w:tblPrEx>
        <w:trPr>
          <w:trHeight w:val="624"/>
          <w:jc w:val="center"/>
        </w:trPr>
        <w:tc>
          <w:tcPr>
            <w:tcW w:w="1231" w:type="dxa"/>
            <w:vAlign w:val="center"/>
          </w:tcPr>
          <w:p w:rsidR="00015BC5" w:rsidRDefault="00BC55F7">
            <w:pPr>
              <w:autoSpaceDN w:val="0"/>
              <w:jc w:val="center"/>
              <w:textAlignment w:val="center"/>
              <w:rPr>
                <w:rFonts w:ascii="Times New Roman" w:hAnsi="Times New Roman" w:cs="Times New Roman"/>
                <w:bCs/>
                <w:color w:val="000000"/>
                <w:sz w:val="24"/>
              </w:rPr>
            </w:pPr>
            <w:r>
              <w:rPr>
                <w:sz w:val="24"/>
              </w:rPr>
              <w:t>锌</w:t>
            </w:r>
          </w:p>
        </w:tc>
        <w:tc>
          <w:tcPr>
            <w:tcW w:w="3118" w:type="dxa"/>
            <w:vAlign w:val="center"/>
          </w:tcPr>
          <w:p w:rsidR="00015BC5" w:rsidRDefault="00BC55F7">
            <w:pPr>
              <w:ind w:rightChars="-1" w:right="-2"/>
              <w:jc w:val="center"/>
              <w:rPr>
                <w:rFonts w:ascii="Times New Roman" w:hAnsi="Times New Roman" w:cs="Times New Roman"/>
                <w:sz w:val="24"/>
              </w:rPr>
            </w:pPr>
            <w:r>
              <w:rPr>
                <w:sz w:val="24"/>
              </w:rPr>
              <w:t>水质</w:t>
            </w:r>
            <w:r>
              <w:rPr>
                <w:sz w:val="24"/>
              </w:rPr>
              <w:t xml:space="preserve"> </w:t>
            </w:r>
            <w:r>
              <w:rPr>
                <w:sz w:val="24"/>
              </w:rPr>
              <w:t>铜、锌、铅、镉的测定</w:t>
            </w:r>
            <w:r>
              <w:rPr>
                <w:sz w:val="24"/>
              </w:rPr>
              <w:t xml:space="preserve"> </w:t>
            </w:r>
            <w:r>
              <w:rPr>
                <w:sz w:val="24"/>
              </w:rPr>
              <w:t>原子吸收分光光度法</w:t>
            </w:r>
          </w:p>
        </w:tc>
        <w:tc>
          <w:tcPr>
            <w:tcW w:w="2186" w:type="dxa"/>
            <w:vAlign w:val="center"/>
          </w:tcPr>
          <w:p w:rsidR="00015BC5" w:rsidRDefault="00BC55F7">
            <w:pPr>
              <w:widowControl/>
              <w:jc w:val="center"/>
              <w:rPr>
                <w:rFonts w:ascii="Times New Roman" w:hAnsi="Times New Roman" w:cs="Times New Roman"/>
                <w:sz w:val="24"/>
              </w:rPr>
            </w:pPr>
            <w:r>
              <w:rPr>
                <w:sz w:val="24"/>
              </w:rPr>
              <w:t>GB 7475-1987</w:t>
            </w:r>
          </w:p>
        </w:tc>
        <w:tc>
          <w:tcPr>
            <w:tcW w:w="1939" w:type="dxa"/>
            <w:vAlign w:val="center"/>
          </w:tcPr>
          <w:p w:rsidR="00015BC5" w:rsidRDefault="00BC55F7">
            <w:pPr>
              <w:ind w:rightChars="-1" w:right="-2"/>
              <w:jc w:val="center"/>
              <w:rPr>
                <w:rFonts w:ascii="Times New Roman" w:eastAsia="宋体" w:hAnsi="Times New Roman" w:cs="Times New Roman"/>
                <w:color w:val="000000"/>
                <w:kern w:val="0"/>
                <w:sz w:val="24"/>
              </w:rPr>
            </w:pPr>
            <w:r>
              <w:rPr>
                <w:sz w:val="24"/>
              </w:rPr>
              <w:t>原子吸收分光光度计</w:t>
            </w:r>
            <w:r>
              <w:rPr>
                <w:sz w:val="24"/>
              </w:rPr>
              <w:t>/AA-6880</w:t>
            </w:r>
          </w:p>
        </w:tc>
        <w:tc>
          <w:tcPr>
            <w:tcW w:w="1436" w:type="dxa"/>
            <w:vAlign w:val="center"/>
          </w:tcPr>
          <w:p w:rsidR="00015BC5" w:rsidRDefault="00BC55F7">
            <w:pPr>
              <w:ind w:rightChars="-1" w:right="-2"/>
              <w:jc w:val="center"/>
              <w:rPr>
                <w:rFonts w:ascii="Times New Roman" w:hAnsi="Times New Roman" w:cs="Times New Roman"/>
                <w:sz w:val="24"/>
              </w:rPr>
            </w:pPr>
            <w:r>
              <w:rPr>
                <w:sz w:val="24"/>
              </w:rPr>
              <w:t>0.05mg/L</w:t>
            </w:r>
          </w:p>
        </w:tc>
      </w:tr>
      <w:tr w:rsidR="00015BC5">
        <w:trPr>
          <w:trHeight w:val="624"/>
          <w:jc w:val="center"/>
        </w:trPr>
        <w:tc>
          <w:tcPr>
            <w:tcW w:w="1231" w:type="dxa"/>
            <w:vAlign w:val="center"/>
          </w:tcPr>
          <w:p w:rsidR="00015BC5" w:rsidRDefault="00BC55F7">
            <w:pPr>
              <w:pStyle w:val="a8"/>
              <w:keepNext w:val="0"/>
              <w:overflowPunct w:val="0"/>
              <w:topLinePunct/>
              <w:snapToGrid w:val="0"/>
              <w:spacing w:line="240" w:lineRule="auto"/>
              <w:rPr>
                <w:sz w:val="24"/>
              </w:rPr>
            </w:pPr>
            <w:r>
              <w:rPr>
                <w:bCs/>
                <w:sz w:val="24"/>
                <w:szCs w:val="24"/>
              </w:rPr>
              <w:t>硝酸盐氮</w:t>
            </w:r>
          </w:p>
        </w:tc>
        <w:tc>
          <w:tcPr>
            <w:tcW w:w="3118" w:type="dxa"/>
            <w:vAlign w:val="center"/>
          </w:tcPr>
          <w:p w:rsidR="00015BC5" w:rsidRDefault="00BC55F7">
            <w:pPr>
              <w:pStyle w:val="a8"/>
              <w:keepNext w:val="0"/>
              <w:overflowPunct w:val="0"/>
              <w:topLinePunct/>
              <w:snapToGrid w:val="0"/>
              <w:spacing w:line="240" w:lineRule="auto"/>
              <w:rPr>
                <w:sz w:val="24"/>
              </w:rPr>
            </w:pPr>
            <w:r>
              <w:rPr>
                <w:rFonts w:hint="eastAsia"/>
                <w:sz w:val="24"/>
              </w:rPr>
              <w:t>水质</w:t>
            </w:r>
            <w:r>
              <w:rPr>
                <w:rFonts w:hint="eastAsia"/>
                <w:sz w:val="24"/>
              </w:rPr>
              <w:t xml:space="preserve"> </w:t>
            </w:r>
            <w:r>
              <w:rPr>
                <w:rFonts w:hint="eastAsia"/>
                <w:sz w:val="24"/>
              </w:rPr>
              <w:t>硝酸盐氮的测定</w:t>
            </w:r>
          </w:p>
          <w:p w:rsidR="00015BC5" w:rsidRDefault="00BC55F7">
            <w:pPr>
              <w:pStyle w:val="a8"/>
              <w:keepNext w:val="0"/>
              <w:overflowPunct w:val="0"/>
              <w:topLinePunct/>
              <w:snapToGrid w:val="0"/>
              <w:spacing w:line="240" w:lineRule="auto"/>
              <w:rPr>
                <w:sz w:val="24"/>
              </w:rPr>
            </w:pPr>
            <w:r>
              <w:rPr>
                <w:rFonts w:hint="eastAsia"/>
                <w:sz w:val="24"/>
              </w:rPr>
              <w:t>酚二磺酸分光光度法</w:t>
            </w:r>
          </w:p>
        </w:tc>
        <w:tc>
          <w:tcPr>
            <w:tcW w:w="2186" w:type="dxa"/>
            <w:vAlign w:val="center"/>
          </w:tcPr>
          <w:p w:rsidR="00015BC5" w:rsidRDefault="00BC55F7">
            <w:pPr>
              <w:pStyle w:val="a8"/>
              <w:keepNext w:val="0"/>
              <w:overflowPunct w:val="0"/>
              <w:topLinePunct/>
              <w:snapToGrid w:val="0"/>
              <w:spacing w:line="240" w:lineRule="auto"/>
              <w:rPr>
                <w:sz w:val="24"/>
              </w:rPr>
            </w:pPr>
            <w:r>
              <w:rPr>
                <w:rFonts w:hint="eastAsia"/>
                <w:sz w:val="24"/>
              </w:rPr>
              <w:t>GB 7480-1987</w:t>
            </w:r>
          </w:p>
        </w:tc>
        <w:tc>
          <w:tcPr>
            <w:tcW w:w="1939" w:type="dxa"/>
            <w:vAlign w:val="center"/>
          </w:tcPr>
          <w:p w:rsidR="00015BC5" w:rsidRDefault="00BC55F7">
            <w:pPr>
              <w:pStyle w:val="a8"/>
              <w:keepNext w:val="0"/>
              <w:overflowPunct w:val="0"/>
              <w:topLinePunct/>
              <w:snapToGrid w:val="0"/>
              <w:spacing w:line="240" w:lineRule="auto"/>
              <w:rPr>
                <w:rFonts w:eastAsia="宋体"/>
                <w:sz w:val="24"/>
                <w:szCs w:val="24"/>
              </w:rPr>
            </w:pPr>
            <w:r>
              <w:rPr>
                <w:sz w:val="24"/>
                <w:szCs w:val="24"/>
              </w:rPr>
              <w:t>紫外可见分光光度计</w:t>
            </w:r>
            <w:r>
              <w:rPr>
                <w:sz w:val="24"/>
                <w:szCs w:val="24"/>
              </w:rPr>
              <w:t>/</w:t>
            </w:r>
            <w:r>
              <w:rPr>
                <w:rFonts w:hint="eastAsia"/>
                <w:kern w:val="2"/>
                <w:sz w:val="24"/>
                <w:szCs w:val="24"/>
              </w:rPr>
              <w:t>T6</w:t>
            </w:r>
            <w:r>
              <w:rPr>
                <w:rFonts w:hint="eastAsia"/>
                <w:kern w:val="2"/>
                <w:sz w:val="24"/>
                <w:szCs w:val="24"/>
              </w:rPr>
              <w:t>新世纪</w:t>
            </w:r>
          </w:p>
        </w:tc>
        <w:tc>
          <w:tcPr>
            <w:tcW w:w="1436" w:type="dxa"/>
            <w:vAlign w:val="center"/>
          </w:tcPr>
          <w:p w:rsidR="00015BC5" w:rsidRDefault="00BC55F7">
            <w:pPr>
              <w:pStyle w:val="a8"/>
              <w:keepNext w:val="0"/>
              <w:overflowPunct w:val="0"/>
              <w:topLinePunct/>
              <w:snapToGrid w:val="0"/>
              <w:spacing w:line="240" w:lineRule="auto"/>
              <w:rPr>
                <w:bCs/>
                <w:sz w:val="24"/>
                <w:szCs w:val="24"/>
              </w:rPr>
            </w:pPr>
            <w:r>
              <w:rPr>
                <w:bCs/>
                <w:sz w:val="24"/>
                <w:szCs w:val="24"/>
              </w:rPr>
              <w:t>0.</w:t>
            </w:r>
            <w:r>
              <w:rPr>
                <w:rFonts w:hint="eastAsia"/>
                <w:bCs/>
                <w:sz w:val="24"/>
                <w:szCs w:val="24"/>
              </w:rPr>
              <w:t>0</w:t>
            </w:r>
            <w:r>
              <w:rPr>
                <w:bCs/>
                <w:sz w:val="24"/>
                <w:szCs w:val="24"/>
              </w:rPr>
              <w:t>2mg/L</w:t>
            </w:r>
          </w:p>
        </w:tc>
      </w:tr>
      <w:tr w:rsidR="00015BC5">
        <w:tblPrEx>
          <w:tblCellMar>
            <w:left w:w="108" w:type="dxa"/>
            <w:right w:w="108" w:type="dxa"/>
          </w:tblCellMar>
        </w:tblPrEx>
        <w:trPr>
          <w:trHeight w:val="624"/>
          <w:jc w:val="center"/>
        </w:trPr>
        <w:tc>
          <w:tcPr>
            <w:tcW w:w="1231" w:type="dxa"/>
            <w:vAlign w:val="center"/>
          </w:tcPr>
          <w:p w:rsidR="00015BC5" w:rsidRDefault="00BC55F7">
            <w:pPr>
              <w:jc w:val="center"/>
              <w:rPr>
                <w:rFonts w:ascii="Times New Roman" w:eastAsia="宋体" w:hAnsi="Times New Roman" w:cs="Times New Roman"/>
                <w:color w:val="000000"/>
                <w:sz w:val="24"/>
              </w:rPr>
            </w:pPr>
            <w:r>
              <w:rPr>
                <w:rFonts w:ascii="Times New Roman" w:hAnsi="Times New Roman" w:cs="Times New Roman" w:hint="eastAsia"/>
                <w:color w:val="000000"/>
                <w:sz w:val="24"/>
              </w:rPr>
              <w:t>挥发酚</w:t>
            </w:r>
          </w:p>
        </w:tc>
        <w:tc>
          <w:tcPr>
            <w:tcW w:w="3118" w:type="dxa"/>
            <w:vAlign w:val="center"/>
          </w:tcPr>
          <w:p w:rsidR="00015BC5" w:rsidRDefault="00BC55F7">
            <w:pPr>
              <w:pStyle w:val="a8"/>
              <w:keepNext w:val="0"/>
              <w:overflowPunct w:val="0"/>
              <w:topLinePunct/>
              <w:snapToGrid w:val="0"/>
              <w:spacing w:line="240" w:lineRule="auto"/>
              <w:rPr>
                <w:sz w:val="24"/>
                <w:szCs w:val="24"/>
              </w:rPr>
            </w:pPr>
            <w:r>
              <w:rPr>
                <w:sz w:val="24"/>
                <w:szCs w:val="24"/>
              </w:rPr>
              <w:t>水质</w:t>
            </w:r>
            <w:r>
              <w:rPr>
                <w:sz w:val="24"/>
                <w:szCs w:val="24"/>
              </w:rPr>
              <w:t xml:space="preserve"> </w:t>
            </w:r>
            <w:r>
              <w:rPr>
                <w:sz w:val="24"/>
                <w:szCs w:val="24"/>
              </w:rPr>
              <w:t>挥发酚的测定</w:t>
            </w:r>
          </w:p>
          <w:p w:rsidR="00015BC5" w:rsidRDefault="00BC55F7">
            <w:pPr>
              <w:pStyle w:val="a8"/>
              <w:keepNext w:val="0"/>
              <w:overflowPunct w:val="0"/>
              <w:topLinePunct/>
              <w:snapToGrid w:val="0"/>
              <w:spacing w:line="240" w:lineRule="auto"/>
              <w:rPr>
                <w:rFonts w:ascii="Times New Roman" w:hAnsi="Times New Roman" w:cs="Times New Roman"/>
                <w:sz w:val="24"/>
              </w:rPr>
            </w:pPr>
            <w:r>
              <w:rPr>
                <w:sz w:val="24"/>
                <w:szCs w:val="24"/>
              </w:rPr>
              <w:t>4-</w:t>
            </w:r>
            <w:r>
              <w:rPr>
                <w:sz w:val="24"/>
                <w:szCs w:val="24"/>
              </w:rPr>
              <w:t>氨基安替比林分光光度法</w:t>
            </w:r>
          </w:p>
        </w:tc>
        <w:tc>
          <w:tcPr>
            <w:tcW w:w="2186" w:type="dxa"/>
            <w:vAlign w:val="center"/>
          </w:tcPr>
          <w:p w:rsidR="00015BC5" w:rsidRDefault="00BC55F7">
            <w:pPr>
              <w:jc w:val="center"/>
              <w:rPr>
                <w:rFonts w:ascii="Times New Roman" w:hAnsi="Times New Roman" w:cs="Times New Roman"/>
                <w:sz w:val="24"/>
              </w:rPr>
            </w:pPr>
            <w:r>
              <w:rPr>
                <w:sz w:val="24"/>
              </w:rPr>
              <w:t>HJ 503-2009</w:t>
            </w:r>
          </w:p>
        </w:tc>
        <w:tc>
          <w:tcPr>
            <w:tcW w:w="1939" w:type="dxa"/>
            <w:vAlign w:val="center"/>
          </w:tcPr>
          <w:p w:rsidR="00015BC5" w:rsidRDefault="00BC55F7">
            <w:pPr>
              <w:jc w:val="center"/>
              <w:rPr>
                <w:rFonts w:ascii="Times New Roman" w:hAnsi="Times New Roman" w:cs="Times New Roman"/>
                <w:sz w:val="24"/>
              </w:rPr>
            </w:pPr>
            <w:r>
              <w:rPr>
                <w:sz w:val="24"/>
              </w:rPr>
              <w:t>紫外可见分光光度计</w:t>
            </w:r>
            <w:r>
              <w:rPr>
                <w:sz w:val="24"/>
              </w:rPr>
              <w:t>/</w:t>
            </w:r>
            <w:r>
              <w:rPr>
                <w:rFonts w:hint="eastAsia"/>
                <w:sz w:val="24"/>
              </w:rPr>
              <w:t>T6</w:t>
            </w:r>
            <w:r>
              <w:rPr>
                <w:rFonts w:hint="eastAsia"/>
                <w:sz w:val="24"/>
              </w:rPr>
              <w:t>新世纪</w:t>
            </w:r>
          </w:p>
        </w:tc>
        <w:tc>
          <w:tcPr>
            <w:tcW w:w="1436" w:type="dxa"/>
            <w:vAlign w:val="center"/>
          </w:tcPr>
          <w:p w:rsidR="00015BC5" w:rsidRDefault="00BC55F7">
            <w:pPr>
              <w:pStyle w:val="a8"/>
              <w:keepNext w:val="0"/>
              <w:overflowPunct w:val="0"/>
              <w:topLinePunct/>
              <w:snapToGrid w:val="0"/>
              <w:spacing w:line="240" w:lineRule="auto"/>
              <w:rPr>
                <w:rFonts w:ascii="Times New Roman" w:hAnsi="Times New Roman" w:cs="Times New Roman"/>
                <w:sz w:val="24"/>
              </w:rPr>
            </w:pPr>
            <w:r>
              <w:rPr>
                <w:bCs/>
                <w:sz w:val="24"/>
                <w:szCs w:val="24"/>
              </w:rPr>
              <w:t>0.0003mg/L</w:t>
            </w:r>
          </w:p>
        </w:tc>
      </w:tr>
      <w:tr w:rsidR="00015BC5">
        <w:tblPrEx>
          <w:tblCellMar>
            <w:left w:w="108" w:type="dxa"/>
            <w:right w:w="108" w:type="dxa"/>
          </w:tblCellMar>
        </w:tblPrEx>
        <w:trPr>
          <w:trHeight w:val="624"/>
          <w:jc w:val="center"/>
        </w:trPr>
        <w:tc>
          <w:tcPr>
            <w:tcW w:w="1231" w:type="dxa"/>
            <w:vAlign w:val="center"/>
          </w:tcPr>
          <w:p w:rsidR="00015BC5" w:rsidRDefault="00BC55F7">
            <w:pPr>
              <w:jc w:val="center"/>
              <w:rPr>
                <w:rFonts w:ascii="Times New Roman" w:eastAsia="宋体" w:hAnsi="Times New Roman" w:cs="Times New Roman"/>
                <w:color w:val="000000"/>
                <w:sz w:val="24"/>
              </w:rPr>
            </w:pPr>
            <w:r>
              <w:rPr>
                <w:rFonts w:ascii="Times New Roman" w:hAnsi="Times New Roman" w:cs="Times New Roman" w:hint="eastAsia"/>
                <w:color w:val="000000"/>
                <w:sz w:val="24"/>
              </w:rPr>
              <w:t>溶解性总固体</w:t>
            </w:r>
          </w:p>
        </w:tc>
        <w:tc>
          <w:tcPr>
            <w:tcW w:w="3118" w:type="dxa"/>
            <w:vAlign w:val="center"/>
          </w:tcPr>
          <w:p w:rsidR="00015BC5" w:rsidRDefault="00BC55F7">
            <w:pPr>
              <w:pStyle w:val="a8"/>
              <w:keepNext w:val="0"/>
              <w:overflowPunct w:val="0"/>
              <w:topLinePunct/>
              <w:snapToGrid w:val="0"/>
              <w:spacing w:line="240" w:lineRule="auto"/>
              <w:rPr>
                <w:sz w:val="24"/>
              </w:rPr>
            </w:pPr>
            <w:r>
              <w:rPr>
                <w:sz w:val="24"/>
              </w:rPr>
              <w:t>生活饮用水标准检验方法</w:t>
            </w:r>
          </w:p>
          <w:p w:rsidR="00015BC5" w:rsidRDefault="00BC55F7">
            <w:pPr>
              <w:pStyle w:val="a8"/>
              <w:keepNext w:val="0"/>
              <w:overflowPunct w:val="0"/>
              <w:topLinePunct/>
              <w:snapToGrid w:val="0"/>
              <w:spacing w:line="240" w:lineRule="auto"/>
              <w:rPr>
                <w:sz w:val="24"/>
                <w:szCs w:val="24"/>
              </w:rPr>
            </w:pPr>
            <w:r>
              <w:rPr>
                <w:sz w:val="24"/>
              </w:rPr>
              <w:t>感官性状和物理指标</w:t>
            </w:r>
          </w:p>
        </w:tc>
        <w:tc>
          <w:tcPr>
            <w:tcW w:w="2186" w:type="dxa"/>
            <w:vAlign w:val="center"/>
          </w:tcPr>
          <w:p w:rsidR="00015BC5" w:rsidRDefault="00BC55F7">
            <w:pPr>
              <w:pStyle w:val="a8"/>
              <w:keepNext w:val="0"/>
              <w:overflowPunct w:val="0"/>
              <w:topLinePunct/>
              <w:snapToGrid w:val="0"/>
              <w:spacing w:line="240" w:lineRule="auto"/>
              <w:rPr>
                <w:sz w:val="24"/>
              </w:rPr>
            </w:pPr>
            <w:r>
              <w:rPr>
                <w:kern w:val="2"/>
                <w:sz w:val="24"/>
                <w:szCs w:val="24"/>
              </w:rPr>
              <w:t>GB/T</w:t>
            </w:r>
            <w:r>
              <w:rPr>
                <w:rFonts w:hint="eastAsia"/>
                <w:kern w:val="2"/>
                <w:sz w:val="24"/>
                <w:szCs w:val="24"/>
              </w:rPr>
              <w:t xml:space="preserve"> </w:t>
            </w:r>
            <w:r>
              <w:rPr>
                <w:kern w:val="2"/>
                <w:sz w:val="24"/>
                <w:szCs w:val="24"/>
              </w:rPr>
              <w:t>5750.4.8-2006</w:t>
            </w:r>
          </w:p>
        </w:tc>
        <w:tc>
          <w:tcPr>
            <w:tcW w:w="1939" w:type="dxa"/>
            <w:vAlign w:val="center"/>
          </w:tcPr>
          <w:p w:rsidR="00015BC5" w:rsidRDefault="00BC55F7">
            <w:pPr>
              <w:pStyle w:val="a8"/>
              <w:keepNext w:val="0"/>
              <w:overflowPunct w:val="0"/>
              <w:topLinePunct/>
              <w:snapToGrid w:val="0"/>
              <w:spacing w:line="240" w:lineRule="auto"/>
              <w:rPr>
                <w:sz w:val="24"/>
                <w:szCs w:val="24"/>
              </w:rPr>
            </w:pPr>
            <w:r>
              <w:rPr>
                <w:sz w:val="24"/>
                <w:szCs w:val="24"/>
              </w:rPr>
              <w:t>电子天平</w:t>
            </w:r>
            <w:r>
              <w:rPr>
                <w:sz w:val="24"/>
                <w:szCs w:val="24"/>
              </w:rPr>
              <w:t>/FA2004N</w:t>
            </w:r>
          </w:p>
        </w:tc>
        <w:tc>
          <w:tcPr>
            <w:tcW w:w="1436" w:type="dxa"/>
            <w:vAlign w:val="center"/>
          </w:tcPr>
          <w:p w:rsidR="00015BC5" w:rsidRDefault="00BC55F7">
            <w:pPr>
              <w:pStyle w:val="a8"/>
              <w:keepNext w:val="0"/>
              <w:overflowPunct w:val="0"/>
              <w:topLinePunct/>
              <w:snapToGrid w:val="0"/>
              <w:spacing w:line="240" w:lineRule="auto"/>
              <w:rPr>
                <w:bCs/>
                <w:sz w:val="24"/>
                <w:szCs w:val="24"/>
              </w:rPr>
            </w:pPr>
            <w:r>
              <w:rPr>
                <w:bCs/>
                <w:sz w:val="24"/>
                <w:szCs w:val="24"/>
              </w:rPr>
              <w:t>/</w:t>
            </w:r>
          </w:p>
        </w:tc>
      </w:tr>
      <w:tr w:rsidR="00015BC5">
        <w:tblPrEx>
          <w:tblCellMar>
            <w:left w:w="108" w:type="dxa"/>
            <w:right w:w="108" w:type="dxa"/>
          </w:tblCellMar>
        </w:tblPrEx>
        <w:trPr>
          <w:trHeight w:val="624"/>
          <w:jc w:val="center"/>
        </w:trPr>
        <w:tc>
          <w:tcPr>
            <w:tcW w:w="1231" w:type="dxa"/>
            <w:vAlign w:val="center"/>
          </w:tcPr>
          <w:p w:rsidR="00015BC5" w:rsidRDefault="00BC55F7">
            <w:pPr>
              <w:autoSpaceDN w:val="0"/>
              <w:jc w:val="center"/>
              <w:textAlignment w:val="center"/>
              <w:rPr>
                <w:rFonts w:eastAsia="宋体"/>
                <w:bCs/>
                <w:sz w:val="24"/>
              </w:rPr>
            </w:pPr>
            <w:r>
              <w:rPr>
                <w:bCs/>
                <w:sz w:val="24"/>
              </w:rPr>
              <w:t>耗氧量</w:t>
            </w:r>
          </w:p>
        </w:tc>
        <w:tc>
          <w:tcPr>
            <w:tcW w:w="3118" w:type="dxa"/>
            <w:vAlign w:val="center"/>
          </w:tcPr>
          <w:p w:rsidR="00015BC5" w:rsidRDefault="00BC55F7">
            <w:pPr>
              <w:pStyle w:val="a8"/>
              <w:keepNext w:val="0"/>
              <w:overflowPunct w:val="0"/>
              <w:topLinePunct/>
              <w:snapToGrid w:val="0"/>
              <w:spacing w:line="240" w:lineRule="auto"/>
              <w:rPr>
                <w:sz w:val="24"/>
                <w:szCs w:val="24"/>
              </w:rPr>
            </w:pPr>
            <w:r>
              <w:rPr>
                <w:sz w:val="24"/>
                <w:szCs w:val="24"/>
              </w:rPr>
              <w:t>生活饮用水标准检验方法</w:t>
            </w:r>
            <w:r>
              <w:rPr>
                <w:sz w:val="24"/>
                <w:szCs w:val="24"/>
              </w:rPr>
              <w:t xml:space="preserve"> </w:t>
            </w:r>
            <w:r>
              <w:rPr>
                <w:sz w:val="24"/>
                <w:szCs w:val="24"/>
              </w:rPr>
              <w:t>有机物综合指标</w:t>
            </w:r>
          </w:p>
        </w:tc>
        <w:tc>
          <w:tcPr>
            <w:tcW w:w="2186" w:type="dxa"/>
            <w:vAlign w:val="center"/>
          </w:tcPr>
          <w:p w:rsidR="00015BC5" w:rsidRDefault="00BC55F7">
            <w:pPr>
              <w:jc w:val="center"/>
              <w:rPr>
                <w:kern w:val="0"/>
                <w:sz w:val="24"/>
              </w:rPr>
            </w:pPr>
            <w:r>
              <w:rPr>
                <w:sz w:val="24"/>
              </w:rPr>
              <w:t>GB/T 5750.7.1-2006</w:t>
            </w:r>
          </w:p>
        </w:tc>
        <w:tc>
          <w:tcPr>
            <w:tcW w:w="1939" w:type="dxa"/>
            <w:vAlign w:val="center"/>
          </w:tcPr>
          <w:p w:rsidR="00015BC5" w:rsidRDefault="00BC55F7">
            <w:pPr>
              <w:jc w:val="center"/>
              <w:rPr>
                <w:sz w:val="24"/>
              </w:rPr>
            </w:pPr>
            <w:r>
              <w:rPr>
                <w:sz w:val="24"/>
              </w:rPr>
              <w:t>酸式滴定管</w:t>
            </w:r>
          </w:p>
        </w:tc>
        <w:tc>
          <w:tcPr>
            <w:tcW w:w="1436" w:type="dxa"/>
            <w:vAlign w:val="center"/>
          </w:tcPr>
          <w:p w:rsidR="00015BC5" w:rsidRDefault="00BC55F7">
            <w:pPr>
              <w:pStyle w:val="a8"/>
              <w:keepNext w:val="0"/>
              <w:overflowPunct w:val="0"/>
              <w:topLinePunct/>
              <w:snapToGrid w:val="0"/>
              <w:spacing w:line="240" w:lineRule="auto"/>
              <w:rPr>
                <w:bCs/>
                <w:sz w:val="24"/>
                <w:szCs w:val="24"/>
              </w:rPr>
            </w:pPr>
            <w:r>
              <w:rPr>
                <w:bCs/>
                <w:sz w:val="24"/>
                <w:szCs w:val="24"/>
              </w:rPr>
              <w:t>0.05mg/L</w:t>
            </w:r>
          </w:p>
        </w:tc>
      </w:tr>
      <w:tr w:rsidR="00015BC5">
        <w:tblPrEx>
          <w:tblCellMar>
            <w:left w:w="108" w:type="dxa"/>
            <w:right w:w="108" w:type="dxa"/>
          </w:tblCellMar>
        </w:tblPrEx>
        <w:trPr>
          <w:trHeight w:val="624"/>
          <w:jc w:val="center"/>
        </w:trPr>
        <w:tc>
          <w:tcPr>
            <w:tcW w:w="1231" w:type="dxa"/>
            <w:vAlign w:val="center"/>
          </w:tcPr>
          <w:p w:rsidR="00015BC5" w:rsidRDefault="00BC55F7">
            <w:pPr>
              <w:autoSpaceDN w:val="0"/>
              <w:spacing w:line="240" w:lineRule="exact"/>
              <w:jc w:val="center"/>
              <w:textAlignment w:val="center"/>
              <w:rPr>
                <w:sz w:val="24"/>
              </w:rPr>
            </w:pPr>
            <w:r>
              <w:rPr>
                <w:sz w:val="24"/>
              </w:rPr>
              <w:t>硫酸盐</w:t>
            </w:r>
          </w:p>
        </w:tc>
        <w:tc>
          <w:tcPr>
            <w:tcW w:w="3118" w:type="dxa"/>
            <w:vAlign w:val="center"/>
          </w:tcPr>
          <w:p w:rsidR="00015BC5" w:rsidRDefault="00BC55F7">
            <w:pPr>
              <w:pStyle w:val="a8"/>
              <w:keepNext w:val="0"/>
              <w:overflowPunct w:val="0"/>
              <w:topLinePunct/>
              <w:snapToGrid w:val="0"/>
              <w:spacing w:line="240" w:lineRule="auto"/>
              <w:rPr>
                <w:sz w:val="24"/>
              </w:rPr>
            </w:pPr>
            <w:r>
              <w:rPr>
                <w:rFonts w:hint="eastAsia"/>
                <w:sz w:val="24"/>
              </w:rPr>
              <w:t>水质</w:t>
            </w:r>
            <w:r>
              <w:rPr>
                <w:rFonts w:hint="eastAsia"/>
                <w:sz w:val="24"/>
              </w:rPr>
              <w:t xml:space="preserve"> </w:t>
            </w:r>
            <w:r>
              <w:rPr>
                <w:rFonts w:hint="eastAsia"/>
                <w:sz w:val="24"/>
              </w:rPr>
              <w:t>硫酸盐的测定</w:t>
            </w:r>
            <w:r>
              <w:rPr>
                <w:rFonts w:hint="eastAsia"/>
                <w:sz w:val="24"/>
              </w:rPr>
              <w:t xml:space="preserve"> </w:t>
            </w:r>
            <w:r>
              <w:rPr>
                <w:rFonts w:hint="eastAsia"/>
                <w:sz w:val="24"/>
              </w:rPr>
              <w:t>重量法</w:t>
            </w:r>
          </w:p>
        </w:tc>
        <w:tc>
          <w:tcPr>
            <w:tcW w:w="2186" w:type="dxa"/>
            <w:vAlign w:val="center"/>
          </w:tcPr>
          <w:p w:rsidR="00015BC5" w:rsidRDefault="00BC55F7">
            <w:pPr>
              <w:jc w:val="center"/>
              <w:rPr>
                <w:rFonts w:eastAsia="宋体"/>
                <w:sz w:val="24"/>
              </w:rPr>
            </w:pPr>
            <w:r>
              <w:rPr>
                <w:rFonts w:hint="eastAsia"/>
                <w:sz w:val="24"/>
              </w:rPr>
              <w:t>GB 11899-1989</w:t>
            </w:r>
          </w:p>
        </w:tc>
        <w:tc>
          <w:tcPr>
            <w:tcW w:w="1939" w:type="dxa"/>
            <w:vAlign w:val="center"/>
          </w:tcPr>
          <w:p w:rsidR="00015BC5" w:rsidRDefault="00BC55F7">
            <w:pPr>
              <w:pStyle w:val="a8"/>
              <w:keepNext w:val="0"/>
              <w:overflowPunct w:val="0"/>
              <w:topLinePunct/>
              <w:snapToGrid w:val="0"/>
              <w:spacing w:line="240" w:lineRule="auto"/>
              <w:rPr>
                <w:rFonts w:eastAsia="宋体"/>
                <w:sz w:val="24"/>
              </w:rPr>
            </w:pPr>
            <w:r>
              <w:rPr>
                <w:rFonts w:hAnsi="宋体" w:hint="eastAsia"/>
                <w:sz w:val="24"/>
                <w:szCs w:val="24"/>
              </w:rPr>
              <w:t>箱式电阻炉</w:t>
            </w:r>
            <w:r>
              <w:rPr>
                <w:rFonts w:hAnsi="宋体" w:hint="eastAsia"/>
                <w:sz w:val="24"/>
                <w:szCs w:val="24"/>
              </w:rPr>
              <w:t>/SX2-4-10N</w:t>
            </w:r>
          </w:p>
        </w:tc>
        <w:tc>
          <w:tcPr>
            <w:tcW w:w="1436" w:type="dxa"/>
            <w:vAlign w:val="center"/>
          </w:tcPr>
          <w:p w:rsidR="00015BC5" w:rsidRDefault="00BC55F7">
            <w:pPr>
              <w:pStyle w:val="a8"/>
              <w:keepNext w:val="0"/>
              <w:overflowPunct w:val="0"/>
              <w:topLinePunct/>
              <w:snapToGrid w:val="0"/>
              <w:spacing w:line="240" w:lineRule="auto"/>
              <w:rPr>
                <w:bCs/>
                <w:sz w:val="24"/>
                <w:szCs w:val="24"/>
              </w:rPr>
            </w:pPr>
            <w:r>
              <w:rPr>
                <w:rFonts w:hint="eastAsia"/>
                <w:bCs/>
                <w:sz w:val="24"/>
                <w:szCs w:val="24"/>
              </w:rPr>
              <w:t>10mg/L</w:t>
            </w:r>
          </w:p>
        </w:tc>
      </w:tr>
      <w:tr w:rsidR="00015BC5">
        <w:tblPrEx>
          <w:tblCellMar>
            <w:left w:w="108" w:type="dxa"/>
            <w:right w:w="108" w:type="dxa"/>
          </w:tblCellMar>
        </w:tblPrEx>
        <w:trPr>
          <w:trHeight w:val="624"/>
          <w:jc w:val="center"/>
        </w:trPr>
        <w:tc>
          <w:tcPr>
            <w:tcW w:w="1231" w:type="dxa"/>
            <w:vAlign w:val="center"/>
          </w:tcPr>
          <w:p w:rsidR="00015BC5" w:rsidRDefault="00BC55F7">
            <w:pPr>
              <w:pStyle w:val="a8"/>
              <w:keepNext w:val="0"/>
              <w:overflowPunct w:val="0"/>
              <w:topLinePunct/>
              <w:snapToGrid w:val="0"/>
              <w:spacing w:line="240" w:lineRule="auto"/>
              <w:rPr>
                <w:bCs/>
                <w:color w:val="C00000"/>
                <w:sz w:val="24"/>
              </w:rPr>
            </w:pPr>
            <w:r>
              <w:rPr>
                <w:rFonts w:hAnsi="宋体" w:hint="eastAsia"/>
                <w:kern w:val="2"/>
                <w:sz w:val="24"/>
                <w:szCs w:val="24"/>
              </w:rPr>
              <w:t>石油类</w:t>
            </w:r>
          </w:p>
        </w:tc>
        <w:tc>
          <w:tcPr>
            <w:tcW w:w="3118" w:type="dxa"/>
            <w:vAlign w:val="center"/>
          </w:tcPr>
          <w:p w:rsidR="00015BC5" w:rsidRDefault="00BC55F7">
            <w:pPr>
              <w:widowControl/>
              <w:jc w:val="center"/>
              <w:rPr>
                <w:rFonts w:hAnsi="宋体"/>
                <w:sz w:val="24"/>
              </w:rPr>
            </w:pPr>
            <w:r>
              <w:rPr>
                <w:rFonts w:hAnsi="宋体"/>
                <w:sz w:val="24"/>
              </w:rPr>
              <w:t>水质</w:t>
            </w:r>
            <w:r>
              <w:rPr>
                <w:rFonts w:hAnsi="宋体" w:hint="eastAsia"/>
                <w:sz w:val="24"/>
              </w:rPr>
              <w:t xml:space="preserve"> </w:t>
            </w:r>
            <w:r>
              <w:rPr>
                <w:rFonts w:hAnsi="宋体"/>
                <w:sz w:val="24"/>
              </w:rPr>
              <w:t>石油类的测定</w:t>
            </w:r>
          </w:p>
          <w:p w:rsidR="00015BC5" w:rsidRDefault="00BC55F7">
            <w:pPr>
              <w:widowControl/>
              <w:jc w:val="center"/>
              <w:rPr>
                <w:bCs/>
                <w:color w:val="C00000"/>
                <w:sz w:val="24"/>
              </w:rPr>
            </w:pPr>
            <w:r>
              <w:rPr>
                <w:rFonts w:hAnsi="宋体"/>
                <w:sz w:val="24"/>
              </w:rPr>
              <w:t>紫外分光光度法</w:t>
            </w:r>
            <w:r>
              <w:rPr>
                <w:rFonts w:hAnsi="宋体" w:hint="eastAsia"/>
                <w:sz w:val="24"/>
              </w:rPr>
              <w:t>（试行）</w:t>
            </w:r>
          </w:p>
        </w:tc>
        <w:tc>
          <w:tcPr>
            <w:tcW w:w="2186" w:type="dxa"/>
            <w:vAlign w:val="center"/>
          </w:tcPr>
          <w:p w:rsidR="00015BC5" w:rsidRDefault="00BC55F7">
            <w:pPr>
              <w:jc w:val="center"/>
              <w:rPr>
                <w:bCs/>
                <w:color w:val="C00000"/>
                <w:sz w:val="24"/>
              </w:rPr>
            </w:pPr>
            <w:r>
              <w:rPr>
                <w:rFonts w:hAnsi="宋体" w:hint="eastAsia"/>
                <w:sz w:val="24"/>
              </w:rPr>
              <w:t>HJ 970-2018</w:t>
            </w:r>
          </w:p>
        </w:tc>
        <w:tc>
          <w:tcPr>
            <w:tcW w:w="1939" w:type="dxa"/>
            <w:vAlign w:val="center"/>
          </w:tcPr>
          <w:p w:rsidR="00015BC5" w:rsidRDefault="00BC55F7">
            <w:pPr>
              <w:pStyle w:val="a8"/>
              <w:keepNext w:val="0"/>
              <w:overflowPunct w:val="0"/>
              <w:topLinePunct/>
              <w:snapToGrid w:val="0"/>
              <w:spacing w:line="240" w:lineRule="auto"/>
              <w:rPr>
                <w:rFonts w:eastAsia="宋体"/>
                <w:bCs/>
                <w:color w:val="C00000"/>
                <w:sz w:val="24"/>
              </w:rPr>
            </w:pPr>
            <w:r>
              <w:rPr>
                <w:rFonts w:ascii="Times New Roman" w:hAnsi="Times New Roman" w:cs="Times New Roman"/>
                <w:sz w:val="24"/>
              </w:rPr>
              <w:t>紫外可见分光光度计</w:t>
            </w:r>
            <w:r>
              <w:rPr>
                <w:rFonts w:ascii="Times New Roman" w:hAnsi="Times New Roman" w:cs="Times New Roman"/>
                <w:sz w:val="24"/>
              </w:rPr>
              <w:t>/</w:t>
            </w:r>
            <w:r>
              <w:rPr>
                <w:rFonts w:ascii="Times New Roman" w:hAnsi="Times New Roman" w:cs="Times New Roman" w:hint="eastAsia"/>
                <w:color w:val="000000"/>
                <w:sz w:val="24"/>
              </w:rPr>
              <w:t>T6</w:t>
            </w:r>
            <w:r>
              <w:rPr>
                <w:rFonts w:ascii="Times New Roman" w:hAnsi="Times New Roman" w:cs="Times New Roman" w:hint="eastAsia"/>
                <w:color w:val="000000"/>
                <w:sz w:val="24"/>
              </w:rPr>
              <w:t>新世纪</w:t>
            </w:r>
          </w:p>
        </w:tc>
        <w:tc>
          <w:tcPr>
            <w:tcW w:w="1436" w:type="dxa"/>
            <w:vAlign w:val="center"/>
          </w:tcPr>
          <w:p w:rsidR="00015BC5" w:rsidRDefault="00BC55F7">
            <w:pPr>
              <w:pStyle w:val="a8"/>
              <w:keepNext w:val="0"/>
              <w:overflowPunct w:val="0"/>
              <w:topLinePunct/>
              <w:snapToGrid w:val="0"/>
              <w:spacing w:line="240" w:lineRule="auto"/>
              <w:rPr>
                <w:bCs/>
                <w:color w:val="C00000"/>
                <w:sz w:val="24"/>
              </w:rPr>
            </w:pPr>
            <w:r>
              <w:rPr>
                <w:rFonts w:ascii="Times New Roman" w:hAnsi="Times New Roman" w:cs="Times New Roman"/>
                <w:sz w:val="24"/>
              </w:rPr>
              <w:t>0.0</w:t>
            </w:r>
            <w:r>
              <w:rPr>
                <w:rFonts w:ascii="Times New Roman" w:hAnsi="Times New Roman" w:cs="Times New Roman" w:hint="eastAsia"/>
                <w:sz w:val="24"/>
              </w:rPr>
              <w:t>1</w:t>
            </w:r>
            <w:r>
              <w:rPr>
                <w:rFonts w:ascii="Times New Roman" w:hAnsi="Times New Roman" w:cs="Times New Roman"/>
                <w:sz w:val="24"/>
              </w:rPr>
              <w:t>mg/L</w:t>
            </w:r>
          </w:p>
        </w:tc>
      </w:tr>
      <w:tr w:rsidR="00015BC5">
        <w:tblPrEx>
          <w:tblCellMar>
            <w:left w:w="108" w:type="dxa"/>
            <w:right w:w="108" w:type="dxa"/>
          </w:tblCellMar>
        </w:tblPrEx>
        <w:trPr>
          <w:trHeight w:val="624"/>
          <w:jc w:val="center"/>
        </w:trPr>
        <w:tc>
          <w:tcPr>
            <w:tcW w:w="1231" w:type="dxa"/>
            <w:vAlign w:val="center"/>
          </w:tcPr>
          <w:p w:rsidR="00015BC5" w:rsidRDefault="00BC55F7">
            <w:pPr>
              <w:autoSpaceDN w:val="0"/>
              <w:jc w:val="center"/>
              <w:textAlignment w:val="center"/>
              <w:rPr>
                <w:bCs/>
                <w:sz w:val="24"/>
              </w:rPr>
            </w:pPr>
            <w:r>
              <w:rPr>
                <w:sz w:val="24"/>
              </w:rPr>
              <w:t>铅</w:t>
            </w:r>
          </w:p>
        </w:tc>
        <w:tc>
          <w:tcPr>
            <w:tcW w:w="3118" w:type="dxa"/>
            <w:vAlign w:val="center"/>
          </w:tcPr>
          <w:p w:rsidR="00015BC5" w:rsidRDefault="00BC55F7">
            <w:pPr>
              <w:pStyle w:val="a8"/>
              <w:keepNext w:val="0"/>
              <w:overflowPunct w:val="0"/>
              <w:topLinePunct/>
              <w:snapToGrid w:val="0"/>
              <w:spacing w:line="240" w:lineRule="auto"/>
              <w:rPr>
                <w:sz w:val="24"/>
              </w:rPr>
            </w:pPr>
            <w:r>
              <w:rPr>
                <w:sz w:val="24"/>
              </w:rPr>
              <w:t>水质</w:t>
            </w:r>
            <w:r>
              <w:rPr>
                <w:sz w:val="24"/>
              </w:rPr>
              <w:t xml:space="preserve"> </w:t>
            </w:r>
            <w:r>
              <w:rPr>
                <w:sz w:val="24"/>
              </w:rPr>
              <w:t>铜、锌、铅、镉的测定</w:t>
            </w:r>
          </w:p>
          <w:p w:rsidR="00015BC5" w:rsidRDefault="00BC55F7">
            <w:pPr>
              <w:pStyle w:val="a8"/>
              <w:keepNext w:val="0"/>
              <w:overflowPunct w:val="0"/>
              <w:topLinePunct/>
              <w:snapToGrid w:val="0"/>
              <w:spacing w:line="240" w:lineRule="auto"/>
              <w:rPr>
                <w:sz w:val="24"/>
                <w:szCs w:val="24"/>
              </w:rPr>
            </w:pPr>
            <w:r>
              <w:rPr>
                <w:sz w:val="24"/>
              </w:rPr>
              <w:t>原子吸收分光光度法</w:t>
            </w:r>
          </w:p>
        </w:tc>
        <w:tc>
          <w:tcPr>
            <w:tcW w:w="2186" w:type="dxa"/>
            <w:vAlign w:val="center"/>
          </w:tcPr>
          <w:p w:rsidR="00015BC5" w:rsidRDefault="00BC55F7">
            <w:pPr>
              <w:jc w:val="center"/>
              <w:rPr>
                <w:sz w:val="24"/>
              </w:rPr>
            </w:pPr>
            <w:r>
              <w:rPr>
                <w:sz w:val="24"/>
              </w:rPr>
              <w:t>GB 7475-1987</w:t>
            </w:r>
          </w:p>
        </w:tc>
        <w:tc>
          <w:tcPr>
            <w:tcW w:w="1939" w:type="dxa"/>
            <w:vAlign w:val="center"/>
          </w:tcPr>
          <w:p w:rsidR="00015BC5" w:rsidRDefault="00BC55F7">
            <w:pPr>
              <w:pStyle w:val="a8"/>
              <w:keepNext w:val="0"/>
              <w:overflowPunct w:val="0"/>
              <w:topLinePunct/>
              <w:snapToGrid w:val="0"/>
              <w:spacing w:line="240" w:lineRule="auto"/>
              <w:rPr>
                <w:sz w:val="24"/>
                <w:szCs w:val="24"/>
              </w:rPr>
            </w:pPr>
            <w:r>
              <w:rPr>
                <w:kern w:val="2"/>
                <w:sz w:val="24"/>
                <w:szCs w:val="24"/>
              </w:rPr>
              <w:t>原子吸收分光光度计</w:t>
            </w:r>
            <w:r>
              <w:rPr>
                <w:kern w:val="2"/>
                <w:sz w:val="24"/>
                <w:szCs w:val="24"/>
              </w:rPr>
              <w:t>/AA-6880</w:t>
            </w:r>
          </w:p>
        </w:tc>
        <w:tc>
          <w:tcPr>
            <w:tcW w:w="1436" w:type="dxa"/>
            <w:vAlign w:val="center"/>
          </w:tcPr>
          <w:p w:rsidR="00015BC5" w:rsidRDefault="00BC55F7">
            <w:pPr>
              <w:pStyle w:val="a8"/>
              <w:keepNext w:val="0"/>
              <w:overflowPunct w:val="0"/>
              <w:topLinePunct/>
              <w:snapToGrid w:val="0"/>
              <w:spacing w:line="240" w:lineRule="auto"/>
              <w:rPr>
                <w:bCs/>
                <w:sz w:val="24"/>
                <w:szCs w:val="24"/>
              </w:rPr>
            </w:pPr>
            <w:r>
              <w:rPr>
                <w:kern w:val="2"/>
                <w:sz w:val="24"/>
                <w:szCs w:val="24"/>
              </w:rPr>
              <w:t>0.01mg/L</w:t>
            </w:r>
          </w:p>
        </w:tc>
      </w:tr>
      <w:tr w:rsidR="00015BC5">
        <w:tblPrEx>
          <w:tblCellMar>
            <w:left w:w="108" w:type="dxa"/>
            <w:right w:w="108" w:type="dxa"/>
          </w:tblCellMar>
        </w:tblPrEx>
        <w:trPr>
          <w:trHeight w:val="624"/>
          <w:jc w:val="center"/>
        </w:trPr>
        <w:tc>
          <w:tcPr>
            <w:tcW w:w="1231" w:type="dxa"/>
            <w:vAlign w:val="center"/>
          </w:tcPr>
          <w:p w:rsidR="00015BC5" w:rsidRDefault="00BC55F7">
            <w:pPr>
              <w:pStyle w:val="a8"/>
              <w:keepNext w:val="0"/>
              <w:overflowPunct w:val="0"/>
              <w:topLinePunct/>
              <w:snapToGrid w:val="0"/>
              <w:spacing w:line="240" w:lineRule="auto"/>
              <w:rPr>
                <w:rFonts w:hAnsi="宋体"/>
                <w:bCs/>
                <w:sz w:val="24"/>
                <w:szCs w:val="24"/>
              </w:rPr>
            </w:pPr>
            <w:r>
              <w:rPr>
                <w:sz w:val="24"/>
                <w:szCs w:val="24"/>
              </w:rPr>
              <w:t>铬</w:t>
            </w:r>
            <w:r>
              <w:rPr>
                <w:rFonts w:hint="eastAsia"/>
                <w:sz w:val="24"/>
                <w:szCs w:val="24"/>
              </w:rPr>
              <w:t>(</w:t>
            </w:r>
            <w:r>
              <w:rPr>
                <w:sz w:val="24"/>
                <w:szCs w:val="24"/>
              </w:rPr>
              <w:t>六价</w:t>
            </w:r>
            <w:r>
              <w:rPr>
                <w:rFonts w:hint="eastAsia"/>
                <w:sz w:val="24"/>
                <w:szCs w:val="24"/>
              </w:rPr>
              <w:t>)</w:t>
            </w:r>
          </w:p>
        </w:tc>
        <w:tc>
          <w:tcPr>
            <w:tcW w:w="3118" w:type="dxa"/>
            <w:vAlign w:val="center"/>
          </w:tcPr>
          <w:p w:rsidR="00015BC5" w:rsidRDefault="00BC55F7">
            <w:pPr>
              <w:pStyle w:val="a8"/>
              <w:keepNext w:val="0"/>
              <w:overflowPunct w:val="0"/>
              <w:topLinePunct/>
              <w:snapToGrid w:val="0"/>
              <w:spacing w:line="240" w:lineRule="auto"/>
              <w:rPr>
                <w:rFonts w:ascii="Times New Roman" w:eastAsia="宋体" w:hAnsi="宋体" w:cs="Times New Roman"/>
                <w:kern w:val="2"/>
                <w:sz w:val="24"/>
                <w:szCs w:val="24"/>
              </w:rPr>
            </w:pPr>
            <w:r>
              <w:rPr>
                <w:sz w:val="24"/>
                <w:szCs w:val="24"/>
              </w:rPr>
              <w:t>生活饮用水标准检验方法</w:t>
            </w:r>
            <w:r>
              <w:rPr>
                <w:sz w:val="24"/>
                <w:szCs w:val="24"/>
              </w:rPr>
              <w:t xml:space="preserve"> </w:t>
            </w:r>
            <w:r>
              <w:rPr>
                <w:sz w:val="24"/>
                <w:szCs w:val="24"/>
              </w:rPr>
              <w:t>金属指标</w:t>
            </w:r>
          </w:p>
        </w:tc>
        <w:tc>
          <w:tcPr>
            <w:tcW w:w="2186" w:type="dxa"/>
            <w:vAlign w:val="center"/>
          </w:tcPr>
          <w:p w:rsidR="00015BC5" w:rsidRDefault="00BC55F7">
            <w:pPr>
              <w:jc w:val="center"/>
              <w:rPr>
                <w:rFonts w:ascii="Times New Roman" w:eastAsia="宋体" w:hAnsi="宋体" w:cs="Times New Roman"/>
                <w:sz w:val="24"/>
              </w:rPr>
            </w:pPr>
            <w:r>
              <w:rPr>
                <w:sz w:val="24"/>
              </w:rPr>
              <w:t>GB/T 5750.6</w:t>
            </w:r>
            <w:r>
              <w:rPr>
                <w:rFonts w:hint="eastAsia"/>
                <w:sz w:val="24"/>
              </w:rPr>
              <w:t>.10</w:t>
            </w:r>
            <w:r>
              <w:rPr>
                <w:sz w:val="24"/>
              </w:rPr>
              <w:t>-2006</w:t>
            </w:r>
          </w:p>
        </w:tc>
        <w:tc>
          <w:tcPr>
            <w:tcW w:w="1939" w:type="dxa"/>
            <w:vAlign w:val="center"/>
          </w:tcPr>
          <w:p w:rsidR="00015BC5" w:rsidRDefault="00BC55F7">
            <w:pPr>
              <w:jc w:val="center"/>
              <w:rPr>
                <w:rFonts w:eastAsia="宋体" w:hAnsi="宋体"/>
                <w:sz w:val="24"/>
              </w:rPr>
            </w:pPr>
            <w:r>
              <w:rPr>
                <w:sz w:val="24"/>
              </w:rPr>
              <w:t>紫外可见分光光度计</w:t>
            </w:r>
            <w:r>
              <w:rPr>
                <w:sz w:val="24"/>
              </w:rPr>
              <w:t>/</w:t>
            </w:r>
            <w:r>
              <w:rPr>
                <w:rFonts w:hint="eastAsia"/>
                <w:sz w:val="24"/>
              </w:rPr>
              <w:t>T6</w:t>
            </w:r>
            <w:r>
              <w:rPr>
                <w:rFonts w:hint="eastAsia"/>
                <w:sz w:val="24"/>
              </w:rPr>
              <w:t>新世纪</w:t>
            </w:r>
          </w:p>
        </w:tc>
        <w:tc>
          <w:tcPr>
            <w:tcW w:w="1436" w:type="dxa"/>
            <w:vAlign w:val="center"/>
          </w:tcPr>
          <w:p w:rsidR="00015BC5" w:rsidRDefault="00BC55F7">
            <w:pPr>
              <w:pStyle w:val="a8"/>
              <w:keepNext w:val="0"/>
              <w:overflowPunct w:val="0"/>
              <w:topLinePunct/>
              <w:snapToGrid w:val="0"/>
              <w:spacing w:line="240" w:lineRule="auto"/>
              <w:rPr>
                <w:bCs/>
                <w:sz w:val="24"/>
                <w:szCs w:val="24"/>
              </w:rPr>
            </w:pPr>
            <w:r>
              <w:rPr>
                <w:bCs/>
                <w:sz w:val="24"/>
                <w:szCs w:val="24"/>
              </w:rPr>
              <w:t>0.004mg/L</w:t>
            </w:r>
          </w:p>
        </w:tc>
      </w:tr>
      <w:tr w:rsidR="00015BC5">
        <w:tblPrEx>
          <w:tblCellMar>
            <w:left w:w="108" w:type="dxa"/>
            <w:right w:w="108" w:type="dxa"/>
          </w:tblCellMar>
        </w:tblPrEx>
        <w:trPr>
          <w:trHeight w:val="624"/>
          <w:jc w:val="center"/>
        </w:trPr>
        <w:tc>
          <w:tcPr>
            <w:tcW w:w="1231" w:type="dxa"/>
            <w:vAlign w:val="center"/>
          </w:tcPr>
          <w:p w:rsidR="00015BC5" w:rsidRDefault="00BC55F7">
            <w:pPr>
              <w:jc w:val="center"/>
              <w:rPr>
                <w:rFonts w:ascii="Times New Roman" w:eastAsia="宋体" w:hAnsi="宋体" w:cs="Times New Roman"/>
                <w:sz w:val="24"/>
              </w:rPr>
            </w:pPr>
            <w:r>
              <w:rPr>
                <w:rFonts w:hAnsi="宋体" w:hint="eastAsia"/>
                <w:bCs/>
                <w:sz w:val="24"/>
              </w:rPr>
              <w:t>苯</w:t>
            </w:r>
          </w:p>
        </w:tc>
        <w:tc>
          <w:tcPr>
            <w:tcW w:w="3118" w:type="dxa"/>
            <w:vAlign w:val="center"/>
          </w:tcPr>
          <w:p w:rsidR="00015BC5" w:rsidRDefault="00BC55F7">
            <w:pPr>
              <w:pStyle w:val="a8"/>
              <w:keepNext w:val="0"/>
              <w:overflowPunct w:val="0"/>
              <w:topLinePunct/>
              <w:snapToGrid w:val="0"/>
              <w:spacing w:line="240" w:lineRule="auto"/>
              <w:rPr>
                <w:rFonts w:ascii="Times New Roman" w:eastAsia="宋体" w:hAnsi="宋体" w:cs="Times New Roman"/>
                <w:kern w:val="2"/>
                <w:sz w:val="24"/>
                <w:szCs w:val="24"/>
              </w:rPr>
            </w:pPr>
            <w:r>
              <w:rPr>
                <w:rFonts w:ascii="Times New Roman" w:eastAsia="宋体" w:hAnsi="宋体" w:cs="Times New Roman" w:hint="eastAsia"/>
                <w:kern w:val="2"/>
                <w:sz w:val="24"/>
                <w:szCs w:val="24"/>
              </w:rPr>
              <w:t>生活饮用水标准检验方法</w:t>
            </w:r>
            <w:r>
              <w:rPr>
                <w:rFonts w:ascii="Times New Roman" w:eastAsia="宋体" w:hAnsi="宋体" w:cs="Times New Roman" w:hint="eastAsia"/>
                <w:kern w:val="2"/>
                <w:sz w:val="24"/>
                <w:szCs w:val="24"/>
              </w:rPr>
              <w:t xml:space="preserve"> </w:t>
            </w:r>
            <w:r>
              <w:rPr>
                <w:rFonts w:ascii="Times New Roman" w:eastAsia="宋体" w:hAnsi="宋体" w:cs="Times New Roman" w:hint="eastAsia"/>
                <w:kern w:val="2"/>
                <w:sz w:val="24"/>
                <w:szCs w:val="24"/>
              </w:rPr>
              <w:t>有机物指标</w:t>
            </w:r>
          </w:p>
        </w:tc>
        <w:tc>
          <w:tcPr>
            <w:tcW w:w="2186" w:type="dxa"/>
            <w:vAlign w:val="center"/>
          </w:tcPr>
          <w:p w:rsidR="00015BC5" w:rsidRDefault="00BC55F7">
            <w:pPr>
              <w:jc w:val="center"/>
              <w:rPr>
                <w:rFonts w:ascii="Times New Roman" w:eastAsia="宋体" w:hAnsi="宋体" w:cs="Times New Roman"/>
                <w:sz w:val="24"/>
              </w:rPr>
            </w:pPr>
            <w:r>
              <w:rPr>
                <w:rFonts w:ascii="Times New Roman" w:eastAsia="宋体" w:hAnsi="宋体" w:cs="Times New Roman" w:hint="eastAsia"/>
                <w:sz w:val="24"/>
              </w:rPr>
              <w:t>GB/T 5750.8.18-2006</w:t>
            </w:r>
          </w:p>
        </w:tc>
        <w:tc>
          <w:tcPr>
            <w:tcW w:w="1939" w:type="dxa"/>
            <w:vAlign w:val="center"/>
          </w:tcPr>
          <w:p w:rsidR="00015BC5" w:rsidRDefault="00BC55F7">
            <w:pPr>
              <w:jc w:val="center"/>
              <w:rPr>
                <w:rFonts w:ascii="Times New Roman" w:eastAsia="宋体" w:hAnsi="宋体" w:cs="Times New Roman"/>
                <w:sz w:val="24"/>
              </w:rPr>
            </w:pPr>
            <w:r>
              <w:rPr>
                <w:rFonts w:hAnsi="宋体" w:hint="eastAsia"/>
                <w:sz w:val="24"/>
              </w:rPr>
              <w:t>气相色谱仪</w:t>
            </w:r>
            <w:r>
              <w:rPr>
                <w:rFonts w:hAnsi="宋体" w:hint="eastAsia"/>
                <w:sz w:val="24"/>
              </w:rPr>
              <w:t>/</w:t>
            </w:r>
            <w:r>
              <w:rPr>
                <w:rFonts w:hAnsi="宋体"/>
                <w:sz w:val="24"/>
              </w:rPr>
              <w:t>G</w:t>
            </w:r>
            <w:r>
              <w:rPr>
                <w:rFonts w:hAnsi="宋体" w:hint="eastAsia"/>
                <w:sz w:val="24"/>
              </w:rPr>
              <w:t>C9790</w:t>
            </w:r>
            <w:r>
              <w:rPr>
                <w:rFonts w:hAnsi="宋体" w:hint="eastAsia"/>
                <w:sz w:val="24"/>
              </w:rPr>
              <w:t>Ⅱ</w:t>
            </w:r>
          </w:p>
        </w:tc>
        <w:tc>
          <w:tcPr>
            <w:tcW w:w="1436" w:type="dxa"/>
            <w:vAlign w:val="center"/>
          </w:tcPr>
          <w:p w:rsidR="00015BC5" w:rsidRDefault="00BC55F7">
            <w:pPr>
              <w:pStyle w:val="a8"/>
              <w:keepNext w:val="0"/>
              <w:overflowPunct w:val="0"/>
              <w:topLinePunct/>
              <w:snapToGrid w:val="0"/>
              <w:spacing w:line="240" w:lineRule="auto"/>
              <w:rPr>
                <w:rFonts w:ascii="Times New Roman" w:eastAsia="宋体" w:hAnsi="宋体" w:cs="Times New Roman"/>
                <w:kern w:val="2"/>
                <w:sz w:val="24"/>
                <w:szCs w:val="24"/>
              </w:rPr>
            </w:pPr>
            <w:r>
              <w:rPr>
                <w:rFonts w:hint="eastAsia"/>
                <w:bCs/>
                <w:sz w:val="24"/>
                <w:szCs w:val="24"/>
              </w:rPr>
              <w:t>0.005mg/L</w:t>
            </w:r>
          </w:p>
        </w:tc>
      </w:tr>
      <w:tr w:rsidR="00015BC5">
        <w:tblPrEx>
          <w:tblCellMar>
            <w:left w:w="108" w:type="dxa"/>
            <w:right w:w="108" w:type="dxa"/>
          </w:tblCellMar>
        </w:tblPrEx>
        <w:trPr>
          <w:trHeight w:val="624"/>
          <w:jc w:val="center"/>
        </w:trPr>
        <w:tc>
          <w:tcPr>
            <w:tcW w:w="1231" w:type="dxa"/>
            <w:vAlign w:val="center"/>
          </w:tcPr>
          <w:p w:rsidR="00015BC5" w:rsidRDefault="00BC55F7">
            <w:pPr>
              <w:autoSpaceDN w:val="0"/>
              <w:jc w:val="center"/>
              <w:textAlignment w:val="center"/>
              <w:rPr>
                <w:rFonts w:ascii="Times New Roman" w:hAnsi="Times New Roman" w:cs="Times New Roman"/>
                <w:bCs/>
                <w:sz w:val="24"/>
              </w:rPr>
            </w:pPr>
            <w:r>
              <w:rPr>
                <w:rFonts w:ascii="Times New Roman" w:hAnsi="Times New Roman" w:cs="Times New Roman" w:hint="eastAsia"/>
                <w:bCs/>
                <w:sz w:val="24"/>
              </w:rPr>
              <w:t>2,4-</w:t>
            </w:r>
            <w:r>
              <w:rPr>
                <w:rFonts w:ascii="Times New Roman" w:hAnsi="Times New Roman" w:cs="Times New Roman" w:hint="eastAsia"/>
                <w:bCs/>
                <w:sz w:val="24"/>
              </w:rPr>
              <w:t>二硝基甲苯</w:t>
            </w:r>
          </w:p>
        </w:tc>
        <w:tc>
          <w:tcPr>
            <w:tcW w:w="3118" w:type="dxa"/>
            <w:vAlign w:val="center"/>
          </w:tcPr>
          <w:p w:rsidR="00015BC5" w:rsidRDefault="00BC55F7">
            <w:pPr>
              <w:widowControl/>
              <w:autoSpaceDN w:val="0"/>
              <w:jc w:val="center"/>
              <w:textAlignment w:val="center"/>
              <w:rPr>
                <w:rFonts w:ascii="Times New Roman" w:eastAsia="宋体" w:hAnsi="Times New Roman" w:cs="Times New Roman"/>
                <w:color w:val="000000"/>
                <w:kern w:val="0"/>
                <w:sz w:val="24"/>
              </w:rPr>
            </w:pPr>
            <w:r>
              <w:rPr>
                <w:rFonts w:ascii="Times New Roman" w:eastAsia="宋体" w:hAnsi="Times New Roman" w:cs="Times New Roman" w:hint="eastAsia"/>
                <w:color w:val="000000"/>
                <w:kern w:val="0"/>
                <w:sz w:val="24"/>
              </w:rPr>
              <w:t>水质</w:t>
            </w:r>
            <w:r>
              <w:rPr>
                <w:rFonts w:ascii="Times New Roman" w:eastAsia="宋体" w:hAnsi="Times New Roman" w:cs="Times New Roman" w:hint="eastAsia"/>
                <w:color w:val="000000"/>
                <w:kern w:val="0"/>
                <w:sz w:val="24"/>
              </w:rPr>
              <w:t xml:space="preserve"> </w:t>
            </w:r>
            <w:r>
              <w:rPr>
                <w:rFonts w:ascii="Times New Roman" w:eastAsia="宋体" w:hAnsi="Times New Roman" w:cs="Times New Roman" w:hint="eastAsia"/>
                <w:color w:val="000000"/>
                <w:kern w:val="0"/>
                <w:sz w:val="24"/>
              </w:rPr>
              <w:t>硝基苯类化合物的测定</w:t>
            </w:r>
          </w:p>
          <w:p w:rsidR="00015BC5" w:rsidRDefault="00BC55F7">
            <w:pPr>
              <w:widowControl/>
              <w:autoSpaceDN w:val="0"/>
              <w:jc w:val="center"/>
              <w:textAlignment w:val="center"/>
              <w:rPr>
                <w:sz w:val="24"/>
              </w:rPr>
            </w:pPr>
            <w:r>
              <w:rPr>
                <w:rFonts w:ascii="Times New Roman" w:eastAsia="宋体" w:hAnsi="Times New Roman" w:cs="Times New Roman" w:hint="eastAsia"/>
                <w:color w:val="000000"/>
                <w:kern w:val="0"/>
                <w:sz w:val="24"/>
              </w:rPr>
              <w:t>气相色谱</w:t>
            </w:r>
            <w:r>
              <w:rPr>
                <w:rFonts w:ascii="Times New Roman" w:eastAsia="宋体" w:hAnsi="Times New Roman" w:cs="Times New Roman" w:hint="eastAsia"/>
                <w:color w:val="000000"/>
                <w:kern w:val="0"/>
                <w:sz w:val="24"/>
              </w:rPr>
              <w:t>-</w:t>
            </w:r>
            <w:r>
              <w:rPr>
                <w:rFonts w:ascii="Times New Roman" w:eastAsia="宋体" w:hAnsi="Times New Roman" w:cs="Times New Roman" w:hint="eastAsia"/>
                <w:color w:val="000000"/>
                <w:kern w:val="0"/>
                <w:sz w:val="24"/>
              </w:rPr>
              <w:t>质谱法</w:t>
            </w:r>
          </w:p>
        </w:tc>
        <w:tc>
          <w:tcPr>
            <w:tcW w:w="2186" w:type="dxa"/>
            <w:vAlign w:val="center"/>
          </w:tcPr>
          <w:p w:rsidR="00015BC5" w:rsidRDefault="00BC55F7">
            <w:pPr>
              <w:jc w:val="center"/>
              <w:rPr>
                <w:rFonts w:ascii="Times New Roman" w:eastAsia="宋体" w:hAnsi="Times New Roman" w:cs="Times New Roman"/>
                <w:color w:val="000000"/>
                <w:kern w:val="0"/>
                <w:sz w:val="24"/>
              </w:rPr>
            </w:pPr>
            <w:r>
              <w:rPr>
                <w:rFonts w:ascii="Times New Roman" w:eastAsia="宋体" w:hAnsi="Times New Roman" w:cs="Times New Roman" w:hint="eastAsia"/>
                <w:color w:val="000000"/>
                <w:kern w:val="0"/>
                <w:sz w:val="24"/>
              </w:rPr>
              <w:t>HJ 716-2014</w:t>
            </w:r>
          </w:p>
        </w:tc>
        <w:tc>
          <w:tcPr>
            <w:tcW w:w="1939" w:type="dxa"/>
            <w:vAlign w:val="center"/>
          </w:tcPr>
          <w:p w:rsidR="00015BC5" w:rsidRDefault="00BC55F7">
            <w:pPr>
              <w:autoSpaceDN w:val="0"/>
              <w:jc w:val="center"/>
              <w:textAlignment w:val="center"/>
              <w:rPr>
                <w:rFonts w:cs="Times New Roman"/>
                <w:bCs/>
                <w:sz w:val="24"/>
              </w:rPr>
            </w:pPr>
            <w:r>
              <w:rPr>
                <w:rFonts w:ascii="Times New Roman" w:eastAsia="宋体" w:hAnsi="Times New Roman" w:cs="Times New Roman" w:hint="eastAsia"/>
                <w:bCs/>
                <w:sz w:val="24"/>
              </w:rPr>
              <w:t>气相色谱质谱联用仪</w:t>
            </w:r>
            <w:r>
              <w:rPr>
                <w:rFonts w:ascii="Times New Roman" w:eastAsia="宋体" w:hAnsi="Times New Roman" w:cs="Times New Roman" w:hint="eastAsia"/>
                <w:bCs/>
                <w:sz w:val="24"/>
              </w:rPr>
              <w:t>/ISQ7000</w:t>
            </w:r>
          </w:p>
        </w:tc>
        <w:tc>
          <w:tcPr>
            <w:tcW w:w="1436" w:type="dxa"/>
            <w:vAlign w:val="center"/>
          </w:tcPr>
          <w:p w:rsidR="00015BC5" w:rsidRDefault="00BC55F7">
            <w:pPr>
              <w:autoSpaceDN w:val="0"/>
              <w:jc w:val="center"/>
              <w:textAlignment w:val="center"/>
              <w:rPr>
                <w:rFonts w:cs="Times New Roman"/>
                <w:kern w:val="0"/>
                <w:sz w:val="24"/>
              </w:rPr>
            </w:pPr>
            <w:r>
              <w:rPr>
                <w:rFonts w:ascii="Times New Roman" w:eastAsia="宋体" w:hAnsi="Times New Roman" w:cs="Times New Roman" w:hint="eastAsia"/>
                <w:color w:val="000000"/>
                <w:kern w:val="0"/>
                <w:sz w:val="24"/>
              </w:rPr>
              <w:t>0.04</w:t>
            </w:r>
            <w:r>
              <w:rPr>
                <w:rFonts w:ascii="Times New Roman" w:eastAsia="宋体" w:hAnsi="Times New Roman" w:cs="Times New Roman"/>
                <w:color w:val="000000"/>
                <w:kern w:val="0"/>
                <w:sz w:val="24"/>
              </w:rPr>
              <w:t>μg/L</w:t>
            </w:r>
          </w:p>
        </w:tc>
      </w:tr>
      <w:tr w:rsidR="00015BC5">
        <w:tblPrEx>
          <w:tblCellMar>
            <w:left w:w="108" w:type="dxa"/>
            <w:right w:w="108" w:type="dxa"/>
          </w:tblCellMar>
        </w:tblPrEx>
        <w:trPr>
          <w:trHeight w:val="624"/>
          <w:jc w:val="center"/>
        </w:trPr>
        <w:tc>
          <w:tcPr>
            <w:tcW w:w="1231" w:type="dxa"/>
            <w:vAlign w:val="center"/>
          </w:tcPr>
          <w:p w:rsidR="00015BC5" w:rsidRDefault="00BC55F7">
            <w:pPr>
              <w:autoSpaceDN w:val="0"/>
              <w:jc w:val="center"/>
              <w:textAlignment w:val="center"/>
              <w:rPr>
                <w:rFonts w:ascii="Times New Roman" w:hAnsi="Times New Roman" w:cs="Times New Roman"/>
                <w:bCs/>
                <w:sz w:val="24"/>
              </w:rPr>
            </w:pPr>
            <w:r>
              <w:rPr>
                <w:rFonts w:ascii="Times New Roman" w:hAnsi="Times New Roman" w:cs="Times New Roman" w:hint="eastAsia"/>
                <w:bCs/>
                <w:sz w:val="24"/>
              </w:rPr>
              <w:t>2,6-</w:t>
            </w:r>
            <w:r>
              <w:rPr>
                <w:rFonts w:ascii="Times New Roman" w:hAnsi="Times New Roman" w:cs="Times New Roman" w:hint="eastAsia"/>
                <w:bCs/>
                <w:sz w:val="24"/>
              </w:rPr>
              <w:t>二硝基甲苯</w:t>
            </w:r>
          </w:p>
        </w:tc>
        <w:tc>
          <w:tcPr>
            <w:tcW w:w="3118" w:type="dxa"/>
            <w:vAlign w:val="center"/>
          </w:tcPr>
          <w:p w:rsidR="00015BC5" w:rsidRDefault="00BC55F7">
            <w:pPr>
              <w:widowControl/>
              <w:autoSpaceDN w:val="0"/>
              <w:jc w:val="center"/>
              <w:textAlignment w:val="center"/>
              <w:rPr>
                <w:rFonts w:ascii="Times New Roman" w:eastAsia="宋体" w:hAnsi="Times New Roman" w:cs="Times New Roman"/>
                <w:color w:val="000000"/>
                <w:kern w:val="0"/>
                <w:sz w:val="24"/>
              </w:rPr>
            </w:pPr>
            <w:r>
              <w:rPr>
                <w:rFonts w:ascii="Times New Roman" w:eastAsia="宋体" w:hAnsi="Times New Roman" w:cs="Times New Roman" w:hint="eastAsia"/>
                <w:color w:val="000000"/>
                <w:kern w:val="0"/>
                <w:sz w:val="24"/>
              </w:rPr>
              <w:t>水质</w:t>
            </w:r>
            <w:r>
              <w:rPr>
                <w:rFonts w:ascii="Times New Roman" w:eastAsia="宋体" w:hAnsi="Times New Roman" w:cs="Times New Roman" w:hint="eastAsia"/>
                <w:color w:val="000000"/>
                <w:kern w:val="0"/>
                <w:sz w:val="24"/>
              </w:rPr>
              <w:t xml:space="preserve"> </w:t>
            </w:r>
            <w:r>
              <w:rPr>
                <w:rFonts w:ascii="Times New Roman" w:eastAsia="宋体" w:hAnsi="Times New Roman" w:cs="Times New Roman" w:hint="eastAsia"/>
                <w:color w:val="000000"/>
                <w:kern w:val="0"/>
                <w:sz w:val="24"/>
              </w:rPr>
              <w:t>硝基苯类化合物的测定</w:t>
            </w:r>
          </w:p>
          <w:p w:rsidR="00015BC5" w:rsidRDefault="00BC55F7">
            <w:pPr>
              <w:widowControl/>
              <w:autoSpaceDN w:val="0"/>
              <w:jc w:val="center"/>
              <w:textAlignment w:val="center"/>
              <w:rPr>
                <w:rFonts w:ascii="Times New Roman" w:eastAsia="宋体" w:hAnsi="Times New Roman" w:cs="Times New Roman"/>
                <w:color w:val="000000"/>
                <w:kern w:val="0"/>
                <w:sz w:val="24"/>
              </w:rPr>
            </w:pPr>
            <w:r>
              <w:rPr>
                <w:rFonts w:ascii="Times New Roman" w:eastAsia="宋体" w:hAnsi="Times New Roman" w:cs="Times New Roman" w:hint="eastAsia"/>
                <w:color w:val="000000"/>
                <w:kern w:val="0"/>
                <w:sz w:val="24"/>
              </w:rPr>
              <w:t>气相色谱</w:t>
            </w:r>
            <w:r>
              <w:rPr>
                <w:rFonts w:ascii="Times New Roman" w:eastAsia="宋体" w:hAnsi="Times New Roman" w:cs="Times New Roman" w:hint="eastAsia"/>
                <w:color w:val="000000"/>
                <w:kern w:val="0"/>
                <w:sz w:val="24"/>
              </w:rPr>
              <w:t>-</w:t>
            </w:r>
            <w:r>
              <w:rPr>
                <w:rFonts w:ascii="Times New Roman" w:eastAsia="宋体" w:hAnsi="Times New Roman" w:cs="Times New Roman" w:hint="eastAsia"/>
                <w:color w:val="000000"/>
                <w:kern w:val="0"/>
                <w:sz w:val="24"/>
              </w:rPr>
              <w:t>质谱法</w:t>
            </w:r>
          </w:p>
        </w:tc>
        <w:tc>
          <w:tcPr>
            <w:tcW w:w="2186" w:type="dxa"/>
            <w:vAlign w:val="center"/>
          </w:tcPr>
          <w:p w:rsidR="00015BC5" w:rsidRDefault="00BC55F7">
            <w:pPr>
              <w:jc w:val="center"/>
              <w:rPr>
                <w:rFonts w:ascii="Times New Roman" w:eastAsia="宋体" w:hAnsi="Times New Roman" w:cs="Times New Roman"/>
                <w:color w:val="000000"/>
                <w:kern w:val="0"/>
                <w:sz w:val="24"/>
              </w:rPr>
            </w:pPr>
            <w:r>
              <w:rPr>
                <w:rFonts w:ascii="Times New Roman" w:eastAsia="宋体" w:hAnsi="Times New Roman" w:cs="Times New Roman" w:hint="eastAsia"/>
                <w:color w:val="000000"/>
                <w:kern w:val="0"/>
                <w:sz w:val="24"/>
              </w:rPr>
              <w:t>HJ 716-2014</w:t>
            </w:r>
          </w:p>
        </w:tc>
        <w:tc>
          <w:tcPr>
            <w:tcW w:w="1939" w:type="dxa"/>
            <w:vAlign w:val="center"/>
          </w:tcPr>
          <w:p w:rsidR="00015BC5" w:rsidRDefault="00BC55F7">
            <w:pPr>
              <w:autoSpaceDN w:val="0"/>
              <w:jc w:val="center"/>
              <w:textAlignment w:val="center"/>
              <w:rPr>
                <w:rFonts w:ascii="Times New Roman" w:eastAsia="宋体" w:hAnsi="Times New Roman" w:cs="Times New Roman"/>
                <w:bCs/>
                <w:sz w:val="24"/>
              </w:rPr>
            </w:pPr>
            <w:r>
              <w:rPr>
                <w:rFonts w:ascii="Times New Roman" w:eastAsia="宋体" w:hAnsi="Times New Roman" w:cs="Times New Roman" w:hint="eastAsia"/>
                <w:bCs/>
                <w:sz w:val="24"/>
              </w:rPr>
              <w:t>气相色谱质谱联用仪</w:t>
            </w:r>
            <w:r>
              <w:rPr>
                <w:rFonts w:ascii="Times New Roman" w:eastAsia="宋体" w:hAnsi="Times New Roman" w:cs="Times New Roman" w:hint="eastAsia"/>
                <w:bCs/>
                <w:sz w:val="24"/>
              </w:rPr>
              <w:t>/ISQ7000</w:t>
            </w:r>
          </w:p>
        </w:tc>
        <w:tc>
          <w:tcPr>
            <w:tcW w:w="1436" w:type="dxa"/>
            <w:vAlign w:val="center"/>
          </w:tcPr>
          <w:p w:rsidR="00015BC5" w:rsidRDefault="00BC55F7">
            <w:pPr>
              <w:autoSpaceDN w:val="0"/>
              <w:jc w:val="center"/>
              <w:textAlignment w:val="center"/>
              <w:rPr>
                <w:rFonts w:ascii="Times New Roman" w:eastAsia="宋体" w:hAnsi="Times New Roman" w:cs="Times New Roman"/>
                <w:color w:val="000000"/>
                <w:kern w:val="0"/>
                <w:sz w:val="24"/>
              </w:rPr>
            </w:pPr>
            <w:r>
              <w:rPr>
                <w:rFonts w:ascii="Times New Roman" w:eastAsia="宋体" w:hAnsi="Times New Roman" w:cs="Times New Roman" w:hint="eastAsia"/>
                <w:color w:val="000000"/>
                <w:kern w:val="0"/>
                <w:sz w:val="24"/>
              </w:rPr>
              <w:t>0.05</w:t>
            </w:r>
            <w:r>
              <w:rPr>
                <w:rFonts w:ascii="Times New Roman" w:eastAsia="宋体" w:hAnsi="Times New Roman" w:cs="Times New Roman"/>
                <w:color w:val="000000"/>
                <w:kern w:val="0"/>
                <w:sz w:val="24"/>
              </w:rPr>
              <w:t>μg/L</w:t>
            </w:r>
          </w:p>
        </w:tc>
      </w:tr>
    </w:tbl>
    <w:p w:rsidR="00815291" w:rsidRDefault="00C155B5" w:rsidP="00815291">
      <w:pPr>
        <w:pStyle w:val="a7"/>
        <w:ind w:firstLineChars="0" w:firstLine="0"/>
        <w:jc w:val="left"/>
        <w:rPr>
          <w:b/>
          <w:sz w:val="28"/>
          <w:szCs w:val="28"/>
        </w:rPr>
      </w:pPr>
      <w:r>
        <w:rPr>
          <w:rFonts w:hint="eastAsia"/>
          <w:b/>
          <w:sz w:val="28"/>
          <w:szCs w:val="28"/>
        </w:rPr>
        <w:t>七、</w:t>
      </w:r>
      <w:r w:rsidR="00C0756D">
        <w:rPr>
          <w:rFonts w:hint="eastAsia"/>
          <w:b/>
          <w:sz w:val="28"/>
          <w:szCs w:val="28"/>
        </w:rPr>
        <w:t>质控</w:t>
      </w:r>
    </w:p>
    <w:p w:rsidR="00015BC5" w:rsidRPr="00C155B5" w:rsidRDefault="00815291" w:rsidP="00C155B5">
      <w:pPr>
        <w:pStyle w:val="a7"/>
        <w:ind w:firstLineChars="100" w:firstLine="281"/>
        <w:jc w:val="left"/>
        <w:rPr>
          <w:b/>
          <w:sz w:val="28"/>
          <w:szCs w:val="28"/>
        </w:rPr>
      </w:pPr>
      <w:r w:rsidRPr="00C155B5">
        <w:rPr>
          <w:rFonts w:asciiTheme="minorEastAsia" w:hAnsiTheme="minorEastAsia"/>
          <w:b/>
          <w:color w:val="000000"/>
          <w:sz w:val="28"/>
          <w:szCs w:val="28"/>
        </w:rPr>
        <w:t xml:space="preserve">样品采集、保存、流转、制备与分析环节的质量保证与质量控制满足 GB/T 32722、HJ 164、 HJ/T 166、HJ 1019 及所选取分析方法的要求。 </w:t>
      </w:r>
    </w:p>
    <w:p w:rsidR="00015BC5" w:rsidRDefault="00015BC5">
      <w:pPr>
        <w:pStyle w:val="a7"/>
        <w:ind w:left="720" w:firstLineChars="0" w:firstLine="0"/>
        <w:jc w:val="left"/>
        <w:rPr>
          <w:b/>
          <w:sz w:val="28"/>
          <w:szCs w:val="28"/>
        </w:rPr>
      </w:pPr>
    </w:p>
    <w:p w:rsidR="00015BC5" w:rsidRDefault="00015BC5">
      <w:pPr>
        <w:pStyle w:val="a7"/>
        <w:ind w:firstLineChars="0" w:firstLine="0"/>
        <w:jc w:val="left"/>
        <w:rPr>
          <w:b/>
          <w:sz w:val="28"/>
          <w:szCs w:val="28"/>
        </w:rPr>
      </w:pPr>
    </w:p>
    <w:p w:rsidR="00015BC5" w:rsidRDefault="00330296" w:rsidP="00267876">
      <w:pPr>
        <w:pStyle w:val="a7"/>
        <w:tabs>
          <w:tab w:val="right" w:pos="7586"/>
        </w:tabs>
        <w:ind w:left="6195" w:hangingChars="2950" w:hanging="6195"/>
        <w:jc w:val="left"/>
        <w:rPr>
          <w:b/>
          <w:sz w:val="28"/>
          <w:szCs w:val="28"/>
        </w:rPr>
      </w:pPr>
      <w:r w:rsidRPr="00330296">
        <w:pict>
          <v:shapetype id="_x0000_t202" coordsize="21600,21600" o:spt="202" path="m,l,21600r21600,l21600,xe">
            <v:stroke joinstyle="miter"/>
            <v:path gradientshapeok="t" o:connecttype="rect"/>
          </v:shapetype>
          <v:shape id="_x0000_s1026" type="#_x0000_t202" style="position:absolute;left:0;text-align:left;margin-left:-21.3pt;margin-top:30.95pt;width:70.85pt;height:44.15pt;z-index:251667456" o:gfxdata="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MGNAc1gAAAAoBAAAPAAAAAAAAAAEAIAAAACIAAABkcnMvZG93bnJldi54bWxQ&#10;SwECFAAUAAAACACHTuJAgUaLsmsCAADSBAAADgAAAAAAAAABACAAAAAlAQAAZHJzL2Uyb0RvYy54&#10;bWxQSwUGAAAAAAYABgBZAQAAAgYAAAAA&#10;" strokeweight=".5pt">
            <v:stroke joinstyle="round"/>
            <v:textbox>
              <w:txbxContent>
                <w:p w:rsidR="00015BC5" w:rsidRDefault="00BC55F7">
                  <w:r>
                    <w:rPr>
                      <w:rFonts w:hint="eastAsia"/>
                    </w:rPr>
                    <w:t>毛堂社区（毛堂村）</w:t>
                  </w:r>
                </w:p>
              </w:txbxContent>
            </v:textbox>
          </v:shape>
        </w:pict>
      </w:r>
      <w:r w:rsidR="00AD05B9">
        <w:rPr>
          <w:rFonts w:hint="eastAsia"/>
          <w:b/>
          <w:sz w:val="28"/>
          <w:szCs w:val="28"/>
        </w:rPr>
        <w:t>八</w:t>
      </w:r>
      <w:r w:rsidR="00BC55F7">
        <w:rPr>
          <w:rFonts w:hint="eastAsia"/>
          <w:b/>
          <w:sz w:val="28"/>
          <w:szCs w:val="28"/>
        </w:rPr>
        <w:t>、布点示意图</w:t>
      </w:r>
      <w:r w:rsidR="00BC55F7">
        <w:rPr>
          <w:rFonts w:hint="eastAsia"/>
          <w:b/>
          <w:sz w:val="28"/>
          <w:szCs w:val="28"/>
        </w:rPr>
        <w:t xml:space="preserve">                                            </w:t>
      </w:r>
    </w:p>
    <w:p w:rsidR="00015BC5" w:rsidRDefault="00330296">
      <w:pPr>
        <w:tabs>
          <w:tab w:val="left" w:pos="1611"/>
        </w:tabs>
        <w:ind w:firstLineChars="700" w:firstLine="1960"/>
        <w:jc w:val="left"/>
        <w:rPr>
          <w:b/>
        </w:rPr>
      </w:pPr>
      <w:r w:rsidRPr="00330296">
        <w:rPr>
          <w:sz w:val="28"/>
        </w:rPr>
        <w:pict>
          <v:shape id="_x0000_s1039" style="position:absolute;left:0;text-align:left;margin-left:89pt;margin-top:9.7pt;width:14.2pt;height:12.05pt;z-index:251668480;mso-width-relative:page;mso-height-relative:page" coordsize="180340,153035" o:gfxdata="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N8CLNUAAAAJAQAADwAAAAAAAAABACAAAAAiAAAAZHJz&#10;L2Rvd25yZXYueG1sUEsBAhQAFAAAAAgAh07iQDev5i8HAgAANAQAAA4AAAAAAAAAAQAgAAAAJAEA&#10;AGRycy9lMm9Eb2MueG1sUEsFBgAAAAAGAAYAWQEAAJ0FAAAAAA==&#10;" path="m,58454r68884,l90170,r21285,58454l180339,58454,124611,94580r21287,58454l90170,116907,34441,153034,55728,94580xe" fillcolor="black">
            <v:stroke joinstyle="miter"/>
            <v:path o:connectlocs="90170,0;0,58454;34441,153034;145898,153034;180339,58454" o:connectangles="247,164,82,82,0"/>
          </v:shape>
        </w:pict>
      </w:r>
    </w:p>
    <w:p w:rsidR="00015BC5" w:rsidRDefault="00330296">
      <w:pPr>
        <w:tabs>
          <w:tab w:val="left" w:pos="1611"/>
        </w:tabs>
        <w:jc w:val="left"/>
        <w:rPr>
          <w:b/>
        </w:rPr>
      </w:pPr>
      <w:r w:rsidRPr="00330296">
        <w:pict>
          <v:shapetype id="_x0000_t127" coordsize="21600,21600" o:spt="127" path="m10800,l21600,21600,,21600xe">
            <v:stroke joinstyle="miter"/>
            <v:path gradientshapeok="t" o:connecttype="custom" o:connectlocs="10800,0;5400,10800;10800,21600;16200,10800" textboxrect="5400,10800,16200,21600"/>
          </v:shapetype>
          <v:shape id="流程图: 摘录 37" o:spid="_x0000_s1037" type="#_x0000_t127" style="position:absolute;margin-left:205.45pt;margin-top:183.9pt;width:15.8pt;height:14.1pt;z-index:251672576;v-text-anchor:middle" o:gfxdata="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AZ3qqd2gAAAAsBAAAPAAAAAAAAAAEAIAAAACIAAABkcnMvZG93bnJldi54bWxQSwECFAAU&#10;AAAACACHTuJA/Ew36ZoCAAA6BQAADgAAAAAAAAABACAAAAApAQAAZHJzL2Uyb0RvYy54bWxQSwUG&#10;AAAAAAYABgBZAQAANQYAAAAA&#10;" fillcolor="black" strokeweight="1pt"/>
        </w:pict>
      </w:r>
      <w:r w:rsidRPr="00330296">
        <w:pict>
          <v:shape id="_x0000_s1034" type="#_x0000_t127" style="position:absolute;margin-left:327.65pt;margin-top:215.7pt;width:15.8pt;height:14.1pt;z-index:251665408;v-text-anchor:middle" o:gfxdata="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afABltkAAAALAQAADwAAAAAAAAABACAAAAAiAAAAZHJzL2Rvd25yZXYueG1sUEsBAhQAFAAA&#10;AAgAh07iQLXWQAiZAgAAOwUAAA4AAAAAAAAAAQAgAAAAKAEAAGRycy9lMm9Eb2MueG1sUEsFBgAA&#10;AAAGAAYAWQEAADMGAAAAAA==&#10;" fillcolor="black" strokeweight="1pt"/>
        </w:pict>
      </w:r>
      <w:r w:rsidRPr="00330296">
        <w:rPr>
          <w:sz w:val="28"/>
        </w:rPr>
        <w:pict>
          <v:shape id="_x0000_s1035" style="position:absolute;margin-left:239.85pt;margin-top:273.1pt;width:14.2pt;height:12.05pt;z-index:251666432;mso-width-relative:page;mso-height-relative:page" coordsize="180340,153035" o:gfxdata="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8cPTNgAAAALAQAADwAAAAAAAAABACAAAAAiAAAA&#10;ZHJzL2Rvd25yZXYueG1sUEsBAhQAFAAAAAgAh07iQI6h0xAHAgAANAQAAA4AAAAAAAAAAQAgAAAA&#10;JwEAAGRycy9lMm9Eb2MueG1sUEsFBgAAAAAGAAYAWQEAAKAFAAAAAA==&#10;" path="m,58454r68884,l90170,r21285,58454l180339,58454,124611,94580r21287,58454l90170,116907,34441,153034,55728,94580xe" fillcolor="black">
            <v:stroke joinstyle="miter"/>
            <v:path o:connectlocs="90170,0;0,58454;34441,153034;145898,153034;180339,58454" o:connectangles="247,164,82,82,0"/>
          </v:shape>
        </w:pict>
      </w:r>
      <w:r w:rsidRPr="00330296">
        <w:rPr>
          <w:sz w:val="28"/>
        </w:rPr>
        <w:pict>
          <v:line id="_x0000_s1032" style="position:absolute;flip:x y;z-index:251669504" from="55.55pt,22.8pt" to="107.2pt,46.95pt" o:gfxdata="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Db+UL/XAAAACQEAAA8AAAAAAAAAAQAgAAAA&#10;IgAAAGRycy9kb3ducmV2LnhtbFBLAQIUABQAAAAIAIdO4kB5RTUMDAIAAOUDAAAOAAAAAAAAAAEA&#10;IAAAACYBAABkcnMvZTJvRG9jLnhtbFBLBQYAAAAABgAGAFkBAACkBQAAAAA=&#10;" strokecolor="#5b9bd5" strokeweight=".5pt">
            <v:stroke joinstyle="miter"/>
          </v:line>
        </w:pict>
      </w:r>
      <w:r w:rsidRPr="00330296">
        <w:rPr>
          <w:sz w:val="28"/>
        </w:rPr>
        <w:pict>
          <v:line id="_x0000_s1031" style="position:absolute;flip:x y;z-index:251670528" from="41.4pt,32pt" to="96.7pt,58.1pt" o:gfxdata="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oWql3tcAAAAJAQAADwAAAAAAAAABACAAAAAiAAAAZHJzL2Rv&#10;d25yZXYueG1sUEsBAhQAFAAAAAgAh07iQMiFuEwCAgAA2QMAAA4AAAAAAAAAAQAgAAAAJgEAAGRy&#10;cy9lMm9Eb2MueG1sUEsFBgAAAAAGAAYAWQEAAJoFAAAAAA==&#10;" strokecolor="#5b9bd5" strokeweight=".5pt">
            <v:stroke joinstyle="miter"/>
          </v:line>
        </w:pict>
      </w:r>
      <w:r w:rsidR="00BC55F7">
        <w:rPr>
          <w:rFonts w:hint="eastAsia"/>
          <w:b/>
        </w:rPr>
        <w:t xml:space="preserve">     </w:t>
      </w:r>
      <w:bookmarkStart w:id="0" w:name="_GoBack"/>
      <w:bookmarkEnd w:id="0"/>
      <w:r w:rsidR="00BC55F7">
        <w:rPr>
          <w:rFonts w:hint="eastAsia"/>
          <w:b/>
        </w:rPr>
        <w:t xml:space="preserve"> </w:t>
      </w:r>
    </w:p>
    <w:p w:rsidR="00015BC5" w:rsidRDefault="00C0756D">
      <w:pPr>
        <w:tabs>
          <w:tab w:val="left" w:pos="1611"/>
        </w:tabs>
        <w:jc w:val="left"/>
        <w:rPr>
          <w:b/>
        </w:rPr>
      </w:pPr>
      <w:r>
        <w:rPr>
          <w:rFonts w:hint="eastAsia"/>
          <w:b/>
          <w:noProof/>
        </w:rPr>
        <w:drawing>
          <wp:anchor distT="0" distB="0" distL="114300" distR="114300" simplePos="0" relativeHeight="251673600" behindDoc="1" locked="0" layoutInCell="1" allowOverlap="1">
            <wp:simplePos x="0" y="0"/>
            <wp:positionH relativeFrom="column">
              <wp:posOffset>100965</wp:posOffset>
            </wp:positionH>
            <wp:positionV relativeFrom="paragraph">
              <wp:posOffset>78740</wp:posOffset>
            </wp:positionV>
            <wp:extent cx="5274310" cy="3579495"/>
            <wp:effectExtent l="19050" t="0" r="2540" b="0"/>
            <wp:wrapNone/>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
                    <pic:cNvPicPr>
                      <a:picLocks noChangeAspect="1"/>
                    </pic:cNvPicPr>
                  </pic:nvPicPr>
                  <pic:blipFill>
                    <a:blip r:embed="rId8" cstate="print"/>
                    <a:stretch>
                      <a:fillRect/>
                    </a:stretch>
                  </pic:blipFill>
                  <pic:spPr>
                    <a:xfrm>
                      <a:off x="0" y="0"/>
                      <a:ext cx="5274310" cy="3579495"/>
                    </a:xfrm>
                    <a:prstGeom prst="rect">
                      <a:avLst/>
                    </a:prstGeom>
                    <a:noFill/>
                    <a:ln>
                      <a:noFill/>
                    </a:ln>
                  </pic:spPr>
                </pic:pic>
              </a:graphicData>
            </a:graphic>
          </wp:anchor>
        </w:drawing>
      </w:r>
      <w:r w:rsidR="00BC55F7">
        <w:rPr>
          <w:rFonts w:hint="eastAsia"/>
          <w:b/>
        </w:rPr>
        <w:t xml:space="preserve">              </w:t>
      </w:r>
    </w:p>
    <w:p w:rsidR="00C0756D" w:rsidRDefault="00BC55F7">
      <w:pPr>
        <w:tabs>
          <w:tab w:val="left" w:pos="1611"/>
        </w:tabs>
        <w:jc w:val="left"/>
        <w:rPr>
          <w:b/>
        </w:rPr>
      </w:pPr>
      <w:r>
        <w:rPr>
          <w:rFonts w:hint="eastAsia"/>
          <w:b/>
        </w:rPr>
        <w:t xml:space="preserve">  </w:t>
      </w:r>
    </w:p>
    <w:p w:rsidR="00C0756D" w:rsidRDefault="00C0756D">
      <w:pPr>
        <w:tabs>
          <w:tab w:val="left" w:pos="1611"/>
        </w:tabs>
        <w:jc w:val="left"/>
        <w:rPr>
          <w:b/>
        </w:rPr>
      </w:pPr>
    </w:p>
    <w:p w:rsidR="00C0756D" w:rsidRDefault="00330296">
      <w:pPr>
        <w:tabs>
          <w:tab w:val="left" w:pos="1611"/>
        </w:tabs>
        <w:jc w:val="left"/>
        <w:rPr>
          <w:b/>
        </w:rPr>
      </w:pPr>
      <w:r w:rsidRPr="00330296">
        <w:pict>
          <v:shape id="_x0000_s1029" type="#_x0000_t127" style="position:absolute;margin-left:267.35pt;margin-top:2.8pt;width:12.15pt;height:14.1pt;z-index:251664384;v-text-anchor:middle" o:gfxdata="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DK1wntgAAAALAQAADwAAAAAAAAABACAAAAAiAAAAZHJzL2Rvd25yZXYueG1sUEsBAhQAFAAA&#10;AAgAh07iQBElaiCaAgAAOwUAAA4AAAAAAAAAAQAgAAAAJwEAAGRycy9lMm9Eb2MueG1sUEsFBgAA&#10;AAAGAAYAWQEAADMGAAAAAA==&#10;" fillcolor="black" strokeweight="1pt"/>
        </w:pict>
      </w:r>
    </w:p>
    <w:p w:rsidR="00C0756D" w:rsidRDefault="00330296">
      <w:pPr>
        <w:tabs>
          <w:tab w:val="left" w:pos="1611"/>
        </w:tabs>
        <w:jc w:val="left"/>
        <w:rPr>
          <w:b/>
        </w:rPr>
      </w:pPr>
      <w:r w:rsidRPr="00330296">
        <w:rPr>
          <w:rFonts w:asciiTheme="minorEastAsia" w:hAnsiTheme="minorEastAsia"/>
          <w:noProof/>
          <w:sz w:val="28"/>
          <w:szCs w:val="28"/>
        </w:rPr>
        <w:pict>
          <v:shape id="_x0000_s1042" type="#_x0000_t202" style="position:absolute;margin-left:361.7pt;margin-top:1.3pt;width:19.7pt;height:85.6pt;z-index:251676672;mso-width-relative:margin;mso-height-relative:margin">
            <v:textbox>
              <w:txbxContent>
                <w:p w:rsidR="00C0756D" w:rsidRDefault="00C0756D">
                  <w:r>
                    <w:rPr>
                      <w:rFonts w:hint="eastAsia"/>
                    </w:rPr>
                    <w:t>地下水流向</w:t>
                  </w:r>
                </w:p>
              </w:txbxContent>
            </v:textbox>
          </v:shape>
        </w:pict>
      </w:r>
      <w:r>
        <w:rPr>
          <w:b/>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41" type="#_x0000_t68" style="position:absolute;margin-left:339.3pt;margin-top:11.1pt;width:17.65pt;height:67.35pt;z-index:251674624"/>
        </w:pict>
      </w:r>
      <w:r w:rsidR="00C0756D">
        <w:rPr>
          <w:b/>
        </w:rPr>
        <w:t xml:space="preserve">                                              </w:t>
      </w:r>
    </w:p>
    <w:p w:rsidR="00C0756D" w:rsidRDefault="00330296" w:rsidP="00267876">
      <w:pPr>
        <w:pStyle w:val="1"/>
        <w:ind w:left="7480" w:hangingChars="1700" w:hanging="7480"/>
        <w:rPr>
          <w:b w:val="0"/>
        </w:rPr>
      </w:pPr>
      <w:r>
        <w:rPr>
          <w:b w:val="0"/>
        </w:rPr>
        <w:pict>
          <v:shape id="_x0000_s1038" type="#_x0000_t127" style="position:absolute;left:0;text-align:left;margin-left:73.2pt;margin-top:29.85pt;width:15.8pt;height:14.1pt;z-index:251663360;v-text-anchor:middle" o:gfxdata="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OU81obZAAAACwEAAA8AAAAAAAAAAQAgAAAAIgAAAGRycy9kb3ducmV2LnhtbFBLAQIUABQA&#10;AAAIAIdO4kAaUNSkmgIAADsFAAAOAAAAAAAAAAEAIAAAACgBAABkcnMvZTJvRG9jLnhtbFBLBQYA&#10;AAAABgAGAFkBAAA0BgAAAAA=&#10;" fillcolor="black" strokeweight="1pt"/>
        </w:pict>
      </w:r>
      <w:r w:rsidR="00C0756D">
        <w:t xml:space="preserve">                                 </w:t>
      </w:r>
      <w:r w:rsidR="00C0756D" w:rsidRPr="00C0756D">
        <w:rPr>
          <w:rFonts w:asciiTheme="minorEastAsia" w:hAnsiTheme="minorEastAsia" w:hint="eastAsia"/>
          <w:sz w:val="28"/>
          <w:szCs w:val="28"/>
        </w:rPr>
        <w:t xml:space="preserve"> </w:t>
      </w:r>
    </w:p>
    <w:p w:rsidR="00C0756D" w:rsidRDefault="00330296">
      <w:pPr>
        <w:tabs>
          <w:tab w:val="left" w:pos="1611"/>
        </w:tabs>
        <w:jc w:val="left"/>
        <w:rPr>
          <w:b/>
        </w:rPr>
      </w:pPr>
      <w:r w:rsidRPr="00330296">
        <w:pict>
          <v:shape id="_x0000_s1033" type="#_x0000_t127" style="position:absolute;margin-left:315.55pt;margin-top:11.3pt;width:12.1pt;height:14.1pt;z-index:251661312;v-text-anchor:middle" o:gfxdata="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AtyF6T2QAAAAsBAAAPAAAAAAAAAAEAIAAAACIAAABkcnMvZG93bnJl&#10;di54bWxQSwECFAAUAAAACACHTuJAqbMNJqcCAABHBQAADgAAAAAAAAABACAAAAAoAQAAZHJzL2Uy&#10;b0RvYy54bWxQSwUGAAAAAAYABgBZAQAAQQYAAAAA&#10;" fillcolor="black" strokeweight="1pt"/>
        </w:pict>
      </w:r>
    </w:p>
    <w:p w:rsidR="00C0756D" w:rsidRDefault="00330296">
      <w:pPr>
        <w:tabs>
          <w:tab w:val="left" w:pos="1611"/>
        </w:tabs>
        <w:jc w:val="left"/>
        <w:rPr>
          <w:b/>
        </w:rPr>
      </w:pPr>
      <w:r w:rsidRPr="00330296">
        <w:rPr>
          <w:sz w:val="28"/>
        </w:rPr>
        <w:pict>
          <v:shape id="文本框 16" o:spid="_x0000_s1036" type="#_x0000_t202" style="position:absolute;margin-left:171.9pt;margin-top:7.25pt;width:67.95pt;height:25.65pt;z-index:251671552" o:gfxdata="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EmE2lNkAAAALAQAADwAAAAAAAAABACAAAAAiAAAAZHJzL2Rvd25yZXYueG1sUEsBAhQA&#10;FAAAAAgAh07iQDQRaBwqAgAAZwQAAA4AAAAAAAAAAQAgAAAAKAEAAGRycy9lMm9Eb2MueG1sUEsF&#10;BgAAAAAGAAYAWQEAAMQFAAAAAA==&#10;">
            <v:textbox>
              <w:txbxContent>
                <w:p w:rsidR="00015BC5" w:rsidRDefault="00BC55F7">
                  <w:r>
                    <w:rPr>
                      <w:rFonts w:hint="eastAsia"/>
                    </w:rPr>
                    <w:t>物料堆放区</w:t>
                  </w:r>
                </w:p>
              </w:txbxContent>
            </v:textbox>
          </v:shape>
        </w:pict>
      </w:r>
    </w:p>
    <w:p w:rsidR="00C0756D" w:rsidRDefault="00C0756D">
      <w:pPr>
        <w:tabs>
          <w:tab w:val="left" w:pos="1611"/>
        </w:tabs>
        <w:jc w:val="left"/>
        <w:rPr>
          <w:b/>
        </w:rPr>
      </w:pPr>
    </w:p>
    <w:p w:rsidR="00C0756D" w:rsidRDefault="00C0756D">
      <w:pPr>
        <w:tabs>
          <w:tab w:val="left" w:pos="1611"/>
        </w:tabs>
        <w:jc w:val="left"/>
        <w:rPr>
          <w:b/>
        </w:rPr>
      </w:pPr>
    </w:p>
    <w:p w:rsidR="00C0756D" w:rsidRDefault="00C0756D">
      <w:pPr>
        <w:tabs>
          <w:tab w:val="left" w:pos="1611"/>
        </w:tabs>
        <w:jc w:val="left"/>
        <w:rPr>
          <w:b/>
        </w:rPr>
      </w:pPr>
    </w:p>
    <w:p w:rsidR="00C0756D" w:rsidRDefault="00C0756D">
      <w:pPr>
        <w:tabs>
          <w:tab w:val="left" w:pos="1611"/>
        </w:tabs>
        <w:jc w:val="left"/>
        <w:rPr>
          <w:b/>
        </w:rPr>
      </w:pPr>
    </w:p>
    <w:p w:rsidR="00C0756D" w:rsidRDefault="00330296">
      <w:pPr>
        <w:tabs>
          <w:tab w:val="left" w:pos="1611"/>
        </w:tabs>
        <w:jc w:val="left"/>
        <w:rPr>
          <w:b/>
        </w:rPr>
      </w:pPr>
      <w:r w:rsidRPr="00330296">
        <w:pict>
          <v:shape id="_x0000_s1030" type="#_x0000_t127" style="position:absolute;margin-left:182.1pt;margin-top:14.85pt;width:15.8pt;height:14.1pt;z-index:251662336;v-text-anchor:middle" o:gfxdata="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APTz742gAAAAsBAAAPAAAAAAAAAAEAIAAAACIAAABkcnMvZG93bnJldi54bWxQSwECFAAU&#10;AAAACACHTuJAd6rYc5oCAAA7BQAADgAAAAAAAAABACAAAAApAQAAZHJzL2Uyb0RvYy54bWxQSwUG&#10;AAAAAAYABgBZAQAANQYAAAAA&#10;" fillcolor="black" strokeweight="1pt"/>
        </w:pict>
      </w:r>
    </w:p>
    <w:p w:rsidR="00C0756D" w:rsidRDefault="00C0756D">
      <w:pPr>
        <w:tabs>
          <w:tab w:val="left" w:pos="1611"/>
        </w:tabs>
        <w:jc w:val="left"/>
        <w:rPr>
          <w:b/>
        </w:rPr>
      </w:pPr>
    </w:p>
    <w:p w:rsidR="00C0756D" w:rsidRDefault="00C0756D">
      <w:pPr>
        <w:tabs>
          <w:tab w:val="left" w:pos="1611"/>
        </w:tabs>
        <w:jc w:val="left"/>
        <w:rPr>
          <w:b/>
        </w:rPr>
      </w:pPr>
    </w:p>
    <w:p w:rsidR="00C0756D" w:rsidRDefault="00C0756D">
      <w:pPr>
        <w:tabs>
          <w:tab w:val="left" w:pos="1611"/>
        </w:tabs>
        <w:jc w:val="left"/>
        <w:rPr>
          <w:b/>
        </w:rPr>
      </w:pPr>
    </w:p>
    <w:p w:rsidR="00C0756D" w:rsidRDefault="00C0756D">
      <w:pPr>
        <w:tabs>
          <w:tab w:val="left" w:pos="1611"/>
        </w:tabs>
        <w:jc w:val="left"/>
        <w:rPr>
          <w:b/>
        </w:rPr>
      </w:pPr>
    </w:p>
    <w:p w:rsidR="00C0756D" w:rsidRDefault="00C0756D">
      <w:pPr>
        <w:tabs>
          <w:tab w:val="left" w:pos="1611"/>
        </w:tabs>
        <w:jc w:val="left"/>
        <w:rPr>
          <w:b/>
        </w:rPr>
      </w:pPr>
    </w:p>
    <w:p w:rsidR="00C0756D" w:rsidRDefault="00C0756D">
      <w:pPr>
        <w:tabs>
          <w:tab w:val="left" w:pos="1611"/>
        </w:tabs>
        <w:jc w:val="left"/>
        <w:rPr>
          <w:b/>
        </w:rPr>
      </w:pPr>
    </w:p>
    <w:p w:rsidR="00015BC5" w:rsidRDefault="00BC55F7">
      <w:pPr>
        <w:tabs>
          <w:tab w:val="left" w:pos="1611"/>
        </w:tabs>
        <w:jc w:val="left"/>
        <w:rPr>
          <w:b/>
        </w:rPr>
      </w:pPr>
      <w:r>
        <w:rPr>
          <w:rFonts w:hint="eastAsia"/>
          <w:b/>
        </w:rPr>
        <w:t xml:space="preserve">            </w:t>
      </w:r>
    </w:p>
    <w:p w:rsidR="00015BC5" w:rsidRDefault="00330296">
      <w:pPr>
        <w:rPr>
          <w:b/>
        </w:rPr>
      </w:pPr>
      <w:r w:rsidRPr="00330296">
        <w:rPr>
          <w:b/>
          <w:sz w:val="28"/>
          <w:szCs w:val="28"/>
        </w:rPr>
        <w:pict>
          <v:shape id="流程图: 摘录 1" o:spid="_x0000_s1028" type="#_x0000_t127" style="position:absolute;left:0;text-align:left;margin-left:-14.8pt;margin-top:2.6pt;width:10.7pt;height:10.5pt;z-index:251659264;v-text-anchor:middle" o:gfxdata="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3fxtU9UAAAAHAQAADwAAAAAAAAABACAAAAAiAAAAZHJzL2Rvd25yZXYueG1sUEsBAhQAFAAAAAgA&#10;h07iQBEpGtiaAgAAOgUAAA4AAAAAAAAAAQAgAAAAJAEAAGRycy9lMm9Eb2MueG1sUEsFBgAAAAAG&#10;AAYAWQEAADAGAAAAAA==&#10;" fillcolor="black" strokeweight="1pt"/>
        </w:pict>
      </w:r>
      <w:r w:rsidR="00BC55F7">
        <w:rPr>
          <w:rFonts w:hint="eastAsia"/>
          <w:b/>
        </w:rPr>
        <w:t>：为土壤检测点位</w:t>
      </w:r>
    </w:p>
    <w:p w:rsidR="00015BC5" w:rsidRDefault="00015BC5">
      <w:pPr>
        <w:jc w:val="left"/>
        <w:rPr>
          <w:b/>
        </w:rPr>
      </w:pPr>
    </w:p>
    <w:p w:rsidR="00015BC5" w:rsidRDefault="00330296">
      <w:pPr>
        <w:jc w:val="left"/>
        <w:rPr>
          <w:b/>
        </w:rPr>
      </w:pPr>
      <w:r w:rsidRPr="00330296">
        <w:rPr>
          <w:sz w:val="28"/>
        </w:rPr>
        <w:pict>
          <v:shape id="自选图形 40" o:spid="_x0000_s1027" style="position:absolute;margin-left:-16.95pt;margin-top:.2pt;width:14.2pt;height:12.05pt;z-index:251660288;mso-width-relative:page;mso-height-relative:page" coordsize="180340,153035" o:gfxdata="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eeq6YtQAAAAGAQAADwAAAAAAAAABACAAAAAiAAAAZHJzL2Rv&#10;d25yZXYueG1sUEsBAhQAFAAAAAgAh07iQNf4TmIFAgAANAQAAA4AAAAAAAAAAQAgAAAAIwEAAGRy&#10;cy9lMm9Eb2MueG1sUEsFBgAAAAAGAAYAWQEAAJoFAAAAAA==&#10;" path="m,58454r68884,l90170,r21285,58454l180339,58454,124611,94580r21287,58454l90170,116907,34441,153034,55728,94580xe" fillcolor="black">
            <v:stroke joinstyle="miter"/>
            <v:path o:connectlocs="90170,0;0,58454;34441,153034;145898,153034;180339,58454" o:connectangles="247,164,82,82,0"/>
          </v:shape>
        </w:pict>
      </w:r>
      <w:r w:rsidR="00BC55F7">
        <w:rPr>
          <w:rFonts w:hint="eastAsia"/>
          <w:b/>
        </w:rPr>
        <w:t xml:space="preserve">:  </w:t>
      </w:r>
      <w:r w:rsidR="00BC55F7">
        <w:rPr>
          <w:rFonts w:hint="eastAsia"/>
          <w:b/>
        </w:rPr>
        <w:t>为地下水检测点位</w:t>
      </w:r>
      <w:r w:rsidR="00BC55F7">
        <w:rPr>
          <w:rFonts w:hint="eastAsia"/>
          <w:b/>
        </w:rPr>
        <w:tab/>
      </w:r>
    </w:p>
    <w:p w:rsidR="00015BC5" w:rsidRDefault="00015BC5">
      <w:pPr>
        <w:tabs>
          <w:tab w:val="left" w:pos="5571"/>
        </w:tabs>
        <w:ind w:firstLineChars="2800" w:firstLine="5903"/>
        <w:jc w:val="left"/>
        <w:rPr>
          <w:b/>
        </w:rPr>
      </w:pPr>
    </w:p>
    <w:p w:rsidR="00015BC5" w:rsidRDefault="00BC55F7">
      <w:pPr>
        <w:tabs>
          <w:tab w:val="left" w:pos="5406"/>
        </w:tabs>
        <w:jc w:val="left"/>
        <w:rPr>
          <w:b/>
        </w:rPr>
      </w:pPr>
      <w:r>
        <w:rPr>
          <w:rFonts w:hint="eastAsia"/>
          <w:b/>
        </w:rPr>
        <w:tab/>
        <w:t xml:space="preserve">   </w:t>
      </w:r>
    </w:p>
    <w:p w:rsidR="00015BC5" w:rsidRDefault="00BC55F7">
      <w:pPr>
        <w:tabs>
          <w:tab w:val="left" w:pos="684"/>
        </w:tabs>
        <w:jc w:val="left"/>
      </w:pPr>
      <w:r>
        <w:rPr>
          <w:b/>
          <w:sz w:val="32"/>
          <w:szCs w:val="32"/>
        </w:rPr>
        <w:t xml:space="preserve"> </w:t>
      </w:r>
    </w:p>
    <w:sectPr w:rsidR="00015BC5" w:rsidSect="00015BC5">
      <w:headerReference w:type="default" r:id="rId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DC4" w:rsidRDefault="00901DC4" w:rsidP="00015BC5">
      <w:r>
        <w:separator/>
      </w:r>
    </w:p>
  </w:endnote>
  <w:endnote w:type="continuationSeparator" w:id="0">
    <w:p w:rsidR="00901DC4" w:rsidRDefault="00901DC4" w:rsidP="00015B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20707"/>
    </w:sdtPr>
    <w:sdtContent>
      <w:p w:rsidR="00015BC5" w:rsidRDefault="00330296">
        <w:pPr>
          <w:pStyle w:val="a4"/>
        </w:pPr>
        <w:r w:rsidRPr="00330296">
          <w:fldChar w:fldCharType="begin"/>
        </w:r>
        <w:r w:rsidR="00BC55F7">
          <w:instrText xml:space="preserve"> PAGE   \* MERGEFORMAT </w:instrText>
        </w:r>
        <w:r w:rsidRPr="00330296">
          <w:fldChar w:fldCharType="separate"/>
        </w:r>
        <w:r w:rsidR="00AD05B9" w:rsidRPr="00AD05B9">
          <w:rPr>
            <w:noProof/>
            <w:lang w:val="zh-CN"/>
          </w:rPr>
          <w:t>5</w:t>
        </w:r>
        <w:r>
          <w:rPr>
            <w:lang w:val="zh-CN"/>
          </w:rPr>
          <w:fldChar w:fldCharType="end"/>
        </w:r>
      </w:p>
    </w:sdtContent>
  </w:sdt>
  <w:p w:rsidR="00015BC5" w:rsidRDefault="00015BC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DC4" w:rsidRDefault="00901DC4" w:rsidP="00015BC5">
      <w:r>
        <w:separator/>
      </w:r>
    </w:p>
  </w:footnote>
  <w:footnote w:type="continuationSeparator" w:id="0">
    <w:p w:rsidR="00901DC4" w:rsidRDefault="00901DC4" w:rsidP="00015B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BC5" w:rsidRDefault="00BC55F7">
    <w:pPr>
      <w:pStyle w:val="a5"/>
      <w:rPr>
        <w:b/>
      </w:rPr>
    </w:pPr>
    <w:r>
      <w:rPr>
        <w:rFonts w:hint="eastAsia"/>
        <w:b/>
      </w:rPr>
      <w:t>河南省微米检测科技有限公司</w:t>
    </w:r>
  </w:p>
  <w:p w:rsidR="00015BC5" w:rsidRDefault="00015BC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6E88C"/>
    <w:multiLevelType w:val="singleLevel"/>
    <w:tmpl w:val="0216E88C"/>
    <w:lvl w:ilvl="0">
      <w:start w:val="1"/>
      <w:numFmt w:val="decimal"/>
      <w:suff w:val="nothing"/>
      <w:lvlText w:val="（%1）"/>
      <w:lvlJc w:val="left"/>
    </w:lvl>
  </w:abstractNum>
  <w:abstractNum w:abstractNumId="1">
    <w:nsid w:val="06819307"/>
    <w:multiLevelType w:val="singleLevel"/>
    <w:tmpl w:val="06819307"/>
    <w:lvl w:ilvl="0">
      <w:start w:val="2"/>
      <w:numFmt w:val="decimal"/>
      <w:suff w:val="nothing"/>
      <w:lvlText w:val="%1、"/>
      <w:lvlJc w:val="left"/>
    </w:lvl>
  </w:abstractNum>
  <w:abstractNum w:abstractNumId="2">
    <w:nsid w:val="30044FE4"/>
    <w:multiLevelType w:val="singleLevel"/>
    <w:tmpl w:val="30044FE4"/>
    <w:lvl w:ilvl="0">
      <w:start w:val="1"/>
      <w:numFmt w:val="decimal"/>
      <w:suff w:val="nothing"/>
      <w:lvlText w:val="%1、"/>
      <w:lvlJc w:val="left"/>
    </w:lvl>
  </w:abstractNum>
  <w:abstractNum w:abstractNumId="3">
    <w:nsid w:val="4DC62291"/>
    <w:multiLevelType w:val="singleLevel"/>
    <w:tmpl w:val="4DC62291"/>
    <w:lvl w:ilvl="0">
      <w:start w:val="1"/>
      <w:numFmt w:val="chineseCounting"/>
      <w:suff w:val="nothing"/>
      <w:lvlText w:val="%1、"/>
      <w:lvlJc w:val="left"/>
      <w:rPr>
        <w:rFonts w:hint="eastAsia"/>
      </w:rPr>
    </w:lvl>
  </w:abstractNum>
  <w:abstractNum w:abstractNumId="4">
    <w:nsid w:val="6EF44DF3"/>
    <w:multiLevelType w:val="multilevel"/>
    <w:tmpl w:val="6EF44DF3"/>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OGI0YTY4YzU2ZjY3NzA3MzY4YThiNzQ5Mzk1ODViY2MifQ=="/>
  </w:docVars>
  <w:rsids>
    <w:rsidRoot w:val="00573AEE"/>
    <w:rsid w:val="00015BC5"/>
    <w:rsid w:val="00046915"/>
    <w:rsid w:val="00046E4D"/>
    <w:rsid w:val="00053978"/>
    <w:rsid w:val="00087D47"/>
    <w:rsid w:val="00094F94"/>
    <w:rsid w:val="000B4370"/>
    <w:rsid w:val="000D5A06"/>
    <w:rsid w:val="000D5FE1"/>
    <w:rsid w:val="001417DB"/>
    <w:rsid w:val="001444D4"/>
    <w:rsid w:val="001463C6"/>
    <w:rsid w:val="00147C75"/>
    <w:rsid w:val="00163292"/>
    <w:rsid w:val="00163949"/>
    <w:rsid w:val="00175439"/>
    <w:rsid w:val="00182842"/>
    <w:rsid w:val="001A104C"/>
    <w:rsid w:val="001A2F5C"/>
    <w:rsid w:val="001C0EFD"/>
    <w:rsid w:val="001C30D9"/>
    <w:rsid w:val="001D15E1"/>
    <w:rsid w:val="001D29E3"/>
    <w:rsid w:val="001E5066"/>
    <w:rsid w:val="00215445"/>
    <w:rsid w:val="002200C1"/>
    <w:rsid w:val="0024169E"/>
    <w:rsid w:val="00263EA9"/>
    <w:rsid w:val="00267876"/>
    <w:rsid w:val="00267E64"/>
    <w:rsid w:val="0029322D"/>
    <w:rsid w:val="0029602F"/>
    <w:rsid w:val="002B4DF9"/>
    <w:rsid w:val="002D633C"/>
    <w:rsid w:val="002E10F1"/>
    <w:rsid w:val="002F07FC"/>
    <w:rsid w:val="00307F8C"/>
    <w:rsid w:val="00312358"/>
    <w:rsid w:val="003248D8"/>
    <w:rsid w:val="00330296"/>
    <w:rsid w:val="003443A7"/>
    <w:rsid w:val="0036104D"/>
    <w:rsid w:val="00366DDC"/>
    <w:rsid w:val="003A3A40"/>
    <w:rsid w:val="003C278B"/>
    <w:rsid w:val="003D07F0"/>
    <w:rsid w:val="003D7D90"/>
    <w:rsid w:val="003E2ADD"/>
    <w:rsid w:val="003F2970"/>
    <w:rsid w:val="004053A3"/>
    <w:rsid w:val="00427EDA"/>
    <w:rsid w:val="0046249A"/>
    <w:rsid w:val="00464478"/>
    <w:rsid w:val="004919F7"/>
    <w:rsid w:val="00492FDE"/>
    <w:rsid w:val="004957DD"/>
    <w:rsid w:val="004A4007"/>
    <w:rsid w:val="00500F65"/>
    <w:rsid w:val="0050370E"/>
    <w:rsid w:val="00573AEE"/>
    <w:rsid w:val="005A0378"/>
    <w:rsid w:val="005A70B1"/>
    <w:rsid w:val="005C7D90"/>
    <w:rsid w:val="005E2801"/>
    <w:rsid w:val="005E73D4"/>
    <w:rsid w:val="00614ADF"/>
    <w:rsid w:val="00615C53"/>
    <w:rsid w:val="00627D63"/>
    <w:rsid w:val="006339DE"/>
    <w:rsid w:val="006524CF"/>
    <w:rsid w:val="006860CD"/>
    <w:rsid w:val="006A3A3F"/>
    <w:rsid w:val="006D7B0F"/>
    <w:rsid w:val="006E7E85"/>
    <w:rsid w:val="00716FFD"/>
    <w:rsid w:val="00737443"/>
    <w:rsid w:val="00740833"/>
    <w:rsid w:val="00745B85"/>
    <w:rsid w:val="00745F75"/>
    <w:rsid w:val="00764035"/>
    <w:rsid w:val="00764E82"/>
    <w:rsid w:val="00776C0B"/>
    <w:rsid w:val="00796BA6"/>
    <w:rsid w:val="007B21E2"/>
    <w:rsid w:val="007E3871"/>
    <w:rsid w:val="007F062B"/>
    <w:rsid w:val="00807E16"/>
    <w:rsid w:val="00810A87"/>
    <w:rsid w:val="00815291"/>
    <w:rsid w:val="00817267"/>
    <w:rsid w:val="00833AEE"/>
    <w:rsid w:val="0085373C"/>
    <w:rsid w:val="0086164F"/>
    <w:rsid w:val="00863946"/>
    <w:rsid w:val="00867617"/>
    <w:rsid w:val="008A29BE"/>
    <w:rsid w:val="008E1831"/>
    <w:rsid w:val="008E5DA6"/>
    <w:rsid w:val="008F39C5"/>
    <w:rsid w:val="00901DC4"/>
    <w:rsid w:val="00911776"/>
    <w:rsid w:val="00913360"/>
    <w:rsid w:val="009173D5"/>
    <w:rsid w:val="009348AE"/>
    <w:rsid w:val="009379D1"/>
    <w:rsid w:val="00952BAB"/>
    <w:rsid w:val="009612B3"/>
    <w:rsid w:val="00983AB9"/>
    <w:rsid w:val="00996DCE"/>
    <w:rsid w:val="009B6803"/>
    <w:rsid w:val="009D3646"/>
    <w:rsid w:val="009D6A6F"/>
    <w:rsid w:val="00A348CA"/>
    <w:rsid w:val="00A34EFB"/>
    <w:rsid w:val="00A44560"/>
    <w:rsid w:val="00A479C5"/>
    <w:rsid w:val="00A5324E"/>
    <w:rsid w:val="00A94B47"/>
    <w:rsid w:val="00A97CA6"/>
    <w:rsid w:val="00AA2D91"/>
    <w:rsid w:val="00AD05B9"/>
    <w:rsid w:val="00B02685"/>
    <w:rsid w:val="00B10236"/>
    <w:rsid w:val="00B131A6"/>
    <w:rsid w:val="00B21FA1"/>
    <w:rsid w:val="00B26F40"/>
    <w:rsid w:val="00B8311F"/>
    <w:rsid w:val="00BA3BA7"/>
    <w:rsid w:val="00BB5AAF"/>
    <w:rsid w:val="00BB6AB7"/>
    <w:rsid w:val="00BB72CC"/>
    <w:rsid w:val="00BC169D"/>
    <w:rsid w:val="00BC55F7"/>
    <w:rsid w:val="00BC75F9"/>
    <w:rsid w:val="00BD0B58"/>
    <w:rsid w:val="00BE06C2"/>
    <w:rsid w:val="00C0756D"/>
    <w:rsid w:val="00C1453D"/>
    <w:rsid w:val="00C155B5"/>
    <w:rsid w:val="00C662F2"/>
    <w:rsid w:val="00C73C3F"/>
    <w:rsid w:val="00C77183"/>
    <w:rsid w:val="00C83CF8"/>
    <w:rsid w:val="00C8471F"/>
    <w:rsid w:val="00C968B3"/>
    <w:rsid w:val="00CB22A0"/>
    <w:rsid w:val="00CB61D5"/>
    <w:rsid w:val="00CD28DA"/>
    <w:rsid w:val="00CD310E"/>
    <w:rsid w:val="00D033EE"/>
    <w:rsid w:val="00D0690C"/>
    <w:rsid w:val="00D3354B"/>
    <w:rsid w:val="00D41A7C"/>
    <w:rsid w:val="00D46DC3"/>
    <w:rsid w:val="00D47A9D"/>
    <w:rsid w:val="00D55B3B"/>
    <w:rsid w:val="00DA728C"/>
    <w:rsid w:val="00E710AC"/>
    <w:rsid w:val="00E82BCA"/>
    <w:rsid w:val="00E844EB"/>
    <w:rsid w:val="00EA2A7B"/>
    <w:rsid w:val="00EE7973"/>
    <w:rsid w:val="00EF0F09"/>
    <w:rsid w:val="00EF45CF"/>
    <w:rsid w:val="00F07DF5"/>
    <w:rsid w:val="00F33A93"/>
    <w:rsid w:val="00F37A1A"/>
    <w:rsid w:val="00F44DFE"/>
    <w:rsid w:val="00F75651"/>
    <w:rsid w:val="00F847D6"/>
    <w:rsid w:val="00F921BF"/>
    <w:rsid w:val="00FA6095"/>
    <w:rsid w:val="00FB033A"/>
    <w:rsid w:val="00FE0D4C"/>
    <w:rsid w:val="00FF0D0E"/>
    <w:rsid w:val="090872F3"/>
    <w:rsid w:val="1787251E"/>
    <w:rsid w:val="1F9C6DBF"/>
    <w:rsid w:val="235E579E"/>
    <w:rsid w:val="24C93E0D"/>
    <w:rsid w:val="25B35C54"/>
    <w:rsid w:val="2A5D52E8"/>
    <w:rsid w:val="2B2E0F68"/>
    <w:rsid w:val="2C205833"/>
    <w:rsid w:val="3063434D"/>
    <w:rsid w:val="3D205138"/>
    <w:rsid w:val="440A408A"/>
    <w:rsid w:val="46481945"/>
    <w:rsid w:val="4FAE1DD8"/>
    <w:rsid w:val="55CE1763"/>
    <w:rsid w:val="584B0EDE"/>
    <w:rsid w:val="5D14494A"/>
    <w:rsid w:val="647F3E27"/>
    <w:rsid w:val="6F227BF0"/>
    <w:rsid w:val="710A74AE"/>
    <w:rsid w:val="71F4747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015BC5"/>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015BC5"/>
    <w:pPr>
      <w:keepNext/>
      <w:keepLines/>
      <w:spacing w:line="576"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sid w:val="00015BC5"/>
    <w:rPr>
      <w:sz w:val="18"/>
      <w:szCs w:val="18"/>
    </w:rPr>
  </w:style>
  <w:style w:type="paragraph" w:styleId="a4">
    <w:name w:val="footer"/>
    <w:basedOn w:val="a"/>
    <w:link w:val="Char0"/>
    <w:uiPriority w:val="99"/>
    <w:qFormat/>
    <w:rsid w:val="00015BC5"/>
    <w:pPr>
      <w:tabs>
        <w:tab w:val="center" w:pos="4153"/>
        <w:tab w:val="right" w:pos="8306"/>
      </w:tabs>
      <w:snapToGrid w:val="0"/>
      <w:jc w:val="left"/>
    </w:pPr>
    <w:rPr>
      <w:sz w:val="18"/>
      <w:szCs w:val="18"/>
    </w:rPr>
  </w:style>
  <w:style w:type="paragraph" w:styleId="a5">
    <w:name w:val="header"/>
    <w:basedOn w:val="a"/>
    <w:link w:val="Char1"/>
    <w:uiPriority w:val="99"/>
    <w:qFormat/>
    <w:rsid w:val="00015BC5"/>
    <w:pPr>
      <w:pBdr>
        <w:bottom w:val="single" w:sz="6" w:space="1" w:color="auto"/>
      </w:pBdr>
      <w:tabs>
        <w:tab w:val="center" w:pos="4153"/>
        <w:tab w:val="right" w:pos="8306"/>
      </w:tabs>
      <w:snapToGrid w:val="0"/>
      <w:jc w:val="center"/>
    </w:pPr>
    <w:rPr>
      <w:sz w:val="18"/>
      <w:szCs w:val="18"/>
    </w:rPr>
  </w:style>
  <w:style w:type="table" w:styleId="a6">
    <w:name w:val="Table Grid"/>
    <w:basedOn w:val="a1"/>
    <w:qFormat/>
    <w:rsid w:val="00015BC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99"/>
    <w:unhideWhenUsed/>
    <w:qFormat/>
    <w:rsid w:val="00015BC5"/>
    <w:pPr>
      <w:ind w:firstLineChars="200" w:firstLine="420"/>
    </w:pPr>
  </w:style>
  <w:style w:type="character" w:customStyle="1" w:styleId="Char1">
    <w:name w:val="页眉 Char"/>
    <w:basedOn w:val="a0"/>
    <w:link w:val="a5"/>
    <w:uiPriority w:val="99"/>
    <w:qFormat/>
    <w:rsid w:val="00015BC5"/>
    <w:rPr>
      <w:rFonts w:asciiTheme="minorHAnsi" w:eastAsiaTheme="minorEastAsia" w:hAnsiTheme="minorHAnsi" w:cstheme="minorBidi"/>
      <w:kern w:val="2"/>
      <w:sz w:val="18"/>
      <w:szCs w:val="18"/>
    </w:rPr>
  </w:style>
  <w:style w:type="character" w:customStyle="1" w:styleId="Char0">
    <w:name w:val="页脚 Char"/>
    <w:basedOn w:val="a0"/>
    <w:link w:val="a4"/>
    <w:uiPriority w:val="99"/>
    <w:qFormat/>
    <w:rsid w:val="00015BC5"/>
    <w:rPr>
      <w:rFonts w:asciiTheme="minorHAnsi" w:eastAsiaTheme="minorEastAsia" w:hAnsiTheme="minorHAnsi" w:cstheme="minorBidi"/>
      <w:kern w:val="2"/>
      <w:sz w:val="18"/>
      <w:szCs w:val="18"/>
    </w:rPr>
  </w:style>
  <w:style w:type="character" w:customStyle="1" w:styleId="Char">
    <w:name w:val="批注框文本 Char"/>
    <w:basedOn w:val="a0"/>
    <w:link w:val="a3"/>
    <w:qFormat/>
    <w:rsid w:val="00015BC5"/>
    <w:rPr>
      <w:rFonts w:asciiTheme="minorHAnsi" w:eastAsiaTheme="minorEastAsia" w:hAnsiTheme="minorHAnsi" w:cstheme="minorBidi"/>
      <w:kern w:val="2"/>
      <w:sz w:val="18"/>
      <w:szCs w:val="18"/>
    </w:rPr>
  </w:style>
  <w:style w:type="paragraph" w:customStyle="1" w:styleId="a8">
    <w:name w:val="表格"/>
    <w:basedOn w:val="a"/>
    <w:qFormat/>
    <w:rsid w:val="00015BC5"/>
    <w:pPr>
      <w:keepNext/>
      <w:adjustRightInd w:val="0"/>
      <w:spacing w:line="312" w:lineRule="atLeast"/>
      <w:jc w:val="center"/>
      <w:textAlignment w:val="baseline"/>
    </w:pPr>
    <w:rPr>
      <w:kern w:val="0"/>
      <w:szCs w:val="20"/>
    </w:rPr>
  </w:style>
  <w:style w:type="paragraph" w:customStyle="1" w:styleId="10">
    <w:name w:val="表中文字1"/>
    <w:qFormat/>
    <w:rsid w:val="00015BC5"/>
    <w:pPr>
      <w:widowControl w:val="0"/>
      <w:adjustRightInd w:val="0"/>
      <w:snapToGrid w:val="0"/>
      <w:jc w:val="center"/>
    </w:pPr>
    <w:rPr>
      <w:color w:val="000000"/>
      <w:kern w:val="2"/>
      <w:sz w:val="21"/>
      <w:szCs w:val="24"/>
    </w:rPr>
  </w:style>
  <w:style w:type="paragraph" w:styleId="a9">
    <w:name w:val="Normal (Web)"/>
    <w:basedOn w:val="a"/>
    <w:uiPriority w:val="99"/>
    <w:unhideWhenUsed/>
    <w:rsid w:val="00815291"/>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651640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467</Words>
  <Characters>2665</Characters>
  <Application>Microsoft Office Word</Application>
  <DocSecurity>0</DocSecurity>
  <Lines>22</Lines>
  <Paragraphs>6</Paragraphs>
  <ScaleCrop>false</ScaleCrop>
  <Company/>
  <LinksUpToDate>false</LinksUpToDate>
  <CharactersWithSpaces>3126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pmq</cp:lastModifiedBy>
  <cp:revision>35</cp:revision>
  <cp:lastPrinted>2019-09-02T02:56:00Z</cp:lastPrinted>
  <dcterms:created xsi:type="dcterms:W3CDTF">2021-06-09T08:41:00Z</dcterms:created>
  <dcterms:modified xsi:type="dcterms:W3CDTF">2022-07-29T09:35:00Z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266E40F067154722A486EA10C159792B</vt:lpwstr>
  </property>
</Properties>
</file>