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pPr>
        <w:pStyle w:val="18"/>
        <w:spacing w:before="0" w:beforeAutospacing="0" w:after="0" w:afterAutospacing="0" w:line="360" w:lineRule="auto"/>
        <w:jc w:val="center"/>
        <w:outlineLvl w:val="0"/>
        <w:rPr>
          <w:rFonts w:hint="eastAsia" w:ascii="Times New Roman" w:hAnsi="Times New Roman" w:eastAsia="宋体" w:cs="Times New Roman"/>
          <w:b/>
          <w:bCs/>
          <w:color w:val="000000"/>
          <w:sz w:val="30"/>
          <w:szCs w:val="30"/>
          <w:lang w:eastAsia="zh-CN"/>
        </w:rPr>
      </w:pPr>
      <w:r>
        <w:rPr>
          <w:rFonts w:hint="eastAsia" w:ascii="Times New Roman" w:hAnsi="Times New Roman" w:cs="Times New Roman"/>
          <w:b/>
          <w:bCs/>
          <w:color w:val="000000"/>
          <w:sz w:val="30"/>
          <w:szCs w:val="30"/>
          <w:lang w:eastAsia="zh-CN"/>
        </w:rPr>
        <w:t>年产10万t沥青混凝土、5万t水泥稳定土建设项目</w:t>
      </w:r>
    </w:p>
    <w:p>
      <w:pPr>
        <w:pStyle w:val="18"/>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竣工环境保护验收意见</w:t>
      </w:r>
    </w:p>
    <w:p>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23</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11</w:t>
      </w:r>
      <w:r>
        <w:rPr>
          <w:rFonts w:hint="default" w:ascii="Times New Roman" w:hAnsi="Times New Roman" w:eastAsia="宋体" w:cs="Times New Roman"/>
          <w:sz w:val="24"/>
          <w:szCs w:val="24"/>
          <w:lang w:eastAsia="zh-CN"/>
        </w:rPr>
        <w:t>日</w:t>
      </w:r>
      <w:r>
        <w:rPr>
          <w:rFonts w:hint="eastAsia" w:ascii="Times New Roman" w:hAnsi="Times New Roman" w:cs="Times New Roman"/>
          <w:sz w:val="24"/>
          <w:szCs w:val="24"/>
          <w:lang w:eastAsia="zh-CN"/>
        </w:rPr>
        <w:t>邵阳县伟强沥青混凝土有限公司</w:t>
      </w:r>
      <w:r>
        <w:rPr>
          <w:rFonts w:hint="default" w:ascii="Times New Roman" w:hAnsi="Times New Roman" w:eastAsia="宋体" w:cs="Times New Roman"/>
          <w:sz w:val="24"/>
          <w:szCs w:val="24"/>
          <w:lang w:eastAsia="zh-CN"/>
        </w:rPr>
        <w:t>组织召开了</w:t>
      </w:r>
      <w:r>
        <w:rPr>
          <w:rFonts w:hint="eastAsia" w:ascii="Times New Roman" w:hAnsi="Times New Roman" w:cs="Times New Roman"/>
          <w:sz w:val="24"/>
          <w:szCs w:val="24"/>
          <w:lang w:eastAsia="zh-CN"/>
        </w:rPr>
        <w:t>年产10万t沥青混凝土、5万t水泥稳定土建设项目</w:t>
      </w:r>
      <w:r>
        <w:rPr>
          <w:rFonts w:hint="default" w:ascii="Times New Roman" w:hAnsi="Times New Roman" w:eastAsia="宋体" w:cs="Times New Roman"/>
          <w:sz w:val="24"/>
          <w:szCs w:val="24"/>
          <w:lang w:eastAsia="zh-CN"/>
        </w:rPr>
        <w:t>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严格依照国家有关法律法规、建设项目竣工环境保护验收技术规范、项目环境影响评价报告表和审批部门审批决定等要求对本项目进行验收</w:t>
      </w:r>
      <w:r>
        <w:rPr>
          <w:rFonts w:hint="default" w:ascii="Times New Roman" w:hAnsi="Times New Roman" w:eastAsia="宋体" w:cs="Times New Roman"/>
          <w:sz w:val="24"/>
          <w:szCs w:val="24"/>
          <w:lang w:eastAsia="zh-CN"/>
        </w:rPr>
        <w:t>。提出意见如下：</w:t>
      </w:r>
    </w:p>
    <w:p>
      <w:pPr>
        <w:spacing w:line="36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pPr>
        <w:spacing w:line="360" w:lineRule="auto"/>
        <w:ind w:firstLine="480" w:firstLineChars="200"/>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pPr>
        <w:spacing w:line="360" w:lineRule="auto"/>
        <w:ind w:firstLine="48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邵阳县伟强沥青混凝土有限公司</w:t>
      </w:r>
      <w:r>
        <w:rPr>
          <w:rFonts w:hint="default" w:ascii="Times New Roman" w:hAnsi="Times New Roman" w:cs="Times New Roman" w:eastAsiaTheme="minorEastAsia"/>
          <w:sz w:val="24"/>
          <w:szCs w:val="24"/>
          <w:lang w:val="en-US" w:eastAsia="zh-CN"/>
        </w:rPr>
        <w:t>位于</w:t>
      </w:r>
      <w:r>
        <w:rPr>
          <w:rFonts w:hint="default" w:ascii="Times New Roman" w:hAnsi="Times New Roman" w:cs="Times New Roman"/>
          <w:sz w:val="24"/>
          <w:szCs w:val="24"/>
          <w:lang w:val="en-US" w:eastAsia="zh-CN"/>
        </w:rPr>
        <w:t>邵阳县岩口铺镇新梅岭方塘组、祠堂组</w:t>
      </w:r>
      <w:r>
        <w:rPr>
          <w:rFonts w:hint="default" w:ascii="Times New Roman" w:hAnsi="Times New Roman" w:cs="Times New Roman" w:eastAsiaTheme="minorEastAsia"/>
          <w:sz w:val="24"/>
          <w:szCs w:val="24"/>
          <w:lang w:val="en-US" w:eastAsia="zh-CN"/>
        </w:rPr>
        <w:t>。本项目于202</w:t>
      </w:r>
      <w:r>
        <w:rPr>
          <w:rFonts w:hint="eastAsia" w:ascii="Times New Roman" w:hAnsi="Times New Roman" w:cs="Times New Roman"/>
          <w:sz w:val="24"/>
          <w:szCs w:val="24"/>
          <w:lang w:val="en-US" w:eastAsia="zh-CN"/>
        </w:rPr>
        <w:t>1</w:t>
      </w:r>
      <w:r>
        <w:rPr>
          <w:rFonts w:hint="default" w:ascii="Times New Roman" w:hAnsi="Times New Roman" w:cs="Times New Roman" w:eastAsiaTheme="minorEastAsia"/>
          <w:sz w:val="24"/>
          <w:szCs w:val="24"/>
          <w:lang w:val="en-US" w:eastAsia="zh-CN"/>
        </w:rPr>
        <w:t>年1月开始建设，于202</w:t>
      </w:r>
      <w:r>
        <w:rPr>
          <w:rFonts w:hint="eastAsia" w:ascii="Times New Roman" w:hAnsi="Times New Roman" w:cs="Times New Roman"/>
          <w:sz w:val="24"/>
          <w:szCs w:val="24"/>
          <w:lang w:val="en-US" w:eastAsia="zh-CN"/>
        </w:rPr>
        <w:t>2</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11</w:t>
      </w:r>
      <w:r>
        <w:rPr>
          <w:rFonts w:hint="default" w:ascii="Times New Roman" w:hAnsi="Times New Roman" w:cs="Times New Roman" w:eastAsiaTheme="minorEastAsia"/>
          <w:sz w:val="24"/>
          <w:szCs w:val="24"/>
          <w:lang w:val="en-US" w:eastAsia="zh-CN"/>
        </w:rPr>
        <w:t>月建成投产。项目实际总投资</w:t>
      </w:r>
      <w:r>
        <w:rPr>
          <w:rFonts w:hint="eastAsia" w:ascii="Times New Roman" w:hAnsi="Times New Roman" w:cs="Times New Roman"/>
          <w:sz w:val="24"/>
          <w:szCs w:val="24"/>
          <w:lang w:val="en-US" w:eastAsia="zh-CN"/>
        </w:rPr>
        <w:t>6</w:t>
      </w:r>
      <w:r>
        <w:rPr>
          <w:rFonts w:hint="default" w:ascii="Times New Roman" w:hAnsi="Times New Roman" w:cs="Times New Roman" w:eastAsiaTheme="minorEastAsia"/>
          <w:sz w:val="24"/>
          <w:szCs w:val="24"/>
          <w:lang w:val="en-US" w:eastAsia="zh-CN"/>
        </w:rPr>
        <w:t>00万元，占地面积</w:t>
      </w:r>
      <w:r>
        <w:rPr>
          <w:rFonts w:hint="eastAsia" w:ascii="Times New Roman" w:hAnsi="Times New Roman" w:cs="Times New Roman"/>
          <w:sz w:val="24"/>
          <w:szCs w:val="24"/>
          <w:lang w:val="en-US" w:eastAsia="zh-CN"/>
        </w:rPr>
        <w:t>5500</w:t>
      </w:r>
      <w:r>
        <w:rPr>
          <w:rFonts w:hint="default" w:ascii="Times New Roman" w:hAnsi="Times New Roman" w:cs="Times New Roman" w:eastAsiaTheme="minorEastAsia"/>
          <w:sz w:val="24"/>
          <w:szCs w:val="24"/>
          <w:lang w:val="en-US" w:eastAsia="zh-CN"/>
        </w:rPr>
        <w:t>平方米。主要建设内容包括沥青混凝土搅拌站、水泥稳定土拌合站、办公用房，同时建设废气、废水处理设施及其他配套设施等。</w:t>
      </w:r>
    </w:p>
    <w:p>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pPr>
        <w:spacing w:line="360" w:lineRule="auto"/>
        <w:ind w:firstLine="48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年产10万t沥青混凝土、5万t水泥稳定土建设项目已于2018年1月委托湖南海利工程咨询设计有限公司编制完成了《年产10万t沥青混凝土、5万t水泥稳定土建设项目环境影响报告表》，并于2018年4月2日由邵阳市生态环境局邵阳县分局以《邵县环批〔2018〕5号》文予以批复。公司于2020年6月8日获得邵阳市生态环境局发放的排污许可证，编号为91430523MA4M5WCG69001U。</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pPr>
        <w:numPr>
          <w:ilvl w:val="0"/>
          <w:numId w:val="0"/>
        </w:numPr>
        <w:spacing w:line="360" w:lineRule="auto"/>
        <w:ind w:leftChars="0"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pPr>
        <w:numPr>
          <w:ilvl w:val="0"/>
          <w:numId w:val="2"/>
        </w:numPr>
        <w:spacing w:line="360" w:lineRule="auto"/>
        <w:ind w:leftChars="0"/>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对照项目环评报告书和环评批复，本项目性质、生产工艺、规模、地点均符合环评及环评批复要求，不涉及建设项目的性质、规模、地点、生产工艺</w:t>
      </w:r>
      <w:r>
        <w:rPr>
          <w:rFonts w:hint="eastAsia" w:ascii="Times New Roman" w:hAnsi="Times New Roman" w:cs="Times New Roman"/>
          <w:sz w:val="24"/>
          <w:szCs w:val="24"/>
          <w:lang w:val="en-US" w:eastAsia="zh-CN"/>
        </w:rPr>
        <w:t>、环保措施</w:t>
      </w:r>
      <w:r>
        <w:rPr>
          <w:rFonts w:hint="default" w:ascii="Times New Roman" w:hAnsi="Times New Roman" w:cs="Times New Roman" w:eastAsiaTheme="minorEastAsia"/>
          <w:sz w:val="24"/>
          <w:szCs w:val="24"/>
          <w:lang w:val="en-US" w:eastAsia="zh-CN"/>
        </w:rPr>
        <w:t>的变动，建设项目的性质、规模、地点、生产工艺</w:t>
      </w:r>
      <w:r>
        <w:rPr>
          <w:rFonts w:hint="eastAsia" w:ascii="Times New Roman" w:hAnsi="Times New Roman" w:cs="Times New Roman"/>
          <w:sz w:val="24"/>
          <w:szCs w:val="24"/>
          <w:lang w:val="en-US" w:eastAsia="zh-CN"/>
        </w:rPr>
        <w:t>、环保措施</w:t>
      </w:r>
      <w:r>
        <w:rPr>
          <w:rFonts w:hint="eastAsia" w:ascii="Times New Roman" w:hAnsi="Times New Roman" w:cs="Times New Roman" w:eastAsiaTheme="minorEastAsia"/>
          <w:sz w:val="24"/>
          <w:szCs w:val="24"/>
          <w:lang w:val="en-US" w:eastAsia="zh-CN"/>
        </w:rPr>
        <w:t>均</w:t>
      </w:r>
      <w:r>
        <w:rPr>
          <w:rFonts w:hint="default" w:ascii="Times New Roman" w:hAnsi="Times New Roman" w:cs="Times New Roman" w:eastAsiaTheme="minorEastAsia"/>
          <w:sz w:val="24"/>
          <w:szCs w:val="24"/>
          <w:lang w:val="en-US" w:eastAsia="zh-CN"/>
        </w:rPr>
        <w:t>与环评一致；项目主要变动内容见</w:t>
      </w:r>
      <w:r>
        <w:rPr>
          <w:rFonts w:hint="eastAsia" w:ascii="Times New Roman" w:hAnsi="Times New Roman" w:cs="Times New Roman"/>
          <w:sz w:val="24"/>
          <w:szCs w:val="24"/>
          <w:lang w:val="en-US" w:eastAsia="zh-CN"/>
        </w:rPr>
        <w:t>下</w:t>
      </w:r>
      <w:r>
        <w:rPr>
          <w:rFonts w:hint="default" w:ascii="Times New Roman" w:hAnsi="Times New Roman" w:cs="Times New Roman" w:eastAsiaTheme="minorEastAsia"/>
          <w:sz w:val="24"/>
          <w:szCs w:val="24"/>
          <w:lang w:val="en-US" w:eastAsia="zh-CN"/>
        </w:rPr>
        <w:t>表。</w:t>
      </w:r>
    </w:p>
    <w:p>
      <w:pPr>
        <w:bidi w:val="0"/>
        <w:spacing w:line="36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项目主要变动内容情况一览表</w:t>
      </w:r>
    </w:p>
    <w:tbl>
      <w:tblPr>
        <w:tblStyle w:val="13"/>
        <w:tblW w:w="775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8"/>
        <w:gridCol w:w="5209"/>
        <w:gridCol w:w="18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28"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序号</w:t>
            </w:r>
          </w:p>
        </w:tc>
        <w:tc>
          <w:tcPr>
            <w:tcW w:w="520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变动内容</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是否为重大变动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28"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520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项目实际未建设食堂，故未建设隔油池等污染防治措施</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28"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w:t>
            </w:r>
          </w:p>
        </w:tc>
        <w:tc>
          <w:tcPr>
            <w:tcW w:w="520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筒仓呼吸孔粉尘由顶部收尘器转为使用水浴除尘器处理后外排</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否</w:t>
            </w:r>
          </w:p>
        </w:tc>
      </w:tr>
    </w:tbl>
    <w:p>
      <w:pPr>
        <w:spacing w:line="360" w:lineRule="auto"/>
        <w:ind w:firstLine="480"/>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对照《污染影响类建设项目重大变动清单（试行）》的通知（环办环评函〔2020〕688号），本变动不属于重大变动。</w:t>
      </w:r>
    </w:p>
    <w:p>
      <w:pPr>
        <w:numPr>
          <w:ilvl w:val="0"/>
          <w:numId w:val="0"/>
        </w:numPr>
        <w:spacing w:line="360" w:lineRule="auto"/>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三、环境保护设施建设情况</w:t>
      </w:r>
    </w:p>
    <w:p>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本项目营运期废水主要包括生产废水、生活污水、场区地面初期雨水。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①生产废水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本项目沥青混凝土生产过程无需工艺用水，生产过程用水主要为水泥稳定土拌料水、原料卸料、转运、堆放场及厂区运输道路降尘用水、运输车辆与生产设备冲洗废水。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水泥稳定土拌料水被石粉及水泥吸收，进入产品当中，无废水外排；原料卸料、转运、堆放场及厂区运输道路降尘用水将在环境中全部蒸发损耗，无废水外排；运输车辆与生产设备冲洗废水经排水沟收集后进入生产废水处理系统，采用沉淀池处理后，回用作水泥稳定土生产线工艺用水，沉淀池沉淀泥沙定期清理，回用水泥稳定土生产工艺中。</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②生活污水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生活污水：生活污水采用化粪池处理后，用于厂区绿地浇灌，不外排。</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 3 \* GB3 \* MERGEFORMAT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sz w:val="24"/>
          <w:szCs w:val="24"/>
          <w:lang w:val="en-US" w:eastAsia="zh-CN"/>
        </w:rPr>
        <w:t>③</w:t>
      </w:r>
      <w:r>
        <w:rPr>
          <w:rFonts w:hint="default" w:ascii="Times New Roman" w:hAnsi="Times New Roman" w:eastAsia="宋体" w:cs="Times New Roman"/>
          <w:sz w:val="24"/>
          <w:szCs w:val="24"/>
          <w:lang w:val="en-US" w:eastAsia="zh-CN"/>
        </w:rPr>
        <w:fldChar w:fldCharType="end"/>
      </w:r>
      <w:r>
        <w:rPr>
          <w:rFonts w:hint="default" w:ascii="Times New Roman" w:hAnsi="Times New Roman" w:eastAsia="宋体" w:cs="Times New Roman"/>
          <w:sz w:val="24"/>
          <w:szCs w:val="24"/>
          <w:lang w:val="en-US" w:eastAsia="zh-CN"/>
        </w:rPr>
        <w:t>场区地面初期雨水</w:t>
      </w:r>
    </w:p>
    <w:p>
      <w:pPr>
        <w:pStyle w:val="19"/>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厂区初期雨水经雨水收集系统收集进入初期雨水池，经沉淀处理后用作水泥稳定土生产配料用水及运输道路洒水，后期清净雨水进入自然沟渠。</w:t>
      </w:r>
    </w:p>
    <w:p>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生产过程中产生的废气包括骨料在烘干、提升、筛筛分过程中产生的粉尘，燃油烟气（包括骨料加热器产生的废气、导热油锅炉产生的废气），筒库顶呼吸孔粉尘，沥青加热、拌缸搅拌及成品出料过程中产生的沥青烟气，骨料堆棚无组织排放的粉尘，运输车辆动力起尘以及食堂油烟等。</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①沥青混凝土生产线骨料烘干、提升、筛分阶段粉尘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沥青混凝土生产骨料（砂石）从料场以斗车送入烘干筒内预热，再经提升机进入振动筛，符合产品要求的骨料经计量后送入拌合缸，少数不合规格的骨料被分离后由专门出口排出，经过破碎后回用做生产原料。整个生产工序在密闭系统内进行，烘干阶段、提升阶段、筛分阶段均有粉尘产生。</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项目采用密闭管道将骨料烘干阶段、提升阶段、筛分阶段产生的粉尘经负压抽风采用“布袋除尘器”处理后，引至15m排气筒排放。</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②水泥稳定土生产线搅拌工序粉尘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本项目水泥稳定土生产时，混合、搅拌过程采用密闭加工，加水量少，有粉尘产生。水泥稳定土生产线搅拌工序粉尘经密闭管道收集后，进入布袋除尘器进行除尘处理后外排。</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 3 \* GB3 \* MERGEFORMAT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③</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碎石与石粉在卸料、转运、传送及堆放过程产生的粉尘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碎石与石粉在装卸料、转运、皮带传送、堆放过程将产生无组织排放粉尘。项目原料堆棚采用封闭结构。项目装卸均采用机械操作，减少人为抛洒，并且在装卸点、转运点及原料堆场设置洒水设施，在装卸、转运过程中进行洒水抑尘，采用</w:t>
      </w: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HYPERLINK "http://www.so.com/link?m=a1FtKjbC4bzIGVPYCVGcbnzji6VFZnKQZMxxNYZ7q81JGCJ1AkThn3xqPELATQa3ppa7le%2B2t%2Fwx3aBwbqIRn9X6ObUG8AV6KVPI6Fcdm%2B4GNm4jh%2BjN6CehabDh7m2JislY%2BJj%2FtbQGjxLh78UV1hoi0x08RGxZhB4QPI9msssMPST4X%2BVKZ%2BCtfHv8WlKkZBUM1%2BIcpHXlvqFlZVaXXMQ%3D%3D" \t "_blank"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封闭式裙边皮带输送机</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，碎石与石粉在原料棚中堆存，原料棚采用封闭式结构，在碎石与石粉储存过程中辅以洒水抑尘，喷洒水面积覆盖整个堆场，确保堆场堆存的原料表面湿润，以防止粉尘产生。</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 4 \* GB3 \* MERGEFORMAT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④</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运输车辆动力起尘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本项目车辆行驶过程将产生的扬尘，建设单位通过控制车辆限速、控制装载量，厂区内地面定期派专人进行路面清扫，并采取洒水等措施，以减少道路扬尘产生。</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 5 \* GB3 \* MERGEFORMAT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⑤</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筒库顶呼吸孔粉尘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本项目水泥采用筒仓储存，筒仓呼吸孔粉尘经水浴除尘器处理后外排，为无组织排放。</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 6 \* GB3 \* MERGEFORMAT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⑥</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散装车放空口产生的粉尘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粉状物料由供应厂方经罐车运输到场地内，通过专用的输送管道将罐车的接管口和项目筒库的接管口连接，通过罐车自带的空压机将粉状物料输送至筒库内，输送开始及结束操作过程中，连接管口出现短暂的放空情况，将会有粉尘产生。本项目筒库采用负压抽吸控制粉尘，在筒库放空口处安装自动衔接输料口，同时出料车辆接料口也相应配套自动衔接口，待每次放料结束后先关闭筒库放料口阀门，然后出料车辆才能行驶，可有效控制粉尘外溢。</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 7 \* GB3 \* MERGEFORMAT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⑦</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沥青烟气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在导热油加热沥青储罐和拌缸搅拌过程中会产生沥青烟气。本项目对成品仓出料口的沥青油烟排放口进行局部密封，采用集气罩将无组织废气转变为有组织废气，并采用密闭管道将储罐呼吸孔与拌缸呼吸孔产生的沥青油烟收集，采用活性炭吸附处理装置对储罐、拌缸呼吸孔及成品出料口产生的沥青烟废气进行处理，后由15m排气筒高空排放。</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eastAsiaTheme="minorEastAsia"/>
          <w:sz w:val="24"/>
          <w:szCs w:val="24"/>
          <w:lang w:val="en-US" w:eastAsia="zh-CN"/>
        </w:rPr>
        <w:instrText xml:space="preserve"> = 8 \* GB3 \* MERGEFORMAT </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sz w:val="24"/>
          <w:szCs w:val="24"/>
          <w:lang w:val="en-US" w:eastAsia="zh-CN"/>
        </w:rPr>
        <w:t>⑧</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eastAsiaTheme="minorEastAsia"/>
          <w:sz w:val="24"/>
          <w:szCs w:val="24"/>
          <w:lang w:val="en-US" w:eastAsia="zh-CN"/>
        </w:rPr>
        <w:t>燃油烟气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本项目骨料烘干及沥青加热以零号柴油为燃烧介质，柴油在燃烧时会产生燃油烟气，其主要污染物有SO2、NOX、烟尘等。项目导热油锅炉燃油废气经风机引至专门排气筒，由15米高排气筒排放。</w:t>
      </w:r>
    </w:p>
    <w:p>
      <w:pPr>
        <w:numPr>
          <w:ilvl w:val="0"/>
          <w:numId w:val="0"/>
        </w:numPr>
        <w:spacing w:line="360" w:lineRule="auto"/>
        <w:ind w:leftChars="0"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pPr>
        <w:pStyle w:val="11"/>
        <w:spacing w:line="360" w:lineRule="auto"/>
        <w:ind w:left="0" w:leftChars="0"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噪声主要来源于烘干滚筒、搅拌缸、运输车辆、物料传输装置以及提升机、振动筛等设备运行时产生的噪声，噪声源强为75～90 dB（A）。生产设备采取基础减震、隔声等降噪措施。</w:t>
      </w:r>
    </w:p>
    <w:p>
      <w:pPr>
        <w:numPr>
          <w:ilvl w:val="0"/>
          <w:numId w:val="0"/>
        </w:numPr>
        <w:spacing w:line="360" w:lineRule="auto"/>
        <w:ind w:leftChars="0" w:firstLine="480" w:firstLineChars="200"/>
        <w:jc w:val="lef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本项目固体废弃物主要来源于生产过程中产生的废石、员工生活产生的生活垃圾、污水处理设施产生的沉淀渣</w:t>
      </w:r>
      <w:r>
        <w:rPr>
          <w:rFonts w:hint="default" w:ascii="Times New Roman" w:hAnsi="Times New Roman" w:cs="Times New Roman"/>
          <w:sz w:val="24"/>
          <w:lang w:val="en-US" w:eastAsia="zh-CN"/>
        </w:rPr>
        <w:t>、除尘渣、实验后废弃的试样</w:t>
      </w:r>
      <w:r>
        <w:rPr>
          <w:rFonts w:hint="default" w:ascii="Times New Roman" w:hAnsi="Times New Roman" w:cs="Times New Roman"/>
          <w:sz w:val="24"/>
          <w:lang w:val="en-US"/>
        </w:rPr>
        <w:t>等。</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①</w:t>
      </w:r>
      <w:r>
        <w:rPr>
          <w:rFonts w:hint="default" w:ascii="Times New Roman" w:hAnsi="Times New Roman" w:cs="Times New Roman"/>
          <w:sz w:val="24"/>
          <w:lang w:val="en-US" w:eastAsia="zh-CN"/>
        </w:rPr>
        <w:t xml:space="preserve">废石：本项目生产原料为砂石，烘干加热后通过提升机进入振动筛，筛分后合格的砂石进入搅拌缸内搅拌，筛选不合格（粒径过大）的废石料则不能进入生产线，该部分固废经破碎处理后返回生产工序。 </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 xml:space="preserve">②生活垃圾：项目生活垃圾按可回收和不可回收分类收集后，可回收的外卖综合利用，不可回收的由环卫部门统一收集清运处理。 </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 xml:space="preserve">③柴油罐清罐油泥：清罐油泥属于危险废物（危废编号HW08），将采用专门容器收集，定期交资质单位处置。建设单位自投产以来还未进行清罐，未产生清罐油泥。 </w:t>
      </w:r>
    </w:p>
    <w:p>
      <w:pPr>
        <w:tabs>
          <w:tab w:val="left" w:pos="1635"/>
        </w:tabs>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lang w:val="en-US" w:eastAsia="zh-CN"/>
        </w:rPr>
        <w:t>④沉淀渣、除尘渣、实验后废弃的试样：本项目生产废水处理沉淀池、初期雨水池定期捞渣时将会产生一定的沉淀渣，产生的沉淀渣作为原料回用水泥稳定土生产线；本项目生产线除尘装置除尘粉尘全部回收到原料储罐回收利用；项目生产线需对产品进行试验，试验均为纯物理过程，不涉及化学药剂等，实验后废弃的试样经破碎处理后返回生产工序。</w:t>
      </w:r>
    </w:p>
    <w:p>
      <w:pPr>
        <w:tabs>
          <w:tab w:val="left" w:pos="1635"/>
        </w:tabs>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 5 \* GB3 \* MERGEFORMAT </w:instrText>
      </w:r>
      <w:r>
        <w:rPr>
          <w:rFonts w:hint="default" w:ascii="Times New Roman" w:hAnsi="Times New Roman" w:cs="Times New Roman"/>
          <w:sz w:val="24"/>
          <w:lang w:val="en-US" w:eastAsia="zh-CN"/>
        </w:rPr>
        <w:fldChar w:fldCharType="separate"/>
      </w:r>
      <w:r>
        <w:rPr>
          <w:rFonts w:hint="default" w:ascii="Times New Roman" w:hAnsi="Times New Roman" w:cs="Times New Roman"/>
          <w:sz w:val="24"/>
          <w:lang w:val="en-US"/>
        </w:rPr>
        <w:t>⑤</w:t>
      </w:r>
      <w:r>
        <w:rPr>
          <w:rFonts w:hint="default" w:ascii="Times New Roman" w:hAnsi="Times New Roman" w:cs="Times New Roman"/>
          <w:sz w:val="24"/>
          <w:lang w:val="en-US" w:eastAsia="zh-CN"/>
        </w:rPr>
        <w:fldChar w:fldCharType="end"/>
      </w:r>
      <w:r>
        <w:rPr>
          <w:rFonts w:hint="default" w:ascii="Times New Roman" w:hAnsi="Times New Roman" w:cs="Times New Roman"/>
          <w:sz w:val="24"/>
          <w:lang w:val="en-US" w:eastAsia="zh-CN"/>
        </w:rPr>
        <w:t>滴漏沥青</w:t>
      </w:r>
    </w:p>
    <w:p>
      <w:pPr>
        <w:tabs>
          <w:tab w:val="left" w:pos="1635"/>
        </w:tabs>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lang w:val="en-US" w:eastAsia="zh-CN"/>
        </w:rPr>
        <w:t>当散装沥青运输车将沥青输入厂区内沥青储罐，沥青泵将沥青从储罐打入拌合系统时，由于接口的密闭性问题，会滴漏少量沥青，沥青的滴漏量和项目使用设备及生产管理水平有关。建设单位将滴漏的沥青收集，将其作为原料返回生产工序。</w:t>
      </w:r>
    </w:p>
    <w:p>
      <w:pPr>
        <w:tabs>
          <w:tab w:val="left" w:pos="1635"/>
        </w:tabs>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lang w:val="en-US" w:eastAsia="zh-CN"/>
        </w:rPr>
        <w:fldChar w:fldCharType="begin"/>
      </w:r>
      <w:r>
        <w:rPr>
          <w:rFonts w:hint="default" w:ascii="Times New Roman" w:hAnsi="Times New Roman" w:cs="Times New Roman"/>
          <w:sz w:val="24"/>
          <w:lang w:val="en-US" w:eastAsia="zh-CN"/>
        </w:rPr>
        <w:instrText xml:space="preserve"> = 6 \* GB3 \* MERGEFORMAT </w:instrText>
      </w:r>
      <w:r>
        <w:rPr>
          <w:rFonts w:hint="default" w:ascii="Times New Roman" w:hAnsi="Times New Roman" w:cs="Times New Roman"/>
          <w:sz w:val="24"/>
          <w:lang w:val="en-US" w:eastAsia="zh-CN"/>
        </w:rPr>
        <w:fldChar w:fldCharType="separate"/>
      </w:r>
      <w:r>
        <w:rPr>
          <w:rFonts w:hint="default" w:ascii="Times New Roman" w:hAnsi="Times New Roman" w:cs="Times New Roman"/>
          <w:sz w:val="24"/>
          <w:lang w:val="en-US"/>
        </w:rPr>
        <w:t>⑥</w:t>
      </w:r>
      <w:r>
        <w:rPr>
          <w:rFonts w:hint="default" w:ascii="Times New Roman" w:hAnsi="Times New Roman" w:cs="Times New Roman"/>
          <w:sz w:val="24"/>
          <w:lang w:val="en-US" w:eastAsia="zh-CN"/>
        </w:rPr>
        <w:fldChar w:fldCharType="end"/>
      </w:r>
      <w:r>
        <w:rPr>
          <w:rFonts w:hint="default" w:ascii="Times New Roman" w:hAnsi="Times New Roman" w:cs="Times New Roman"/>
          <w:sz w:val="24"/>
          <w:lang w:val="en-US" w:eastAsia="zh-CN"/>
        </w:rPr>
        <w:t>废活性炭</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本项目采用活性炭吸附处理含苯并[a]芘的沥青油烟，会产生失效的活性碳物质。废活性炭属于危险废物将采用专门容器收集，定期交资质单位处置。建设单位自投产以来未对活性炭进行更换，未产生废活性炭。</w:t>
      </w:r>
    </w:p>
    <w:p>
      <w:pPr>
        <w:numPr>
          <w:ilvl w:val="0"/>
          <w:numId w:val="0"/>
        </w:numPr>
        <w:spacing w:line="360" w:lineRule="auto"/>
        <w:jc w:val="left"/>
        <w:rPr>
          <w:rFonts w:hint="default" w:ascii="Times New Roman" w:hAnsi="Times New Roman" w:cs="Times New Roman"/>
          <w:b/>
          <w:bCs/>
          <w:color w:val="auto"/>
          <w:sz w:val="24"/>
          <w:szCs w:val="24"/>
          <w:lang w:val="en-US" w:eastAsia="zh-CN"/>
        </w:rPr>
      </w:pPr>
      <w:r>
        <w:rPr>
          <w:rFonts w:hint="default" w:ascii="Times New Roman" w:hAnsi="Times New Roman" w:eastAsia="宋体" w:cs="Times New Roman"/>
          <w:kern w:val="2"/>
          <w:sz w:val="24"/>
          <w:szCs w:val="24"/>
          <w:lang w:val="en-US" w:eastAsia="zh-CN" w:bidi="ar-SA"/>
        </w:rPr>
        <w:t xml:space="preserve"> </w:t>
      </w:r>
      <w:r>
        <w:rPr>
          <w:rFonts w:hint="default" w:ascii="Times New Roman" w:hAnsi="Times New Roman" w:cs="Times New Roman"/>
          <w:b/>
          <w:bCs/>
          <w:color w:val="auto"/>
          <w:sz w:val="24"/>
          <w:szCs w:val="24"/>
          <w:lang w:val="en-US" w:eastAsia="zh-CN"/>
        </w:rPr>
        <w:t>四、环境保护设施调试效果</w:t>
      </w:r>
    </w:p>
    <w:p>
      <w:pPr>
        <w:numPr>
          <w:ilvl w:val="0"/>
          <w:numId w:val="0"/>
        </w:numPr>
        <w:spacing w:line="360" w:lineRule="auto"/>
        <w:ind w:leftChars="0" w:firstLine="240" w:firstLineChars="1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p>
    <w:p>
      <w:pPr>
        <w:spacing w:line="360" w:lineRule="auto"/>
        <w:ind w:firstLine="48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项目无生产废水外排，生活污水通过化粪池收集处理后，定期掏做农家肥综合利用，不外排。</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000000"/>
          <w:sz w:val="24"/>
          <w:szCs w:val="24"/>
          <w:lang w:val="en-US" w:eastAsia="zh-CN"/>
        </w:rPr>
        <w:t>验收监测期间，导热油炉废气排气筒中监测点位处的颗粒物、二氧化硫、氮氧化物、烟气黑度浓度符合《锅炉大气污染物排放标准》（GB13271-2014）表2燃油标准限值。</w:t>
      </w:r>
    </w:p>
    <w:p>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验收监测期间，砂石烘干废气排气筒中监测点位处的颗粒物、二氧化硫、氮氧化物检测结果符合《大气污染物综合排放标准》（GB16297-1996）表2中二级标准限值。验收监测期间，拌合混合废气检测口中监测点位处的颗粒物、沥青烟、苯并（a）芘检测结果符合《大气污染物综合排放标准》（GB16297-1996）表2中二级标准限值。</w:t>
      </w:r>
    </w:p>
    <w:p>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验收监测期间，该项目无组织废气下风向各监控点监测因子颗粒物、非甲烷总烃、苯并（a）芘的浓度符合《大气污染物综合排放标准》（GB16297-1996）表2中无组织排放监控浓度限值。</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本项目验收监测期间，东、南、西、北面厂界昼、夜间噪声等效声级最大值均符合《声环境质量标准》（GB3096-2008）</w:t>
      </w:r>
      <w:r>
        <w:rPr>
          <w:rFonts w:hint="eastAsia" w:ascii="Times New Roman" w:hAnsi="Times New Roman" w:cs="Times New Roman"/>
          <w:color w:val="000000"/>
          <w:sz w:val="24"/>
          <w:szCs w:val="24"/>
          <w:lang w:val="en-US" w:eastAsia="zh-CN"/>
        </w:rPr>
        <w:t>2</w:t>
      </w:r>
      <w:r>
        <w:rPr>
          <w:rFonts w:hint="default" w:ascii="Times New Roman" w:hAnsi="Times New Roman" w:cs="Times New Roman"/>
          <w:color w:val="000000"/>
          <w:sz w:val="24"/>
          <w:szCs w:val="24"/>
          <w:lang w:val="en-US" w:eastAsia="zh-CN"/>
        </w:rPr>
        <w:t>类标准限值。</w:t>
      </w:r>
    </w:p>
    <w:p>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4.固体废物</w:t>
      </w:r>
    </w:p>
    <w:p>
      <w:pPr>
        <w:spacing w:line="360" w:lineRule="auto"/>
        <w:ind w:firstLine="48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生产过程中产生的固废经收集后回用于生产；废导热油、废活性炭属危险废物，经收集后，暂存于危废暂存间中危废收集桶，目前建设单位暂未产生废导热油、废活性炭等危废，故还未与有资质单位签订危废处置协议；生活垃圾收集后交环卫部门处理。</w:t>
      </w:r>
    </w:p>
    <w:p>
      <w:pPr>
        <w:pStyle w:val="18"/>
        <w:numPr>
          <w:ilvl w:val="0"/>
          <w:numId w:val="3"/>
        </w:numPr>
        <w:spacing w:before="0" w:beforeAutospacing="0" w:after="0" w:afterAutospacing="0" w:line="360" w:lineRule="auto"/>
        <w:ind w:firstLine="482" w:firstLineChars="200"/>
        <w:jc w:val="both"/>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pPr>
        <w:pStyle w:val="18"/>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pPr>
        <w:pStyle w:val="18"/>
        <w:spacing w:before="0" w:beforeAutospacing="0" w:after="0" w:afterAutospacing="0" w:line="360" w:lineRule="auto"/>
        <w:ind w:firstLine="482" w:firstLineChars="200"/>
        <w:jc w:val="both"/>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pPr>
        <w:spacing w:line="360" w:lineRule="auto"/>
        <w:ind w:firstLine="480" w:firstLineChars="200"/>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w:t>
      </w:r>
      <w:r>
        <w:rPr>
          <w:rFonts w:hint="eastAsia" w:ascii="Times New Roman" w:hAnsi="Times New Roman" w:cs="Times New Roman"/>
          <w:b w:val="0"/>
          <w:bCs/>
          <w:sz w:val="24"/>
          <w:szCs w:val="24"/>
          <w:lang w:val="en-US" w:eastAsia="zh-CN"/>
        </w:rPr>
        <w:t>有组织</w:t>
      </w:r>
      <w:r>
        <w:rPr>
          <w:rFonts w:hint="default" w:ascii="Times New Roman" w:hAnsi="Times New Roman" w:cs="Times New Roman"/>
          <w:b w:val="0"/>
          <w:bCs/>
          <w:sz w:val="24"/>
          <w:szCs w:val="24"/>
          <w:lang w:eastAsia="zh-CN"/>
        </w:rPr>
        <w:t>废气、</w:t>
      </w:r>
      <w:r>
        <w:rPr>
          <w:rFonts w:hint="eastAsia" w:ascii="Times New Roman" w:hAnsi="Times New Roman" w:cs="Times New Roman"/>
          <w:b w:val="0"/>
          <w:bCs/>
          <w:sz w:val="24"/>
          <w:szCs w:val="24"/>
          <w:lang w:val="en-US" w:eastAsia="zh-CN"/>
        </w:rPr>
        <w:t>厂界无组织废气、</w:t>
      </w:r>
      <w:r>
        <w:rPr>
          <w:rFonts w:hint="default" w:ascii="Times New Roman" w:hAnsi="Times New Roman" w:cs="Times New Roman"/>
          <w:b w:val="0"/>
          <w:bCs/>
          <w:sz w:val="24"/>
          <w:szCs w:val="24"/>
          <w:lang w:eastAsia="zh-CN"/>
        </w:rPr>
        <w:t>噪声均达到相关标准要求，固体废物合理处置，</w:t>
      </w:r>
      <w:r>
        <w:rPr>
          <w:rFonts w:hint="eastAsia" w:ascii="Times New Roman" w:hAnsi="Times New Roman" w:cs="Times New Roman"/>
          <w:b w:val="0"/>
          <w:bCs/>
          <w:sz w:val="24"/>
          <w:szCs w:val="24"/>
          <w:lang w:val="en-US" w:eastAsia="zh-CN"/>
        </w:rPr>
        <w:t>废水不外排，</w:t>
      </w:r>
      <w:r>
        <w:rPr>
          <w:rFonts w:hint="default" w:ascii="Times New Roman" w:hAnsi="Times New Roman" w:cs="Times New Roman"/>
          <w:b w:val="0"/>
          <w:bCs/>
          <w:sz w:val="24"/>
          <w:szCs w:val="24"/>
          <w:lang w:eastAsia="zh-CN"/>
        </w:rPr>
        <w:t>验收组同意本项目通过竣工环保验收。</w:t>
      </w:r>
    </w:p>
    <w:p>
      <w:pPr>
        <w:pStyle w:val="11"/>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（1）设专人负责环保设施的运行和管理，保证设施正常运转。</w:t>
      </w:r>
    </w:p>
    <w:p>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（2）加强环保设施的运行管理和维护，确保各项污染物长期、稳定达标排放。</w:t>
      </w:r>
    </w:p>
    <w:p>
      <w:pPr>
        <w:pStyle w:val="18"/>
        <w:spacing w:before="0" w:beforeAutospacing="0" w:after="0" w:afterAutospacing="0" w:line="360" w:lineRule="auto"/>
        <w:ind w:firstLine="482" w:firstLineChars="200"/>
        <w:jc w:val="both"/>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pPr>
        <w:pStyle w:val="18"/>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pPr>
        <w:pStyle w:val="18"/>
        <w:spacing w:before="0" w:beforeAutospacing="0" w:after="0" w:afterAutospacing="0" w:line="360" w:lineRule="auto"/>
        <w:jc w:val="both"/>
        <w:outlineLvl w:val="0"/>
        <w:rPr>
          <w:rFonts w:hint="default" w:ascii="Times New Roman" w:hAnsi="Times New Roman" w:cs="Times New Roman"/>
          <w:color w:val="000000"/>
          <w:sz w:val="24"/>
          <w:szCs w:val="24"/>
          <w:lang w:val="en-US" w:eastAsia="zh-CN"/>
        </w:rPr>
      </w:pPr>
      <w:bookmarkStart w:id="0" w:name="_GoBack"/>
      <w:bookmarkEnd w:id="0"/>
    </w:p>
    <w:p>
      <w:pPr>
        <w:pStyle w:val="18"/>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eastAsia" w:ascii="Times New Roman" w:hAnsi="Times New Roman" w:cs="Times New Roman"/>
          <w:color w:val="000000"/>
          <w:sz w:val="24"/>
          <w:szCs w:val="24"/>
          <w:lang w:val="en-US" w:eastAsia="zh-CN"/>
        </w:rPr>
        <w:t>邵阳县伟强沥青混凝土有限公司</w:t>
      </w:r>
      <w:r>
        <w:rPr>
          <w:rFonts w:hint="default"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u w:val="none"/>
          <w:lang w:val="en-US" w:eastAsia="zh-CN"/>
        </w:rPr>
        <w:t>20</w:t>
      </w:r>
      <w:r>
        <w:rPr>
          <w:rFonts w:hint="eastAsia" w:ascii="Times New Roman" w:hAnsi="Times New Roman" w:cs="Times New Roman"/>
          <w:color w:val="000000"/>
          <w:sz w:val="24"/>
          <w:szCs w:val="24"/>
          <w:u w:val="none"/>
          <w:lang w:val="en-US" w:eastAsia="zh-CN"/>
        </w:rPr>
        <w:t>23</w:t>
      </w:r>
      <w:r>
        <w:rPr>
          <w:rFonts w:hint="default" w:ascii="Times New Roman" w:hAnsi="Times New Roman" w:cs="Times New Roman"/>
          <w:color w:val="000000"/>
          <w:sz w:val="24"/>
          <w:szCs w:val="24"/>
          <w:u w:val="none"/>
        </w:rPr>
        <w:t>年</w:t>
      </w:r>
      <w:r>
        <w:rPr>
          <w:rFonts w:hint="eastAsia" w:ascii="Times New Roman" w:hAnsi="Times New Roman" w:cs="Times New Roman"/>
          <w:color w:val="000000"/>
          <w:sz w:val="24"/>
          <w:szCs w:val="24"/>
          <w:u w:val="none"/>
          <w:lang w:val="en-US" w:eastAsia="zh-CN"/>
        </w:rPr>
        <w:t>8</w:t>
      </w:r>
      <w:r>
        <w:rPr>
          <w:rFonts w:hint="default" w:ascii="Times New Roman" w:hAnsi="Times New Roman" w:cs="Times New Roman"/>
          <w:color w:val="000000"/>
          <w:sz w:val="24"/>
          <w:szCs w:val="24"/>
          <w:u w:val="none"/>
        </w:rPr>
        <w:t>月</w:t>
      </w:r>
      <w:r>
        <w:rPr>
          <w:rFonts w:hint="eastAsia" w:ascii="Times New Roman" w:hAnsi="Times New Roman" w:cs="Times New Roman"/>
          <w:color w:val="000000"/>
          <w:sz w:val="24"/>
          <w:szCs w:val="24"/>
          <w:u w:val="none"/>
          <w:lang w:val="en-US" w:eastAsia="zh-CN"/>
        </w:rPr>
        <w:t>11</w:t>
      </w:r>
      <w:r>
        <w:rPr>
          <w:rFonts w:hint="default" w:ascii="Times New Roman" w:hAnsi="Times New Roman" w:cs="Times New Roman"/>
          <w:color w:val="000000"/>
          <w:sz w:val="24"/>
          <w:szCs w:val="24"/>
          <w:u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30736BF9"/>
    <w:rsid w:val="00335C52"/>
    <w:rsid w:val="0436194D"/>
    <w:rsid w:val="07233FAD"/>
    <w:rsid w:val="0B2337CA"/>
    <w:rsid w:val="0D13458B"/>
    <w:rsid w:val="0D916DB2"/>
    <w:rsid w:val="0E027E14"/>
    <w:rsid w:val="0F136BA4"/>
    <w:rsid w:val="0FB03A4C"/>
    <w:rsid w:val="10280E92"/>
    <w:rsid w:val="18166B3E"/>
    <w:rsid w:val="190169B2"/>
    <w:rsid w:val="191C1122"/>
    <w:rsid w:val="1C8211DF"/>
    <w:rsid w:val="1EFB6FCE"/>
    <w:rsid w:val="1FBB2916"/>
    <w:rsid w:val="252A5133"/>
    <w:rsid w:val="25877079"/>
    <w:rsid w:val="270A1F04"/>
    <w:rsid w:val="270A52FB"/>
    <w:rsid w:val="2F2A68ED"/>
    <w:rsid w:val="30736BF9"/>
    <w:rsid w:val="3355009F"/>
    <w:rsid w:val="377177E5"/>
    <w:rsid w:val="38B73D95"/>
    <w:rsid w:val="38F436E0"/>
    <w:rsid w:val="3E1B58FF"/>
    <w:rsid w:val="3FC73216"/>
    <w:rsid w:val="408D617B"/>
    <w:rsid w:val="409A5BCA"/>
    <w:rsid w:val="488072D5"/>
    <w:rsid w:val="4D736991"/>
    <w:rsid w:val="4F2770BE"/>
    <w:rsid w:val="50265CBC"/>
    <w:rsid w:val="50E6102E"/>
    <w:rsid w:val="528046A7"/>
    <w:rsid w:val="54136C77"/>
    <w:rsid w:val="55102CD0"/>
    <w:rsid w:val="56CE28FE"/>
    <w:rsid w:val="57163C34"/>
    <w:rsid w:val="5F6E4222"/>
    <w:rsid w:val="63271AB0"/>
    <w:rsid w:val="63F60FCB"/>
    <w:rsid w:val="65CA0593"/>
    <w:rsid w:val="68536BF4"/>
    <w:rsid w:val="68BD42CF"/>
    <w:rsid w:val="68EB6D6E"/>
    <w:rsid w:val="69105C2F"/>
    <w:rsid w:val="6D535020"/>
    <w:rsid w:val="6E152C53"/>
    <w:rsid w:val="6E6F0007"/>
    <w:rsid w:val="6FC952B1"/>
    <w:rsid w:val="705E2DCB"/>
    <w:rsid w:val="72F65104"/>
    <w:rsid w:val="74F55B5C"/>
    <w:rsid w:val="75CC36F5"/>
    <w:rsid w:val="764A2A98"/>
    <w:rsid w:val="77252A6B"/>
    <w:rsid w:val="79975C89"/>
    <w:rsid w:val="7B3A2A2E"/>
    <w:rsid w:val="7CA26F5B"/>
    <w:rsid w:val="7D375CBE"/>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4">
    <w:name w:val="caption"/>
    <w:basedOn w:val="1"/>
    <w:next w:val="1"/>
    <w:qFormat/>
    <w:uiPriority w:val="0"/>
    <w:rPr>
      <w:rFonts w:ascii="Cambria" w:hAnsi="Cambria" w:eastAsia="黑体" w:cs="Times New Roman"/>
      <w:sz w:val="20"/>
      <w:szCs w:val="20"/>
    </w:rPr>
  </w:style>
  <w:style w:type="paragraph" w:styleId="5">
    <w:name w:val="Body Text Indent"/>
    <w:basedOn w:val="1"/>
    <w:qFormat/>
    <w:uiPriority w:val="0"/>
    <w:pPr>
      <w:spacing w:after="120" w:afterLines="0"/>
      <w:ind w:left="420" w:leftChars="200"/>
    </w:pPr>
  </w:style>
  <w:style w:type="paragraph" w:styleId="6">
    <w:name w:val="Plain Text"/>
    <w:basedOn w:val="1"/>
    <w:qFormat/>
    <w:uiPriority w:val="0"/>
    <w:rPr>
      <w:rFonts w:ascii="宋体" w:hAnsi="Courier New" w:cs="Courier New"/>
      <w:kern w:val="2"/>
      <w:sz w:val="2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2"/>
    <w:basedOn w:val="1"/>
    <w:next w:val="1"/>
    <w:unhideWhenUsed/>
    <w:qFormat/>
    <w:uiPriority w:val="39"/>
    <w:pPr>
      <w:tabs>
        <w:tab w:val="right" w:leader="dot" w:pos="9060"/>
      </w:tabs>
      <w:ind w:firstLine="400"/>
      <w:jc w:val="left"/>
    </w:pPr>
    <w:rPr>
      <w:rFonts w:asciiTheme="minorHAnsi" w:hAnsiTheme="minorHAnsi"/>
      <w:smallCaps/>
      <w:sz w:val="20"/>
      <w:szCs w:val="20"/>
    </w:rPr>
  </w:style>
  <w:style w:type="paragraph" w:styleId="10">
    <w:name w:val="Body Text First Indent"/>
    <w:basedOn w:val="2"/>
    <w:next w:val="1"/>
    <w:qFormat/>
    <w:uiPriority w:val="0"/>
    <w:rPr>
      <w:rFonts w:ascii="Calibri" w:hAnsi="Calibri" w:eastAsia="宋体" w:cs="Times New Roman"/>
      <w:szCs w:val="20"/>
    </w:rPr>
  </w:style>
  <w:style w:type="paragraph" w:styleId="11">
    <w:name w:val="Body Text First Indent 2"/>
    <w:basedOn w:val="5"/>
    <w:qFormat/>
    <w:uiPriority w:val="0"/>
    <w:pPr>
      <w:ind w:firstLine="420" w:firstLineChars="200"/>
    </w:pPr>
    <w:rPr>
      <w:sz w:val="21"/>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semiHidden/>
    <w:unhideWhenUsed/>
    <w:qFormat/>
    <w:uiPriority w:val="99"/>
    <w:rPr>
      <w:sz w:val="21"/>
      <w:szCs w:val="21"/>
    </w:rPr>
  </w:style>
  <w:style w:type="character" w:customStyle="1" w:styleId="16">
    <w:name w:val="content1"/>
    <w:qFormat/>
    <w:uiPriority w:val="0"/>
    <w:rPr>
      <w:color w:val="000000"/>
      <w:sz w:val="20"/>
      <w:szCs w:val="20"/>
    </w:rPr>
  </w:style>
  <w:style w:type="paragraph" w:customStyle="1" w:styleId="17">
    <w:name w:val="列出段落1"/>
    <w:basedOn w:val="1"/>
    <w:qFormat/>
    <w:uiPriority w:val="34"/>
    <w:pPr>
      <w:ind w:firstLine="420"/>
    </w:pPr>
  </w:style>
  <w:style w:type="paragraph" w:customStyle="1" w:styleId="18">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9">
    <w:name w:val="正文内容"/>
    <w:basedOn w:val="1"/>
    <w:qFormat/>
    <w:uiPriority w:val="0"/>
    <w:pPr>
      <w:spacing w:line="360" w:lineRule="auto"/>
      <w:ind w:firstLine="200" w:firstLineChars="200"/>
    </w:pPr>
    <w:rPr>
      <w:kern w:val="0"/>
      <w:sz w:val="24"/>
      <w:szCs w:val="21"/>
    </w:rPr>
  </w:style>
  <w:style w:type="paragraph" w:customStyle="1" w:styleId="20">
    <w:name w:val="Default"/>
    <w:basedOn w:val="21"/>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
    <w:name w:val="纯文本1"/>
    <w:basedOn w:val="1"/>
    <w:qFormat/>
    <w:uiPriority w:val="0"/>
    <w:rPr>
      <w:rFonts w:ascii="宋体" w:hAnsi="Courier New"/>
    </w:rPr>
  </w:style>
  <w:style w:type="paragraph" w:customStyle="1" w:styleId="22">
    <w:name w:val="表格标题"/>
    <w:basedOn w:val="4"/>
    <w:next w:val="1"/>
    <w:qFormat/>
    <w:uiPriority w:val="0"/>
    <w:pPr>
      <w:keepNext/>
      <w:widowControl w:val="0"/>
      <w:spacing w:line="240" w:lineRule="auto"/>
      <w:ind w:firstLine="0" w:firstLineChars="0"/>
      <w:jc w:val="center"/>
    </w:pPr>
    <w:rPr>
      <w:rFonts w:ascii="Times New Roman" w:hAnsi="Times New Roman" w:eastAsia="宋体"/>
      <w:b/>
      <w:kern w:val="2"/>
      <w:sz w:val="21"/>
    </w:rPr>
  </w:style>
  <w:style w:type="paragraph" w:customStyle="1" w:styleId="23">
    <w:name w:val="正文啊"/>
    <w:basedOn w:val="1"/>
    <w:link w:val="25"/>
    <w:qFormat/>
    <w:uiPriority w:val="0"/>
    <w:pPr>
      <w:spacing w:line="360" w:lineRule="auto"/>
      <w:ind w:firstLine="560"/>
      <w:jc w:val="both"/>
    </w:pPr>
    <w:rPr>
      <w:sz w:val="28"/>
      <w:szCs w:val="22"/>
    </w:rPr>
  </w:style>
  <w:style w:type="paragraph" w:customStyle="1" w:styleId="24">
    <w:name w:val="环评正文文字"/>
    <w:basedOn w:val="1"/>
    <w:qFormat/>
    <w:uiPriority w:val="0"/>
    <w:pPr>
      <w:spacing w:line="360" w:lineRule="auto"/>
      <w:ind w:firstLine="480"/>
      <w:jc w:val="both"/>
    </w:pPr>
    <w:rPr>
      <w:kern w:val="0"/>
      <w:szCs w:val="20"/>
    </w:rPr>
  </w:style>
  <w:style w:type="character" w:customStyle="1" w:styleId="25">
    <w:name w:val="正文啊 Char"/>
    <w:link w:val="23"/>
    <w:qFormat/>
    <w:locked/>
    <w:uiPriority w:val="0"/>
    <w:rPr>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3319</Words>
  <Characters>3538</Characters>
  <Lines>0</Lines>
  <Paragraphs>0</Paragraphs>
  <TotalTime>0</TotalTime>
  <ScaleCrop>false</ScaleCrop>
  <LinksUpToDate>false</LinksUpToDate>
  <CharactersWithSpaces>3594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2021-08-19T07:57:00Z</cp:lastPrinted>
  <dcterms:modified xsi:type="dcterms:W3CDTF">2023-08-10T11:03:56Z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6B39D33349A0433491A2EB27A8672797</vt:lpwstr>
  </property>
</Properties>
</file>