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before="5"/>
        <w:rPr>
          <w:rFonts w:ascii="Times New Roman"/>
          <w:sz w:val="4"/>
        </w:rPr>
      </w:pPr>
    </w:p>
    <w:p>
      <w:pPr>
        <w:pStyle w:val="7"/>
        <w:spacing w:line="20" w:lineRule="exact"/>
        <w:ind w:left="112"/>
        <w:rPr>
          <w:rFonts w:ascii="Times New Roman"/>
          <w:sz w:val="2"/>
        </w:rPr>
      </w:pPr>
      <w:r>
        <w:rPr>
          <w:rFonts w:ascii="Times New Roman"/>
          <w:sz w:val="2"/>
        </w:rPr>
        <mc:AlternateContent>
          <mc:Choice Requires="wpg">
            <w:drawing>
              <wp:inline distT="0" distB="0" distL="114300" distR="114300">
                <wp:extent cx="5334000" cy="9525"/>
                <wp:effectExtent l="0" t="0" r="0" b="0"/>
                <wp:docPr id="4" name="组合 2"/>
                <wp:cNvGraphicFramePr/>
                <a:graphic xmlns:a="http://schemas.openxmlformats.org/drawingml/2006/main">
                  <a:graphicData uri="http://schemas.microsoft.com/office/word/2010/wordprocessingGroup">
                    <wpg:wgp>
                      <wpg:cNvGrpSpPr/>
                      <wpg:grpSpPr>
                        <a:xfrm>
                          <a:off x="0" y="0"/>
                          <a:ext cx="5334000" cy="9525"/>
                          <a:chOff x="0" y="0"/>
                          <a:chExt cx="8400" cy="15"/>
                        </a:xfrm>
                      </wpg:grpSpPr>
                      <wps:wsp>
                        <wps:cNvPr id="2" name="直线 3"/>
                        <wps:cNvCnPr/>
                        <wps:spPr>
                          <a:xfrm>
                            <a:off x="0" y="7"/>
                            <a:ext cx="8400" cy="0"/>
                          </a:xfrm>
                          <a:prstGeom prst="line">
                            <a:avLst/>
                          </a:prstGeom>
                          <a:ln w="9144" cap="flat" cmpd="sng">
                            <a:solidFill>
                              <a:srgbClr val="000000"/>
                            </a:solidFill>
                            <a:prstDash val="solid"/>
                            <a:headEnd type="none" w="med" len="med"/>
                            <a:tailEnd type="none" w="med" len="med"/>
                          </a:ln>
                        </wps:spPr>
                        <wps:bodyPr upright="1"/>
                      </wps:wsp>
                    </wpg:wgp>
                  </a:graphicData>
                </a:graphic>
              </wp:inline>
            </w:drawing>
          </mc:Choice>
          <mc:Fallback>
            <w:pict>
              <v:group id="组合 2" o:spid="_x0000_s1026" o:spt="203" style="height:0.75pt;width:420pt;" coordsize="8400,15" o:gfxdata="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GZhVFdMAAAADAQAADwAAAAAAAAABACAA&#10;AAAiAAAAZHJzL2Rvd25yZXYueG1sUEsBAhQAFAAAAAgAh07iQJGpRQ5LAgAA/gQAAA4AAAAAAAAA&#10;AQAgAAAAIgEAAGRycy9lMm9Eb2MueG1sUEsFBgAAAAAGAAYAWQEAAN8FAAAAAA==&#10;">
                <o:lock v:ext="edit" aspectratio="f"/>
                <v:line id="直线 3" o:spid="_x0000_s1026" o:spt="20" style="position:absolute;left:0;top:7;height:0;width:8400;" filled="f" stroked="t" coordsize="21600,21600" o:gfxdata="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2/UOLsAAADa&#10;AAAADwAAAAAAAAABACAAAAAiAAAAZHJzL2Rvd25yZXYueG1sUEsBAhQAFAAAAAgAh07iQDMvBZ47&#10;AAAAOQAAABAAAAAAAAAAAQAgAAAACgEAAGRycy9zaGFwZXhtbC54bWxQSwUGAAAAAAYABgBbAQAA&#10;tAMAAAAA&#10;">
                  <v:fill on="f" focussize="0,0"/>
                  <v:stroke weight="0.72pt" color="#000000" joinstyle="round"/>
                  <v:imagedata o:title=""/>
                  <o:lock v:ext="edit" aspectratio="f"/>
                </v:line>
                <w10:wrap type="none"/>
                <w10:anchorlock/>
              </v:group>
            </w:pict>
          </mc:Fallback>
        </mc:AlternateContent>
      </w:r>
    </w:p>
    <w:p>
      <w:pPr>
        <w:pStyle w:val="7"/>
        <w:spacing w:before="7"/>
        <w:rPr>
          <w:rFonts w:ascii="Times New Roman"/>
          <w:sz w:val="21"/>
        </w:rPr>
      </w:pPr>
    </w:p>
    <w:p>
      <w:pPr>
        <w:spacing w:before="62"/>
        <w:ind w:left="120" w:right="0" w:firstLine="0"/>
        <w:jc w:val="left"/>
        <w:rPr>
          <w:sz w:val="28"/>
        </w:rPr>
      </w:pPr>
      <w:r>
        <w:rPr>
          <w:sz w:val="28"/>
        </w:rPr>
        <w:t>应急预案编号：</w:t>
      </w:r>
    </w:p>
    <w:p>
      <w:pPr>
        <w:pStyle w:val="7"/>
        <w:rPr>
          <w:sz w:val="28"/>
        </w:rPr>
      </w:pPr>
    </w:p>
    <w:p>
      <w:pPr>
        <w:pStyle w:val="7"/>
        <w:rPr>
          <w:sz w:val="28"/>
        </w:rPr>
      </w:pPr>
    </w:p>
    <w:p>
      <w:pPr>
        <w:pStyle w:val="7"/>
        <w:rPr>
          <w:sz w:val="28"/>
        </w:rPr>
      </w:pPr>
    </w:p>
    <w:p>
      <w:pPr>
        <w:pStyle w:val="7"/>
        <w:rPr>
          <w:sz w:val="28"/>
        </w:rPr>
      </w:pPr>
    </w:p>
    <w:p>
      <w:pPr>
        <w:pStyle w:val="7"/>
        <w:rPr>
          <w:sz w:val="28"/>
        </w:rPr>
      </w:pPr>
    </w:p>
    <w:p>
      <w:pPr>
        <w:pStyle w:val="7"/>
        <w:rPr>
          <w:sz w:val="28"/>
        </w:rPr>
      </w:pPr>
    </w:p>
    <w:p>
      <w:pPr>
        <w:pStyle w:val="7"/>
        <w:rPr>
          <w:sz w:val="28"/>
        </w:rPr>
      </w:pPr>
    </w:p>
    <w:p>
      <w:pPr>
        <w:pStyle w:val="7"/>
        <w:rPr>
          <w:sz w:val="36"/>
        </w:rPr>
      </w:pPr>
    </w:p>
    <w:p>
      <w:pPr>
        <w:spacing w:before="0" w:line="304" w:lineRule="auto"/>
        <w:ind w:left="1708" w:right="1185" w:hanging="521"/>
        <w:jc w:val="left"/>
        <w:rPr>
          <w:b/>
          <w:sz w:val="52"/>
        </w:rPr>
      </w:pPr>
      <w:r>
        <w:rPr>
          <w:b/>
          <w:sz w:val="52"/>
        </w:rPr>
        <w:t>江西景新漆业股份有限公司突发环境事件应急预案</w:t>
      </w:r>
    </w:p>
    <w:p>
      <w:pPr>
        <w:pStyle w:val="7"/>
        <w:rPr>
          <w:b/>
          <w:sz w:val="52"/>
        </w:rPr>
      </w:pPr>
    </w:p>
    <w:p>
      <w:pPr>
        <w:pStyle w:val="7"/>
        <w:rPr>
          <w:b/>
          <w:sz w:val="52"/>
        </w:rPr>
      </w:pPr>
    </w:p>
    <w:p>
      <w:pPr>
        <w:pStyle w:val="7"/>
        <w:rPr>
          <w:b/>
          <w:sz w:val="52"/>
        </w:rPr>
      </w:pPr>
    </w:p>
    <w:p>
      <w:pPr>
        <w:pStyle w:val="7"/>
        <w:rPr>
          <w:b/>
          <w:sz w:val="52"/>
        </w:rPr>
      </w:pPr>
    </w:p>
    <w:p>
      <w:pPr>
        <w:pStyle w:val="7"/>
        <w:rPr>
          <w:b/>
          <w:sz w:val="52"/>
        </w:rPr>
      </w:pPr>
    </w:p>
    <w:p>
      <w:pPr>
        <w:pStyle w:val="7"/>
        <w:rPr>
          <w:b/>
          <w:sz w:val="52"/>
        </w:rPr>
      </w:pPr>
    </w:p>
    <w:p>
      <w:pPr>
        <w:pStyle w:val="7"/>
        <w:rPr>
          <w:b/>
          <w:sz w:val="52"/>
        </w:rPr>
      </w:pPr>
    </w:p>
    <w:p>
      <w:pPr>
        <w:pStyle w:val="7"/>
        <w:rPr>
          <w:b/>
          <w:sz w:val="52"/>
        </w:rPr>
      </w:pPr>
    </w:p>
    <w:p>
      <w:pPr>
        <w:pStyle w:val="7"/>
        <w:rPr>
          <w:b/>
          <w:sz w:val="52"/>
        </w:rPr>
      </w:pPr>
    </w:p>
    <w:p>
      <w:pPr>
        <w:pStyle w:val="7"/>
        <w:rPr>
          <w:b/>
          <w:sz w:val="52"/>
        </w:rPr>
      </w:pPr>
    </w:p>
    <w:p>
      <w:pPr>
        <w:pStyle w:val="7"/>
        <w:spacing w:before="5"/>
        <w:rPr>
          <w:b/>
          <w:sz w:val="41"/>
        </w:rPr>
      </w:pPr>
    </w:p>
    <w:p>
      <w:pPr>
        <w:tabs>
          <w:tab w:val="left" w:pos="2548"/>
          <w:tab w:val="left" w:pos="3491"/>
          <w:tab w:val="left" w:pos="6342"/>
          <w:tab w:val="left" w:pos="6587"/>
        </w:tabs>
        <w:spacing w:before="0" w:line="283" w:lineRule="auto"/>
        <w:ind w:left="820" w:right="2048" w:firstLine="40"/>
        <w:jc w:val="left"/>
        <w:rPr>
          <w:b/>
          <w:sz w:val="28"/>
        </w:rPr>
      </w:pPr>
      <w:r>
        <w:rPr>
          <w:b/>
          <w:sz w:val="28"/>
        </w:rPr>
        <w:t>编制单位：</w:t>
      </w:r>
      <w:r>
        <w:rPr>
          <w:b/>
          <w:sz w:val="28"/>
          <w:u w:val="single"/>
        </w:rPr>
        <w:t xml:space="preserve"> </w:t>
      </w:r>
      <w:r>
        <w:rPr>
          <w:b/>
          <w:sz w:val="28"/>
          <w:u w:val="single"/>
        </w:rPr>
        <w:tab/>
      </w:r>
      <w:r>
        <w:rPr>
          <w:b/>
          <w:spacing w:val="-1"/>
          <w:w w:val="95"/>
          <w:sz w:val="28"/>
          <w:u w:val="single"/>
        </w:rPr>
        <w:t>江西景新漆业股份</w:t>
      </w:r>
      <w:r>
        <w:rPr>
          <w:b/>
          <w:w w:val="95"/>
          <w:sz w:val="28"/>
          <w:u w:val="single"/>
        </w:rPr>
        <w:t>有限公司</w:t>
      </w:r>
      <w:r>
        <w:rPr>
          <w:b/>
          <w:w w:val="95"/>
          <w:sz w:val="28"/>
          <w:u w:val="single"/>
        </w:rPr>
        <w:tab/>
      </w:r>
      <w:r>
        <w:rPr>
          <w:b/>
          <w:w w:val="95"/>
          <w:sz w:val="28"/>
          <w:u w:val="single"/>
        </w:rPr>
        <w:t xml:space="preserve"> </w:t>
      </w:r>
      <w:r>
        <w:rPr>
          <w:b/>
          <w:sz w:val="28"/>
        </w:rPr>
        <w:t>版 本</w:t>
      </w:r>
      <w:r>
        <w:rPr>
          <w:b/>
          <w:spacing w:val="-1"/>
          <w:sz w:val="28"/>
        </w:rPr>
        <w:t xml:space="preserve"> </w:t>
      </w:r>
      <w:r>
        <w:rPr>
          <w:b/>
          <w:sz w:val="28"/>
        </w:rPr>
        <w:t>号：</w:t>
      </w:r>
      <w:r>
        <w:rPr>
          <w:b/>
          <w:sz w:val="28"/>
          <w:u w:val="single"/>
        </w:rPr>
        <w:t xml:space="preserve"> </w:t>
      </w:r>
      <w:r>
        <w:rPr>
          <w:b/>
          <w:sz w:val="28"/>
          <w:u w:val="single"/>
        </w:rPr>
        <w:tab/>
      </w:r>
      <w:r>
        <w:rPr>
          <w:b/>
          <w:sz w:val="28"/>
          <w:u w:val="single"/>
        </w:rPr>
        <w:tab/>
      </w:r>
      <w:r>
        <w:rPr>
          <w:b/>
          <w:sz w:val="28"/>
          <w:u w:val="single"/>
        </w:rPr>
        <w:t>JXQY</w:t>
      </w:r>
      <w:r>
        <w:rPr>
          <w:rFonts w:hint="eastAsia"/>
          <w:b/>
          <w:sz w:val="28"/>
          <w:u w:val="single"/>
          <w:lang w:val="en-US" w:eastAsia="zh-CN"/>
        </w:rPr>
        <w:t>23</w:t>
      </w:r>
      <w:r>
        <w:rPr>
          <w:b/>
          <w:sz w:val="28"/>
          <w:u w:val="single"/>
        </w:rPr>
        <w:t>-01</w:t>
      </w:r>
      <w:r>
        <w:rPr>
          <w:b/>
          <w:sz w:val="28"/>
          <w:u w:val="single"/>
        </w:rPr>
        <w:tab/>
      </w:r>
      <w:r>
        <w:rPr>
          <w:b/>
          <w:sz w:val="28"/>
          <w:u w:val="single"/>
        </w:rPr>
        <w:tab/>
      </w:r>
      <w:r>
        <w:rPr>
          <w:b/>
          <w:sz w:val="28"/>
          <w:u w:val="single"/>
        </w:rPr>
        <w:t xml:space="preserve"> </w:t>
      </w:r>
      <w:r>
        <w:rPr>
          <w:b/>
          <w:sz w:val="28"/>
        </w:rPr>
        <w:t>实施日期：</w:t>
      </w:r>
      <w:r>
        <w:rPr>
          <w:b/>
          <w:sz w:val="28"/>
          <w:u w:val="single"/>
        </w:rPr>
        <w:t xml:space="preserve"> </w:t>
      </w:r>
      <w:r>
        <w:rPr>
          <w:b/>
          <w:sz w:val="28"/>
          <w:u w:val="single"/>
        </w:rPr>
        <w:tab/>
      </w:r>
      <w:r>
        <w:rPr>
          <w:b/>
          <w:sz w:val="28"/>
          <w:u w:val="single"/>
        </w:rPr>
        <w:tab/>
      </w:r>
      <w:r>
        <w:rPr>
          <w:b/>
          <w:sz w:val="28"/>
          <w:u w:val="single"/>
        </w:rPr>
        <w:t>20</w:t>
      </w:r>
      <w:r>
        <w:rPr>
          <w:rFonts w:hint="eastAsia"/>
          <w:b/>
          <w:sz w:val="28"/>
          <w:u w:val="single"/>
          <w:lang w:val="en-US" w:eastAsia="zh-CN"/>
        </w:rPr>
        <w:t>23</w:t>
      </w:r>
      <w:r>
        <w:rPr>
          <w:b/>
          <w:sz w:val="28"/>
          <w:u w:val="single"/>
        </w:rPr>
        <w:t>.</w:t>
      </w:r>
      <w:r>
        <w:rPr>
          <w:rFonts w:hint="eastAsia"/>
          <w:b/>
          <w:sz w:val="28"/>
          <w:u w:val="single"/>
          <w:lang w:val="en-US" w:eastAsia="zh-CN"/>
        </w:rPr>
        <w:t>12</w:t>
      </w:r>
      <w:r>
        <w:rPr>
          <w:b/>
          <w:sz w:val="28"/>
          <w:u w:val="single"/>
        </w:rPr>
        <w:t>.1</w:t>
      </w:r>
      <w:r>
        <w:rPr>
          <w:b/>
          <w:sz w:val="28"/>
          <w:u w:val="single"/>
        </w:rPr>
        <w:tab/>
      </w:r>
      <w:r>
        <w:rPr>
          <w:b/>
          <w:sz w:val="28"/>
          <w:u w:val="single"/>
        </w:rPr>
        <w:tab/>
      </w:r>
    </w:p>
    <w:p>
      <w:pPr>
        <w:spacing w:after="0" w:line="283" w:lineRule="auto"/>
        <w:jc w:val="left"/>
        <w:rPr>
          <w:sz w:val="28"/>
        </w:rPr>
        <w:sectPr>
          <w:headerReference r:id="rId5" w:type="default"/>
          <w:type w:val="continuous"/>
          <w:pgSz w:w="11900" w:h="16840"/>
          <w:pgMar w:top="1080" w:right="1580" w:bottom="280" w:left="1680" w:header="882" w:footer="720" w:gutter="0"/>
          <w:cols w:space="720" w:num="1"/>
        </w:sectPr>
      </w:pPr>
    </w:p>
    <w:p>
      <w:pPr>
        <w:pStyle w:val="7"/>
        <w:rPr>
          <w:b/>
          <w:sz w:val="20"/>
        </w:rPr>
      </w:pPr>
    </w:p>
    <w:p>
      <w:pPr>
        <w:pStyle w:val="7"/>
        <w:rPr>
          <w:b/>
          <w:sz w:val="20"/>
        </w:rPr>
      </w:pPr>
    </w:p>
    <w:p>
      <w:pPr>
        <w:pStyle w:val="7"/>
        <w:spacing w:before="4"/>
        <w:rPr>
          <w:b/>
          <w:sz w:val="26"/>
        </w:rPr>
      </w:pPr>
    </w:p>
    <w:p>
      <w:pPr>
        <w:spacing w:before="49"/>
        <w:ind w:left="1902" w:right="1998" w:firstLine="0"/>
        <w:jc w:val="center"/>
        <w:rPr>
          <w:b/>
          <w:sz w:val="36"/>
        </w:rPr>
      </w:pPr>
      <w:r>
        <w:rPr>
          <w:b/>
          <w:sz w:val="36"/>
        </w:rPr>
        <w:t>突发环境事件应急预案发布令</w:t>
      </w:r>
    </w:p>
    <w:p>
      <w:pPr>
        <w:pStyle w:val="7"/>
        <w:rPr>
          <w:b/>
          <w:sz w:val="36"/>
        </w:rPr>
      </w:pPr>
    </w:p>
    <w:p>
      <w:pPr>
        <w:pStyle w:val="7"/>
        <w:spacing w:before="7"/>
        <w:rPr>
          <w:b/>
          <w:sz w:val="49"/>
        </w:rPr>
      </w:pPr>
    </w:p>
    <w:p>
      <w:pPr>
        <w:pStyle w:val="7"/>
        <w:spacing w:line="660" w:lineRule="auto"/>
        <w:ind w:left="120" w:right="221" w:firstLine="480"/>
        <w:jc w:val="both"/>
      </w:pPr>
      <w:r>
        <w:rPr>
          <w:spacing w:val="-11"/>
        </w:rPr>
        <w:t>为贯彻落实《中华人民共和国突发事件应对法》等法律、法规及有关文件的</w:t>
      </w:r>
      <w:r>
        <w:rPr>
          <w:spacing w:val="-10"/>
        </w:rPr>
        <w:t>要求，有效防范和应对突发环境事件，保护人员生命安全，减少财产损失，本单</w:t>
      </w:r>
      <w:r>
        <w:rPr>
          <w:spacing w:val="-9"/>
        </w:rPr>
        <w:t>位特编制了《江西景新漆业股份有限公司突发环境事件应急预案》。该预案是本</w:t>
      </w:r>
      <w:r>
        <w:rPr>
          <w:spacing w:val="-7"/>
        </w:rPr>
        <w:t>单位实施突发环境事件应急救援的规范文件，用于指导本单位突发环境事件的预</w:t>
      </w:r>
      <w:r>
        <w:t>防和应急救援行动。</w:t>
      </w:r>
    </w:p>
    <w:p>
      <w:pPr>
        <w:pStyle w:val="7"/>
        <w:spacing w:before="3" w:line="660" w:lineRule="auto"/>
        <w:ind w:left="120" w:right="221" w:firstLine="480"/>
        <w:jc w:val="both"/>
      </w:pPr>
      <w:r>
        <w:rPr>
          <w:spacing w:val="-2"/>
        </w:rPr>
        <w:t xml:space="preserve">本突发环境事件应急预案，于 </w:t>
      </w:r>
      <w:r>
        <w:t>20</w:t>
      </w:r>
      <w:r>
        <w:rPr>
          <w:rFonts w:hint="eastAsia"/>
          <w:lang w:val="en-US" w:eastAsia="zh-CN"/>
        </w:rPr>
        <w:t>23</w:t>
      </w:r>
      <w:r>
        <w:rPr>
          <w:spacing w:val="-37"/>
        </w:rPr>
        <w:t xml:space="preserve">年 </w:t>
      </w:r>
      <w:r>
        <w:rPr>
          <w:rFonts w:hint="eastAsia"/>
          <w:spacing w:val="-37"/>
          <w:lang w:val="en-US" w:eastAsia="zh-CN"/>
        </w:rPr>
        <w:t xml:space="preserve">12 </w:t>
      </w:r>
      <w:r>
        <w:rPr>
          <w:spacing w:val="-37"/>
        </w:rPr>
        <w:t xml:space="preserve">月 </w:t>
      </w:r>
      <w:r>
        <w:rPr>
          <w:rFonts w:hint="eastAsia"/>
          <w:lang w:val="en-US" w:eastAsia="zh-CN"/>
        </w:rPr>
        <w:t>1</w:t>
      </w:r>
      <w:r>
        <w:rPr>
          <w:spacing w:val="-6"/>
        </w:rPr>
        <w:t>日批准发布，</w:t>
      </w:r>
      <w:r>
        <w:t>20</w:t>
      </w:r>
      <w:r>
        <w:rPr>
          <w:rFonts w:hint="eastAsia"/>
          <w:lang w:val="en-US" w:eastAsia="zh-CN"/>
        </w:rPr>
        <w:t>23</w:t>
      </w:r>
      <w:r>
        <w:rPr>
          <w:spacing w:val="-37"/>
        </w:rPr>
        <w:t xml:space="preserve"> 年 </w:t>
      </w:r>
      <w:r>
        <w:rPr>
          <w:rFonts w:hint="eastAsia"/>
          <w:spacing w:val="-37"/>
          <w:lang w:val="en-US" w:eastAsia="zh-CN"/>
        </w:rPr>
        <w:t xml:space="preserve">12 </w:t>
      </w:r>
      <w:r>
        <w:rPr>
          <w:spacing w:val="-38"/>
        </w:rPr>
        <w:t xml:space="preserve">月 </w:t>
      </w:r>
      <w:r>
        <w:rPr>
          <w:rFonts w:hint="eastAsia"/>
          <w:spacing w:val="-38"/>
          <w:lang w:val="en-US" w:eastAsia="zh-CN"/>
        </w:rPr>
        <w:t>2</w:t>
      </w:r>
      <w:r>
        <w:t xml:space="preserve"> 日起实施。</w:t>
      </w:r>
    </w:p>
    <w:p>
      <w:pPr>
        <w:pStyle w:val="7"/>
      </w:pPr>
    </w:p>
    <w:p>
      <w:pPr>
        <w:pStyle w:val="7"/>
      </w:pPr>
    </w:p>
    <w:p>
      <w:pPr>
        <w:pStyle w:val="7"/>
      </w:pPr>
    </w:p>
    <w:p>
      <w:pPr>
        <w:pStyle w:val="7"/>
      </w:pPr>
    </w:p>
    <w:p>
      <w:pPr>
        <w:pStyle w:val="7"/>
      </w:pPr>
    </w:p>
    <w:p>
      <w:pPr>
        <w:pStyle w:val="7"/>
      </w:pPr>
    </w:p>
    <w:p>
      <w:pPr>
        <w:pStyle w:val="7"/>
      </w:pPr>
    </w:p>
    <w:p>
      <w:pPr>
        <w:pStyle w:val="7"/>
        <w:spacing w:before="1"/>
        <w:rPr>
          <w:sz w:val="30"/>
        </w:rPr>
      </w:pPr>
    </w:p>
    <w:p>
      <w:pPr>
        <w:pStyle w:val="7"/>
        <w:spacing w:line="662" w:lineRule="auto"/>
        <w:ind w:left="5400" w:right="1319" w:firstLine="240"/>
      </w:pPr>
      <w:r>
        <w:rPr>
          <w:spacing w:val="-3"/>
        </w:rPr>
        <w:t xml:space="preserve">总经理(签字)： </w:t>
      </w:r>
      <w:r>
        <w:t>20</w:t>
      </w:r>
      <w:r>
        <w:rPr>
          <w:rFonts w:hint="eastAsia"/>
          <w:lang w:val="en-US" w:eastAsia="zh-CN"/>
        </w:rPr>
        <w:t>23</w:t>
      </w:r>
      <w:r>
        <w:rPr>
          <w:spacing w:val="-40"/>
        </w:rPr>
        <w:t xml:space="preserve"> 年 </w:t>
      </w:r>
      <w:r>
        <w:rPr>
          <w:rFonts w:hint="eastAsia"/>
          <w:spacing w:val="-40"/>
          <w:lang w:val="en-US" w:eastAsia="zh-CN"/>
        </w:rPr>
        <w:t xml:space="preserve">12 </w:t>
      </w:r>
      <w:r>
        <w:rPr>
          <w:spacing w:val="-40"/>
        </w:rPr>
        <w:t xml:space="preserve">月 </w:t>
      </w:r>
      <w:r>
        <w:t>1</w:t>
      </w:r>
      <w:r>
        <w:rPr>
          <w:spacing w:val="-30"/>
        </w:rPr>
        <w:t xml:space="preserve"> 日</w:t>
      </w:r>
    </w:p>
    <w:p>
      <w:pPr>
        <w:spacing w:after="0" w:line="662" w:lineRule="auto"/>
        <w:sectPr>
          <w:headerReference r:id="rId6" w:type="default"/>
          <w:footerReference r:id="rId7" w:type="default"/>
          <w:pgSz w:w="11900" w:h="16840"/>
          <w:pgMar w:top="1140" w:right="1580" w:bottom="1200" w:left="1680" w:header="882" w:footer="1004" w:gutter="0"/>
          <w:pgNumType w:start="1"/>
          <w:cols w:space="720" w:num="1"/>
        </w:sectPr>
      </w:pPr>
    </w:p>
    <w:p>
      <w:pPr>
        <w:pStyle w:val="7"/>
        <w:spacing w:before="5"/>
        <w:rPr>
          <w:sz w:val="28"/>
        </w:rPr>
      </w:pPr>
    </w:p>
    <w:p>
      <w:pPr>
        <w:spacing w:before="32"/>
        <w:ind w:left="1897" w:right="1998" w:firstLine="0"/>
        <w:jc w:val="center"/>
        <w:rPr>
          <w:b/>
          <w:sz w:val="48"/>
        </w:rPr>
      </w:pPr>
      <w:r>
        <w:rPr>
          <w:b/>
          <w:sz w:val="48"/>
        </w:rPr>
        <w:t>目 录</w:t>
      </w:r>
    </w:p>
    <w:p>
      <w:pPr>
        <w:spacing w:after="0"/>
        <w:jc w:val="center"/>
        <w:rPr>
          <w:sz w:val="48"/>
        </w:rPr>
        <w:sectPr>
          <w:pgSz w:w="11900" w:h="16840"/>
          <w:pgMar w:top="1140" w:right="1580" w:bottom="1442" w:left="1680" w:header="882" w:footer="1004" w:gutter="0"/>
          <w:cols w:space="720" w:num="1"/>
        </w:sectPr>
      </w:pPr>
    </w:p>
    <w:sdt>
      <w:sdtPr>
        <w:id w:val="1"/>
        <w:docPartObj>
          <w:docPartGallery w:val="Table of Contents"/>
          <w:docPartUnique/>
        </w:docPartObj>
      </w:sdtPr>
      <w:sdtContent>
        <w:p>
          <w:pPr>
            <w:pStyle w:val="12"/>
            <w:tabs>
              <w:tab w:val="right" w:leader="dot" w:pos="8399"/>
            </w:tabs>
            <w:spacing w:before="360"/>
            <w:ind w:left="0" w:right="118" w:firstLine="0"/>
            <w:rPr>
              <w:rFonts w:ascii="Simplified Arabic" w:eastAsia="Simplified Arabic"/>
            </w:rPr>
          </w:pPr>
          <w:r>
            <w:fldChar w:fldCharType="begin"/>
          </w:r>
          <w:r>
            <w:instrText xml:space="preserve"> HYPERLINK \l "_bookmark0" </w:instrText>
          </w:r>
          <w:r>
            <w:fldChar w:fldCharType="separate"/>
          </w:r>
          <w:r>
            <w:t>第一章 总则</w:t>
          </w:r>
          <w:r>
            <w:tab/>
          </w:r>
          <w:r>
            <w:rPr>
              <w:rFonts w:ascii="Simplified Arabic" w:eastAsia="Simplified Arabic"/>
            </w:rPr>
            <w:t>5</w:t>
          </w:r>
          <w:r>
            <w:rPr>
              <w:rFonts w:ascii="Simplified Arabic" w:eastAsia="Simplified Arabic"/>
            </w:rPr>
            <w:fldChar w:fldCharType="end"/>
          </w:r>
        </w:p>
        <w:p>
          <w:pPr>
            <w:pStyle w:val="12"/>
            <w:numPr>
              <w:ilvl w:val="1"/>
              <w:numId w:val="1"/>
            </w:numPr>
            <w:tabs>
              <w:tab w:val="left" w:pos="480"/>
              <w:tab w:val="right" w:leader="dot" w:pos="7919"/>
            </w:tabs>
            <w:spacing w:before="24" w:after="0" w:line="240" w:lineRule="auto"/>
            <w:ind w:left="1080" w:right="118" w:hanging="1080"/>
            <w:jc w:val="right"/>
            <w:rPr>
              <w:rFonts w:ascii="Simplified Arabic" w:eastAsia="Simplified Arabic"/>
            </w:rPr>
          </w:pPr>
          <w:r>
            <w:fldChar w:fldCharType="begin"/>
          </w:r>
          <w:r>
            <w:instrText xml:space="preserve"> HYPERLINK \l "_bookmark1" </w:instrText>
          </w:r>
          <w:r>
            <w:fldChar w:fldCharType="separate"/>
          </w:r>
          <w:r>
            <w:t>编制目的</w:t>
          </w:r>
          <w:r>
            <w:tab/>
          </w:r>
          <w:r>
            <w:rPr>
              <w:rFonts w:ascii="Simplified Arabic" w:eastAsia="Simplified Arabic"/>
            </w:rPr>
            <w:t>5</w:t>
          </w:r>
          <w:r>
            <w:rPr>
              <w:rFonts w:ascii="Simplified Arabic" w:eastAsia="Simplified Arabic"/>
            </w:rPr>
            <w:fldChar w:fldCharType="end"/>
          </w:r>
        </w:p>
        <w:p>
          <w:pPr>
            <w:pStyle w:val="12"/>
            <w:numPr>
              <w:ilvl w:val="1"/>
              <w:numId w:val="1"/>
            </w:numPr>
            <w:tabs>
              <w:tab w:val="left" w:pos="480"/>
              <w:tab w:val="right" w:leader="dot" w:pos="7919"/>
            </w:tabs>
            <w:spacing w:before="27" w:after="0" w:line="240" w:lineRule="auto"/>
            <w:ind w:left="1080" w:right="118" w:hanging="1080"/>
            <w:jc w:val="right"/>
            <w:rPr>
              <w:rFonts w:ascii="Simplified Arabic" w:eastAsia="Simplified Arabic"/>
            </w:rPr>
          </w:pPr>
          <w:r>
            <w:fldChar w:fldCharType="begin"/>
          </w:r>
          <w:r>
            <w:instrText xml:space="preserve"> HYPERLINK \l "_bookmark2" </w:instrText>
          </w:r>
          <w:r>
            <w:fldChar w:fldCharType="separate"/>
          </w:r>
          <w:r>
            <w:t>编制依据</w:t>
          </w:r>
          <w:r>
            <w:tab/>
          </w:r>
          <w:r>
            <w:rPr>
              <w:rFonts w:ascii="Simplified Arabic" w:eastAsia="Simplified Arabic"/>
            </w:rPr>
            <w:t>5</w:t>
          </w:r>
          <w:r>
            <w:rPr>
              <w:rFonts w:ascii="Simplified Arabic" w:eastAsia="Simplified Arabic"/>
            </w:rPr>
            <w:fldChar w:fldCharType="end"/>
          </w:r>
        </w:p>
        <w:p>
          <w:pPr>
            <w:pStyle w:val="12"/>
            <w:numPr>
              <w:ilvl w:val="1"/>
              <w:numId w:val="1"/>
            </w:numPr>
            <w:tabs>
              <w:tab w:val="left" w:pos="480"/>
              <w:tab w:val="right" w:leader="dot" w:pos="7919"/>
            </w:tabs>
            <w:spacing w:before="25" w:after="0" w:line="240" w:lineRule="auto"/>
            <w:ind w:left="1080" w:right="118" w:hanging="1080"/>
            <w:jc w:val="right"/>
            <w:rPr>
              <w:rFonts w:ascii="Simplified Arabic" w:eastAsia="Simplified Arabic"/>
            </w:rPr>
          </w:pPr>
          <w:r>
            <w:fldChar w:fldCharType="begin"/>
          </w:r>
          <w:r>
            <w:instrText xml:space="preserve"> HYPERLINK \l "_bookmark3" </w:instrText>
          </w:r>
          <w:r>
            <w:fldChar w:fldCharType="separate"/>
          </w:r>
          <w:r>
            <w:t>适用范围</w:t>
          </w:r>
          <w:r>
            <w:tab/>
          </w:r>
          <w:r>
            <w:rPr>
              <w:rFonts w:ascii="Simplified Arabic" w:eastAsia="Simplified Arabic"/>
            </w:rPr>
            <w:t>6</w:t>
          </w:r>
          <w:r>
            <w:rPr>
              <w:rFonts w:ascii="Simplified Arabic" w:eastAsia="Simplified Arabic"/>
            </w:rPr>
            <w:fldChar w:fldCharType="end"/>
          </w:r>
        </w:p>
        <w:p>
          <w:pPr>
            <w:pStyle w:val="12"/>
            <w:numPr>
              <w:ilvl w:val="1"/>
              <w:numId w:val="1"/>
            </w:numPr>
            <w:tabs>
              <w:tab w:val="left" w:pos="480"/>
              <w:tab w:val="right" w:leader="dot" w:pos="7919"/>
            </w:tabs>
            <w:spacing w:before="24" w:after="0" w:line="240" w:lineRule="auto"/>
            <w:ind w:left="1080" w:right="118" w:hanging="1080"/>
            <w:jc w:val="right"/>
            <w:rPr>
              <w:rFonts w:ascii="Simplified Arabic" w:eastAsia="Simplified Arabic"/>
            </w:rPr>
          </w:pPr>
          <w:r>
            <w:fldChar w:fldCharType="begin"/>
          </w:r>
          <w:r>
            <w:instrText xml:space="preserve"> HYPERLINK \l "_bookmark4" </w:instrText>
          </w:r>
          <w:r>
            <w:fldChar w:fldCharType="separate"/>
          </w:r>
          <w:r>
            <w:t>工作原则</w:t>
          </w:r>
          <w:r>
            <w:tab/>
          </w:r>
          <w:r>
            <w:rPr>
              <w:rFonts w:ascii="Simplified Arabic" w:eastAsia="Simplified Arabic"/>
            </w:rPr>
            <w:t>6</w:t>
          </w:r>
          <w:r>
            <w:rPr>
              <w:rFonts w:ascii="Simplified Arabic" w:eastAsia="Simplified Arabic"/>
            </w:rPr>
            <w:fldChar w:fldCharType="end"/>
          </w:r>
        </w:p>
        <w:p>
          <w:pPr>
            <w:pStyle w:val="12"/>
            <w:numPr>
              <w:ilvl w:val="1"/>
              <w:numId w:val="1"/>
            </w:numPr>
            <w:tabs>
              <w:tab w:val="left" w:pos="480"/>
              <w:tab w:val="right" w:leader="dot" w:pos="7919"/>
            </w:tabs>
            <w:spacing w:before="25" w:after="0" w:line="240" w:lineRule="auto"/>
            <w:ind w:left="1080" w:right="118" w:hanging="1080"/>
            <w:jc w:val="right"/>
            <w:rPr>
              <w:rFonts w:ascii="Simplified Arabic" w:eastAsia="Simplified Arabic"/>
            </w:rPr>
          </w:pPr>
          <w:r>
            <w:fldChar w:fldCharType="begin"/>
          </w:r>
          <w:r>
            <w:instrText xml:space="preserve"> HYPERLINK \l "_bookmark5" </w:instrText>
          </w:r>
          <w:r>
            <w:fldChar w:fldCharType="separate"/>
          </w:r>
          <w:r>
            <w:t>应急预案体系</w:t>
          </w:r>
          <w:r>
            <w:tab/>
          </w:r>
          <w:r>
            <w:rPr>
              <w:rFonts w:ascii="Simplified Arabic" w:eastAsia="Simplified Arabic"/>
            </w:rPr>
            <w:t>7</w:t>
          </w:r>
          <w:r>
            <w:rPr>
              <w:rFonts w:ascii="Simplified Arabic" w:eastAsia="Simplified Arabic"/>
            </w:rPr>
            <w:fldChar w:fldCharType="end"/>
          </w:r>
        </w:p>
        <w:p>
          <w:pPr>
            <w:pStyle w:val="12"/>
            <w:numPr>
              <w:ilvl w:val="1"/>
              <w:numId w:val="1"/>
            </w:numPr>
            <w:tabs>
              <w:tab w:val="left" w:pos="480"/>
              <w:tab w:val="right" w:leader="dot" w:pos="7919"/>
            </w:tabs>
            <w:spacing w:before="27" w:after="0" w:line="240" w:lineRule="auto"/>
            <w:ind w:left="1080" w:right="118" w:hanging="1080"/>
            <w:jc w:val="right"/>
            <w:rPr>
              <w:rFonts w:ascii="Simplified Arabic" w:eastAsia="Simplified Arabic"/>
            </w:rPr>
          </w:pPr>
          <w:r>
            <w:fldChar w:fldCharType="begin"/>
          </w:r>
          <w:r>
            <w:instrText xml:space="preserve"> HYPERLINK \l "_bookmark6" </w:instrText>
          </w:r>
          <w:r>
            <w:fldChar w:fldCharType="separate"/>
          </w:r>
          <w:r>
            <w:t>环境事件分级</w:t>
          </w:r>
          <w:r>
            <w:tab/>
          </w:r>
          <w:r>
            <w:rPr>
              <w:rFonts w:ascii="Simplified Arabic" w:eastAsia="Simplified Arabic"/>
            </w:rPr>
            <w:t>8</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"_bookmark7" </w:instrText>
          </w:r>
          <w:r>
            <w:fldChar w:fldCharType="separate"/>
          </w:r>
          <w:r>
            <w:t>第二章 企业基本情况</w:t>
          </w:r>
          <w:r>
            <w:tab/>
          </w:r>
          <w:r>
            <w:rPr>
              <w:rFonts w:ascii="Simplified Arabic" w:eastAsia="Simplified Arabic"/>
            </w:rPr>
            <w:t>11</w:t>
          </w:r>
          <w:r>
            <w:rPr>
              <w:rFonts w:ascii="Simplified Arabic" w:eastAsia="Simplified Arabic"/>
            </w:rPr>
            <w:fldChar w:fldCharType="end"/>
          </w:r>
        </w:p>
        <w:p>
          <w:pPr>
            <w:pStyle w:val="12"/>
            <w:numPr>
              <w:ilvl w:val="1"/>
              <w:numId w:val="2"/>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"_bookmark8" </w:instrText>
          </w:r>
          <w:r>
            <w:fldChar w:fldCharType="separate"/>
          </w:r>
          <w:r>
            <w:t>企业简介</w:t>
          </w:r>
          <w:r>
            <w:tab/>
          </w:r>
          <w:r>
            <w:rPr>
              <w:rFonts w:ascii="Simplified Arabic" w:eastAsia="Simplified Arabic"/>
            </w:rPr>
            <w:t>11</w:t>
          </w:r>
          <w:r>
            <w:rPr>
              <w:rFonts w:ascii="Simplified Arabic" w:eastAsia="Simplified Arabic"/>
            </w:rPr>
            <w:fldChar w:fldCharType="end"/>
          </w:r>
        </w:p>
        <w:p>
          <w:pPr>
            <w:pStyle w:val="12"/>
            <w:numPr>
              <w:ilvl w:val="1"/>
              <w:numId w:val="2"/>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"_bookmark9" </w:instrText>
          </w:r>
          <w:r>
            <w:fldChar w:fldCharType="separate"/>
          </w:r>
          <w:r>
            <w:t>生产工艺</w:t>
          </w:r>
          <w:r>
            <w:tab/>
          </w:r>
          <w:r>
            <w:rPr>
              <w:rFonts w:ascii="Simplified Arabic" w:eastAsia="Simplified Arabic"/>
            </w:rPr>
            <w:t>11</w:t>
          </w:r>
          <w:r>
            <w:rPr>
              <w:rFonts w:ascii="Simplified Arabic" w:eastAsia="Simplified Arabic"/>
            </w:rPr>
            <w:fldChar w:fldCharType="end"/>
          </w:r>
        </w:p>
        <w:p>
          <w:pPr>
            <w:pStyle w:val="12"/>
            <w:numPr>
              <w:ilvl w:val="1"/>
              <w:numId w:val="2"/>
            </w:numPr>
            <w:tabs>
              <w:tab w:val="left" w:pos="480"/>
              <w:tab w:val="right" w:leader="dot" w:pos="7921"/>
            </w:tabs>
            <w:spacing w:before="27" w:after="0" w:line="240" w:lineRule="auto"/>
            <w:ind w:left="1080" w:right="116" w:hanging="1080"/>
            <w:jc w:val="right"/>
            <w:rPr>
              <w:rFonts w:ascii="Simplified Arabic" w:eastAsia="Simplified Arabic"/>
            </w:rPr>
          </w:pPr>
          <w:r>
            <w:fldChar w:fldCharType="begin"/>
          </w:r>
          <w:r>
            <w:instrText xml:space="preserve"> HYPERLINK \l "_bookmark10" </w:instrText>
          </w:r>
          <w:r>
            <w:fldChar w:fldCharType="separate"/>
          </w:r>
          <w:r>
            <w:t>环境风险基本情况</w:t>
          </w:r>
          <w:r>
            <w:tab/>
          </w:r>
          <w:r>
            <w:rPr>
              <w:rFonts w:ascii="Simplified Arabic" w:eastAsia="Simplified Arabic"/>
            </w:rPr>
            <w:t>14</w:t>
          </w:r>
          <w:r>
            <w:rPr>
              <w:rFonts w:ascii="Simplified Arabic" w:eastAsia="Simplified Arabic"/>
            </w:rPr>
            <w:fldChar w:fldCharType="end"/>
          </w:r>
        </w:p>
        <w:p>
          <w:pPr>
            <w:pStyle w:val="12"/>
            <w:numPr>
              <w:ilvl w:val="1"/>
              <w:numId w:val="2"/>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"_bookmark11" </w:instrText>
          </w:r>
          <w:r>
            <w:fldChar w:fldCharType="separate"/>
          </w:r>
          <w:r>
            <w:t>周边环境状况</w:t>
          </w:r>
          <w:r>
            <w:tab/>
          </w:r>
          <w:r>
            <w:rPr>
              <w:rFonts w:ascii="Simplified Arabic" w:eastAsia="Simplified Arabic"/>
            </w:rPr>
            <w:t>20</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"_bookmark12" </w:instrText>
          </w:r>
          <w:r>
            <w:fldChar w:fldCharType="separate"/>
          </w:r>
          <w:r>
            <w:t>第三章 环境风险源及环境风险评价</w:t>
          </w:r>
          <w:r>
            <w:tab/>
          </w:r>
          <w:r>
            <w:rPr>
              <w:rFonts w:ascii="Simplified Arabic" w:eastAsia="Simplified Arabic"/>
            </w:rPr>
            <w:t>23</w:t>
          </w:r>
          <w:r>
            <w:rPr>
              <w:rFonts w:ascii="Simplified Arabic" w:eastAsia="Simplified Arabic"/>
            </w:rPr>
            <w:fldChar w:fldCharType="end"/>
          </w:r>
        </w:p>
        <w:p>
          <w:pPr>
            <w:pStyle w:val="12"/>
            <w:numPr>
              <w:ilvl w:val="1"/>
              <w:numId w:val="3"/>
            </w:numPr>
            <w:tabs>
              <w:tab w:val="left" w:pos="480"/>
              <w:tab w:val="right" w:leader="dot" w:pos="7919"/>
            </w:tabs>
            <w:spacing w:before="79" w:after="0" w:line="240" w:lineRule="auto"/>
            <w:ind w:left="1080" w:right="119" w:hanging="1080"/>
            <w:jc w:val="right"/>
          </w:pPr>
          <w:r>
            <w:fldChar w:fldCharType="begin"/>
          </w:r>
          <w:r>
            <w:instrText xml:space="preserve"> HYPERLINK \l "_bookmark13" </w:instrText>
          </w:r>
          <w:r>
            <w:fldChar w:fldCharType="separate"/>
          </w:r>
          <w:r>
            <w:t>主要环境风险源识别</w:t>
          </w:r>
          <w:r>
            <w:tab/>
          </w:r>
          <w:r>
            <w:t>23</w:t>
          </w:r>
          <w:r>
            <w:fldChar w:fldCharType="end"/>
          </w:r>
        </w:p>
        <w:p>
          <w:pPr>
            <w:pStyle w:val="12"/>
            <w:numPr>
              <w:ilvl w:val="1"/>
              <w:numId w:val="3"/>
            </w:numPr>
            <w:tabs>
              <w:tab w:val="left" w:pos="420"/>
              <w:tab w:val="right" w:leader="dot" w:pos="7919"/>
            </w:tabs>
            <w:spacing w:before="118" w:after="0" w:line="240" w:lineRule="auto"/>
            <w:ind w:left="1020" w:right="119" w:hanging="1020"/>
            <w:jc w:val="right"/>
          </w:pPr>
          <w:r>
            <w:fldChar w:fldCharType="begin"/>
          </w:r>
          <w:r>
            <w:instrText xml:space="preserve"> HYPERLINK \l "_bookmark14" </w:instrText>
          </w:r>
          <w:r>
            <w:fldChar w:fldCharType="separate"/>
          </w:r>
          <w:r>
            <w:t>重大危险源辨识</w:t>
          </w:r>
          <w:r>
            <w:tab/>
          </w:r>
          <w:r>
            <w:t>42</w:t>
          </w:r>
          <w:r>
            <w:fldChar w:fldCharType="end"/>
          </w:r>
        </w:p>
        <w:p>
          <w:pPr>
            <w:pStyle w:val="12"/>
            <w:numPr>
              <w:ilvl w:val="1"/>
              <w:numId w:val="3"/>
            </w:numPr>
            <w:tabs>
              <w:tab w:val="left" w:pos="420"/>
              <w:tab w:val="right" w:leader="dot" w:pos="7919"/>
            </w:tabs>
            <w:spacing w:before="114" w:after="0" w:line="240" w:lineRule="auto"/>
            <w:ind w:left="1020" w:right="119" w:hanging="1020"/>
            <w:jc w:val="right"/>
          </w:pPr>
          <w:r>
            <w:fldChar w:fldCharType="begin"/>
          </w:r>
          <w:r>
            <w:instrText xml:space="preserve"> HYPERLINK \l "_bookmark15" </w:instrText>
          </w:r>
          <w:r>
            <w:fldChar w:fldCharType="separate"/>
          </w:r>
          <w:r>
            <w:t>源项分析</w:t>
          </w:r>
          <w:r>
            <w:tab/>
          </w:r>
          <w:r>
            <w:t>43</w:t>
          </w:r>
          <w:r>
            <w:fldChar w:fldCharType="end"/>
          </w:r>
        </w:p>
        <w:p>
          <w:pPr>
            <w:pStyle w:val="12"/>
            <w:numPr>
              <w:ilvl w:val="1"/>
              <w:numId w:val="3"/>
            </w:numPr>
            <w:tabs>
              <w:tab w:val="left" w:pos="420"/>
              <w:tab w:val="right" w:leader="dot" w:pos="7919"/>
            </w:tabs>
            <w:spacing w:before="115" w:after="0" w:line="240" w:lineRule="auto"/>
            <w:ind w:left="1020" w:right="119" w:hanging="1020"/>
            <w:jc w:val="right"/>
          </w:pPr>
          <w:r>
            <w:fldChar w:fldCharType="begin"/>
          </w:r>
          <w:r>
            <w:instrText xml:space="preserve"> HYPERLINK \l "_bookmark16" </w:instrText>
          </w:r>
          <w:r>
            <w:fldChar w:fldCharType="separate"/>
          </w:r>
          <w:r>
            <w:t>风险防范措施</w:t>
          </w:r>
          <w:r>
            <w:tab/>
          </w:r>
          <w:r>
            <w:t>47</w:t>
          </w:r>
          <w:r>
            <w:fldChar w:fldCharType="end"/>
          </w:r>
        </w:p>
        <w:p>
          <w:pPr>
            <w:pStyle w:val="12"/>
            <w:numPr>
              <w:ilvl w:val="1"/>
              <w:numId w:val="3"/>
            </w:numPr>
            <w:tabs>
              <w:tab w:val="left" w:pos="420"/>
              <w:tab w:val="right" w:leader="dot" w:pos="7919"/>
            </w:tabs>
            <w:spacing w:before="115" w:after="0" w:line="240" w:lineRule="auto"/>
            <w:ind w:left="1020" w:right="119" w:hanging="1020"/>
            <w:jc w:val="right"/>
          </w:pPr>
          <w:r>
            <w:fldChar w:fldCharType="begin"/>
          </w:r>
          <w:r>
            <w:instrText xml:space="preserve"> HYPERLINK \l "_bookmark17" </w:instrText>
          </w:r>
          <w:r>
            <w:fldChar w:fldCharType="separate"/>
          </w:r>
          <w:r>
            <w:t>环境风险评价结果</w:t>
          </w:r>
          <w:r>
            <w:tab/>
          </w:r>
          <w:r>
            <w:t>53</w:t>
          </w:r>
          <w:r>
            <w:fldChar w:fldCharType="end"/>
          </w:r>
        </w:p>
        <w:p>
          <w:pPr>
            <w:pStyle w:val="12"/>
            <w:tabs>
              <w:tab w:val="right" w:leader="dot" w:pos="8401"/>
            </w:tabs>
            <w:spacing w:before="62"/>
            <w:ind w:left="0" w:firstLine="0"/>
            <w:rPr>
              <w:rFonts w:ascii="Simplified Arabic" w:eastAsia="Simplified Arabic"/>
            </w:rPr>
          </w:pPr>
          <w:r>
            <w:fldChar w:fldCharType="begin"/>
          </w:r>
          <w:r>
            <w:instrText xml:space="preserve"> HYPERLINK \l "_bookmark18" </w:instrText>
          </w:r>
          <w:r>
            <w:fldChar w:fldCharType="separate"/>
          </w:r>
          <w:r>
            <w:t>第四章 应急组织机构及职责</w:t>
          </w:r>
          <w:r>
            <w:tab/>
          </w:r>
          <w:r>
            <w:rPr>
              <w:rFonts w:ascii="Simplified Arabic" w:eastAsia="Simplified Arabic"/>
            </w:rPr>
            <w:t>54</w:t>
          </w:r>
          <w:r>
            <w:rPr>
              <w:rFonts w:ascii="Simplified Arabic" w:eastAsia="Simplified Arabic"/>
            </w:rPr>
            <w:fldChar w:fldCharType="end"/>
          </w:r>
        </w:p>
        <w:p>
          <w:pPr>
            <w:pStyle w:val="12"/>
            <w:numPr>
              <w:ilvl w:val="1"/>
              <w:numId w:val="4"/>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"_bookmark19" </w:instrText>
          </w:r>
          <w:r>
            <w:fldChar w:fldCharType="separate"/>
          </w:r>
          <w:r>
            <w:t>应急组织体系及职责</w:t>
          </w:r>
          <w:r>
            <w:tab/>
          </w:r>
          <w:r>
            <w:rPr>
              <w:rFonts w:ascii="Simplified Arabic" w:eastAsia="Simplified Arabic"/>
            </w:rPr>
            <w:t>54</w:t>
          </w:r>
          <w:r>
            <w:rPr>
              <w:rFonts w:ascii="Simplified Arabic" w:eastAsia="Simplified Arabic"/>
            </w:rPr>
            <w:fldChar w:fldCharType="end"/>
          </w:r>
        </w:p>
        <w:p>
          <w:pPr>
            <w:pStyle w:val="12"/>
            <w:numPr>
              <w:ilvl w:val="1"/>
              <w:numId w:val="4"/>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"_bookmark20" </w:instrText>
          </w:r>
          <w:r>
            <w:fldChar w:fldCharType="separate"/>
          </w:r>
          <w:r>
            <w:t>应急救援指挥部下设机构</w:t>
          </w:r>
          <w:r>
            <w:tab/>
          </w:r>
          <w:r>
            <w:rPr>
              <w:rFonts w:ascii="Simplified Arabic" w:eastAsia="Simplified Arabic"/>
            </w:rPr>
            <w:t>55</w:t>
          </w:r>
          <w:r>
            <w:rPr>
              <w:rFonts w:ascii="Simplified Arabic" w:eastAsia="Simplified Arabic"/>
            </w:rPr>
            <w:fldChar w:fldCharType="end"/>
          </w:r>
        </w:p>
        <w:p>
          <w:pPr>
            <w:pStyle w:val="12"/>
            <w:numPr>
              <w:ilvl w:val="1"/>
              <w:numId w:val="4"/>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"_bookmark21" </w:instrText>
          </w:r>
          <w:r>
            <w:fldChar w:fldCharType="separate"/>
          </w:r>
          <w:r>
            <w:t>应急救援指挥部办公室及其职责</w:t>
          </w:r>
          <w:r>
            <w:tab/>
          </w:r>
          <w:r>
            <w:rPr>
              <w:rFonts w:ascii="Simplified Arabic" w:eastAsia="Simplified Arabic"/>
            </w:rPr>
            <w:t>57</w:t>
          </w:r>
          <w:r>
            <w:rPr>
              <w:rFonts w:ascii="Simplified Arabic" w:eastAsia="Simplified Arabic"/>
            </w:rPr>
            <w:fldChar w:fldCharType="end"/>
          </w:r>
        </w:p>
        <w:p>
          <w:pPr>
            <w:pStyle w:val="12"/>
            <w:tabs>
              <w:tab w:val="right" w:leader="dot" w:pos="8401"/>
            </w:tabs>
            <w:spacing w:before="27"/>
            <w:ind w:left="0" w:firstLine="0"/>
            <w:rPr>
              <w:rFonts w:ascii="Simplified Arabic" w:eastAsia="Simplified Arabic"/>
            </w:rPr>
          </w:pPr>
          <w:r>
            <w:fldChar w:fldCharType="begin"/>
          </w:r>
          <w:r>
            <w:instrText xml:space="preserve"> HYPERLINK \l "_bookmark22" </w:instrText>
          </w:r>
          <w:r>
            <w:fldChar w:fldCharType="separate"/>
          </w:r>
          <w:r>
            <w:t>第五章 预防与预警机制</w:t>
          </w:r>
          <w:r>
            <w:tab/>
          </w:r>
          <w:r>
            <w:rPr>
              <w:rFonts w:ascii="Simplified Arabic" w:eastAsia="Simplified Arabic"/>
            </w:rPr>
            <w:t>59</w:t>
          </w:r>
          <w:r>
            <w:rPr>
              <w:rFonts w:ascii="Simplified Arabic" w:eastAsia="Simplified Arabic"/>
            </w:rPr>
            <w:fldChar w:fldCharType="end"/>
          </w:r>
        </w:p>
        <w:p>
          <w:pPr>
            <w:pStyle w:val="12"/>
            <w:numPr>
              <w:ilvl w:val="1"/>
              <w:numId w:val="5"/>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"_bookmark23" </w:instrText>
          </w:r>
          <w:r>
            <w:fldChar w:fldCharType="separate"/>
          </w:r>
          <w:r>
            <w:t>预防措施</w:t>
          </w:r>
          <w:r>
            <w:tab/>
          </w:r>
          <w:r>
            <w:rPr>
              <w:rFonts w:ascii="Simplified Arabic" w:eastAsia="Simplified Arabic"/>
            </w:rPr>
            <w:t>59</w:t>
          </w:r>
          <w:r>
            <w:rPr>
              <w:rFonts w:ascii="Simplified Arabic" w:eastAsia="Simplified Arabic"/>
            </w:rPr>
            <w:fldChar w:fldCharType="end"/>
          </w:r>
        </w:p>
        <w:p>
          <w:pPr>
            <w:pStyle w:val="12"/>
            <w:numPr>
              <w:ilvl w:val="1"/>
              <w:numId w:val="5"/>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"_bookmark24" </w:instrText>
          </w:r>
          <w:r>
            <w:fldChar w:fldCharType="separate"/>
          </w:r>
          <w:r>
            <w:t>预警行动</w:t>
          </w:r>
          <w:r>
            <w:tab/>
          </w:r>
          <w:r>
            <w:rPr>
              <w:rFonts w:ascii="Simplified Arabic" w:eastAsia="Simplified Arabic"/>
            </w:rPr>
            <w:t>59</w:t>
          </w:r>
          <w:r>
            <w:rPr>
              <w:rFonts w:ascii="Simplified Arabic" w:eastAsia="Simplified Arabic"/>
            </w:rPr>
            <w:fldChar w:fldCharType="end"/>
          </w:r>
        </w:p>
        <w:p>
          <w:pPr>
            <w:pStyle w:val="12"/>
            <w:numPr>
              <w:ilvl w:val="1"/>
              <w:numId w:val="5"/>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"_bookmark25" </w:instrText>
          </w:r>
          <w:r>
            <w:fldChar w:fldCharType="separate"/>
          </w:r>
          <w:r>
            <w:t>信息报告</w:t>
          </w:r>
          <w:r>
            <w:tab/>
          </w:r>
          <w:r>
            <w:rPr>
              <w:rFonts w:ascii="Simplified Arabic" w:eastAsia="Simplified Arabic"/>
            </w:rPr>
            <w:t>63</w:t>
          </w:r>
          <w:r>
            <w:rPr>
              <w:rFonts w:ascii="Simplified Arabic" w:eastAsia="Simplified Arabic"/>
            </w:rPr>
            <w:fldChar w:fldCharType="end"/>
          </w:r>
        </w:p>
        <w:p>
          <w:pPr>
            <w:pStyle w:val="12"/>
            <w:numPr>
              <w:ilvl w:val="1"/>
              <w:numId w:val="5"/>
            </w:numPr>
            <w:tabs>
              <w:tab w:val="left" w:pos="480"/>
              <w:tab w:val="right" w:leader="dot" w:pos="7921"/>
            </w:tabs>
            <w:spacing w:before="27" w:after="0" w:line="240" w:lineRule="auto"/>
            <w:ind w:left="1080" w:right="116" w:hanging="1080"/>
            <w:jc w:val="right"/>
            <w:rPr>
              <w:rFonts w:ascii="Simplified Arabic" w:eastAsia="Simplified Arabic"/>
            </w:rPr>
          </w:pPr>
          <w:r>
            <w:fldChar w:fldCharType="begin"/>
          </w:r>
          <w:r>
            <w:instrText xml:space="preserve"> HYPERLINK \l "_bookmark26" </w:instrText>
          </w:r>
          <w:r>
            <w:fldChar w:fldCharType="separate"/>
          </w:r>
          <w:r>
            <w:t>环境风险源监测</w:t>
          </w:r>
          <w:r>
            <w:tab/>
          </w:r>
          <w:r>
            <w:rPr>
              <w:rFonts w:ascii="Simplified Arabic" w:eastAsia="Simplified Arabic"/>
            </w:rPr>
            <w:t>65</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"_bookmark27" </w:instrText>
          </w:r>
          <w:r>
            <w:fldChar w:fldCharType="separate"/>
          </w:r>
          <w:r>
            <w:t>第六章 应急响应</w:t>
          </w:r>
          <w:r>
            <w:tab/>
          </w:r>
          <w:r>
            <w:rPr>
              <w:rFonts w:ascii="Simplified Arabic" w:eastAsia="Simplified Arabic"/>
            </w:rPr>
            <w:t>66</w:t>
          </w:r>
          <w:r>
            <w:rPr>
              <w:rFonts w:ascii="Simplified Arabic" w:eastAsia="Simplified Arabic"/>
            </w:rPr>
            <w:fldChar w:fldCharType="end"/>
          </w:r>
        </w:p>
        <w:p>
          <w:pPr>
            <w:pStyle w:val="12"/>
            <w:numPr>
              <w:ilvl w:val="1"/>
              <w:numId w:val="6"/>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"_bookmark28" </w:instrText>
          </w:r>
          <w:r>
            <w:fldChar w:fldCharType="separate"/>
          </w:r>
          <w:r>
            <w:t>基本应急程序</w:t>
          </w:r>
          <w:r>
            <w:tab/>
          </w:r>
          <w:r>
            <w:rPr>
              <w:rFonts w:ascii="Simplified Arabic" w:eastAsia="Simplified Arabic"/>
            </w:rPr>
            <w:t>66</w:t>
          </w:r>
          <w:r>
            <w:rPr>
              <w:rFonts w:ascii="Simplified Arabic" w:eastAsia="Simplified Arabic"/>
            </w:rPr>
            <w:fldChar w:fldCharType="end"/>
          </w:r>
        </w:p>
        <w:p>
          <w:pPr>
            <w:pStyle w:val="12"/>
            <w:numPr>
              <w:ilvl w:val="1"/>
              <w:numId w:val="6"/>
            </w:numPr>
            <w:tabs>
              <w:tab w:val="left" w:pos="480"/>
              <w:tab w:val="right" w:leader="dot" w:pos="7921"/>
            </w:tabs>
            <w:spacing w:before="24" w:after="204" w:line="240" w:lineRule="auto"/>
            <w:ind w:left="1080" w:right="116" w:hanging="1080"/>
            <w:jc w:val="right"/>
            <w:rPr>
              <w:rFonts w:ascii="Simplified Arabic" w:eastAsia="Simplified Arabic"/>
            </w:rPr>
          </w:pPr>
          <w:r>
            <w:fldChar w:fldCharType="begin"/>
          </w:r>
          <w:r>
            <w:instrText xml:space="preserve"> HYPERLINK \l "_bookmark29" </w:instrText>
          </w:r>
          <w:r>
            <w:fldChar w:fldCharType="separate"/>
          </w:r>
          <w:r>
            <w:t>现场污染处置</w:t>
          </w:r>
          <w:r>
            <w:tab/>
          </w:r>
          <w:r>
            <w:rPr>
              <w:rFonts w:ascii="Simplified Arabic" w:eastAsia="Simplified Arabic"/>
            </w:rPr>
            <w:t>69</w:t>
          </w:r>
          <w:r>
            <w:rPr>
              <w:rFonts w:ascii="Simplified Arabic" w:eastAsia="Simplified Arabic"/>
            </w:rPr>
            <w:fldChar w:fldCharType="end"/>
          </w:r>
        </w:p>
        <w:p>
          <w:pPr>
            <w:pStyle w:val="12"/>
            <w:numPr>
              <w:ilvl w:val="1"/>
              <w:numId w:val="6"/>
            </w:numPr>
            <w:tabs>
              <w:tab w:val="left" w:pos="480"/>
              <w:tab w:val="right" w:leader="dot" w:pos="7921"/>
            </w:tabs>
            <w:spacing w:before="286" w:after="0" w:line="240" w:lineRule="auto"/>
            <w:ind w:left="1080" w:right="116" w:hanging="1080"/>
            <w:jc w:val="right"/>
            <w:rPr>
              <w:rFonts w:ascii="Simplified Arabic" w:eastAsia="Simplified Arabic"/>
            </w:rPr>
          </w:pPr>
          <w:r>
            <w:fldChar w:fldCharType="begin"/>
          </w:r>
          <w:r>
            <w:instrText xml:space="preserve"> HYPERLINK \l "_bookmark30" </w:instrText>
          </w:r>
          <w:r>
            <w:fldChar w:fldCharType="separate"/>
          </w:r>
          <w:r>
            <w:t>医学救援</w:t>
          </w:r>
          <w:r>
            <w:tab/>
          </w:r>
          <w:r>
            <w:rPr>
              <w:rFonts w:ascii="Simplified Arabic" w:eastAsia="Simplified Arabic"/>
            </w:rPr>
            <w:t>69</w:t>
          </w:r>
          <w:r>
            <w:rPr>
              <w:rFonts w:ascii="Simplified Arabic" w:eastAsia="Simplified Arabic"/>
            </w:rPr>
            <w:fldChar w:fldCharType="end"/>
          </w:r>
        </w:p>
        <w:p>
          <w:pPr>
            <w:pStyle w:val="12"/>
            <w:numPr>
              <w:ilvl w:val="1"/>
              <w:numId w:val="6"/>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"_bookmark31" </w:instrText>
          </w:r>
          <w:r>
            <w:fldChar w:fldCharType="separate"/>
          </w:r>
          <w:r>
            <w:t>市场监管和调控</w:t>
          </w:r>
          <w:r>
            <w:tab/>
          </w:r>
          <w:r>
            <w:rPr>
              <w:rFonts w:ascii="Simplified Arabic" w:eastAsia="Simplified Arabic"/>
            </w:rPr>
            <w:t>69</w:t>
          </w:r>
          <w:r>
            <w:rPr>
              <w:rFonts w:ascii="Simplified Arabic" w:eastAsia="Simplified Arabic"/>
            </w:rPr>
            <w:fldChar w:fldCharType="end"/>
          </w:r>
        </w:p>
        <w:p>
          <w:pPr>
            <w:pStyle w:val="12"/>
            <w:numPr>
              <w:ilvl w:val="1"/>
              <w:numId w:val="6"/>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"_bookmark32" </w:instrText>
          </w:r>
          <w:r>
            <w:fldChar w:fldCharType="separate"/>
          </w:r>
          <w:r>
            <w:t>信息发布和舆论引导</w:t>
          </w:r>
          <w:r>
            <w:tab/>
          </w:r>
          <w:r>
            <w:rPr>
              <w:rFonts w:ascii="Simplified Arabic" w:eastAsia="Simplified Arabic"/>
            </w:rPr>
            <w:t>69</w:t>
          </w:r>
          <w:r>
            <w:rPr>
              <w:rFonts w:ascii="Simplified Arabic" w:eastAsia="Simplified Arabic"/>
            </w:rPr>
            <w:fldChar w:fldCharType="end"/>
          </w:r>
        </w:p>
        <w:p>
          <w:pPr>
            <w:pStyle w:val="12"/>
            <w:numPr>
              <w:ilvl w:val="1"/>
              <w:numId w:val="6"/>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"_bookmark33" </w:instrText>
          </w:r>
          <w:r>
            <w:fldChar w:fldCharType="separate"/>
          </w:r>
          <w:r>
            <w:t>维护社会稳定</w:t>
          </w:r>
          <w:r>
            <w:tab/>
          </w:r>
          <w:r>
            <w:rPr>
              <w:rFonts w:ascii="Simplified Arabic" w:eastAsia="Simplified Arabic"/>
            </w:rPr>
            <w:t>70</w:t>
          </w:r>
          <w:r>
            <w:rPr>
              <w:rFonts w:ascii="Simplified Arabic" w:eastAsia="Simplified Arabic"/>
            </w:rPr>
            <w:fldChar w:fldCharType="end"/>
          </w:r>
        </w:p>
        <w:p>
          <w:pPr>
            <w:pStyle w:val="12"/>
            <w:numPr>
              <w:ilvl w:val="1"/>
              <w:numId w:val="6"/>
            </w:numPr>
            <w:tabs>
              <w:tab w:val="left" w:pos="480"/>
              <w:tab w:val="right" w:leader="dot" w:pos="7921"/>
            </w:tabs>
            <w:spacing w:before="27" w:after="0" w:line="240" w:lineRule="auto"/>
            <w:ind w:left="1080" w:right="116" w:hanging="1080"/>
            <w:jc w:val="right"/>
            <w:rPr>
              <w:rFonts w:ascii="Simplified Arabic" w:eastAsia="Simplified Arabic"/>
            </w:rPr>
          </w:pPr>
          <w:r>
            <w:fldChar w:fldCharType="begin"/>
          </w:r>
          <w:r>
            <w:instrText xml:space="preserve"> HYPERLINK \l "_bookmark34" </w:instrText>
          </w:r>
          <w:r>
            <w:fldChar w:fldCharType="separate"/>
          </w:r>
          <w:r>
            <w:t>应急终止</w:t>
          </w:r>
          <w:r>
            <w:tab/>
          </w:r>
          <w:r>
            <w:rPr>
              <w:rFonts w:ascii="Simplified Arabic" w:eastAsia="Simplified Arabic"/>
            </w:rPr>
            <w:t>70</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"_bookmark35" </w:instrText>
          </w:r>
          <w:r>
            <w:fldChar w:fldCharType="separate"/>
          </w:r>
          <w:r>
            <w:t>第七章 事故报告与通告</w:t>
          </w:r>
          <w:r>
            <w:tab/>
          </w:r>
          <w:r>
            <w:rPr>
              <w:rFonts w:ascii="Simplified Arabic" w:eastAsia="Simplified Arabic"/>
            </w:rPr>
            <w:t>72</w:t>
          </w:r>
          <w:r>
            <w:rPr>
              <w:rFonts w:ascii="Simplified Arabic" w:eastAsia="Simplified Arabic"/>
            </w:rPr>
            <w:fldChar w:fldCharType="end"/>
          </w:r>
        </w:p>
        <w:p>
          <w:pPr>
            <w:pStyle w:val="12"/>
            <w:numPr>
              <w:ilvl w:val="1"/>
              <w:numId w:val="7"/>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"_bookmark36" </w:instrText>
          </w:r>
          <w:r>
            <w:fldChar w:fldCharType="separate"/>
          </w:r>
          <w:r>
            <w:t>报告程序</w:t>
          </w:r>
          <w:r>
            <w:tab/>
          </w:r>
          <w:r>
            <w:rPr>
              <w:rFonts w:ascii="Simplified Arabic" w:eastAsia="Simplified Arabic"/>
            </w:rPr>
            <w:t>72</w:t>
          </w:r>
          <w:r>
            <w:rPr>
              <w:rFonts w:ascii="Simplified Arabic" w:eastAsia="Simplified Arabic"/>
            </w:rPr>
            <w:fldChar w:fldCharType="end"/>
          </w:r>
        </w:p>
        <w:p>
          <w:pPr>
            <w:pStyle w:val="12"/>
            <w:numPr>
              <w:ilvl w:val="1"/>
              <w:numId w:val="7"/>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"_bookmark37" </w:instrText>
          </w:r>
          <w:r>
            <w:fldChar w:fldCharType="separate"/>
          </w:r>
          <w:r>
            <w:t>报告内容</w:t>
          </w:r>
          <w:r>
            <w:tab/>
          </w:r>
          <w:r>
            <w:rPr>
              <w:rFonts w:ascii="Simplified Arabic" w:eastAsia="Simplified Arabic"/>
            </w:rPr>
            <w:t>73</w:t>
          </w:r>
          <w:r>
            <w:rPr>
              <w:rFonts w:ascii="Simplified Arabic" w:eastAsia="Simplified Arabic"/>
            </w:rPr>
            <w:fldChar w:fldCharType="end"/>
          </w:r>
        </w:p>
        <w:p>
          <w:pPr>
            <w:pStyle w:val="12"/>
            <w:numPr>
              <w:ilvl w:val="1"/>
              <w:numId w:val="7"/>
            </w:numPr>
            <w:tabs>
              <w:tab w:val="left" w:pos="480"/>
              <w:tab w:val="right" w:leader="dot" w:pos="7921"/>
            </w:tabs>
            <w:spacing w:before="27" w:after="0" w:line="240" w:lineRule="auto"/>
            <w:ind w:left="1080" w:right="116" w:hanging="1080"/>
            <w:jc w:val="right"/>
            <w:rPr>
              <w:rFonts w:ascii="Simplified Arabic" w:eastAsia="Simplified Arabic"/>
            </w:rPr>
          </w:pPr>
          <w:r>
            <w:fldChar w:fldCharType="begin"/>
          </w:r>
          <w:r>
            <w:instrText xml:space="preserve"> HYPERLINK \l "_bookmark38" </w:instrText>
          </w:r>
          <w:r>
            <w:fldChar w:fldCharType="separate"/>
          </w:r>
          <w:r>
            <w:t>通报可能影响的区域</w:t>
          </w:r>
          <w:r>
            <w:tab/>
          </w:r>
          <w:r>
            <w:rPr>
              <w:rFonts w:ascii="Simplified Arabic" w:eastAsia="Simplified Arabic"/>
            </w:rPr>
            <w:t>74</w:t>
          </w:r>
          <w:r>
            <w:rPr>
              <w:rFonts w:ascii="Simplified Arabic" w:eastAsia="Simplified Arabic"/>
            </w:rPr>
            <w:fldChar w:fldCharType="end"/>
          </w:r>
        </w:p>
        <w:p>
          <w:pPr>
            <w:pStyle w:val="12"/>
            <w:numPr>
              <w:ilvl w:val="1"/>
              <w:numId w:val="7"/>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"_bookmark39" </w:instrText>
          </w:r>
          <w:r>
            <w:fldChar w:fldCharType="separate"/>
          </w:r>
          <w:r>
            <w:t>二十四小时报警</w:t>
          </w:r>
          <w:r>
            <w:tab/>
          </w:r>
          <w:r>
            <w:rPr>
              <w:rFonts w:ascii="Simplified Arabic" w:eastAsia="Simplified Arabic"/>
            </w:rPr>
            <w:t>74</w:t>
          </w:r>
          <w:r>
            <w:rPr>
              <w:rFonts w:ascii="Simplified Arabic" w:eastAsia="Simplified Arabic"/>
            </w:rPr>
            <w:fldChar w:fldCharType="end"/>
          </w:r>
        </w:p>
        <w:p>
          <w:pPr>
            <w:pStyle w:val="12"/>
            <w:numPr>
              <w:ilvl w:val="1"/>
              <w:numId w:val="7"/>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"_bookmark40" </w:instrText>
          </w:r>
          <w:r>
            <w:fldChar w:fldCharType="separate"/>
          </w:r>
          <w:r>
            <w:t>被报告人及联系方式</w:t>
          </w:r>
          <w:r>
            <w:tab/>
          </w:r>
          <w:r>
            <w:rPr>
              <w:rFonts w:ascii="Simplified Arabic" w:eastAsia="Simplified Arabic"/>
            </w:rPr>
            <w:t>74</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"_bookmark41" </w:instrText>
          </w:r>
          <w:r>
            <w:fldChar w:fldCharType="separate"/>
          </w:r>
          <w:r>
            <w:t>第八章 污染事故现场应急措施</w:t>
          </w:r>
          <w:r>
            <w:tab/>
          </w:r>
          <w:r>
            <w:rPr>
              <w:rFonts w:ascii="Simplified Arabic" w:eastAsia="Simplified Arabic"/>
            </w:rPr>
            <w:t>77</w:t>
          </w:r>
          <w:r>
            <w:rPr>
              <w:rFonts w:ascii="Simplified Arabic" w:eastAsia="Simplified Arabic"/>
            </w:rPr>
            <w:fldChar w:fldCharType="end"/>
          </w:r>
        </w:p>
        <w:p>
          <w:pPr>
            <w:pStyle w:val="12"/>
            <w:numPr>
              <w:ilvl w:val="1"/>
              <w:numId w:val="8"/>
            </w:numPr>
            <w:tabs>
              <w:tab w:val="left" w:pos="480"/>
              <w:tab w:val="right" w:leader="dot" w:pos="7921"/>
            </w:tabs>
            <w:spacing w:before="27" w:after="0" w:line="240" w:lineRule="auto"/>
            <w:ind w:left="1080" w:right="116" w:hanging="1080"/>
            <w:jc w:val="right"/>
            <w:rPr>
              <w:rFonts w:ascii="Simplified Arabic" w:eastAsia="Simplified Arabic"/>
            </w:rPr>
          </w:pPr>
          <w:r>
            <w:fldChar w:fldCharType="begin"/>
          </w:r>
          <w:r>
            <w:instrText xml:space="preserve"> HYPERLINK \l "_bookmark42" </w:instrText>
          </w:r>
          <w:r>
            <w:fldChar w:fldCharType="separate"/>
          </w:r>
          <w:r>
            <w:t>应急物资储备</w:t>
          </w:r>
          <w:r>
            <w:tab/>
          </w:r>
          <w:r>
            <w:rPr>
              <w:rFonts w:ascii="Simplified Arabic" w:eastAsia="Simplified Arabic"/>
            </w:rPr>
            <w:t>77</w:t>
          </w:r>
          <w:r>
            <w:rPr>
              <w:rFonts w:ascii="Simplified Arabic" w:eastAsia="Simplified Arabic"/>
            </w:rPr>
            <w:fldChar w:fldCharType="end"/>
          </w:r>
        </w:p>
        <w:p>
          <w:pPr>
            <w:pStyle w:val="12"/>
            <w:numPr>
              <w:ilvl w:val="1"/>
              <w:numId w:val="8"/>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"_bookmark43" </w:instrText>
          </w:r>
          <w:r>
            <w:fldChar w:fldCharType="separate"/>
          </w:r>
          <w:r>
            <w:t>装备保障维护保养</w:t>
          </w:r>
          <w:r>
            <w:tab/>
          </w:r>
          <w:r>
            <w:rPr>
              <w:rFonts w:ascii="Simplified Arabic" w:eastAsia="Simplified Arabic"/>
            </w:rPr>
            <w:t>78</w:t>
          </w:r>
          <w:r>
            <w:rPr>
              <w:rFonts w:ascii="Simplified Arabic" w:eastAsia="Simplified Arabic"/>
            </w:rPr>
            <w:fldChar w:fldCharType="end"/>
          </w:r>
        </w:p>
        <w:p>
          <w:pPr>
            <w:pStyle w:val="12"/>
            <w:numPr>
              <w:ilvl w:val="1"/>
              <w:numId w:val="8"/>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"_bookmark44" </w:instrText>
          </w:r>
          <w:r>
            <w:fldChar w:fldCharType="separate"/>
          </w:r>
          <w:r>
            <w:t>生产过程中应急解决方案</w:t>
          </w:r>
          <w:r>
            <w:tab/>
          </w:r>
          <w:r>
            <w:rPr>
              <w:rFonts w:ascii="Simplified Arabic" w:eastAsia="Simplified Arabic"/>
            </w:rPr>
            <w:t>78</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"_bookmark45" </w:instrText>
          </w:r>
          <w:r>
            <w:fldChar w:fldCharType="separate"/>
          </w:r>
          <w:r>
            <w:t>第九章 抢险救援措施</w:t>
          </w:r>
          <w:r>
            <w:tab/>
          </w:r>
          <w:r>
            <w:rPr>
              <w:rFonts w:ascii="Simplified Arabic" w:eastAsia="Simplified Arabic"/>
            </w:rPr>
            <w:t>86</w:t>
          </w:r>
          <w:r>
            <w:rPr>
              <w:rFonts w:ascii="Simplified Arabic" w:eastAsia="Simplified Arabic"/>
            </w:rPr>
            <w:fldChar w:fldCharType="end"/>
          </w:r>
        </w:p>
        <w:p>
          <w:pPr>
            <w:pStyle w:val="12"/>
            <w:numPr>
              <w:ilvl w:val="1"/>
              <w:numId w:val="9"/>
            </w:numPr>
            <w:tabs>
              <w:tab w:val="left" w:pos="480"/>
              <w:tab w:val="right" w:leader="dot" w:pos="7921"/>
            </w:tabs>
            <w:spacing w:before="27" w:after="0" w:line="240" w:lineRule="auto"/>
            <w:ind w:left="1080" w:right="116" w:hanging="1080"/>
            <w:jc w:val="right"/>
            <w:rPr>
              <w:rFonts w:ascii="Simplified Arabic" w:eastAsia="Simplified Arabic"/>
            </w:rPr>
          </w:pPr>
          <w:r>
            <w:fldChar w:fldCharType="begin"/>
          </w:r>
          <w:r>
            <w:instrText xml:space="preserve"> HYPERLINK \l "_bookmark46" </w:instrText>
          </w:r>
          <w:r>
            <w:fldChar w:fldCharType="separate"/>
          </w:r>
          <w:r>
            <w:t>事故现场的抢险、救援</w:t>
          </w:r>
          <w:r>
            <w:tab/>
          </w:r>
          <w:r>
            <w:rPr>
              <w:rFonts w:ascii="Simplified Arabic" w:eastAsia="Simplified Arabic"/>
            </w:rPr>
            <w:t>86</w:t>
          </w:r>
          <w:r>
            <w:rPr>
              <w:rFonts w:ascii="Simplified Arabic" w:eastAsia="Simplified Arabic"/>
            </w:rPr>
            <w:fldChar w:fldCharType="end"/>
          </w:r>
        </w:p>
        <w:p>
          <w:pPr>
            <w:pStyle w:val="12"/>
            <w:numPr>
              <w:ilvl w:val="1"/>
              <w:numId w:val="9"/>
            </w:numPr>
            <w:tabs>
              <w:tab w:val="left" w:pos="480"/>
              <w:tab w:val="right" w:leader="dot" w:pos="7921"/>
            </w:tabs>
            <w:spacing w:before="25" w:after="0" w:line="240" w:lineRule="auto"/>
            <w:ind w:left="1080" w:right="116" w:hanging="1080"/>
            <w:jc w:val="right"/>
            <w:rPr>
              <w:rFonts w:ascii="Simplified Arabic" w:eastAsia="Simplified Arabic"/>
            </w:rPr>
          </w:pPr>
          <w:r>
            <w:fldChar w:fldCharType="begin"/>
          </w:r>
          <w:r>
            <w:instrText xml:space="preserve"> HYPERLINK \l "_bookmark47" </w:instrText>
          </w:r>
          <w:r>
            <w:fldChar w:fldCharType="separate"/>
          </w:r>
          <w:r>
            <w:t>危险区的隔离</w:t>
          </w:r>
          <w:r>
            <w:tab/>
          </w:r>
          <w:r>
            <w:rPr>
              <w:rFonts w:ascii="Simplified Arabic" w:eastAsia="Simplified Arabic"/>
            </w:rPr>
            <w:t>87</w:t>
          </w:r>
          <w:r>
            <w:rPr>
              <w:rFonts w:ascii="Simplified Arabic" w:eastAsia="Simplified Arabic"/>
            </w:rPr>
            <w:fldChar w:fldCharType="end"/>
          </w:r>
        </w:p>
        <w:p>
          <w:pPr>
            <w:pStyle w:val="12"/>
            <w:numPr>
              <w:ilvl w:val="1"/>
              <w:numId w:val="9"/>
            </w:numPr>
            <w:tabs>
              <w:tab w:val="left" w:pos="480"/>
              <w:tab w:val="right" w:leader="dot" w:pos="7921"/>
            </w:tabs>
            <w:spacing w:before="24" w:after="0" w:line="240" w:lineRule="auto"/>
            <w:ind w:left="1080" w:right="116" w:hanging="1080"/>
            <w:jc w:val="right"/>
            <w:rPr>
              <w:rFonts w:ascii="Simplified Arabic" w:eastAsia="Simplified Arabic"/>
            </w:rPr>
          </w:pPr>
          <w:r>
            <w:fldChar w:fldCharType="begin"/>
          </w:r>
          <w:r>
            <w:instrText xml:space="preserve"> HYPERLINK \l "_bookmark48" </w:instrText>
          </w:r>
          <w:r>
            <w:fldChar w:fldCharType="separate"/>
          </w:r>
          <w:r>
            <w:t>现场应急人员在撤离前、撤离后的报告</w:t>
          </w:r>
          <w:r>
            <w:tab/>
          </w:r>
          <w:r>
            <w:rPr>
              <w:rFonts w:ascii="Simplified Arabic" w:eastAsia="Simplified Arabic"/>
            </w:rPr>
            <w:t>88</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"_bookmark49" </w:instrText>
          </w:r>
          <w:r>
            <w:fldChar w:fldCharType="separate"/>
          </w:r>
          <w:r>
            <w:t>第十章 现场保护与现场清理</w:t>
          </w:r>
          <w:r>
            <w:tab/>
          </w:r>
          <w:r>
            <w:rPr>
              <w:rFonts w:ascii="Simplified Arabic" w:eastAsia="Simplified Arabic"/>
            </w:rPr>
            <w:t>90</w:t>
          </w:r>
          <w:r>
            <w:rPr>
              <w:rFonts w:ascii="Simplified Arabic" w:eastAsia="Simplified Arabic"/>
            </w:rPr>
            <w:fldChar w:fldCharType="end"/>
          </w:r>
        </w:p>
        <w:p>
          <w:pPr>
            <w:pStyle w:val="12"/>
            <w:numPr>
              <w:ilvl w:val="1"/>
              <w:numId w:val="10"/>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"_bookmark50" </w:instrText>
          </w:r>
          <w:r>
            <w:fldChar w:fldCharType="separate"/>
          </w:r>
          <w:r>
            <w:t>事故现场的保护措施</w:t>
          </w:r>
          <w:r>
            <w:tab/>
          </w:r>
          <w:r>
            <w:rPr>
              <w:rFonts w:ascii="Simplified Arabic" w:eastAsia="Simplified Arabic"/>
            </w:rPr>
            <w:t>90</w:t>
          </w:r>
          <w:r>
            <w:rPr>
              <w:rFonts w:ascii="Simplified Arabic" w:eastAsia="Simplified Arabic"/>
            </w:rPr>
            <w:fldChar w:fldCharType="end"/>
          </w:r>
        </w:p>
        <w:p>
          <w:pPr>
            <w:pStyle w:val="12"/>
            <w:numPr>
              <w:ilvl w:val="1"/>
              <w:numId w:val="10"/>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"_bookmark51" </w:instrText>
          </w:r>
          <w:r>
            <w:fldChar w:fldCharType="separate"/>
          </w:r>
          <w:r>
            <w:t>确定现场净化方式、方法</w:t>
          </w:r>
          <w:r>
            <w:tab/>
          </w:r>
          <w:r>
            <w:rPr>
              <w:rFonts w:ascii="Simplified Arabic" w:eastAsia="Simplified Arabic"/>
            </w:rPr>
            <w:t>90</w:t>
          </w:r>
          <w:r>
            <w:rPr>
              <w:rFonts w:ascii="Simplified Arabic" w:eastAsia="Simplified Arabic"/>
            </w:rPr>
            <w:fldChar w:fldCharType="end"/>
          </w:r>
        </w:p>
        <w:p>
          <w:pPr>
            <w:pStyle w:val="12"/>
            <w:numPr>
              <w:ilvl w:val="1"/>
              <w:numId w:val="10"/>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"_bookmark52" </w:instrText>
          </w:r>
          <w:r>
            <w:fldChar w:fldCharType="separate"/>
          </w:r>
          <w:r>
            <w:t>明确事故现场清理工作的负责人和专业队伍</w:t>
          </w:r>
          <w:r>
            <w:tab/>
          </w:r>
          <w:r>
            <w:rPr>
              <w:rFonts w:ascii="Simplified Arabic" w:eastAsia="Simplified Arabic"/>
            </w:rPr>
            <w:t>90</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"_bookmark53" </w:instrText>
          </w:r>
          <w:r>
            <w:fldChar w:fldCharType="separate"/>
          </w:r>
          <w:r>
            <w:t>第十一章 事故现场的恢复和善后</w:t>
          </w:r>
          <w:r>
            <w:tab/>
          </w:r>
          <w:r>
            <w:rPr>
              <w:rFonts w:ascii="Simplified Arabic" w:eastAsia="Simplified Arabic"/>
            </w:rPr>
            <w:t>91</w:t>
          </w:r>
          <w:r>
            <w:rPr>
              <w:rFonts w:ascii="Simplified Arabic" w:eastAsia="Simplified Arabic"/>
            </w:rPr>
            <w:fldChar w:fldCharType="end"/>
          </w:r>
        </w:p>
        <w:p>
          <w:pPr>
            <w:pStyle w:val="12"/>
            <w:numPr>
              <w:ilvl w:val="1"/>
              <w:numId w:val="11"/>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"_bookmark54" </w:instrText>
          </w:r>
          <w:r>
            <w:fldChar w:fldCharType="separate"/>
          </w:r>
          <w:r>
            <w:t>撤点、撤离和交接程序</w:t>
          </w:r>
          <w:r>
            <w:tab/>
          </w:r>
          <w:r>
            <w:rPr>
              <w:rFonts w:ascii="Simplified Arabic" w:eastAsia="Simplified Arabic"/>
            </w:rPr>
            <w:t>91</w:t>
          </w:r>
          <w:r>
            <w:rPr>
              <w:rFonts w:ascii="Simplified Arabic" w:eastAsia="Simplified Arabic"/>
            </w:rPr>
            <w:fldChar w:fldCharType="end"/>
          </w:r>
        </w:p>
        <w:p>
          <w:pPr>
            <w:pStyle w:val="12"/>
            <w:numPr>
              <w:ilvl w:val="1"/>
              <w:numId w:val="11"/>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"_bookmark55" </w:instrText>
          </w:r>
          <w:r>
            <w:fldChar w:fldCharType="separate"/>
          </w:r>
          <w:r>
            <w:t>受影响区域的连续环境监测</w:t>
          </w:r>
          <w:r>
            <w:tab/>
          </w:r>
          <w:r>
            <w:rPr>
              <w:rFonts w:ascii="Simplified Arabic" w:eastAsia="Simplified Arabic"/>
            </w:rPr>
            <w:t>91</w:t>
          </w:r>
          <w:r>
            <w:rPr>
              <w:rFonts w:ascii="Simplified Arabic" w:eastAsia="Simplified Arabic"/>
            </w:rPr>
            <w:fldChar w:fldCharType="end"/>
          </w:r>
        </w:p>
        <w:p>
          <w:pPr>
            <w:pStyle w:val="12"/>
            <w:numPr>
              <w:ilvl w:val="1"/>
              <w:numId w:val="11"/>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"_bookmark56" </w:instrText>
          </w:r>
          <w:r>
            <w:fldChar w:fldCharType="separate"/>
          </w:r>
          <w:r>
            <w:t>应急终止的条件</w:t>
          </w:r>
          <w:r>
            <w:tab/>
          </w:r>
          <w:r>
            <w:rPr>
              <w:rFonts w:ascii="Simplified Arabic" w:eastAsia="Simplified Arabic"/>
            </w:rPr>
            <w:t>91</w:t>
          </w:r>
          <w:r>
            <w:rPr>
              <w:rFonts w:ascii="Simplified Arabic" w:eastAsia="Simplified Arabic"/>
            </w:rPr>
            <w:fldChar w:fldCharType="end"/>
          </w:r>
        </w:p>
        <w:p>
          <w:pPr>
            <w:pStyle w:val="12"/>
            <w:numPr>
              <w:ilvl w:val="1"/>
              <w:numId w:val="11"/>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"_bookmark57" </w:instrText>
          </w:r>
          <w:r>
            <w:fldChar w:fldCharType="separate"/>
          </w:r>
          <w:r>
            <w:t>事故后的生态环境措施</w:t>
          </w:r>
          <w:r>
            <w:tab/>
          </w:r>
          <w:r>
            <w:rPr>
              <w:rFonts w:ascii="Simplified Arabic" w:eastAsia="Simplified Arabic"/>
            </w:rPr>
            <w:t>91</w:t>
          </w:r>
          <w:r>
            <w:rPr>
              <w:rFonts w:ascii="Simplified Arabic" w:eastAsia="Simplified Arabic"/>
            </w:rPr>
            <w:fldChar w:fldCharType="end"/>
          </w:r>
        </w:p>
        <w:p>
          <w:pPr>
            <w:pStyle w:val="12"/>
            <w:numPr>
              <w:ilvl w:val="1"/>
              <w:numId w:val="11"/>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"_bookmark58" </w:instrText>
          </w:r>
          <w:r>
            <w:fldChar w:fldCharType="separate"/>
          </w:r>
          <w:r>
            <w:t>应急终止的程序</w:t>
          </w:r>
          <w:r>
            <w:tab/>
          </w:r>
          <w:r>
            <w:rPr>
              <w:rFonts w:ascii="Simplified Arabic" w:eastAsia="Simplified Arabic"/>
            </w:rPr>
            <w:t>91</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"_bookmark59" </w:instrText>
          </w:r>
          <w:r>
            <w:fldChar w:fldCharType="separate"/>
          </w:r>
          <w:r>
            <w:t>第十二章 应急终止</w:t>
          </w:r>
          <w:r>
            <w:tab/>
          </w:r>
          <w:r>
            <w:rPr>
              <w:rFonts w:ascii="Simplified Arabic" w:eastAsia="Simplified Arabic"/>
            </w:rPr>
            <w:t>93</w:t>
          </w:r>
          <w:r>
            <w:rPr>
              <w:rFonts w:ascii="Simplified Arabic" w:eastAsia="Simplified Arabic"/>
            </w:rPr>
            <w:fldChar w:fldCharType="end"/>
          </w:r>
        </w:p>
        <w:p>
          <w:pPr>
            <w:pStyle w:val="12"/>
            <w:numPr>
              <w:ilvl w:val="1"/>
              <w:numId w:val="12"/>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"_bookmark60" </w:instrText>
          </w:r>
          <w:r>
            <w:fldChar w:fldCharType="separate"/>
          </w:r>
          <w:r>
            <w:t>应急终止通知</w:t>
          </w:r>
          <w:r>
            <w:tab/>
          </w:r>
          <w:r>
            <w:rPr>
              <w:rFonts w:ascii="Simplified Arabic" w:eastAsia="Simplified Arabic"/>
            </w:rPr>
            <w:t>93</w:t>
          </w:r>
          <w:r>
            <w:rPr>
              <w:rFonts w:ascii="Simplified Arabic" w:eastAsia="Simplified Arabic"/>
            </w:rPr>
            <w:fldChar w:fldCharType="end"/>
          </w:r>
        </w:p>
        <w:p>
          <w:pPr>
            <w:pStyle w:val="12"/>
            <w:numPr>
              <w:ilvl w:val="1"/>
              <w:numId w:val="12"/>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"_bookmark61" </w:instrText>
          </w:r>
          <w:r>
            <w:fldChar w:fldCharType="separate"/>
          </w:r>
          <w:r>
            <w:t>环境应急设备维护、保养</w:t>
          </w:r>
          <w:r>
            <w:tab/>
          </w:r>
          <w:r>
            <w:rPr>
              <w:rFonts w:ascii="Simplified Arabic" w:eastAsia="Simplified Arabic"/>
            </w:rPr>
            <w:t>93</w:t>
          </w:r>
          <w:r>
            <w:rPr>
              <w:rFonts w:ascii="Simplified Arabic" w:eastAsia="Simplified Arabic"/>
            </w:rPr>
            <w:fldChar w:fldCharType="end"/>
          </w:r>
        </w:p>
        <w:p>
          <w:pPr>
            <w:pStyle w:val="12"/>
            <w:numPr>
              <w:ilvl w:val="1"/>
              <w:numId w:val="12"/>
            </w:numPr>
            <w:tabs>
              <w:tab w:val="left" w:pos="600"/>
              <w:tab w:val="right" w:leader="dot" w:pos="7921"/>
            </w:tabs>
            <w:spacing w:before="27" w:after="20" w:line="240" w:lineRule="auto"/>
            <w:ind w:left="1200" w:right="116" w:hanging="1200"/>
            <w:jc w:val="right"/>
            <w:rPr>
              <w:rFonts w:ascii="Simplified Arabic" w:eastAsia="Simplified Arabic"/>
            </w:rPr>
          </w:pPr>
          <w:r>
            <w:fldChar w:fldCharType="begin"/>
          </w:r>
          <w:r>
            <w:instrText xml:space="preserve"> HYPERLINK \l "_bookmark62" </w:instrText>
          </w:r>
          <w:r>
            <w:fldChar w:fldCharType="separate"/>
          </w:r>
          <w:r>
            <w:t>应急评价过程</w:t>
          </w:r>
          <w:r>
            <w:tab/>
          </w:r>
          <w:r>
            <w:rPr>
              <w:rFonts w:ascii="Simplified Arabic" w:eastAsia="Simplified Arabic"/>
            </w:rPr>
            <w:t>93</w:t>
          </w:r>
          <w:r>
            <w:rPr>
              <w:rFonts w:ascii="Simplified Arabic" w:eastAsia="Simplified Arabic"/>
            </w:rPr>
            <w:fldChar w:fldCharType="end"/>
          </w:r>
        </w:p>
        <w:p>
          <w:pPr>
            <w:pStyle w:val="12"/>
            <w:numPr>
              <w:ilvl w:val="1"/>
              <w:numId w:val="12"/>
            </w:numPr>
            <w:tabs>
              <w:tab w:val="left" w:pos="600"/>
              <w:tab w:val="right" w:leader="dot" w:pos="7921"/>
            </w:tabs>
            <w:spacing w:before="286" w:after="0" w:line="240" w:lineRule="auto"/>
            <w:ind w:left="1200" w:right="116" w:hanging="1200"/>
            <w:jc w:val="right"/>
            <w:rPr>
              <w:rFonts w:ascii="Simplified Arabic" w:eastAsia="Simplified Arabic"/>
            </w:rPr>
          </w:pPr>
          <w:r>
            <w:fldChar w:fldCharType="begin"/>
          </w:r>
          <w:r>
            <w:instrText xml:space="preserve"> HYPERLINK \l "_bookmark63" </w:instrText>
          </w:r>
          <w:r>
            <w:fldChar w:fldCharType="separate"/>
          </w:r>
          <w:r>
            <w:t>事故原因的调查</w:t>
          </w:r>
          <w:r>
            <w:tab/>
          </w:r>
          <w:r>
            <w:rPr>
              <w:rFonts w:ascii="Simplified Arabic" w:eastAsia="Simplified Arabic"/>
            </w:rPr>
            <w:t>94</w:t>
          </w:r>
          <w:r>
            <w:rPr>
              <w:rFonts w:ascii="Simplified Arabic" w:eastAsia="Simplified Arabic"/>
            </w:rPr>
            <w:fldChar w:fldCharType="end"/>
          </w:r>
        </w:p>
        <w:p>
          <w:pPr>
            <w:pStyle w:val="12"/>
            <w:numPr>
              <w:ilvl w:val="1"/>
              <w:numId w:val="12"/>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"_bookmark64" </w:instrText>
          </w:r>
          <w:r>
            <w:fldChar w:fldCharType="separate"/>
          </w:r>
          <w:r>
            <w:t>环境应急总结报告的编制</w:t>
          </w:r>
          <w:r>
            <w:tab/>
          </w:r>
          <w:r>
            <w:rPr>
              <w:rFonts w:ascii="Simplified Arabic" w:eastAsia="Simplified Arabic"/>
            </w:rPr>
            <w:t>94</w:t>
          </w:r>
          <w:r>
            <w:rPr>
              <w:rFonts w:ascii="Simplified Arabic" w:eastAsia="Simplified Arabic"/>
            </w:rPr>
            <w:fldChar w:fldCharType="end"/>
          </w:r>
        </w:p>
        <w:p>
          <w:pPr>
            <w:pStyle w:val="12"/>
            <w:numPr>
              <w:ilvl w:val="1"/>
              <w:numId w:val="12"/>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"_bookmark65" </w:instrText>
          </w:r>
          <w:r>
            <w:fldChar w:fldCharType="separate"/>
          </w:r>
          <w:r>
            <w:t>环境污染事故应急预案修订</w:t>
          </w:r>
          <w:r>
            <w:tab/>
          </w:r>
          <w:r>
            <w:rPr>
              <w:rFonts w:ascii="Simplified Arabic" w:eastAsia="Simplified Arabic"/>
            </w:rPr>
            <w:t>95</w:t>
          </w:r>
          <w:r>
            <w:rPr>
              <w:rFonts w:ascii="Simplified Arabic" w:eastAsia="Simplified Arabic"/>
            </w:rPr>
            <w:fldChar w:fldCharType="end"/>
          </w:r>
        </w:p>
        <w:p>
          <w:pPr>
            <w:pStyle w:val="12"/>
            <w:numPr>
              <w:ilvl w:val="1"/>
              <w:numId w:val="12"/>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"_bookmark66" </w:instrText>
          </w:r>
          <w:r>
            <w:fldChar w:fldCharType="separate"/>
          </w:r>
          <w:r>
            <w:t>事故损失调查和责任认定</w:t>
          </w:r>
          <w:r>
            <w:tab/>
          </w:r>
          <w:r>
            <w:rPr>
              <w:rFonts w:ascii="Simplified Arabic" w:eastAsia="Simplified Arabic"/>
            </w:rPr>
            <w:t>95</w:t>
          </w:r>
          <w:r>
            <w:rPr>
              <w:rFonts w:ascii="Simplified Arabic" w:eastAsia="Simplified Arabic"/>
            </w:rPr>
            <w:fldChar w:fldCharType="end"/>
          </w:r>
        </w:p>
        <w:p>
          <w:pPr>
            <w:pStyle w:val="12"/>
            <w:numPr>
              <w:ilvl w:val="1"/>
              <w:numId w:val="12"/>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"_bookmark67" </w:instrText>
          </w:r>
          <w:r>
            <w:fldChar w:fldCharType="separate"/>
          </w:r>
          <w:r>
            <w:t>善后处置和保险</w:t>
          </w:r>
          <w:r>
            <w:tab/>
          </w:r>
          <w:r>
            <w:rPr>
              <w:rFonts w:ascii="Simplified Arabic" w:eastAsia="Simplified Arabic"/>
            </w:rPr>
            <w:t>95</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"_bookmark68" </w:instrText>
          </w:r>
          <w:r>
            <w:fldChar w:fldCharType="separate"/>
          </w:r>
          <w:r>
            <w:t>第十三章 保障措施</w:t>
          </w:r>
          <w:r>
            <w:tab/>
          </w:r>
          <w:r>
            <w:rPr>
              <w:rFonts w:ascii="Simplified Arabic" w:eastAsia="Simplified Arabic"/>
            </w:rPr>
            <w:t>97</w:t>
          </w:r>
          <w:r>
            <w:rPr>
              <w:rFonts w:ascii="Simplified Arabic" w:eastAsia="Simplified Arabic"/>
            </w:rPr>
            <w:fldChar w:fldCharType="end"/>
          </w:r>
        </w:p>
        <w:p>
          <w:pPr>
            <w:pStyle w:val="12"/>
            <w:numPr>
              <w:ilvl w:val="1"/>
              <w:numId w:val="13"/>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"_bookmark69" </w:instrText>
          </w:r>
          <w:r>
            <w:fldChar w:fldCharType="separate"/>
          </w:r>
          <w:r>
            <w:t>通信与信息保障</w:t>
          </w:r>
          <w:r>
            <w:tab/>
          </w:r>
          <w:r>
            <w:rPr>
              <w:rFonts w:ascii="Simplified Arabic" w:eastAsia="Simplified Arabic"/>
            </w:rPr>
            <w:t>97</w:t>
          </w:r>
          <w:r>
            <w:rPr>
              <w:rFonts w:ascii="Simplified Arabic" w:eastAsia="Simplified Arabic"/>
            </w:rPr>
            <w:fldChar w:fldCharType="end"/>
          </w:r>
        </w:p>
        <w:p>
          <w:pPr>
            <w:pStyle w:val="12"/>
            <w:numPr>
              <w:ilvl w:val="1"/>
              <w:numId w:val="13"/>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"_bookmark70" </w:instrText>
          </w:r>
          <w:r>
            <w:fldChar w:fldCharType="separate"/>
          </w:r>
          <w:r>
            <w:t>应急队伍保障</w:t>
          </w:r>
          <w:r>
            <w:tab/>
          </w:r>
          <w:r>
            <w:rPr>
              <w:rFonts w:ascii="Simplified Arabic" w:eastAsia="Simplified Arabic"/>
            </w:rPr>
            <w:t>97</w:t>
          </w:r>
          <w:r>
            <w:rPr>
              <w:rFonts w:ascii="Simplified Arabic" w:eastAsia="Simplified Arabic"/>
            </w:rPr>
            <w:fldChar w:fldCharType="end"/>
          </w:r>
        </w:p>
        <w:p>
          <w:pPr>
            <w:pStyle w:val="12"/>
            <w:numPr>
              <w:ilvl w:val="1"/>
              <w:numId w:val="13"/>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"_bookmark71" </w:instrText>
          </w:r>
          <w:r>
            <w:fldChar w:fldCharType="separate"/>
          </w:r>
          <w:r>
            <w:t>应急装备保障</w:t>
          </w:r>
          <w:r>
            <w:tab/>
          </w:r>
          <w:r>
            <w:rPr>
              <w:rFonts w:ascii="Simplified Arabic" w:eastAsia="Simplified Arabic"/>
            </w:rPr>
            <w:t>97</w:t>
          </w:r>
          <w:r>
            <w:rPr>
              <w:rFonts w:ascii="Simplified Arabic" w:eastAsia="Simplified Arabic"/>
            </w:rPr>
            <w:fldChar w:fldCharType="end"/>
          </w:r>
        </w:p>
        <w:p>
          <w:pPr>
            <w:pStyle w:val="12"/>
            <w:numPr>
              <w:ilvl w:val="1"/>
              <w:numId w:val="13"/>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"_bookmark72" </w:instrText>
          </w:r>
          <w:r>
            <w:fldChar w:fldCharType="separate"/>
          </w:r>
          <w:r>
            <w:t>经费保障</w:t>
          </w:r>
          <w:r>
            <w:tab/>
          </w:r>
          <w:r>
            <w:rPr>
              <w:rFonts w:ascii="Simplified Arabic" w:eastAsia="Simplified Arabic"/>
            </w:rPr>
            <w:t>98</w:t>
          </w:r>
          <w:r>
            <w:rPr>
              <w:rFonts w:ascii="Simplified Arabic" w:eastAsia="Simplified Arabic"/>
            </w:rPr>
            <w:fldChar w:fldCharType="end"/>
          </w:r>
        </w:p>
        <w:p>
          <w:pPr>
            <w:pStyle w:val="12"/>
            <w:numPr>
              <w:ilvl w:val="1"/>
              <w:numId w:val="13"/>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"_bookmark73" </w:instrText>
          </w:r>
          <w:r>
            <w:fldChar w:fldCharType="separate"/>
          </w:r>
          <w:r>
            <w:t>其他保障</w:t>
          </w:r>
          <w:r>
            <w:tab/>
          </w:r>
          <w:r>
            <w:rPr>
              <w:rFonts w:ascii="Simplified Arabic" w:eastAsia="Simplified Arabic"/>
            </w:rPr>
            <w:t>98</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"_bookmark74" </w:instrText>
          </w:r>
          <w:r>
            <w:fldChar w:fldCharType="separate"/>
          </w:r>
          <w:r>
            <w:t>第十四章 应急培训及演练</w:t>
          </w:r>
          <w:r>
            <w:tab/>
          </w:r>
          <w:r>
            <w:rPr>
              <w:rFonts w:ascii="Simplified Arabic" w:eastAsia="Simplified Arabic"/>
            </w:rPr>
            <w:t>100</w:t>
          </w:r>
          <w:r>
            <w:rPr>
              <w:rFonts w:ascii="Simplified Arabic" w:eastAsia="Simplified Arabic"/>
            </w:rPr>
            <w:fldChar w:fldCharType="end"/>
          </w:r>
        </w:p>
        <w:p>
          <w:pPr>
            <w:pStyle w:val="12"/>
            <w:tabs>
              <w:tab w:val="right" w:leader="dot" w:pos="7921"/>
            </w:tabs>
            <w:spacing w:before="27"/>
            <w:ind w:left="0" w:firstLine="0"/>
            <w:rPr>
              <w:rFonts w:ascii="Simplified Arabic" w:eastAsia="Simplified Arabic"/>
            </w:rPr>
          </w:pPr>
          <w:r>
            <w:fldChar w:fldCharType="begin"/>
          </w:r>
          <w:r>
            <w:instrText xml:space="preserve"> HYPERLINK \l "_bookmark75" </w:instrText>
          </w:r>
          <w:r>
            <w:fldChar w:fldCharType="separate"/>
          </w:r>
          <w:r>
            <w:t>14.1 培训</w:t>
          </w:r>
          <w:r>
            <w:tab/>
          </w:r>
          <w:r>
            <w:rPr>
              <w:rFonts w:ascii="Simplified Arabic" w:eastAsia="Simplified Arabic"/>
            </w:rPr>
            <w:t>100</w:t>
          </w:r>
          <w:r>
            <w:rPr>
              <w:rFonts w:ascii="Simplified Arabic" w:eastAsia="Simplified Arabic"/>
            </w:rPr>
            <w:fldChar w:fldCharType="end"/>
          </w:r>
        </w:p>
        <w:p>
          <w:pPr>
            <w:pStyle w:val="12"/>
            <w:tabs>
              <w:tab w:val="right" w:leader="dot" w:pos="7921"/>
            </w:tabs>
            <w:spacing w:before="24"/>
            <w:ind w:left="0" w:firstLine="0"/>
            <w:rPr>
              <w:rFonts w:ascii="Simplified Arabic" w:eastAsia="Simplified Arabic"/>
            </w:rPr>
          </w:pPr>
          <w:r>
            <w:fldChar w:fldCharType="begin"/>
          </w:r>
          <w:r>
            <w:instrText xml:space="preserve"> HYPERLINK \l "_bookmark76" </w:instrText>
          </w:r>
          <w:r>
            <w:fldChar w:fldCharType="separate"/>
          </w:r>
          <w:r>
            <w:t>14.2 演练</w:t>
          </w:r>
          <w:r>
            <w:tab/>
          </w:r>
          <w:r>
            <w:rPr>
              <w:rFonts w:ascii="Simplified Arabic" w:eastAsia="Simplified Arabic"/>
            </w:rPr>
            <w:t>100</w:t>
          </w:r>
          <w:r>
            <w:rPr>
              <w:rFonts w:ascii="Simplified Arabic" w:eastAsia="Simplified Arabic"/>
            </w:rPr>
            <w:fldChar w:fldCharType="end"/>
          </w:r>
        </w:p>
        <w:p>
          <w:pPr>
            <w:pStyle w:val="12"/>
            <w:tabs>
              <w:tab w:val="right" w:leader="dot" w:pos="8401"/>
            </w:tabs>
            <w:ind w:left="0" w:firstLine="0"/>
            <w:rPr>
              <w:rFonts w:ascii="Simplified Arabic" w:eastAsia="Simplified Arabic"/>
            </w:rPr>
          </w:pPr>
          <w:r>
            <w:fldChar w:fldCharType="begin"/>
          </w:r>
          <w:r>
            <w:instrText xml:space="preserve"> HYPERLINK \l "_bookmark77" </w:instrText>
          </w:r>
          <w:r>
            <w:fldChar w:fldCharType="separate"/>
          </w:r>
          <w:r>
            <w:t>第十五章 奖惩与责任</w:t>
          </w:r>
          <w:r>
            <w:tab/>
          </w:r>
          <w:r>
            <w:rPr>
              <w:rFonts w:ascii="Simplified Arabic" w:eastAsia="Simplified Arabic"/>
            </w:rPr>
            <w:t>105</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"_bookmark78" </w:instrText>
          </w:r>
          <w:r>
            <w:fldChar w:fldCharType="separate"/>
          </w:r>
          <w:r>
            <w:t>第十六章 预案的评估、备案、发布和更新</w:t>
          </w:r>
          <w:r>
            <w:tab/>
          </w:r>
          <w:r>
            <w:rPr>
              <w:rFonts w:ascii="Simplified Arabic" w:eastAsia="Simplified Arabic"/>
            </w:rPr>
            <w:t>106</w:t>
          </w:r>
          <w:r>
            <w:rPr>
              <w:rFonts w:ascii="Simplified Arabic" w:eastAsia="Simplified Arabic"/>
            </w:rPr>
            <w:fldChar w:fldCharType="end"/>
          </w:r>
        </w:p>
        <w:p>
          <w:pPr>
            <w:pStyle w:val="12"/>
            <w:numPr>
              <w:ilvl w:val="1"/>
              <w:numId w:val="14"/>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"_bookmark79" </w:instrText>
          </w:r>
          <w:r>
            <w:fldChar w:fldCharType="separate"/>
          </w:r>
          <w:r>
            <w:t>预案评估</w:t>
          </w:r>
          <w:r>
            <w:tab/>
          </w:r>
          <w:r>
            <w:rPr>
              <w:rFonts w:ascii="Simplified Arabic" w:eastAsia="Simplified Arabic"/>
            </w:rPr>
            <w:t>106</w:t>
          </w:r>
          <w:r>
            <w:rPr>
              <w:rFonts w:ascii="Simplified Arabic" w:eastAsia="Simplified Arabic"/>
            </w:rPr>
            <w:fldChar w:fldCharType="end"/>
          </w:r>
        </w:p>
        <w:p>
          <w:pPr>
            <w:pStyle w:val="12"/>
            <w:numPr>
              <w:ilvl w:val="1"/>
              <w:numId w:val="14"/>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"_bookmark80" </w:instrText>
          </w:r>
          <w:r>
            <w:fldChar w:fldCharType="separate"/>
          </w:r>
          <w:r>
            <w:t>预案的备案</w:t>
          </w:r>
          <w:r>
            <w:tab/>
          </w:r>
          <w:r>
            <w:rPr>
              <w:rFonts w:ascii="Simplified Arabic" w:eastAsia="Simplified Arabic"/>
            </w:rPr>
            <w:t>106</w:t>
          </w:r>
          <w:r>
            <w:rPr>
              <w:rFonts w:ascii="Simplified Arabic" w:eastAsia="Simplified Arabic"/>
            </w:rPr>
            <w:fldChar w:fldCharType="end"/>
          </w:r>
        </w:p>
        <w:p>
          <w:pPr>
            <w:pStyle w:val="12"/>
            <w:numPr>
              <w:ilvl w:val="1"/>
              <w:numId w:val="14"/>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"_bookmark81" </w:instrText>
          </w:r>
          <w:r>
            <w:fldChar w:fldCharType="separate"/>
          </w:r>
          <w:r>
            <w:t>预案更新</w:t>
          </w:r>
          <w:r>
            <w:tab/>
          </w:r>
          <w:r>
            <w:rPr>
              <w:rFonts w:ascii="Simplified Arabic" w:eastAsia="Simplified Arabic"/>
            </w:rPr>
            <w:t>106</w:t>
          </w:r>
          <w:r>
            <w:rPr>
              <w:rFonts w:ascii="Simplified Arabic" w:eastAsia="Simplified Arabic"/>
            </w:rPr>
            <w:fldChar w:fldCharType="end"/>
          </w:r>
        </w:p>
        <w:p>
          <w:pPr>
            <w:pStyle w:val="12"/>
            <w:numPr>
              <w:ilvl w:val="1"/>
              <w:numId w:val="14"/>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"_bookmark82" </w:instrText>
          </w:r>
          <w:r>
            <w:fldChar w:fldCharType="separate"/>
          </w:r>
          <w:r>
            <w:t>预案的发布</w:t>
          </w:r>
          <w:r>
            <w:tab/>
          </w:r>
          <w:r>
            <w:rPr>
              <w:rFonts w:ascii="Simplified Arabic" w:eastAsia="Simplified Arabic"/>
            </w:rPr>
            <w:t>106</w:t>
          </w:r>
          <w:r>
            <w:rPr>
              <w:rFonts w:ascii="Simplified Arabic" w:eastAsia="Simplified Arabic"/>
            </w:rPr>
            <w:fldChar w:fldCharType="end"/>
          </w:r>
        </w:p>
        <w:p>
          <w:pPr>
            <w:pStyle w:val="12"/>
            <w:numPr>
              <w:ilvl w:val="1"/>
              <w:numId w:val="14"/>
            </w:numPr>
            <w:tabs>
              <w:tab w:val="left" w:pos="600"/>
              <w:tab w:val="right" w:leader="dot" w:pos="7921"/>
            </w:tabs>
            <w:spacing w:before="27" w:after="0" w:line="240" w:lineRule="auto"/>
            <w:ind w:left="1200" w:right="116" w:hanging="1200"/>
            <w:jc w:val="right"/>
            <w:rPr>
              <w:rFonts w:ascii="Simplified Arabic" w:eastAsia="Simplified Arabic"/>
            </w:rPr>
          </w:pPr>
          <w:r>
            <w:fldChar w:fldCharType="begin"/>
          </w:r>
          <w:r>
            <w:instrText xml:space="preserve"> HYPERLINK \l "_bookmark83" </w:instrText>
          </w:r>
          <w:r>
            <w:fldChar w:fldCharType="separate"/>
          </w:r>
          <w:r>
            <w:t>预案实施</w:t>
          </w:r>
          <w:r>
            <w:tab/>
          </w:r>
          <w:r>
            <w:rPr>
              <w:rFonts w:ascii="Simplified Arabic" w:eastAsia="Simplified Arabic"/>
            </w:rPr>
            <w:t>106</w:t>
          </w:r>
          <w:r>
            <w:rPr>
              <w:rFonts w:ascii="Simplified Arabic" w:eastAsia="Simplified Arabic"/>
            </w:rPr>
            <w:fldChar w:fldCharType="end"/>
          </w:r>
        </w:p>
        <w:p>
          <w:pPr>
            <w:pStyle w:val="12"/>
            <w:tabs>
              <w:tab w:val="right" w:leader="dot" w:pos="8401"/>
            </w:tabs>
            <w:spacing w:before="24"/>
            <w:ind w:left="0" w:firstLine="0"/>
            <w:rPr>
              <w:rFonts w:ascii="Simplified Arabic" w:eastAsia="Simplified Arabic"/>
            </w:rPr>
          </w:pPr>
          <w:r>
            <w:fldChar w:fldCharType="begin"/>
          </w:r>
          <w:r>
            <w:instrText xml:space="preserve"> HYPERLINK \l "_bookmark84" </w:instrText>
          </w:r>
          <w:r>
            <w:fldChar w:fldCharType="separate"/>
          </w:r>
          <w:r>
            <w:t>第十七章 附则</w:t>
          </w:r>
          <w:r>
            <w:tab/>
          </w:r>
          <w:r>
            <w:rPr>
              <w:rFonts w:ascii="Simplified Arabic" w:eastAsia="Simplified Arabic"/>
            </w:rPr>
            <w:t>107</w:t>
          </w:r>
          <w:r>
            <w:rPr>
              <w:rFonts w:ascii="Simplified Arabic" w:eastAsia="Simplified Arabic"/>
            </w:rPr>
            <w:fldChar w:fldCharType="end"/>
          </w:r>
        </w:p>
        <w:p>
          <w:pPr>
            <w:pStyle w:val="12"/>
            <w:numPr>
              <w:ilvl w:val="1"/>
              <w:numId w:val="15"/>
            </w:numPr>
            <w:tabs>
              <w:tab w:val="left" w:pos="600"/>
              <w:tab w:val="right" w:leader="dot" w:pos="7921"/>
            </w:tabs>
            <w:spacing w:before="25" w:after="0" w:line="240" w:lineRule="auto"/>
            <w:ind w:left="1200" w:right="116" w:hanging="1200"/>
            <w:jc w:val="right"/>
            <w:rPr>
              <w:rFonts w:ascii="Simplified Arabic" w:eastAsia="Simplified Arabic"/>
            </w:rPr>
          </w:pPr>
          <w:r>
            <w:fldChar w:fldCharType="begin"/>
          </w:r>
          <w:r>
            <w:instrText xml:space="preserve"> HYPERLINK \l "_bookmark85" </w:instrText>
          </w:r>
          <w:r>
            <w:fldChar w:fldCharType="separate"/>
          </w:r>
          <w:r>
            <w:t>术语、符号和代号</w:t>
          </w:r>
          <w:r>
            <w:tab/>
          </w:r>
          <w:r>
            <w:rPr>
              <w:rFonts w:ascii="Simplified Arabic" w:eastAsia="Simplified Arabic"/>
            </w:rPr>
            <w:t>107</w:t>
          </w:r>
          <w:r>
            <w:rPr>
              <w:rFonts w:ascii="Simplified Arabic" w:eastAsia="Simplified Arabic"/>
            </w:rPr>
            <w:fldChar w:fldCharType="end"/>
          </w:r>
        </w:p>
        <w:p>
          <w:pPr>
            <w:pStyle w:val="12"/>
            <w:numPr>
              <w:ilvl w:val="1"/>
              <w:numId w:val="15"/>
            </w:numPr>
            <w:tabs>
              <w:tab w:val="left" w:pos="600"/>
              <w:tab w:val="right" w:leader="dot" w:pos="7921"/>
            </w:tabs>
            <w:spacing w:before="24" w:after="0" w:line="240" w:lineRule="auto"/>
            <w:ind w:left="1200" w:right="116" w:hanging="1200"/>
            <w:jc w:val="right"/>
            <w:rPr>
              <w:rFonts w:ascii="Simplified Arabic" w:eastAsia="Simplified Arabic"/>
            </w:rPr>
          </w:pPr>
          <w:r>
            <w:fldChar w:fldCharType="begin"/>
          </w:r>
          <w:r>
            <w:instrText xml:space="preserve"> HYPERLINK \l "_bookmark86" </w:instrText>
          </w:r>
          <w:r>
            <w:fldChar w:fldCharType="separate"/>
          </w:r>
          <w:r>
            <w:t>预案解释部门</w:t>
          </w:r>
          <w:r>
            <w:tab/>
          </w:r>
          <w:r>
            <w:rPr>
              <w:rFonts w:ascii="Simplified Arabic" w:eastAsia="Simplified Arabic"/>
            </w:rPr>
            <w:t>107</w:t>
          </w:r>
          <w:r>
            <w:rPr>
              <w:rFonts w:ascii="Simplified Arabic" w:eastAsia="Simplified Arabic"/>
            </w:rPr>
            <w:fldChar w:fldCharType="end"/>
          </w:r>
        </w:p>
      </w:sdtContent>
    </w:sdt>
    <w:p>
      <w:pPr>
        <w:spacing w:after="0" w:line="240" w:lineRule="auto"/>
        <w:jc w:val="right"/>
        <w:rPr>
          <w:rFonts w:ascii="Simplified Arabic" w:eastAsia="Simplified Arabic"/>
        </w:rPr>
        <w:sectPr>
          <w:type w:val="continuous"/>
          <w:pgSz w:w="11900" w:h="16840"/>
          <w:pgMar w:top="1157" w:right="1580" w:bottom="1442" w:left="1680" w:header="720" w:footer="720" w:gutter="0"/>
          <w:cols w:space="720" w:num="1"/>
        </w:sectPr>
      </w:pPr>
    </w:p>
    <w:p>
      <w:pPr>
        <w:pStyle w:val="4"/>
        <w:tabs>
          <w:tab w:val="left" w:pos="1679"/>
        </w:tabs>
        <w:spacing w:before="255"/>
        <w:ind w:right="99"/>
      </w:pPr>
      <w:r>
        <w:t>第一章</w:t>
      </w:r>
      <w:r>
        <w:tab/>
      </w:r>
      <w:bookmarkStart w:id="0" w:name="第一章总则"/>
      <w:bookmarkEnd w:id="0"/>
      <w:bookmarkStart w:id="1" w:name="_bookmark0"/>
      <w:bookmarkEnd w:id="1"/>
      <w:r>
        <w:t>总则</w:t>
      </w:r>
    </w:p>
    <w:p>
      <w:pPr>
        <w:pStyle w:val="5"/>
        <w:numPr>
          <w:ilvl w:val="1"/>
          <w:numId w:val="16"/>
        </w:numPr>
        <w:bidi w:val="0"/>
      </w:pPr>
      <w:bookmarkStart w:id="2" w:name="_bookmark1"/>
      <w:bookmarkEnd w:id="2"/>
      <w:bookmarkStart w:id="3" w:name="1.1 编制目的"/>
      <w:bookmarkEnd w:id="3"/>
      <w:bookmarkStart w:id="4" w:name="_bookmark1"/>
      <w:bookmarkEnd w:id="4"/>
      <w:r>
        <w:t>编制目的</w:t>
      </w:r>
    </w:p>
    <w:p>
      <w:pPr>
        <w:pStyle w:val="7"/>
        <w:spacing w:before="185" w:line="364" w:lineRule="auto"/>
        <w:ind w:left="222" w:right="201" w:firstLine="566"/>
      </w:pPr>
      <w:r>
        <w:t>编制《突发性环境事件应急预案》的目的是为了贯彻环境安全预防为主的</w:t>
      </w:r>
      <w:r>
        <w:rPr>
          <w:spacing w:val="-9"/>
        </w:rPr>
        <w:t>方针，针对可能发生的突发性环境事件，事先主动制定、采取防范措施，防止突</w:t>
      </w:r>
      <w:r>
        <w:rPr>
          <w:spacing w:val="-13"/>
        </w:rPr>
        <w:t>发性环境事件的发生，一旦事件发生时能迅速有效的控制与处理，防止污染事态的扩大，将事件影响降到最低限度，确保现场及周边地区人员健康及环境安全。</w:t>
      </w:r>
      <w:r>
        <w:rPr>
          <w:spacing w:val="-17"/>
        </w:rPr>
        <w:t>结合本公司实际生产的基本情况，建立健全突发环境事件应急机制，提高公司应</w:t>
      </w:r>
      <w:r>
        <w:rPr>
          <w:spacing w:val="-23"/>
        </w:rPr>
        <w:t>对涉及公共危机的突发环境事件的能力，在发生突发环境事件时能够快速、有序、</w:t>
      </w:r>
      <w:r>
        <w:rPr>
          <w:spacing w:val="-6"/>
        </w:rPr>
        <w:t>高效地开展应急救援工作，维护社会稳定，保障员工生命健康和财产安全，保护环境，促进社会全面、协调、可持续发展，特制定本应急预案。</w:t>
      </w:r>
    </w:p>
    <w:p>
      <w:pPr>
        <w:pStyle w:val="5"/>
        <w:numPr>
          <w:ilvl w:val="1"/>
          <w:numId w:val="16"/>
        </w:numPr>
        <w:bidi w:val="0"/>
      </w:pPr>
      <w:bookmarkStart w:id="5" w:name="_bookmark2"/>
      <w:bookmarkEnd w:id="5"/>
      <w:bookmarkStart w:id="6" w:name="1.2 编制依据"/>
      <w:bookmarkEnd w:id="6"/>
      <w:bookmarkStart w:id="7" w:name="_bookmark2"/>
      <w:bookmarkEnd w:id="7"/>
      <w:r>
        <w:t>编制依据</w:t>
      </w:r>
    </w:p>
    <w:p>
      <w:pPr>
        <w:pStyle w:val="19"/>
        <w:numPr>
          <w:ilvl w:val="2"/>
          <w:numId w:val="16"/>
        </w:numPr>
        <w:tabs>
          <w:tab w:val="left" w:pos="1190"/>
        </w:tabs>
        <w:spacing w:before="187" w:after="0" w:line="240" w:lineRule="auto"/>
        <w:ind w:left="1189" w:right="0" w:hanging="968"/>
        <w:jc w:val="left"/>
        <w:rPr>
          <w:b/>
          <w:sz w:val="32"/>
        </w:rPr>
      </w:pPr>
      <w:r>
        <w:rPr>
          <w:b/>
          <w:sz w:val="32"/>
        </w:rPr>
        <w:t>有关突发环境事件应急处理的文件</w:t>
      </w:r>
    </w:p>
    <w:p>
      <w:pPr>
        <w:pStyle w:val="19"/>
        <w:numPr>
          <w:ilvl w:val="3"/>
          <w:numId w:val="16"/>
        </w:numPr>
        <w:tabs>
          <w:tab w:val="left" w:pos="1150"/>
        </w:tabs>
        <w:spacing w:before="210" w:after="0" w:line="240" w:lineRule="auto"/>
        <w:ind w:left="1149" w:right="0" w:hanging="362"/>
        <w:jc w:val="left"/>
        <w:rPr>
          <w:color w:val="0000FF"/>
          <w:sz w:val="22"/>
        </w:rPr>
      </w:pPr>
      <w:r>
        <w:rPr>
          <w:color w:val="0000FF"/>
          <w:spacing w:val="-6"/>
          <w:sz w:val="24"/>
        </w:rPr>
        <w:t>环保部《突发环境事件应急预案管理暂行办法》(环发〔</w:t>
      </w:r>
      <w:r>
        <w:rPr>
          <w:color w:val="0000FF"/>
          <w:sz w:val="24"/>
        </w:rPr>
        <w:t>2010</w:t>
      </w:r>
      <w:r>
        <w:rPr>
          <w:color w:val="0000FF"/>
          <w:spacing w:val="-15"/>
          <w:sz w:val="24"/>
        </w:rPr>
        <w:t>〕</w:t>
      </w:r>
      <w:r>
        <w:rPr>
          <w:color w:val="0000FF"/>
          <w:sz w:val="24"/>
        </w:rPr>
        <w:t>113号)；</w:t>
      </w:r>
    </w:p>
    <w:p>
      <w:pPr>
        <w:pStyle w:val="7"/>
        <w:spacing w:before="160" w:line="242" w:lineRule="auto"/>
        <w:ind w:left="222" w:right="201" w:firstLine="480"/>
      </w:pPr>
      <w:r>
        <w:rPr>
          <w:color w:val="0000FF"/>
          <w:spacing w:val="-32"/>
        </w:rPr>
        <w:t>（2）</w:t>
      </w:r>
      <w:r>
        <w:rPr>
          <w:color w:val="0000FF"/>
          <w:spacing w:val="-1"/>
        </w:rPr>
        <w:t>《国务院有关部门和单位制定和修订突发公共事件应急预案框架指南》</w:t>
      </w:r>
      <w:r>
        <w:rPr>
          <w:color w:val="0000FF"/>
        </w:rPr>
        <w:t>(2004)；</w:t>
      </w:r>
    </w:p>
    <w:p>
      <w:pPr>
        <w:pStyle w:val="19"/>
        <w:numPr>
          <w:ilvl w:val="0"/>
          <w:numId w:val="17"/>
        </w:numPr>
        <w:tabs>
          <w:tab w:val="left" w:pos="1156"/>
        </w:tabs>
        <w:spacing w:before="1" w:after="0" w:line="364" w:lineRule="auto"/>
        <w:ind w:left="222" w:right="321" w:firstLine="566"/>
        <w:jc w:val="left"/>
        <w:rPr>
          <w:sz w:val="24"/>
        </w:rPr>
      </w:pPr>
      <w:r>
        <w:rPr>
          <w:color w:val="0000FF"/>
          <w:spacing w:val="4"/>
          <w:sz w:val="24"/>
        </w:rPr>
        <w:t>江西省环境保护厅《</w:t>
      </w:r>
      <w:r>
        <w:rPr>
          <w:color w:val="0000FF"/>
          <w:sz w:val="24"/>
        </w:rPr>
        <w:t>2013</w:t>
      </w:r>
      <w:r>
        <w:rPr>
          <w:color w:val="0000FF"/>
          <w:spacing w:val="4"/>
          <w:sz w:val="24"/>
        </w:rPr>
        <w:t>年江西省环境应急管理工作要点》</w:t>
      </w:r>
      <w:r>
        <w:rPr>
          <w:color w:val="0000FF"/>
          <w:sz w:val="24"/>
        </w:rPr>
        <w:t>(2013</w:t>
      </w:r>
      <w:r>
        <w:rPr>
          <w:color w:val="0000FF"/>
          <w:spacing w:val="7"/>
          <w:sz w:val="24"/>
        </w:rPr>
        <w:t>年</w:t>
      </w:r>
      <w:r>
        <w:rPr>
          <w:color w:val="0000FF"/>
          <w:sz w:val="24"/>
        </w:rPr>
        <w:t>4 月23日) ；</w:t>
      </w:r>
    </w:p>
    <w:p>
      <w:pPr>
        <w:pStyle w:val="19"/>
        <w:numPr>
          <w:ilvl w:val="0"/>
          <w:numId w:val="17"/>
        </w:numPr>
        <w:tabs>
          <w:tab w:val="left" w:pos="1150"/>
        </w:tabs>
        <w:spacing w:before="1" w:after="0" w:line="362" w:lineRule="auto"/>
        <w:ind w:left="788" w:right="321" w:firstLine="0"/>
        <w:jc w:val="left"/>
        <w:rPr>
          <w:sz w:val="24"/>
        </w:rPr>
      </w:pPr>
      <w:r>
        <w:rPr>
          <w:color w:val="0000FF"/>
          <w:sz w:val="24"/>
        </w:rPr>
        <w:t>《突发环境事件信息报告方法》(环保部令第17号)，2011年5月1日； (5)《突发事件应急预案管理办法》(国办发[2013]101号)，2013年10月25</w:t>
      </w:r>
    </w:p>
    <w:p>
      <w:pPr>
        <w:pStyle w:val="7"/>
        <w:spacing w:before="2"/>
        <w:ind w:left="222"/>
      </w:pPr>
      <w:r>
        <w:rPr>
          <w:color w:val="0000FF"/>
        </w:rPr>
        <w:t>日；</w:t>
      </w:r>
    </w:p>
    <w:p>
      <w:pPr>
        <w:pStyle w:val="19"/>
        <w:numPr>
          <w:ilvl w:val="0"/>
          <w:numId w:val="18"/>
        </w:numPr>
        <w:tabs>
          <w:tab w:val="left" w:pos="1152"/>
        </w:tabs>
        <w:spacing w:before="161" w:after="0" w:line="240" w:lineRule="auto"/>
        <w:ind w:left="1151" w:right="0" w:hanging="364"/>
        <w:jc w:val="left"/>
        <w:rPr>
          <w:sz w:val="24"/>
        </w:rPr>
      </w:pPr>
      <w:r>
        <w:rPr>
          <w:color w:val="0000FF"/>
          <w:sz w:val="24"/>
        </w:rPr>
        <w:t>《江西省突发环境事件应急预案》(赣府厅字〔2016〕14号)，2016年1</w:t>
      </w:r>
    </w:p>
    <w:p>
      <w:pPr>
        <w:pStyle w:val="7"/>
        <w:spacing w:before="158"/>
        <w:ind w:left="222"/>
      </w:pPr>
      <w:r>
        <w:rPr>
          <w:color w:val="0000FF"/>
        </w:rPr>
        <w:t>月25日；</w:t>
      </w:r>
    </w:p>
    <w:p>
      <w:pPr>
        <w:pStyle w:val="19"/>
        <w:numPr>
          <w:ilvl w:val="0"/>
          <w:numId w:val="18"/>
        </w:numPr>
        <w:tabs>
          <w:tab w:val="left" w:pos="1150"/>
        </w:tabs>
        <w:spacing w:before="160" w:after="0" w:line="364" w:lineRule="auto"/>
        <w:ind w:left="788" w:right="739" w:firstLine="0"/>
        <w:jc w:val="left"/>
        <w:rPr>
          <w:sz w:val="24"/>
        </w:rPr>
      </w:pPr>
      <w:r>
        <w:rPr>
          <w:color w:val="0000FF"/>
          <w:sz w:val="24"/>
        </w:rPr>
        <w:t>《突发环境事件应急管理办法》环保部第34号令，2015年6月5</w:t>
      </w:r>
      <w:r>
        <w:rPr>
          <w:color w:val="0000FF"/>
          <w:spacing w:val="-9"/>
          <w:sz w:val="24"/>
        </w:rPr>
        <w:t xml:space="preserve">日； </w:t>
      </w:r>
      <w:r>
        <w:rPr>
          <w:color w:val="0000FF"/>
          <w:sz w:val="24"/>
        </w:rPr>
        <w:t>(8)《江西省突发事件应对条例》，2013年7月27日；</w:t>
      </w:r>
    </w:p>
    <w:p>
      <w:pPr>
        <w:pStyle w:val="19"/>
        <w:numPr>
          <w:ilvl w:val="0"/>
          <w:numId w:val="19"/>
        </w:numPr>
        <w:tabs>
          <w:tab w:val="left" w:pos="1150"/>
        </w:tabs>
        <w:spacing w:before="0" w:after="0" w:line="364" w:lineRule="auto"/>
        <w:ind w:left="222" w:right="319" w:firstLine="566"/>
        <w:jc w:val="left"/>
        <w:rPr>
          <w:sz w:val="24"/>
        </w:rPr>
      </w:pPr>
      <w:r>
        <w:rPr>
          <w:color w:val="0000FF"/>
          <w:spacing w:val="-2"/>
          <w:sz w:val="24"/>
        </w:rPr>
        <w:t>《江西省突发事件预警信息发布管理办法(试行)》(赣府厅发〔</w:t>
      </w:r>
      <w:r>
        <w:rPr>
          <w:color w:val="0000FF"/>
          <w:sz w:val="24"/>
        </w:rPr>
        <w:t>2014</w:t>
      </w:r>
      <w:r>
        <w:rPr>
          <w:color w:val="0000FF"/>
          <w:spacing w:val="-15"/>
          <w:sz w:val="24"/>
        </w:rPr>
        <w:t xml:space="preserve">〕1 </w:t>
      </w:r>
      <w:r>
        <w:rPr>
          <w:color w:val="0000FF"/>
          <w:sz w:val="24"/>
        </w:rPr>
        <w:t>号)，2014年1月3日；</w:t>
      </w:r>
    </w:p>
    <w:p>
      <w:pPr>
        <w:pStyle w:val="19"/>
        <w:numPr>
          <w:ilvl w:val="0"/>
          <w:numId w:val="19"/>
        </w:numPr>
        <w:tabs>
          <w:tab w:val="left" w:pos="1270"/>
        </w:tabs>
        <w:spacing w:before="0" w:after="0" w:line="364" w:lineRule="auto"/>
        <w:ind w:left="788" w:right="1099" w:firstLine="0"/>
        <w:jc w:val="left"/>
        <w:rPr>
          <w:sz w:val="24"/>
        </w:rPr>
      </w:pPr>
      <w:r>
        <w:rPr>
          <w:color w:val="0000FF"/>
          <w:sz w:val="24"/>
        </w:rPr>
        <w:t>《江西省突发事件应急预案管理办法》，2013年12月2日； (11)</w:t>
      </w:r>
      <w:r>
        <w:rPr>
          <w:color w:val="0000FF"/>
          <w:spacing w:val="-2"/>
          <w:sz w:val="24"/>
        </w:rPr>
        <w:t xml:space="preserve">《企业突发环境事件风险防范监督管理办法》(征求意见稿)； </w:t>
      </w:r>
      <w:r>
        <w:rPr>
          <w:color w:val="0000FF"/>
          <w:sz w:val="24"/>
        </w:rPr>
        <w:t>(12)《企业突发环境事件风险分级方法》（HJ941-2018）；</w:t>
      </w:r>
    </w:p>
    <w:p>
      <w:pPr>
        <w:pStyle w:val="19"/>
        <w:numPr>
          <w:ilvl w:val="0"/>
          <w:numId w:val="0"/>
        </w:numPr>
        <w:tabs>
          <w:tab w:val="left" w:pos="1270"/>
        </w:tabs>
        <w:spacing w:before="0" w:after="0" w:line="364" w:lineRule="auto"/>
        <w:ind w:right="1099" w:rightChars="0" w:firstLine="738" w:firstLineChars="300"/>
        <w:jc w:val="left"/>
        <w:rPr>
          <w:sz w:val="24"/>
        </w:rPr>
      </w:pPr>
      <w:r>
        <w:rPr>
          <w:rFonts w:hint="eastAsia"/>
          <w:spacing w:val="3"/>
          <w:sz w:val="24"/>
          <w:lang w:eastAsia="zh-CN"/>
        </w:rPr>
        <w:t>（</w:t>
      </w:r>
      <w:r>
        <w:rPr>
          <w:rFonts w:hint="eastAsia"/>
          <w:spacing w:val="3"/>
          <w:sz w:val="24"/>
          <w:lang w:val="en-US" w:eastAsia="zh-CN"/>
        </w:rPr>
        <w:t>13</w:t>
      </w:r>
      <w:r>
        <w:rPr>
          <w:rFonts w:hint="eastAsia"/>
          <w:spacing w:val="3"/>
          <w:sz w:val="24"/>
          <w:lang w:eastAsia="zh-CN"/>
        </w:rPr>
        <w:t>）</w:t>
      </w:r>
      <w:r>
        <w:rPr>
          <w:spacing w:val="3"/>
          <w:sz w:val="24"/>
        </w:rPr>
        <w:t>《企业事业单位突发环境事件应急预案备案管理办法(试行)》(环发[2015]4号)；</w:t>
      </w:r>
    </w:p>
    <w:p>
      <w:pPr>
        <w:pStyle w:val="19"/>
        <w:numPr>
          <w:ilvl w:val="0"/>
          <w:numId w:val="0"/>
        </w:numPr>
        <w:tabs>
          <w:tab w:val="left" w:pos="1270"/>
        </w:tabs>
        <w:spacing w:before="0" w:after="0" w:line="306" w:lineRule="exact"/>
        <w:ind w:left="787" w:leftChars="0" w:right="0" w:rightChars="0"/>
        <w:jc w:val="left"/>
        <w:rPr>
          <w:sz w:val="24"/>
        </w:rPr>
      </w:pPr>
      <w:r>
        <w:rPr>
          <w:rFonts w:hint="eastAsia"/>
          <w:sz w:val="24"/>
          <w:lang w:eastAsia="zh-CN"/>
        </w:rPr>
        <w:t>（</w:t>
      </w:r>
      <w:r>
        <w:rPr>
          <w:rFonts w:hint="eastAsia"/>
          <w:sz w:val="24"/>
          <w:lang w:val="en-US" w:eastAsia="zh-CN"/>
        </w:rPr>
        <w:t>14</w:t>
      </w:r>
      <w:r>
        <w:rPr>
          <w:rFonts w:hint="eastAsia"/>
          <w:sz w:val="24"/>
          <w:lang w:eastAsia="zh-CN"/>
        </w:rPr>
        <w:t>）</w:t>
      </w:r>
      <w:r>
        <w:rPr>
          <w:sz w:val="24"/>
        </w:rPr>
        <w:t>《突发环境事件信息报告办法》(环保部第17号令)。</w:t>
      </w:r>
    </w:p>
    <w:p>
      <w:pPr>
        <w:pStyle w:val="19"/>
        <w:numPr>
          <w:ilvl w:val="2"/>
          <w:numId w:val="16"/>
        </w:numPr>
        <w:tabs>
          <w:tab w:val="left" w:pos="1190"/>
        </w:tabs>
        <w:spacing w:before="160" w:after="0" w:line="240" w:lineRule="auto"/>
        <w:ind w:left="1189" w:right="0" w:hanging="968"/>
        <w:jc w:val="left"/>
        <w:rPr>
          <w:b/>
          <w:sz w:val="32"/>
        </w:rPr>
      </w:pPr>
      <w:r>
        <w:rPr>
          <w:b/>
          <w:sz w:val="32"/>
        </w:rPr>
        <w:t>相关法律法规</w:t>
      </w:r>
    </w:p>
    <w:p>
      <w:pPr>
        <w:pStyle w:val="19"/>
        <w:numPr>
          <w:ilvl w:val="3"/>
          <w:numId w:val="16"/>
        </w:numPr>
        <w:tabs>
          <w:tab w:val="left" w:pos="1150"/>
        </w:tabs>
        <w:spacing w:before="212" w:after="0" w:line="364" w:lineRule="auto"/>
        <w:ind w:left="222" w:right="321" w:firstLine="566"/>
        <w:jc w:val="left"/>
        <w:rPr>
          <w:sz w:val="22"/>
        </w:rPr>
      </w:pPr>
      <w:r>
        <w:rPr>
          <w:spacing w:val="-2"/>
          <w:sz w:val="24"/>
        </w:rPr>
        <w:t xml:space="preserve">《中华人民共和国环境保护法》(中华人民共和国主席令第九号 </w:t>
      </w:r>
      <w:r>
        <w:rPr>
          <w:spacing w:val="-7"/>
          <w:sz w:val="24"/>
        </w:rPr>
        <w:t>)，2014</w:t>
      </w:r>
      <w:r>
        <w:rPr>
          <w:sz w:val="24"/>
        </w:rPr>
        <w:t>年4月24日；</w:t>
      </w:r>
    </w:p>
    <w:p>
      <w:pPr>
        <w:pStyle w:val="19"/>
        <w:numPr>
          <w:ilvl w:val="3"/>
          <w:numId w:val="16"/>
        </w:numPr>
        <w:tabs>
          <w:tab w:val="left" w:pos="1150"/>
        </w:tabs>
        <w:spacing w:before="0" w:after="0" w:line="364" w:lineRule="auto"/>
        <w:ind w:left="788" w:right="201" w:firstLine="0"/>
        <w:jc w:val="left"/>
        <w:rPr>
          <w:sz w:val="22"/>
        </w:rPr>
      </w:pPr>
      <w:r>
        <w:rPr>
          <w:spacing w:val="-3"/>
          <w:sz w:val="24"/>
        </w:rPr>
        <w:t>《中华人民共和国水污染防治法》，</w:t>
      </w:r>
      <w:r>
        <w:rPr>
          <w:spacing w:val="-4"/>
          <w:sz w:val="24"/>
        </w:rPr>
        <w:t>2017</w:t>
      </w:r>
      <w:r>
        <w:rPr>
          <w:spacing w:val="-1"/>
          <w:sz w:val="24"/>
        </w:rPr>
        <w:t>年修订，</w:t>
      </w:r>
      <w:r>
        <w:rPr>
          <w:spacing w:val="-3"/>
          <w:sz w:val="24"/>
        </w:rPr>
        <w:t>2018</w:t>
      </w:r>
      <w:r>
        <w:rPr>
          <w:sz w:val="24"/>
        </w:rPr>
        <w:t>年1月1</w:t>
      </w:r>
      <w:r>
        <w:rPr>
          <w:spacing w:val="-3"/>
          <w:sz w:val="24"/>
        </w:rPr>
        <w:t xml:space="preserve">日实施)； </w:t>
      </w:r>
      <w:r>
        <w:rPr>
          <w:sz w:val="24"/>
        </w:rPr>
        <w:t>(3)《中华人民共和国大气污染防治法》，2016年1月1日；</w:t>
      </w:r>
    </w:p>
    <w:p>
      <w:pPr>
        <w:pStyle w:val="19"/>
        <w:numPr>
          <w:ilvl w:val="0"/>
          <w:numId w:val="20"/>
        </w:numPr>
        <w:tabs>
          <w:tab w:val="left" w:pos="1152"/>
        </w:tabs>
        <w:spacing w:before="0" w:after="0" w:line="364" w:lineRule="auto"/>
        <w:ind w:left="222" w:right="321" w:firstLine="566"/>
        <w:jc w:val="left"/>
        <w:rPr>
          <w:sz w:val="24"/>
        </w:rPr>
      </w:pPr>
      <w:r>
        <w:rPr>
          <w:sz w:val="24"/>
        </w:rPr>
        <w:t>《中华人民共和国固体废物污染环境防治法(主席令第二十三号)(2015 年修正本)》，2015年4月24日；</w:t>
      </w:r>
    </w:p>
    <w:p>
      <w:pPr>
        <w:pStyle w:val="19"/>
        <w:numPr>
          <w:ilvl w:val="0"/>
          <w:numId w:val="20"/>
        </w:numPr>
        <w:tabs>
          <w:tab w:val="left" w:pos="1150"/>
        </w:tabs>
        <w:spacing w:before="0" w:after="0" w:line="364" w:lineRule="auto"/>
        <w:ind w:left="788" w:right="1819" w:firstLine="0"/>
        <w:jc w:val="left"/>
        <w:rPr>
          <w:sz w:val="24"/>
        </w:rPr>
      </w:pPr>
      <w:r>
        <w:rPr>
          <w:sz w:val="24"/>
        </w:rPr>
        <w:t>《中华人民共和国突发事件应对法》，2007年8月30</w:t>
      </w:r>
      <w:r>
        <w:rPr>
          <w:spacing w:val="-9"/>
          <w:sz w:val="24"/>
        </w:rPr>
        <w:t xml:space="preserve">日； </w:t>
      </w:r>
      <w:r>
        <w:rPr>
          <w:sz w:val="24"/>
        </w:rPr>
        <w:t>(6)《中华人民共和国安全生产法》，2014年12月1日；</w:t>
      </w:r>
    </w:p>
    <w:p>
      <w:pPr>
        <w:pStyle w:val="19"/>
        <w:numPr>
          <w:ilvl w:val="0"/>
          <w:numId w:val="21"/>
        </w:numPr>
        <w:tabs>
          <w:tab w:val="left" w:pos="1150"/>
        </w:tabs>
        <w:spacing w:before="0" w:after="0" w:line="240" w:lineRule="auto"/>
        <w:ind w:left="1149" w:right="0" w:hanging="362"/>
        <w:jc w:val="left"/>
        <w:rPr>
          <w:sz w:val="24"/>
        </w:rPr>
      </w:pPr>
      <w:r>
        <w:rPr>
          <w:sz w:val="24"/>
        </w:rPr>
        <w:t>《中华人民共和国消防法》，2009年5月1日；</w:t>
      </w:r>
    </w:p>
    <w:p>
      <w:pPr>
        <w:pStyle w:val="19"/>
        <w:numPr>
          <w:ilvl w:val="0"/>
          <w:numId w:val="21"/>
        </w:numPr>
        <w:tabs>
          <w:tab w:val="left" w:pos="1150"/>
        </w:tabs>
        <w:spacing w:before="156" w:after="0" w:line="362" w:lineRule="auto"/>
        <w:ind w:left="788" w:right="619" w:firstLine="0"/>
        <w:jc w:val="left"/>
        <w:rPr>
          <w:sz w:val="24"/>
        </w:rPr>
      </w:pPr>
      <w:r>
        <w:rPr>
          <w:sz w:val="24"/>
        </w:rPr>
        <w:t>《国务院关于加强环境保护重点工作的意见》(国发[2011]35号)； (9)《粉尘安全管理条例》，2002年1月9日通过，2002年3月15</w:t>
      </w:r>
      <w:r>
        <w:rPr>
          <w:spacing w:val="-5"/>
          <w:sz w:val="24"/>
        </w:rPr>
        <w:t>日施行。</w:t>
      </w:r>
    </w:p>
    <w:p>
      <w:pPr>
        <w:pStyle w:val="19"/>
        <w:numPr>
          <w:ilvl w:val="2"/>
          <w:numId w:val="16"/>
        </w:numPr>
        <w:tabs>
          <w:tab w:val="left" w:pos="1190"/>
        </w:tabs>
        <w:spacing w:before="6" w:after="0" w:line="240" w:lineRule="auto"/>
        <w:ind w:left="1189" w:right="0" w:hanging="968"/>
        <w:jc w:val="left"/>
        <w:rPr>
          <w:b/>
          <w:sz w:val="32"/>
        </w:rPr>
      </w:pPr>
      <w:r>
        <w:rPr>
          <w:b/>
          <w:sz w:val="32"/>
        </w:rPr>
        <w:t>有关技术标准与方法</w:t>
      </w:r>
    </w:p>
    <w:p>
      <w:pPr>
        <w:pStyle w:val="19"/>
        <w:numPr>
          <w:ilvl w:val="3"/>
          <w:numId w:val="16"/>
        </w:numPr>
        <w:tabs>
          <w:tab w:val="left" w:pos="1150"/>
        </w:tabs>
        <w:spacing w:before="210" w:after="0" w:line="364" w:lineRule="auto"/>
        <w:ind w:left="788" w:right="3259" w:firstLine="0"/>
        <w:jc w:val="left"/>
        <w:rPr>
          <w:sz w:val="22"/>
        </w:rPr>
      </w:pPr>
      <w:r>
        <w:rPr>
          <w:sz w:val="24"/>
        </w:rPr>
        <w:t xml:space="preserve">《环境空气质量标准》(GB3095-2012)； </w:t>
      </w:r>
      <w:r>
        <w:rPr>
          <w:spacing w:val="-1"/>
          <w:sz w:val="24"/>
        </w:rPr>
        <w:t>(2)《地表水环境质量标准》</w:t>
      </w:r>
      <w:r>
        <w:rPr>
          <w:sz w:val="24"/>
        </w:rPr>
        <w:t>(GB3838-2002)；</w:t>
      </w:r>
    </w:p>
    <w:p>
      <w:pPr>
        <w:pStyle w:val="7"/>
        <w:spacing w:before="2" w:line="362" w:lineRule="auto"/>
        <w:ind w:left="788" w:right="2642"/>
      </w:pPr>
      <w:r>
        <w:t>(3)《企业突发环境污染事故应急预案编制指南》； (4)《大气污染物排放标准》(GB16297-1996)；</w:t>
      </w:r>
    </w:p>
    <w:p>
      <w:pPr>
        <w:pStyle w:val="19"/>
        <w:numPr>
          <w:ilvl w:val="0"/>
          <w:numId w:val="22"/>
        </w:numPr>
        <w:tabs>
          <w:tab w:val="left" w:pos="1150"/>
        </w:tabs>
        <w:spacing w:before="2" w:after="0" w:line="240" w:lineRule="auto"/>
        <w:ind w:left="1149" w:right="0" w:hanging="362"/>
        <w:jc w:val="left"/>
        <w:rPr>
          <w:sz w:val="24"/>
        </w:rPr>
      </w:pPr>
      <w:r>
        <w:rPr>
          <w:sz w:val="24"/>
        </w:rPr>
        <w:t>《</w:t>
      </w:r>
      <w:r>
        <w:rPr>
          <w:rFonts w:hint="eastAsia"/>
          <w:sz w:val="24"/>
          <w:lang w:eastAsia="zh-CN"/>
        </w:rPr>
        <w:t>化学品</w:t>
      </w:r>
      <w:r>
        <w:rPr>
          <w:sz w:val="24"/>
        </w:rPr>
        <w:t>鉴别技术规范》；</w:t>
      </w:r>
    </w:p>
    <w:p>
      <w:pPr>
        <w:pStyle w:val="19"/>
        <w:numPr>
          <w:ilvl w:val="0"/>
          <w:numId w:val="22"/>
        </w:numPr>
        <w:tabs>
          <w:tab w:val="left" w:pos="1150"/>
        </w:tabs>
        <w:spacing w:before="161" w:after="0" w:line="240" w:lineRule="auto"/>
        <w:ind w:left="1149" w:right="0" w:hanging="362"/>
        <w:jc w:val="left"/>
        <w:rPr>
          <w:sz w:val="24"/>
        </w:rPr>
      </w:pPr>
      <w:r>
        <w:rPr>
          <w:sz w:val="24"/>
        </w:rPr>
        <w:t>《突发环境事件应急监测技术规范》。</w:t>
      </w:r>
    </w:p>
    <w:p>
      <w:pPr>
        <w:pStyle w:val="25"/>
        <w:keepNext w:val="0"/>
        <w:keepLines w:val="0"/>
        <w:pageBreakBefore w:val="0"/>
        <w:kinsoku/>
        <w:wordWrap/>
        <w:overflowPunct/>
        <w:topLinePunct w:val="0"/>
        <w:bidi w:val="0"/>
        <w:adjustRightInd/>
        <w:snapToGrid/>
        <w:spacing w:beforeLines="0" w:line="360" w:lineRule="auto"/>
        <w:ind w:firstLine="321" w:firstLineChars="100"/>
        <w:textAlignment w:val="auto"/>
        <w:rPr>
          <w:rFonts w:hint="default" w:ascii="宋体" w:hAnsi="宋体" w:eastAsia="宋体" w:cs="宋体"/>
          <w:b/>
          <w:bCs w:val="0"/>
          <w:kern w:val="0"/>
          <w:sz w:val="32"/>
          <w:szCs w:val="22"/>
          <w:lang w:val="zh-CN" w:eastAsia="zh-CN" w:bidi="zh-CN"/>
        </w:rPr>
      </w:pPr>
    </w:p>
    <w:p>
      <w:pPr>
        <w:pStyle w:val="25"/>
        <w:keepNext w:val="0"/>
        <w:keepLines w:val="0"/>
        <w:pageBreakBefore w:val="0"/>
        <w:kinsoku/>
        <w:wordWrap/>
        <w:overflowPunct/>
        <w:topLinePunct w:val="0"/>
        <w:bidi w:val="0"/>
        <w:adjustRightInd/>
        <w:snapToGrid/>
        <w:spacing w:beforeLines="0" w:line="360" w:lineRule="auto"/>
        <w:ind w:firstLine="301" w:firstLineChars="100"/>
        <w:textAlignment w:val="auto"/>
        <w:rPr>
          <w:rFonts w:hint="default" w:ascii="宋体" w:hAnsi="宋体" w:eastAsia="宋体" w:cs="宋体"/>
          <w:b/>
          <w:bCs w:val="0"/>
          <w:kern w:val="0"/>
          <w:sz w:val="30"/>
          <w:szCs w:val="30"/>
          <w:lang w:val="zh-CN" w:eastAsia="zh-CN" w:bidi="zh-CN"/>
        </w:rPr>
      </w:pPr>
      <w:r>
        <w:rPr>
          <w:rFonts w:hint="default" w:ascii="宋体" w:hAnsi="宋体" w:eastAsia="宋体" w:cs="宋体"/>
          <w:b/>
          <w:bCs w:val="0"/>
          <w:kern w:val="0"/>
          <w:sz w:val="30"/>
          <w:szCs w:val="30"/>
          <w:lang w:val="zh-CN" w:eastAsia="zh-CN" w:bidi="zh-CN"/>
        </w:rPr>
        <w:t>1.2.</w:t>
      </w:r>
      <w:r>
        <w:rPr>
          <w:rFonts w:hint="eastAsia" w:ascii="宋体" w:hAnsi="宋体" w:eastAsia="宋体" w:cs="宋体"/>
          <w:b/>
          <w:bCs w:val="0"/>
          <w:kern w:val="0"/>
          <w:sz w:val="30"/>
          <w:szCs w:val="30"/>
          <w:lang w:val="en-US" w:eastAsia="zh-CN" w:bidi="zh-CN"/>
        </w:rPr>
        <w:t>4</w:t>
      </w:r>
      <w:r>
        <w:rPr>
          <w:rFonts w:hint="default" w:ascii="宋体" w:hAnsi="宋体" w:eastAsia="宋体" w:cs="宋体"/>
          <w:b/>
          <w:bCs w:val="0"/>
          <w:kern w:val="0"/>
          <w:sz w:val="30"/>
          <w:szCs w:val="30"/>
          <w:lang w:val="zh-CN" w:eastAsia="zh-CN" w:bidi="zh-CN"/>
        </w:rPr>
        <w:t>其他参考资料</w:t>
      </w:r>
    </w:p>
    <w:p>
      <w:pPr>
        <w:pStyle w:val="19"/>
        <w:keepNext w:val="0"/>
        <w:keepLines w:val="0"/>
        <w:pageBreakBefore w:val="0"/>
        <w:numPr>
          <w:ilvl w:val="0"/>
          <w:numId w:val="23"/>
        </w:numPr>
        <w:tabs>
          <w:tab w:val="left" w:pos="1150"/>
        </w:tabs>
        <w:kinsoku/>
        <w:wordWrap/>
        <w:overflowPunct/>
        <w:topLinePunct w:val="0"/>
        <w:bidi w:val="0"/>
        <w:adjustRightInd/>
        <w:snapToGrid/>
        <w:spacing w:before="161" w:after="0" w:line="360" w:lineRule="auto"/>
        <w:ind w:left="787" w:leftChars="0" w:right="0" w:rightChars="0"/>
        <w:jc w:val="left"/>
        <w:textAlignment w:val="auto"/>
        <w:rPr>
          <w:rFonts w:hint="eastAsia" w:ascii="宋体" w:hAnsi="宋体" w:eastAsia="宋体" w:cs="宋体"/>
          <w:color w:val="FF0000"/>
          <w:spacing w:val="-10"/>
          <w:sz w:val="24"/>
          <w:szCs w:val="24"/>
          <w:lang w:val="en-US" w:eastAsia="zh-CN" w:bidi="zh-CN"/>
        </w:rPr>
      </w:pPr>
      <w:r>
        <w:rPr>
          <w:rFonts w:ascii="宋体" w:hAnsi="宋体" w:eastAsia="宋体" w:cs="宋体"/>
          <w:color w:val="FF0000"/>
          <w:spacing w:val="-10"/>
          <w:sz w:val="24"/>
          <w:szCs w:val="24"/>
          <w:lang w:val="zh-CN" w:eastAsia="zh-CN" w:bidi="zh-CN"/>
        </w:rPr>
        <w:t>《江西景新漆业股份有限公司年产 7000 吨新型建筑材料环境影响报告书》</w:t>
      </w:r>
      <w:r>
        <w:rPr>
          <w:rFonts w:hint="eastAsia" w:ascii="宋体" w:hAnsi="宋体" w:eastAsia="宋体" w:cs="宋体"/>
          <w:color w:val="FF0000"/>
          <w:spacing w:val="-10"/>
          <w:sz w:val="24"/>
          <w:szCs w:val="24"/>
          <w:lang w:val="en-US" w:eastAsia="zh-CN" w:bidi="zh-CN"/>
        </w:rPr>
        <w:t>及环评批复（</w:t>
      </w:r>
      <w:r>
        <w:rPr>
          <w:rFonts w:ascii="宋体" w:hAnsi="宋体" w:eastAsia="宋体" w:cs="宋体"/>
          <w:color w:val="FF0000"/>
          <w:spacing w:val="-10"/>
          <w:sz w:val="24"/>
          <w:szCs w:val="24"/>
          <w:lang w:val="zh-CN" w:eastAsia="zh-CN" w:bidi="zh-CN"/>
        </w:rPr>
        <w:t>宜环督字【2011】61 号</w:t>
      </w:r>
      <w:r>
        <w:rPr>
          <w:rFonts w:hint="eastAsia" w:ascii="宋体" w:hAnsi="宋体" w:eastAsia="宋体" w:cs="宋体"/>
          <w:color w:val="FF0000"/>
          <w:spacing w:val="-10"/>
          <w:sz w:val="24"/>
          <w:szCs w:val="24"/>
          <w:lang w:val="en-US" w:eastAsia="zh-CN" w:bidi="zh-CN"/>
        </w:rPr>
        <w:t>）</w:t>
      </w:r>
    </w:p>
    <w:p>
      <w:pPr>
        <w:pStyle w:val="19"/>
        <w:keepNext w:val="0"/>
        <w:keepLines w:val="0"/>
        <w:pageBreakBefore w:val="0"/>
        <w:numPr>
          <w:ilvl w:val="0"/>
          <w:numId w:val="23"/>
        </w:numPr>
        <w:tabs>
          <w:tab w:val="left" w:pos="1150"/>
        </w:tabs>
        <w:kinsoku/>
        <w:wordWrap/>
        <w:overflowPunct/>
        <w:topLinePunct w:val="0"/>
        <w:bidi w:val="0"/>
        <w:adjustRightInd/>
        <w:snapToGrid/>
        <w:spacing w:before="161" w:after="0" w:line="360" w:lineRule="auto"/>
        <w:ind w:left="787" w:leftChars="0" w:right="0" w:rightChars="0"/>
        <w:jc w:val="left"/>
        <w:textAlignment w:val="auto"/>
        <w:rPr>
          <w:rFonts w:hint="eastAsia" w:ascii="宋体" w:hAnsi="宋体" w:eastAsia="宋体" w:cs="宋体"/>
          <w:color w:val="FF0000"/>
          <w:spacing w:val="-10"/>
          <w:sz w:val="24"/>
          <w:szCs w:val="24"/>
          <w:lang w:val="en-US" w:eastAsia="zh-CN" w:bidi="zh-CN"/>
        </w:rPr>
      </w:pPr>
      <w:r>
        <w:rPr>
          <w:rFonts w:hint="eastAsia" w:ascii="宋体" w:hAnsi="宋体" w:eastAsia="宋体" w:cs="宋体"/>
          <w:color w:val="FF0000"/>
          <w:spacing w:val="-10"/>
          <w:sz w:val="24"/>
          <w:szCs w:val="24"/>
          <w:lang w:val="en-US" w:eastAsia="zh-CN" w:bidi="zh-CN"/>
        </w:rPr>
        <w:t>《</w:t>
      </w:r>
      <w:r>
        <w:rPr>
          <w:rFonts w:hint="eastAsia" w:ascii="宋体" w:hAnsi="宋体" w:eastAsia="宋体" w:cs="宋体"/>
          <w:color w:val="FF0000"/>
          <w:spacing w:val="-10"/>
          <w:sz w:val="24"/>
          <w:szCs w:val="24"/>
          <w:lang w:val="zh-CN" w:eastAsia="zh-CN" w:bidi="zh-CN"/>
        </w:rPr>
        <w:t>江西景新漆业股份有限公司安全生产设施技术改造项目</w:t>
      </w:r>
      <w:r>
        <w:rPr>
          <w:rFonts w:hint="eastAsia" w:ascii="宋体" w:hAnsi="宋体" w:eastAsia="宋体" w:cs="宋体"/>
          <w:color w:val="FF0000"/>
          <w:spacing w:val="-10"/>
          <w:sz w:val="24"/>
          <w:szCs w:val="24"/>
          <w:lang w:val="en-US" w:eastAsia="zh-CN" w:bidi="zh-CN"/>
        </w:rPr>
        <w:t>环境影响报告表》及环评批复（丰环评字[2022]68号）</w:t>
      </w:r>
    </w:p>
    <w:p>
      <w:pPr>
        <w:pStyle w:val="19"/>
        <w:numPr>
          <w:ilvl w:val="1"/>
          <w:numId w:val="16"/>
        </w:numPr>
        <w:tabs>
          <w:tab w:val="left" w:pos="787"/>
        </w:tabs>
        <w:spacing w:before="161" w:after="0" w:line="240" w:lineRule="auto"/>
        <w:ind w:left="786" w:right="0" w:hanging="565"/>
        <w:jc w:val="left"/>
        <w:rPr>
          <w:b/>
          <w:sz w:val="28"/>
        </w:rPr>
      </w:pPr>
      <w:bookmarkStart w:id="8" w:name="_bookmark3"/>
      <w:bookmarkEnd w:id="8"/>
      <w:bookmarkStart w:id="9" w:name="1.3 适用范围 "/>
      <w:bookmarkEnd w:id="9"/>
      <w:bookmarkStart w:id="10" w:name="_bookmark3"/>
      <w:bookmarkEnd w:id="10"/>
      <w:r>
        <w:rPr>
          <w:b/>
          <w:sz w:val="28"/>
        </w:rPr>
        <w:t>适用范围</w:t>
      </w:r>
    </w:p>
    <w:p>
      <w:pPr>
        <w:pStyle w:val="7"/>
        <w:spacing w:before="185" w:line="364" w:lineRule="auto"/>
        <w:ind w:left="222" w:right="319" w:firstLine="566"/>
        <w:jc w:val="both"/>
      </w:pPr>
      <w:r>
        <w:rPr>
          <w:spacing w:val="8"/>
        </w:rPr>
        <w:t>本预案适用于江西景新漆业股份有限公司整个生产流程内的重大特大废</w:t>
      </w:r>
      <w:r>
        <w:rPr>
          <w:spacing w:val="-10"/>
        </w:rPr>
        <w:t>水、废气、废渣(包括</w:t>
      </w:r>
      <w:r>
        <w:rPr>
          <w:rFonts w:hint="eastAsia"/>
          <w:spacing w:val="-10"/>
          <w:lang w:eastAsia="zh-CN"/>
        </w:rPr>
        <w:t>化学品</w:t>
      </w:r>
      <w:r>
        <w:rPr>
          <w:spacing w:val="-10"/>
        </w:rPr>
        <w:t>)环境污染事故的应对工作，在生产、经营、使用</w:t>
      </w:r>
      <w:r>
        <w:rPr>
          <w:spacing w:val="-8"/>
        </w:rPr>
        <w:t>和处置过程中发生的泄露、中毒、燃烧、爆炸等事件以及由污染所衍生的环境污</w:t>
      </w:r>
      <w:r>
        <w:t>染事件。</w:t>
      </w:r>
    </w:p>
    <w:p>
      <w:pPr>
        <w:pStyle w:val="5"/>
        <w:numPr>
          <w:ilvl w:val="1"/>
          <w:numId w:val="16"/>
        </w:numPr>
        <w:bidi w:val="0"/>
      </w:pPr>
      <w:bookmarkStart w:id="11" w:name="_bookmark4"/>
      <w:bookmarkEnd w:id="11"/>
      <w:bookmarkStart w:id="12" w:name="_bookmark4"/>
      <w:bookmarkEnd w:id="12"/>
      <w:bookmarkStart w:id="13" w:name="1.4 工作原则 "/>
      <w:bookmarkEnd w:id="13"/>
      <w:r>
        <w:t>工作原则</w:t>
      </w:r>
    </w:p>
    <w:p>
      <w:pPr>
        <w:pStyle w:val="7"/>
        <w:keepNext w:val="0"/>
        <w:keepLines w:val="0"/>
        <w:pageBreakBefore w:val="0"/>
        <w:widowControl w:val="0"/>
        <w:kinsoku/>
        <w:wordWrap/>
        <w:overflowPunct/>
        <w:topLinePunct w:val="0"/>
        <w:autoSpaceDE w:val="0"/>
        <w:autoSpaceDN w:val="0"/>
        <w:bidi w:val="0"/>
        <w:adjustRightInd/>
        <w:snapToGrid/>
        <w:spacing w:before="56" w:line="360" w:lineRule="auto"/>
        <w:ind w:right="321" w:firstLine="480" w:firstLineChars="200"/>
        <w:textAlignment w:val="auto"/>
      </w:pPr>
      <w:r>
        <w:t>公司在建立突发性环境污染事故应急系统及其响应程序时，应本着实事求是、切实可行的方针，贯彻如下原则：</w:t>
      </w:r>
    </w:p>
    <w:p>
      <w:pPr>
        <w:pStyle w:val="19"/>
        <w:keepNext w:val="0"/>
        <w:keepLines w:val="0"/>
        <w:pageBreakBefore w:val="0"/>
        <w:widowControl w:val="0"/>
        <w:numPr>
          <w:ilvl w:val="0"/>
          <w:numId w:val="0"/>
        </w:numPr>
        <w:tabs>
          <w:tab w:val="left" w:pos="1150"/>
        </w:tabs>
        <w:kinsoku/>
        <w:wordWrap/>
        <w:overflowPunct/>
        <w:topLinePunct w:val="0"/>
        <w:autoSpaceDE w:val="0"/>
        <w:autoSpaceDN w:val="0"/>
        <w:bidi w:val="0"/>
        <w:adjustRightInd/>
        <w:snapToGrid/>
        <w:spacing w:before="0" w:after="0" w:line="360" w:lineRule="auto"/>
        <w:ind w:right="201" w:rightChars="0" w:firstLine="456" w:firstLineChars="200"/>
        <w:jc w:val="left"/>
        <w:textAlignment w:val="auto"/>
        <w:rPr>
          <w:sz w:val="24"/>
        </w:rPr>
      </w:pPr>
      <w:r>
        <w:rPr>
          <w:rFonts w:hint="eastAsia"/>
          <w:spacing w:val="-6"/>
          <w:sz w:val="24"/>
          <w:lang w:eastAsia="zh-CN"/>
        </w:rPr>
        <w:t>（</w:t>
      </w:r>
      <w:r>
        <w:rPr>
          <w:rFonts w:hint="eastAsia"/>
          <w:spacing w:val="-6"/>
          <w:sz w:val="24"/>
          <w:lang w:val="en-US" w:eastAsia="zh-CN"/>
        </w:rPr>
        <w:t>1</w:t>
      </w:r>
      <w:r>
        <w:rPr>
          <w:rFonts w:hint="eastAsia"/>
          <w:spacing w:val="-6"/>
          <w:sz w:val="24"/>
          <w:lang w:eastAsia="zh-CN"/>
        </w:rPr>
        <w:t>）</w:t>
      </w:r>
      <w:r>
        <w:rPr>
          <w:spacing w:val="-6"/>
          <w:sz w:val="24"/>
        </w:rPr>
        <w:t>坚持以人为本，预防为主的原则。加强对环境事故危险源的监测、监控</w:t>
      </w:r>
      <w:r>
        <w:rPr>
          <w:spacing w:val="-17"/>
          <w:sz w:val="24"/>
        </w:rPr>
        <w:t xml:space="preserve">并实施监督管理，建立环境事故风险防范体系，积极预防、及时控制、消除隐患， </w:t>
      </w:r>
      <w:r>
        <w:rPr>
          <w:spacing w:val="-6"/>
          <w:sz w:val="24"/>
        </w:rPr>
        <w:t>提高突发性环境污染事故防范和处理能力，尽可能地避免或减少突发环境污染事</w:t>
      </w:r>
      <w:r>
        <w:rPr>
          <w:spacing w:val="-11"/>
          <w:sz w:val="24"/>
        </w:rPr>
        <w:t>故的发生，消除或减轻环境污染事故造成的中长期影响，最大程度地保障公众健康，保护人民群众生命财产安全。</w:t>
      </w:r>
    </w:p>
    <w:p>
      <w:pPr>
        <w:pStyle w:val="19"/>
        <w:keepNext w:val="0"/>
        <w:keepLines w:val="0"/>
        <w:pageBreakBefore w:val="0"/>
        <w:widowControl w:val="0"/>
        <w:numPr>
          <w:ilvl w:val="0"/>
          <w:numId w:val="0"/>
        </w:numPr>
        <w:tabs>
          <w:tab w:val="left" w:pos="1150"/>
        </w:tabs>
        <w:kinsoku/>
        <w:wordWrap/>
        <w:overflowPunct/>
        <w:topLinePunct w:val="0"/>
        <w:autoSpaceDE w:val="0"/>
        <w:autoSpaceDN w:val="0"/>
        <w:bidi w:val="0"/>
        <w:adjustRightInd/>
        <w:snapToGrid/>
        <w:spacing w:before="0" w:after="0" w:line="360" w:lineRule="auto"/>
        <w:ind w:right="201" w:rightChars="0" w:firstLine="420" w:firstLineChars="200"/>
        <w:jc w:val="left"/>
        <w:textAlignment w:val="auto"/>
        <w:rPr>
          <w:sz w:val="24"/>
        </w:rPr>
      </w:pPr>
      <w:r>
        <w:rPr>
          <w:rFonts w:hint="eastAsia"/>
          <w:spacing w:val="-15"/>
          <w:sz w:val="24"/>
          <w:lang w:eastAsia="zh-CN"/>
        </w:rPr>
        <w:t>（</w:t>
      </w:r>
      <w:r>
        <w:rPr>
          <w:rFonts w:hint="eastAsia"/>
          <w:spacing w:val="-15"/>
          <w:sz w:val="24"/>
          <w:lang w:val="en-US" w:eastAsia="zh-CN"/>
        </w:rPr>
        <w:t>2</w:t>
      </w:r>
      <w:r>
        <w:rPr>
          <w:rFonts w:hint="eastAsia"/>
          <w:spacing w:val="-15"/>
          <w:sz w:val="24"/>
          <w:lang w:eastAsia="zh-CN"/>
        </w:rPr>
        <w:t>）</w:t>
      </w:r>
      <w:r>
        <w:rPr>
          <w:spacing w:val="-15"/>
          <w:sz w:val="24"/>
        </w:rPr>
        <w:t xml:space="preserve">坚持统一领导，分类管理，分级响应的原则。接受政府环保部门的指导， </w:t>
      </w:r>
      <w:r>
        <w:rPr>
          <w:spacing w:val="-4"/>
          <w:sz w:val="24"/>
        </w:rPr>
        <w:t>使公司的突发性环境污染事故应急系统成为区域系统的有机组成部分。加强企业</w:t>
      </w:r>
      <w:r>
        <w:rPr>
          <w:spacing w:val="-10"/>
          <w:sz w:val="24"/>
        </w:rPr>
        <w:t>各部门之间协同与合作，提高快速反应能力。针对不同污染源所造成的环境污染</w:t>
      </w:r>
      <w:r>
        <w:rPr>
          <w:spacing w:val="-13"/>
          <w:sz w:val="24"/>
        </w:rPr>
        <w:t>的特点，实行分类管理，充分发挥部门专业优势，使采取的措施与突发环境污染事故造成的危害范围和社会影响相适应。</w:t>
      </w:r>
    </w:p>
    <w:p>
      <w:pPr>
        <w:pStyle w:val="19"/>
        <w:keepNext w:val="0"/>
        <w:keepLines w:val="0"/>
        <w:pageBreakBefore w:val="0"/>
        <w:widowControl w:val="0"/>
        <w:numPr>
          <w:ilvl w:val="0"/>
          <w:numId w:val="0"/>
        </w:numPr>
        <w:tabs>
          <w:tab w:val="left" w:pos="1150"/>
        </w:tabs>
        <w:kinsoku/>
        <w:wordWrap/>
        <w:overflowPunct/>
        <w:topLinePunct w:val="0"/>
        <w:autoSpaceDE w:val="0"/>
        <w:autoSpaceDN w:val="0"/>
        <w:bidi w:val="0"/>
        <w:adjustRightInd/>
        <w:snapToGrid/>
        <w:spacing w:before="0" w:after="0" w:line="360" w:lineRule="auto"/>
        <w:ind w:right="321" w:rightChars="0" w:firstLine="452" w:firstLineChars="200"/>
        <w:jc w:val="both"/>
        <w:textAlignment w:val="auto"/>
        <w:rPr>
          <w:sz w:val="24"/>
        </w:rPr>
      </w:pPr>
      <w:r>
        <w:rPr>
          <w:rFonts w:hint="eastAsia"/>
          <w:spacing w:val="-7"/>
          <w:sz w:val="24"/>
          <w:lang w:eastAsia="zh-CN"/>
        </w:rPr>
        <w:t>（</w:t>
      </w:r>
      <w:r>
        <w:rPr>
          <w:rFonts w:hint="eastAsia"/>
          <w:spacing w:val="-7"/>
          <w:sz w:val="24"/>
          <w:lang w:val="en-US" w:eastAsia="zh-CN"/>
        </w:rPr>
        <w:t>3</w:t>
      </w:r>
      <w:r>
        <w:rPr>
          <w:rFonts w:hint="eastAsia"/>
          <w:spacing w:val="-7"/>
          <w:sz w:val="24"/>
          <w:lang w:eastAsia="zh-CN"/>
        </w:rPr>
        <w:t>）</w:t>
      </w:r>
      <w:r>
        <w:rPr>
          <w:spacing w:val="-7"/>
          <w:sz w:val="24"/>
        </w:rPr>
        <w:t>坚持快速反应，高效运转的原则。各部门熟悉企业生产情况，接到事故</w:t>
      </w:r>
      <w:r>
        <w:rPr>
          <w:spacing w:val="-6"/>
          <w:sz w:val="24"/>
        </w:rPr>
        <w:t>救援命令必须及时赶赴现场组织施救，做到快速有效。发生重特大事故，由本预</w:t>
      </w:r>
      <w:r>
        <w:rPr>
          <w:sz w:val="24"/>
        </w:rPr>
        <w:t>案中设置的指挥中心全权负责事故上报和事故抢险救护工作。</w:t>
      </w:r>
    </w:p>
    <w:p>
      <w:pPr>
        <w:pStyle w:val="19"/>
        <w:keepNext w:val="0"/>
        <w:keepLines w:val="0"/>
        <w:pageBreakBefore w:val="0"/>
        <w:widowControl w:val="0"/>
        <w:numPr>
          <w:ilvl w:val="0"/>
          <w:numId w:val="0"/>
        </w:numPr>
        <w:tabs>
          <w:tab w:val="left" w:pos="1150"/>
        </w:tabs>
        <w:kinsoku/>
        <w:wordWrap/>
        <w:overflowPunct/>
        <w:topLinePunct w:val="0"/>
        <w:autoSpaceDE w:val="0"/>
        <w:autoSpaceDN w:val="0"/>
        <w:bidi w:val="0"/>
        <w:adjustRightInd/>
        <w:snapToGrid/>
        <w:spacing w:before="0" w:after="0" w:line="360" w:lineRule="auto"/>
        <w:ind w:right="225" w:rightChars="0" w:firstLine="456" w:firstLineChars="200"/>
        <w:jc w:val="left"/>
        <w:textAlignment w:val="auto"/>
        <w:rPr>
          <w:sz w:val="24"/>
        </w:rPr>
      </w:pPr>
      <w:r>
        <w:rPr>
          <w:rFonts w:hint="eastAsia"/>
          <w:spacing w:val="-6"/>
          <w:sz w:val="24"/>
          <w:lang w:eastAsia="zh-CN"/>
        </w:rPr>
        <w:t>（</w:t>
      </w:r>
      <w:r>
        <w:rPr>
          <w:rFonts w:hint="eastAsia"/>
          <w:spacing w:val="-6"/>
          <w:sz w:val="24"/>
          <w:lang w:val="en-US" w:eastAsia="zh-CN"/>
        </w:rPr>
        <w:t>4</w:t>
      </w:r>
      <w:r>
        <w:rPr>
          <w:rFonts w:hint="eastAsia"/>
          <w:spacing w:val="-6"/>
          <w:sz w:val="24"/>
          <w:lang w:eastAsia="zh-CN"/>
        </w:rPr>
        <w:t>）</w:t>
      </w:r>
      <w:r>
        <w:rPr>
          <w:spacing w:val="-6"/>
          <w:sz w:val="24"/>
        </w:rPr>
        <w:t>坚持依靠科技，预防为主的原则。采用先进技术，充分发挥专业技术人</w:t>
      </w:r>
      <w:r>
        <w:rPr>
          <w:spacing w:val="-7"/>
          <w:sz w:val="24"/>
        </w:rPr>
        <w:t xml:space="preserve">才作用，实行科学民主决策，采用先进的救援装备和技术，增强应急救援能力， </w:t>
      </w:r>
      <w:r>
        <w:rPr>
          <w:spacing w:val="-6"/>
          <w:sz w:val="24"/>
        </w:rPr>
        <w:t>依法规范应急救援工作。确保施救方案的科学性、权威性和可操作性，坚持事故</w:t>
      </w:r>
      <w:r>
        <w:rPr>
          <w:spacing w:val="-11"/>
          <w:sz w:val="24"/>
        </w:rPr>
        <w:t>应急救援与事故预防的有机结合。积极开展企业安全建设，提高从业人员的整体素质，增强企业的安全保障能力。</w:t>
      </w:r>
    </w:p>
    <w:p>
      <w:pPr>
        <w:pStyle w:val="19"/>
        <w:keepNext w:val="0"/>
        <w:keepLines w:val="0"/>
        <w:pageBreakBefore w:val="0"/>
        <w:widowControl w:val="0"/>
        <w:numPr>
          <w:ilvl w:val="0"/>
          <w:numId w:val="0"/>
        </w:numPr>
        <w:tabs>
          <w:tab w:val="left" w:pos="1150"/>
        </w:tabs>
        <w:kinsoku/>
        <w:wordWrap/>
        <w:overflowPunct/>
        <w:topLinePunct w:val="0"/>
        <w:autoSpaceDE w:val="0"/>
        <w:autoSpaceDN w:val="0"/>
        <w:bidi w:val="0"/>
        <w:adjustRightInd/>
        <w:snapToGrid/>
        <w:spacing w:before="0" w:after="0" w:line="360" w:lineRule="auto"/>
        <w:ind w:right="201" w:rightChars="0" w:firstLine="456" w:firstLineChars="200"/>
        <w:jc w:val="left"/>
        <w:textAlignment w:val="auto"/>
        <w:rPr>
          <w:sz w:val="24"/>
        </w:rPr>
      </w:pPr>
      <w:r>
        <w:rPr>
          <w:rFonts w:hint="eastAsia"/>
          <w:spacing w:val="-6"/>
          <w:sz w:val="24"/>
          <w:lang w:eastAsia="zh-CN"/>
        </w:rPr>
        <w:t>（</w:t>
      </w:r>
      <w:r>
        <w:rPr>
          <w:rFonts w:hint="eastAsia"/>
          <w:spacing w:val="-6"/>
          <w:sz w:val="24"/>
          <w:lang w:val="en-US" w:eastAsia="zh-CN"/>
        </w:rPr>
        <w:t>5</w:t>
      </w:r>
      <w:r>
        <w:rPr>
          <w:rFonts w:hint="eastAsia"/>
          <w:spacing w:val="-6"/>
          <w:sz w:val="24"/>
          <w:lang w:eastAsia="zh-CN"/>
        </w:rPr>
        <w:t>）</w:t>
      </w:r>
      <w:r>
        <w:rPr>
          <w:spacing w:val="-6"/>
          <w:sz w:val="24"/>
        </w:rPr>
        <w:t>坚持平战结合，专辅互补，充分利用现有资源的原则。积极做好应对突</w:t>
      </w:r>
      <w:r>
        <w:rPr>
          <w:spacing w:val="-17"/>
          <w:sz w:val="24"/>
        </w:rPr>
        <w:t xml:space="preserve">发性环境污染事故的思想准备、物资准备、技术准备、工作准备，加强培训演练， </w:t>
      </w:r>
      <w:r>
        <w:rPr>
          <w:spacing w:val="-6"/>
          <w:sz w:val="24"/>
        </w:rPr>
        <w:t>应急系统做到常备不懈，充分利用专业救援队伍力量，引导、鼓励、培育和发挥辅助应急救援力量的作用。</w:t>
      </w:r>
    </w:p>
    <w:p>
      <w:pPr>
        <w:pStyle w:val="5"/>
        <w:numPr>
          <w:ilvl w:val="1"/>
          <w:numId w:val="16"/>
        </w:numPr>
        <w:bidi w:val="0"/>
      </w:pPr>
      <w:bookmarkStart w:id="14" w:name="_bookmark5"/>
      <w:bookmarkEnd w:id="14"/>
      <w:bookmarkStart w:id="15" w:name="1.5 应急预案体系 "/>
      <w:bookmarkEnd w:id="15"/>
      <w:bookmarkStart w:id="16" w:name="_bookmark5"/>
      <w:bookmarkEnd w:id="16"/>
      <w:r>
        <w:t>应急预案体系</w:t>
      </w:r>
    </w:p>
    <w:p>
      <w:pPr>
        <w:adjustRightInd w:val="0"/>
        <w:snapToGrid w:val="0"/>
        <w:spacing w:line="480" w:lineRule="exact"/>
        <w:ind w:firstLine="480" w:firstLineChars="200"/>
        <w:rPr>
          <w:color w:val="auto"/>
          <w:sz w:val="24"/>
          <w:szCs w:val="24"/>
        </w:rPr>
      </w:pPr>
      <w:bookmarkStart w:id="17" w:name="_bookmark6"/>
      <w:bookmarkEnd w:id="17"/>
      <w:bookmarkStart w:id="18" w:name="1.6 环境事件分级 "/>
      <w:bookmarkEnd w:id="18"/>
      <w:bookmarkStart w:id="19" w:name="_bookmark6"/>
      <w:bookmarkEnd w:id="19"/>
      <w:r>
        <w:rPr>
          <w:rFonts w:hint="eastAsia" w:ascii="宋体" w:hAnsi="宋体" w:eastAsia="宋体" w:cs="宋体"/>
          <w:color w:val="auto"/>
          <w:sz w:val="24"/>
          <w:szCs w:val="24"/>
          <w:lang w:eastAsia="zh-CN"/>
        </w:rPr>
        <w:t>江西景新漆业股份有限公司</w:t>
      </w:r>
      <w:r>
        <w:rPr>
          <w:rFonts w:hint="eastAsia"/>
          <w:color w:val="auto"/>
          <w:sz w:val="24"/>
          <w:szCs w:val="24"/>
        </w:rPr>
        <w:t>应急预案体系主要包括</w:t>
      </w:r>
      <w:r>
        <w:rPr>
          <w:rFonts w:hint="default" w:ascii="Times New Roman" w:hAnsi="Times New Roman" w:cs="Times New Roman"/>
          <w:color w:val="auto"/>
          <w:sz w:val="24"/>
          <w:szCs w:val="24"/>
        </w:rPr>
        <w:t>生产安全事故应急预案</w:t>
      </w:r>
      <w:r>
        <w:rPr>
          <w:rFonts w:hint="eastAsia"/>
          <w:color w:val="auto"/>
          <w:sz w:val="24"/>
          <w:szCs w:val="24"/>
        </w:rPr>
        <w:t>、突发环境事件应急预案。其中突发环境事件应急预案</w:t>
      </w:r>
      <w:r>
        <w:rPr>
          <w:color w:val="auto"/>
          <w:sz w:val="24"/>
          <w:szCs w:val="24"/>
        </w:rPr>
        <w:t>在《</w:t>
      </w:r>
      <w:r>
        <w:rPr>
          <w:rFonts w:hint="eastAsia"/>
          <w:color w:val="auto"/>
          <w:sz w:val="24"/>
          <w:szCs w:val="24"/>
        </w:rPr>
        <w:t>江西</w:t>
      </w:r>
      <w:r>
        <w:rPr>
          <w:color w:val="auto"/>
          <w:sz w:val="24"/>
          <w:szCs w:val="24"/>
        </w:rPr>
        <w:t>省突发环境事件应急预案》、《</w:t>
      </w:r>
      <w:r>
        <w:rPr>
          <w:rFonts w:hint="eastAsia"/>
          <w:color w:val="auto"/>
          <w:sz w:val="24"/>
          <w:szCs w:val="24"/>
          <w:lang w:eastAsia="zh-CN"/>
        </w:rPr>
        <w:t>宜春</w:t>
      </w:r>
      <w:r>
        <w:rPr>
          <w:color w:val="auto"/>
          <w:sz w:val="24"/>
          <w:szCs w:val="24"/>
        </w:rPr>
        <w:t>市突发环境事件应急预案》和《</w:t>
      </w:r>
      <w:r>
        <w:rPr>
          <w:rFonts w:hint="eastAsia"/>
          <w:color w:val="auto"/>
          <w:sz w:val="24"/>
          <w:szCs w:val="24"/>
          <w:lang w:val="en-US" w:eastAsia="zh-CN"/>
        </w:rPr>
        <w:t>丰城市</w:t>
      </w:r>
      <w:r>
        <w:rPr>
          <w:color w:val="auto"/>
          <w:sz w:val="24"/>
          <w:szCs w:val="24"/>
        </w:rPr>
        <w:t>突发环境事件应急预案》的框架范围内制定，与</w:t>
      </w:r>
      <w:r>
        <w:rPr>
          <w:rFonts w:hint="default" w:ascii="Times New Roman" w:hAnsi="Times New Roman" w:cs="Times New Roman"/>
          <w:color w:val="auto"/>
          <w:sz w:val="24"/>
          <w:szCs w:val="24"/>
        </w:rPr>
        <w:t>生产安全事故应急预案</w:t>
      </w:r>
      <w:r>
        <w:rPr>
          <w:rFonts w:hint="eastAsia"/>
          <w:color w:val="auto"/>
          <w:sz w:val="24"/>
          <w:szCs w:val="24"/>
        </w:rPr>
        <w:t>相互</w:t>
      </w:r>
      <w:r>
        <w:rPr>
          <w:color w:val="auto"/>
          <w:sz w:val="24"/>
          <w:szCs w:val="24"/>
        </w:rPr>
        <w:t>协调、相互衔接</w:t>
      </w:r>
      <w:r>
        <w:rPr>
          <w:rFonts w:hint="eastAsia"/>
          <w:color w:val="auto"/>
          <w:sz w:val="24"/>
          <w:szCs w:val="24"/>
        </w:rPr>
        <w:t>。</w:t>
      </w:r>
    </w:p>
    <w:p>
      <w:pPr>
        <w:spacing w:line="480" w:lineRule="exact"/>
        <w:ind w:firstLine="480" w:firstLineChars="200"/>
        <w:contextualSpacing/>
        <w:jc w:val="left"/>
        <w:rPr>
          <w:rFonts w:hint="eastAsia"/>
          <w:color w:val="auto"/>
          <w:sz w:val="24"/>
          <w:szCs w:val="24"/>
        </w:rPr>
      </w:pPr>
      <w:r>
        <w:rPr>
          <w:color w:val="auto"/>
          <w:sz w:val="24"/>
          <w:szCs w:val="24"/>
        </w:rPr>
        <w:t>在发生突发环境事件</w:t>
      </w:r>
      <w:r>
        <w:rPr>
          <w:rFonts w:ascii="Times New Roman" w:hAnsi="Times New Roman" w:eastAsia="宋体" w:cs="Times New Roman"/>
          <w:color w:val="auto"/>
          <w:sz w:val="24"/>
          <w:szCs w:val="24"/>
        </w:rPr>
        <w:t>时，由</w:t>
      </w:r>
      <w:r>
        <w:rPr>
          <w:rFonts w:hint="eastAsia" w:ascii="Times New Roman" w:hAnsi="Times New Roman" w:eastAsia="宋体" w:cs="Times New Roman"/>
          <w:color w:val="auto"/>
          <w:sz w:val="24"/>
          <w:szCs w:val="24"/>
          <w:lang w:eastAsia="zh-CN"/>
        </w:rPr>
        <w:t>江西景新漆业股份有限公司</w:t>
      </w:r>
      <w:r>
        <w:rPr>
          <w:rFonts w:ascii="Times New Roman" w:hAnsi="Times New Roman" w:eastAsia="宋体" w:cs="Times New Roman"/>
          <w:color w:val="auto"/>
          <w:sz w:val="24"/>
          <w:szCs w:val="24"/>
        </w:rPr>
        <w:t>应</w:t>
      </w:r>
      <w:r>
        <w:rPr>
          <w:color w:val="auto"/>
          <w:sz w:val="24"/>
          <w:szCs w:val="24"/>
        </w:rPr>
        <w:t>急指挥部启动《</w:t>
      </w:r>
      <w:r>
        <w:rPr>
          <w:rFonts w:hint="eastAsia"/>
          <w:color w:val="auto"/>
          <w:sz w:val="24"/>
          <w:szCs w:val="24"/>
          <w:lang w:eastAsia="zh-CN"/>
        </w:rPr>
        <w:t>江西景新漆业股份有限公司</w:t>
      </w:r>
      <w:r>
        <w:rPr>
          <w:color w:val="auto"/>
          <w:sz w:val="24"/>
          <w:szCs w:val="24"/>
        </w:rPr>
        <w:t>突发环境事件应急预案》</w:t>
      </w:r>
      <w:r>
        <w:rPr>
          <w:rFonts w:hint="eastAsia"/>
          <w:color w:val="auto"/>
          <w:sz w:val="24"/>
          <w:szCs w:val="24"/>
        </w:rPr>
        <w:t>，进行突发环境事件的应急处置工作</w:t>
      </w:r>
      <w:r>
        <w:rPr>
          <w:color w:val="auto"/>
          <w:sz w:val="24"/>
          <w:szCs w:val="24"/>
        </w:rPr>
        <w:t>。</w:t>
      </w:r>
      <w:r>
        <w:rPr>
          <w:rFonts w:hint="eastAsia"/>
          <w:color w:val="auto"/>
          <w:sz w:val="24"/>
          <w:szCs w:val="24"/>
        </w:rPr>
        <w:t>当企业突发环境事件可能影响到外部时，应急指挥部总指挥或副总指挥在半小时内通知区生态环境主管部门和政府。当启动区突发环境事件应急预案或更高级别预案时，企业应急组织服从上级突发环境事件应急指挥部安排，根据上级指令参与突发环境事件应急处置工作。</w:t>
      </w:r>
    </w:p>
    <w:p>
      <w:pPr>
        <w:spacing w:line="480" w:lineRule="exact"/>
        <w:ind w:firstLine="440" w:firstLineChars="200"/>
        <w:contextualSpacing/>
        <w:jc w:val="left"/>
        <w:rPr>
          <w:rFonts w:hint="eastAsia" w:eastAsia="黑体"/>
          <w:lang w:eastAsia="zh-CN"/>
        </w:rPr>
      </w:pPr>
    </w:p>
    <w:p>
      <w:pPr>
        <w:pStyle w:val="5"/>
        <w:numPr>
          <w:numId w:val="0"/>
        </w:numPr>
        <w:bidi w:val="0"/>
        <w:ind w:right="0" w:rightChars="0"/>
        <w:rPr>
          <w:rFonts w:hint="eastAsia"/>
          <w:lang w:val="en-US" w:eastAsia="zh-CN"/>
        </w:rPr>
      </w:pPr>
      <w:r>
        <w:rPr>
          <w:rFonts w:hint="eastAsia" w:eastAsia="黑体"/>
          <w:lang w:eastAsia="zh-CN"/>
        </w:rPr>
        <w:drawing>
          <wp:inline distT="0" distB="0" distL="114300" distR="114300">
            <wp:extent cx="5619750" cy="3183890"/>
            <wp:effectExtent l="0" t="0" r="0" b="16510"/>
            <wp:docPr id="51" name="图片 51" descr="微信截图_2023111613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微信截图_20231116133054"/>
                    <pic:cNvPicPr>
                      <a:picLocks noChangeAspect="1"/>
                    </pic:cNvPicPr>
                  </pic:nvPicPr>
                  <pic:blipFill>
                    <a:blip r:embed="rId21"/>
                    <a:stretch>
                      <a:fillRect/>
                    </a:stretch>
                  </pic:blipFill>
                  <pic:spPr>
                    <a:xfrm>
                      <a:off x="0" y="0"/>
                      <a:ext cx="5619750" cy="3183890"/>
                    </a:xfrm>
                    <a:prstGeom prst="rect">
                      <a:avLst/>
                    </a:prstGeom>
                  </pic:spPr>
                </pic:pic>
              </a:graphicData>
            </a:graphic>
          </wp:inline>
        </w:drawing>
      </w:r>
    </w:p>
    <w:p>
      <w:pPr>
        <w:pStyle w:val="5"/>
        <w:numPr>
          <w:numId w:val="0"/>
        </w:numPr>
        <w:bidi w:val="0"/>
        <w:ind w:right="0" w:rightChars="0"/>
        <w:rPr>
          <w:rFonts w:hint="eastAsia"/>
          <w:lang w:val="en-US" w:eastAsia="zh-CN"/>
        </w:rPr>
      </w:pPr>
    </w:p>
    <w:p>
      <w:pPr>
        <w:pStyle w:val="5"/>
        <w:numPr>
          <w:numId w:val="0"/>
        </w:numPr>
        <w:bidi w:val="0"/>
        <w:ind w:right="0" w:rightChars="0"/>
      </w:pPr>
      <w:r>
        <w:rPr>
          <w:rFonts w:hint="eastAsia"/>
          <w:lang w:val="en-US" w:eastAsia="zh-CN"/>
        </w:rPr>
        <w:t xml:space="preserve">1.6 </w:t>
      </w:r>
      <w:r>
        <w:t>环境事件分级</w:t>
      </w:r>
    </w:p>
    <w:p>
      <w:pPr>
        <w:pStyle w:val="19"/>
        <w:numPr>
          <w:numId w:val="0"/>
        </w:numPr>
        <w:tabs>
          <w:tab w:val="left" w:pos="1070"/>
        </w:tabs>
        <w:spacing w:before="242" w:after="0" w:line="240" w:lineRule="auto"/>
        <w:ind w:left="221" w:leftChars="0" w:right="0" w:rightChars="0"/>
        <w:jc w:val="left"/>
        <w:rPr>
          <w:b/>
          <w:sz w:val="28"/>
        </w:rPr>
      </w:pPr>
      <w:bookmarkStart w:id="20" w:name="1.6.1 本公司突发环境事件分级 "/>
      <w:bookmarkEnd w:id="20"/>
      <w:bookmarkStart w:id="21" w:name="1.6.1 本公司突发环境事件分级 "/>
      <w:bookmarkEnd w:id="21"/>
      <w:r>
        <w:rPr>
          <w:rFonts w:hint="eastAsia"/>
          <w:b/>
          <w:sz w:val="28"/>
          <w:lang w:val="en-US" w:eastAsia="zh-CN"/>
        </w:rPr>
        <w:t xml:space="preserve">1.6.1 </w:t>
      </w:r>
      <w:r>
        <w:rPr>
          <w:b/>
          <w:sz w:val="28"/>
        </w:rPr>
        <w:t>本公司突发环境事件分级</w:t>
      </w:r>
    </w:p>
    <w:p>
      <w:pPr>
        <w:pStyle w:val="7"/>
        <w:spacing w:before="65" w:line="362" w:lineRule="auto"/>
        <w:ind w:left="222" w:right="321" w:firstLine="566"/>
      </w:pPr>
      <w:r>
        <w:t>按照环境污染事件的可控性、严重性和紧急程度，本公司突发环境事件及预案分为二级。</w:t>
      </w:r>
    </w:p>
    <w:p>
      <w:pPr>
        <w:pStyle w:val="19"/>
        <w:numPr>
          <w:ilvl w:val="3"/>
          <w:numId w:val="16"/>
        </w:numPr>
        <w:tabs>
          <w:tab w:val="left" w:pos="1150"/>
        </w:tabs>
        <w:spacing w:before="5" w:after="0" w:line="362" w:lineRule="auto"/>
        <w:ind w:left="222" w:right="321" w:firstLine="566"/>
        <w:jc w:val="left"/>
        <w:rPr>
          <w:sz w:val="22"/>
        </w:rPr>
      </w:pPr>
      <w:r>
        <w:rPr>
          <w:spacing w:val="-4"/>
          <w:sz w:val="24"/>
        </w:rPr>
        <w:t>满足下列情形之一者为一级突发性环境污染事件，启动的应急预案为一</w:t>
      </w:r>
      <w:r>
        <w:rPr>
          <w:sz w:val="24"/>
        </w:rPr>
        <w:t>级应急预案(请求政府支援预案)：</w:t>
      </w:r>
    </w:p>
    <w:p>
      <w:pPr>
        <w:pStyle w:val="7"/>
        <w:spacing w:before="5"/>
        <w:ind w:left="788"/>
      </w:pPr>
      <w:r>
        <w:rPr>
          <w:spacing w:val="-180"/>
        </w:rPr>
        <w:t>○</w:t>
      </w:r>
      <w:r>
        <w:t>1</w:t>
      </w:r>
      <w:r>
        <w:rPr>
          <w:spacing w:val="-8"/>
        </w:rPr>
        <w:t xml:space="preserve"> 事件涉及本厂以外单位和人员，需要撤离疏散非本厂员工以外人员；</w:t>
      </w:r>
    </w:p>
    <w:p>
      <w:pPr>
        <w:pStyle w:val="7"/>
        <w:spacing w:before="158"/>
        <w:ind w:left="788"/>
      </w:pPr>
      <w:r>
        <w:rPr>
          <w:spacing w:val="-180"/>
        </w:rPr>
        <w:t>○</w:t>
      </w:r>
      <w:r>
        <w:t>2</w:t>
      </w:r>
      <w:r>
        <w:rPr>
          <w:spacing w:val="-12"/>
        </w:rPr>
        <w:t xml:space="preserve"> 事件危害可引起大面积污染，跨区域污染，并有迅速扩大或发展趋势的；</w:t>
      </w:r>
    </w:p>
    <w:p>
      <w:pPr>
        <w:pStyle w:val="7"/>
        <w:spacing w:before="161"/>
        <w:ind w:left="788"/>
      </w:pPr>
      <w:r>
        <w:rPr>
          <w:spacing w:val="-180"/>
        </w:rPr>
        <w:t>○</w:t>
      </w:r>
      <w:r>
        <w:t>3</w:t>
      </w:r>
      <w:r>
        <w:rPr>
          <w:spacing w:val="-8"/>
        </w:rPr>
        <w:t xml:space="preserve"> 超出本厂应急处置能力的环境污染事件。</w:t>
      </w:r>
    </w:p>
    <w:p>
      <w:pPr>
        <w:pStyle w:val="19"/>
        <w:numPr>
          <w:ilvl w:val="3"/>
          <w:numId w:val="16"/>
        </w:numPr>
        <w:tabs>
          <w:tab w:val="left" w:pos="1150"/>
        </w:tabs>
        <w:spacing w:before="158" w:after="0" w:line="364" w:lineRule="auto"/>
        <w:ind w:left="222" w:right="321" w:firstLine="566"/>
        <w:jc w:val="left"/>
        <w:rPr>
          <w:sz w:val="22"/>
        </w:rPr>
      </w:pPr>
      <w:r>
        <w:rPr>
          <w:spacing w:val="-7"/>
          <w:sz w:val="24"/>
        </w:rPr>
        <w:t>满足下列情形之一者，为二级突发性环境污染事件，启动的应急预案为</w:t>
      </w:r>
      <w:r>
        <w:rPr>
          <w:sz w:val="24"/>
        </w:rPr>
        <w:t>二级应急预案(厂级预案)：</w:t>
      </w:r>
    </w:p>
    <w:p>
      <w:pPr>
        <w:pStyle w:val="7"/>
        <w:spacing w:line="306" w:lineRule="exact"/>
        <w:ind w:left="788"/>
      </w:pPr>
      <w:r>
        <w:rPr>
          <w:spacing w:val="-180"/>
        </w:rPr>
        <w:t>○</w:t>
      </w:r>
      <w:r>
        <w:t>1</w:t>
      </w:r>
      <w:r>
        <w:rPr>
          <w:spacing w:val="-8"/>
        </w:rPr>
        <w:t xml:space="preserve"> 有人员出现明显中毒症状的；</w:t>
      </w:r>
    </w:p>
    <w:p>
      <w:pPr>
        <w:pStyle w:val="7"/>
        <w:spacing w:before="160"/>
        <w:ind w:left="788"/>
        <w:jc w:val="both"/>
      </w:pPr>
      <w:r>
        <w:rPr>
          <w:spacing w:val="-180"/>
        </w:rPr>
        <w:t>○</w:t>
      </w:r>
      <w:r>
        <w:t>2</w:t>
      </w:r>
      <w:r>
        <w:rPr>
          <w:spacing w:val="-8"/>
        </w:rPr>
        <w:t xml:space="preserve"> 事件涉及车间以外单位和人员，超出车间应急处置能力的；</w:t>
      </w:r>
    </w:p>
    <w:p>
      <w:pPr>
        <w:pStyle w:val="7"/>
        <w:spacing w:before="161" w:line="362" w:lineRule="auto"/>
        <w:ind w:left="222" w:right="321" w:firstLine="566"/>
        <w:jc w:val="both"/>
      </w:pPr>
      <w:r>
        <w:rPr>
          <w:spacing w:val="-180"/>
        </w:rPr>
        <w:t>○</w:t>
      </w:r>
      <w:r>
        <w:t>3</w:t>
      </w:r>
      <w:r>
        <w:rPr>
          <w:spacing w:val="-6"/>
        </w:rPr>
        <w:t xml:space="preserve"> 事件危害影响到周围地区、经自救或一般救援不能迅速予以控制，并有进一步扩大或发展趋势的。</w:t>
      </w:r>
    </w:p>
    <w:p>
      <w:pPr>
        <w:pStyle w:val="19"/>
        <w:numPr>
          <w:numId w:val="0"/>
        </w:numPr>
        <w:tabs>
          <w:tab w:val="left" w:pos="1070"/>
        </w:tabs>
        <w:spacing w:before="66" w:after="0" w:line="240" w:lineRule="auto"/>
        <w:ind w:left="221" w:leftChars="0" w:right="0" w:rightChars="0"/>
        <w:jc w:val="both"/>
        <w:rPr>
          <w:b/>
          <w:sz w:val="28"/>
        </w:rPr>
      </w:pPr>
      <w:bookmarkStart w:id="22" w:name="1.6.2 国家突发环境事件分级 "/>
      <w:bookmarkEnd w:id="22"/>
      <w:bookmarkStart w:id="23" w:name="1.6.2 国家突发环境事件分级 "/>
      <w:bookmarkEnd w:id="23"/>
      <w:r>
        <w:rPr>
          <w:rFonts w:hint="eastAsia"/>
          <w:b/>
          <w:sz w:val="28"/>
          <w:lang w:val="en-US" w:eastAsia="zh-CN"/>
        </w:rPr>
        <w:t xml:space="preserve">1.6.2 </w:t>
      </w:r>
      <w:r>
        <w:rPr>
          <w:b/>
          <w:sz w:val="28"/>
        </w:rPr>
        <w:t>国家突发环境事件分级</w:t>
      </w:r>
    </w:p>
    <w:p>
      <w:pPr>
        <w:pStyle w:val="7"/>
        <w:spacing w:before="62" w:line="364" w:lineRule="auto"/>
        <w:ind w:left="222" w:right="321" w:firstLine="566"/>
        <w:jc w:val="both"/>
      </w:pPr>
      <w:r>
        <w:t>上述公司分级标准如无法研判的突发环境事件，可参照环保部突发环境事件分级，根据《突发环境事件信息报告办法》(环保部第17 号令)执行。按照突发事件严重性和紧急程度，突发环境事件分为特别重大(I级)、重大(II级)、较大(III级)和一般(IV级)四级。</w:t>
      </w:r>
    </w:p>
    <w:p>
      <w:pPr>
        <w:pStyle w:val="19"/>
        <w:numPr>
          <w:ilvl w:val="0"/>
          <w:numId w:val="24"/>
        </w:numPr>
        <w:tabs>
          <w:tab w:val="left" w:pos="1030"/>
        </w:tabs>
        <w:spacing w:before="56" w:after="0" w:line="240" w:lineRule="auto"/>
        <w:ind w:left="1029" w:right="0" w:hanging="242"/>
        <w:jc w:val="left"/>
        <w:rPr>
          <w:sz w:val="24"/>
        </w:rPr>
      </w:pPr>
      <w:r>
        <w:rPr>
          <w:sz w:val="24"/>
        </w:rPr>
        <w:t>特别重大(I级)突发环境事件。凡符合下列情形之一的，为特别重大突发环境事件：</w:t>
      </w:r>
    </w:p>
    <w:p>
      <w:pPr>
        <w:pStyle w:val="19"/>
        <w:numPr>
          <w:ilvl w:val="0"/>
          <w:numId w:val="24"/>
        </w:numPr>
        <w:tabs>
          <w:tab w:val="left" w:pos="1030"/>
        </w:tabs>
        <w:spacing w:before="56" w:after="0" w:line="240" w:lineRule="auto"/>
        <w:ind w:left="1029" w:right="0" w:hanging="242"/>
        <w:jc w:val="left"/>
        <w:rPr>
          <w:sz w:val="24"/>
        </w:rPr>
      </w:pPr>
      <w:r>
        <w:rPr>
          <w:sz w:val="24"/>
        </w:rPr>
        <w:t>因环境污染直接导致10人以上死亡或100人以上中毒的；</w:t>
      </w:r>
    </w:p>
    <w:p>
      <w:pPr>
        <w:pStyle w:val="19"/>
        <w:numPr>
          <w:ilvl w:val="0"/>
          <w:numId w:val="24"/>
        </w:numPr>
        <w:tabs>
          <w:tab w:val="left" w:pos="1030"/>
        </w:tabs>
        <w:spacing w:before="160" w:after="0" w:line="240" w:lineRule="auto"/>
        <w:ind w:left="1029" w:right="0" w:hanging="242"/>
        <w:jc w:val="left"/>
        <w:rPr>
          <w:sz w:val="24"/>
        </w:rPr>
      </w:pPr>
      <w:r>
        <w:rPr>
          <w:sz w:val="24"/>
        </w:rPr>
        <w:t>因环境污染需疏散、转移群众5万人以上的；</w:t>
      </w:r>
    </w:p>
    <w:p>
      <w:pPr>
        <w:pStyle w:val="19"/>
        <w:numPr>
          <w:ilvl w:val="0"/>
          <w:numId w:val="24"/>
        </w:numPr>
        <w:tabs>
          <w:tab w:val="left" w:pos="1030"/>
        </w:tabs>
        <w:spacing w:before="159" w:after="0" w:line="240" w:lineRule="auto"/>
        <w:ind w:left="1029" w:right="0" w:hanging="242"/>
        <w:jc w:val="left"/>
        <w:rPr>
          <w:sz w:val="24"/>
        </w:rPr>
      </w:pPr>
      <w:r>
        <w:rPr>
          <w:sz w:val="24"/>
        </w:rPr>
        <w:t>因环境污染造成直接经济损失1亿元以上的；</w:t>
      </w:r>
    </w:p>
    <w:p>
      <w:pPr>
        <w:pStyle w:val="19"/>
        <w:numPr>
          <w:ilvl w:val="0"/>
          <w:numId w:val="24"/>
        </w:numPr>
        <w:tabs>
          <w:tab w:val="left" w:pos="1030"/>
        </w:tabs>
        <w:spacing w:before="160" w:after="0" w:line="240" w:lineRule="auto"/>
        <w:ind w:left="1029" w:right="0" w:hanging="242"/>
        <w:jc w:val="left"/>
        <w:rPr>
          <w:sz w:val="24"/>
        </w:rPr>
      </w:pPr>
      <w:r>
        <w:rPr>
          <w:sz w:val="24"/>
        </w:rPr>
        <w:t>因环境污染造成区域生态功能丧失或国家重点保护物种灭绝 的；</w:t>
      </w:r>
    </w:p>
    <w:p>
      <w:pPr>
        <w:pStyle w:val="19"/>
        <w:numPr>
          <w:ilvl w:val="0"/>
          <w:numId w:val="24"/>
        </w:numPr>
        <w:tabs>
          <w:tab w:val="left" w:pos="1030"/>
        </w:tabs>
        <w:spacing w:before="158" w:after="0" w:line="240" w:lineRule="auto"/>
        <w:ind w:left="1029" w:right="0" w:hanging="242"/>
        <w:jc w:val="left"/>
        <w:rPr>
          <w:sz w:val="24"/>
        </w:rPr>
      </w:pPr>
      <w:r>
        <w:rPr>
          <w:sz w:val="24"/>
        </w:rPr>
        <w:t>因环境污染造成地市级以上城市集中式饮用水水源地取水中断的；</w:t>
      </w:r>
    </w:p>
    <w:p>
      <w:pPr>
        <w:pStyle w:val="19"/>
        <w:numPr>
          <w:ilvl w:val="0"/>
          <w:numId w:val="24"/>
        </w:numPr>
        <w:tabs>
          <w:tab w:val="left" w:pos="1030"/>
        </w:tabs>
        <w:spacing w:before="161" w:after="0" w:line="364" w:lineRule="auto"/>
        <w:ind w:left="222" w:right="321" w:firstLine="566"/>
        <w:jc w:val="both"/>
        <w:rPr>
          <w:sz w:val="24"/>
        </w:rPr>
      </w:pPr>
      <w:r>
        <w:rPr>
          <w:sz w:val="24"/>
        </w:rPr>
        <w:t>1、2类放射源失控造成大范围严重辐射污染后果的；核设施发生需要进</w:t>
      </w:r>
      <w:r>
        <w:rPr>
          <w:spacing w:val="-6"/>
          <w:sz w:val="24"/>
        </w:rPr>
        <w:t>入场外应急的严重核事件，或事件辐射后果可能影响邻省和境外的，或按照“国</w:t>
      </w:r>
      <w:r>
        <w:rPr>
          <w:sz w:val="24"/>
        </w:rPr>
        <w:t>际核事件分级(INES)</w:t>
      </w:r>
      <w:r>
        <w:rPr>
          <w:spacing w:val="-16"/>
          <w:sz w:val="24"/>
        </w:rPr>
        <w:t>标准”属于</w:t>
      </w:r>
      <w:r>
        <w:rPr>
          <w:sz w:val="24"/>
        </w:rPr>
        <w:t>3</w:t>
      </w:r>
      <w:r>
        <w:rPr>
          <w:spacing w:val="-13"/>
          <w:sz w:val="24"/>
        </w:rPr>
        <w:t>级以上的核事件；台湾核设施中发生的按照“国</w:t>
      </w:r>
      <w:r>
        <w:rPr>
          <w:sz w:val="24"/>
        </w:rPr>
        <w:t>际核事件分级(INES)标准”属于4</w:t>
      </w:r>
      <w:r>
        <w:rPr>
          <w:spacing w:val="-1"/>
          <w:sz w:val="24"/>
        </w:rPr>
        <w:t>级以上的核事件；周边国家核设施中发生的按</w:t>
      </w:r>
      <w:r>
        <w:rPr>
          <w:sz w:val="24"/>
        </w:rPr>
        <w:t>照“国际核事件分级(INES)标准”属于4级以上的核事件；</w:t>
      </w:r>
    </w:p>
    <w:p>
      <w:pPr>
        <w:pStyle w:val="19"/>
        <w:numPr>
          <w:ilvl w:val="0"/>
          <w:numId w:val="24"/>
        </w:numPr>
        <w:tabs>
          <w:tab w:val="left" w:pos="1030"/>
        </w:tabs>
        <w:spacing w:before="0" w:after="0" w:line="303" w:lineRule="exact"/>
        <w:ind w:left="1029" w:right="0" w:hanging="242"/>
        <w:jc w:val="left"/>
        <w:rPr>
          <w:sz w:val="24"/>
        </w:rPr>
      </w:pPr>
      <w:r>
        <w:rPr>
          <w:sz w:val="24"/>
        </w:rPr>
        <w:t>跨国界突发环境事件。</w:t>
      </w:r>
    </w:p>
    <w:p>
      <w:pPr>
        <w:pStyle w:val="19"/>
        <w:numPr>
          <w:ilvl w:val="3"/>
          <w:numId w:val="16"/>
        </w:numPr>
        <w:tabs>
          <w:tab w:val="left" w:pos="1150"/>
        </w:tabs>
        <w:spacing w:before="160" w:after="0" w:line="240" w:lineRule="auto"/>
        <w:ind w:left="1149" w:right="0" w:hanging="362"/>
        <w:jc w:val="left"/>
        <w:rPr>
          <w:sz w:val="22"/>
        </w:rPr>
      </w:pPr>
      <w:r>
        <w:rPr>
          <w:sz w:val="24"/>
        </w:rPr>
        <w:t>重大(II</w:t>
      </w:r>
      <w:r>
        <w:rPr>
          <w:spacing w:val="-6"/>
          <w:sz w:val="24"/>
        </w:rPr>
        <w:t>级)突发环境事件。凡符合下列情形之一的，为重大突发环境事</w:t>
      </w:r>
    </w:p>
    <w:p>
      <w:pPr>
        <w:pStyle w:val="7"/>
        <w:spacing w:before="161"/>
        <w:ind w:left="222"/>
      </w:pPr>
      <w:r>
        <w:t>件：</w:t>
      </w:r>
    </w:p>
    <w:p>
      <w:pPr>
        <w:pStyle w:val="19"/>
        <w:numPr>
          <w:ilvl w:val="0"/>
          <w:numId w:val="25"/>
        </w:numPr>
        <w:tabs>
          <w:tab w:val="left" w:pos="1039"/>
        </w:tabs>
        <w:spacing w:before="158" w:after="0" w:line="240" w:lineRule="auto"/>
        <w:ind w:left="1038" w:right="0" w:hanging="251"/>
        <w:jc w:val="left"/>
        <w:rPr>
          <w:sz w:val="24"/>
        </w:rPr>
      </w:pPr>
      <w:r>
        <w:rPr>
          <w:spacing w:val="9"/>
          <w:sz w:val="24"/>
        </w:rPr>
        <w:t>因环境污染直接导致3</w:t>
      </w:r>
      <w:r>
        <w:rPr>
          <w:spacing w:val="10"/>
          <w:sz w:val="24"/>
        </w:rPr>
        <w:t>人以上</w:t>
      </w:r>
      <w:r>
        <w:rPr>
          <w:spacing w:val="4"/>
          <w:sz w:val="24"/>
        </w:rPr>
        <w:t>10</w:t>
      </w:r>
      <w:r>
        <w:rPr>
          <w:spacing w:val="9"/>
          <w:sz w:val="24"/>
        </w:rPr>
        <w:t>人以下死亡或</w:t>
      </w:r>
      <w:r>
        <w:rPr>
          <w:spacing w:val="4"/>
          <w:sz w:val="24"/>
        </w:rPr>
        <w:t>50</w:t>
      </w:r>
      <w:r>
        <w:rPr>
          <w:spacing w:val="9"/>
          <w:sz w:val="24"/>
        </w:rPr>
        <w:t>人以上</w:t>
      </w:r>
      <w:r>
        <w:rPr>
          <w:spacing w:val="4"/>
          <w:sz w:val="24"/>
        </w:rPr>
        <w:t>100</w:t>
      </w:r>
      <w:r>
        <w:rPr>
          <w:spacing w:val="7"/>
          <w:sz w:val="24"/>
        </w:rPr>
        <w:t>人以下中毒</w:t>
      </w:r>
    </w:p>
    <w:p>
      <w:pPr>
        <w:pStyle w:val="7"/>
        <w:spacing w:before="160"/>
        <w:ind w:left="222"/>
      </w:pPr>
      <w:r>
        <w:t>的；</w:t>
      </w:r>
    </w:p>
    <w:p>
      <w:pPr>
        <w:pStyle w:val="19"/>
        <w:numPr>
          <w:ilvl w:val="0"/>
          <w:numId w:val="25"/>
        </w:numPr>
        <w:tabs>
          <w:tab w:val="left" w:pos="1030"/>
        </w:tabs>
        <w:spacing w:before="158" w:after="0" w:line="240" w:lineRule="auto"/>
        <w:ind w:left="1029" w:right="0" w:hanging="242"/>
        <w:jc w:val="left"/>
        <w:rPr>
          <w:sz w:val="24"/>
        </w:rPr>
      </w:pPr>
      <w:r>
        <w:rPr>
          <w:sz w:val="24"/>
        </w:rPr>
        <w:t>因环境污染需疏散、转移群众1万人以上5万人以下的；</w:t>
      </w:r>
    </w:p>
    <w:p>
      <w:pPr>
        <w:pStyle w:val="19"/>
        <w:numPr>
          <w:ilvl w:val="0"/>
          <w:numId w:val="25"/>
        </w:numPr>
        <w:tabs>
          <w:tab w:val="left" w:pos="1030"/>
        </w:tabs>
        <w:spacing w:before="161" w:after="0" w:line="240" w:lineRule="auto"/>
        <w:ind w:left="1029" w:right="0" w:hanging="242"/>
        <w:jc w:val="left"/>
        <w:rPr>
          <w:sz w:val="24"/>
        </w:rPr>
      </w:pPr>
      <w:r>
        <w:rPr>
          <w:sz w:val="24"/>
        </w:rPr>
        <w:t>因环境污染造成直接经济损失2000万元以上1亿元以下的；</w:t>
      </w:r>
    </w:p>
    <w:p>
      <w:pPr>
        <w:pStyle w:val="19"/>
        <w:numPr>
          <w:ilvl w:val="0"/>
          <w:numId w:val="25"/>
        </w:numPr>
        <w:tabs>
          <w:tab w:val="left" w:pos="1036"/>
        </w:tabs>
        <w:spacing w:before="158" w:after="0" w:line="240" w:lineRule="auto"/>
        <w:ind w:left="1036" w:right="0" w:hanging="248"/>
        <w:jc w:val="left"/>
        <w:rPr>
          <w:sz w:val="24"/>
        </w:rPr>
      </w:pPr>
      <w:r>
        <w:rPr>
          <w:spacing w:val="2"/>
          <w:sz w:val="24"/>
        </w:rPr>
        <w:t>因环境污染造成区域生态功能部分丧失或国家重点保护野生 动植物种</w:t>
      </w:r>
    </w:p>
    <w:p>
      <w:pPr>
        <w:pStyle w:val="7"/>
        <w:spacing w:before="160"/>
        <w:ind w:left="222"/>
      </w:pPr>
      <w:r>
        <w:t>群大批死亡的；</w:t>
      </w:r>
    </w:p>
    <w:p>
      <w:pPr>
        <w:pStyle w:val="19"/>
        <w:numPr>
          <w:ilvl w:val="0"/>
          <w:numId w:val="25"/>
        </w:numPr>
        <w:tabs>
          <w:tab w:val="left" w:pos="1030"/>
        </w:tabs>
        <w:spacing w:before="159" w:after="0" w:line="240" w:lineRule="auto"/>
        <w:ind w:left="1029" w:right="0" w:hanging="242"/>
        <w:jc w:val="left"/>
        <w:rPr>
          <w:sz w:val="24"/>
        </w:rPr>
      </w:pPr>
      <w:r>
        <w:rPr>
          <w:sz w:val="24"/>
        </w:rPr>
        <w:t>因环境污染造成县级城市集中式饮用水水源地取水中断的；</w:t>
      </w:r>
    </w:p>
    <w:p>
      <w:pPr>
        <w:pStyle w:val="19"/>
        <w:numPr>
          <w:ilvl w:val="0"/>
          <w:numId w:val="25"/>
        </w:numPr>
        <w:tabs>
          <w:tab w:val="left" w:pos="1032"/>
        </w:tabs>
        <w:spacing w:before="160" w:after="0" w:line="364" w:lineRule="auto"/>
        <w:ind w:left="222" w:right="321" w:firstLine="566"/>
        <w:jc w:val="both"/>
        <w:rPr>
          <w:sz w:val="24"/>
        </w:rPr>
      </w:pPr>
      <w:r>
        <w:rPr>
          <w:sz w:val="24"/>
        </w:rPr>
        <w:t>重金属污染或危险化学品生产、贮运、使用过程中发生爆炸、泄漏等事</w:t>
      </w:r>
      <w:r>
        <w:rPr>
          <w:spacing w:val="-12"/>
          <w:sz w:val="24"/>
        </w:rPr>
        <w:t>件，或因倾倒、堆放、丢弃、遗撒</w:t>
      </w:r>
      <w:r>
        <w:rPr>
          <w:rFonts w:hint="eastAsia"/>
          <w:spacing w:val="-12"/>
          <w:sz w:val="24"/>
          <w:lang w:eastAsia="zh-CN"/>
        </w:rPr>
        <w:t>化学品</w:t>
      </w:r>
      <w:r>
        <w:rPr>
          <w:spacing w:val="-12"/>
          <w:sz w:val="24"/>
        </w:rPr>
        <w:t>等造成的突发环境事件发生在国家重</w:t>
      </w:r>
      <w:r>
        <w:rPr>
          <w:spacing w:val="-10"/>
          <w:sz w:val="24"/>
        </w:rPr>
        <w:t>点流域、国家级自然保护区、风景名胜区或居民聚集区、医院、学校等敏感区域</w:t>
      </w:r>
      <w:r>
        <w:rPr>
          <w:sz w:val="24"/>
        </w:rPr>
        <w:t>的；</w:t>
      </w:r>
    </w:p>
    <w:p>
      <w:pPr>
        <w:pStyle w:val="19"/>
        <w:numPr>
          <w:ilvl w:val="0"/>
          <w:numId w:val="25"/>
        </w:numPr>
        <w:tabs>
          <w:tab w:val="left" w:pos="1030"/>
        </w:tabs>
        <w:spacing w:before="0" w:after="0" w:line="362" w:lineRule="auto"/>
        <w:ind w:left="222" w:right="321" w:firstLine="566"/>
        <w:jc w:val="left"/>
        <w:rPr>
          <w:sz w:val="24"/>
        </w:rPr>
      </w:pPr>
      <w:r>
        <w:rPr>
          <w:sz w:val="24"/>
        </w:rPr>
        <w:t>1、2类放射源丢失、被盗、失控造成环境影响，或核设施和铀矿冶炼设施发生的达到进入场区应急状态标准的，或进口货物严重辐射超标的事件；</w:t>
      </w:r>
    </w:p>
    <w:p>
      <w:pPr>
        <w:pStyle w:val="19"/>
        <w:numPr>
          <w:ilvl w:val="0"/>
          <w:numId w:val="25"/>
        </w:numPr>
        <w:tabs>
          <w:tab w:val="left" w:pos="1149"/>
        </w:tabs>
        <w:spacing w:before="3" w:after="0" w:line="240" w:lineRule="auto"/>
        <w:ind w:left="1148" w:right="0" w:hanging="361"/>
        <w:jc w:val="left"/>
        <w:rPr>
          <w:sz w:val="24"/>
        </w:rPr>
      </w:pPr>
      <w:r>
        <w:rPr>
          <w:sz w:val="24"/>
        </w:rPr>
        <w:t>跨省(区、市)界突发环境事件。</w:t>
      </w:r>
    </w:p>
    <w:p>
      <w:pPr>
        <w:pStyle w:val="19"/>
        <w:numPr>
          <w:ilvl w:val="3"/>
          <w:numId w:val="16"/>
        </w:numPr>
        <w:tabs>
          <w:tab w:val="left" w:pos="1152"/>
        </w:tabs>
        <w:spacing w:before="158" w:after="0" w:line="364" w:lineRule="auto"/>
        <w:ind w:left="222" w:right="321" w:firstLine="566"/>
        <w:jc w:val="left"/>
        <w:rPr>
          <w:sz w:val="22"/>
        </w:rPr>
      </w:pPr>
      <w:r>
        <w:rPr>
          <w:sz w:val="24"/>
        </w:rPr>
        <w:t>较大(III级)突发环境事件。凡符合下列情形之一的，为较大突发环境事件：</w:t>
      </w:r>
    </w:p>
    <w:p>
      <w:pPr>
        <w:pStyle w:val="19"/>
        <w:numPr>
          <w:ilvl w:val="0"/>
          <w:numId w:val="26"/>
        </w:numPr>
        <w:tabs>
          <w:tab w:val="left" w:pos="1030"/>
        </w:tabs>
        <w:spacing w:before="56" w:after="0" w:line="240" w:lineRule="auto"/>
        <w:ind w:left="1029" w:right="0" w:hanging="242"/>
        <w:jc w:val="left"/>
        <w:rPr>
          <w:sz w:val="24"/>
        </w:rPr>
      </w:pPr>
      <w:r>
        <w:rPr>
          <w:sz w:val="24"/>
        </w:rPr>
        <w:t>因环境污染直接导致3人以下死亡或10人以上50人以下中毒的；</w:t>
      </w:r>
    </w:p>
    <w:p>
      <w:pPr>
        <w:pStyle w:val="19"/>
        <w:numPr>
          <w:ilvl w:val="0"/>
          <w:numId w:val="26"/>
        </w:numPr>
        <w:tabs>
          <w:tab w:val="left" w:pos="1030"/>
        </w:tabs>
        <w:spacing w:before="56" w:after="0" w:line="240" w:lineRule="auto"/>
        <w:ind w:left="1029" w:right="0" w:hanging="242"/>
        <w:jc w:val="left"/>
        <w:rPr>
          <w:sz w:val="24"/>
        </w:rPr>
      </w:pPr>
      <w:r>
        <w:rPr>
          <w:sz w:val="24"/>
        </w:rPr>
        <w:t>因环境污染需疏散、转移群众5000人以上1万人以下的；</w:t>
      </w:r>
    </w:p>
    <w:p>
      <w:pPr>
        <w:pStyle w:val="19"/>
        <w:numPr>
          <w:ilvl w:val="0"/>
          <w:numId w:val="26"/>
        </w:numPr>
        <w:tabs>
          <w:tab w:val="left" w:pos="1030"/>
        </w:tabs>
        <w:spacing w:before="160" w:after="0" w:line="240" w:lineRule="auto"/>
        <w:ind w:left="1029" w:right="0" w:hanging="242"/>
        <w:jc w:val="left"/>
        <w:rPr>
          <w:sz w:val="24"/>
        </w:rPr>
      </w:pPr>
      <w:r>
        <w:rPr>
          <w:sz w:val="24"/>
        </w:rPr>
        <w:t>因环境污染造成直接经济损失500万元以上2000万元以下；</w:t>
      </w:r>
    </w:p>
    <w:p>
      <w:pPr>
        <w:pStyle w:val="19"/>
        <w:numPr>
          <w:ilvl w:val="0"/>
          <w:numId w:val="26"/>
        </w:numPr>
        <w:tabs>
          <w:tab w:val="left" w:pos="1030"/>
        </w:tabs>
        <w:spacing w:before="159" w:after="0" w:line="240" w:lineRule="auto"/>
        <w:ind w:left="1029" w:right="0" w:hanging="242"/>
        <w:jc w:val="left"/>
        <w:rPr>
          <w:sz w:val="24"/>
        </w:rPr>
      </w:pPr>
      <w:r>
        <w:rPr>
          <w:sz w:val="24"/>
        </w:rPr>
        <w:t>因环境污染造成国家重点保护的动植物物种受到破坏的；</w:t>
      </w:r>
    </w:p>
    <w:p>
      <w:pPr>
        <w:pStyle w:val="19"/>
        <w:numPr>
          <w:ilvl w:val="0"/>
          <w:numId w:val="26"/>
        </w:numPr>
        <w:tabs>
          <w:tab w:val="left" w:pos="1030"/>
        </w:tabs>
        <w:spacing w:before="160" w:after="0" w:line="240" w:lineRule="auto"/>
        <w:ind w:left="1029" w:right="0" w:hanging="242"/>
        <w:jc w:val="left"/>
        <w:rPr>
          <w:sz w:val="24"/>
        </w:rPr>
      </w:pPr>
      <w:r>
        <w:rPr>
          <w:sz w:val="24"/>
        </w:rPr>
        <w:t>因环境污染造成乡镇集中式饮用水水源地取水中断的；</w:t>
      </w:r>
    </w:p>
    <w:p>
      <w:pPr>
        <w:pStyle w:val="19"/>
        <w:numPr>
          <w:ilvl w:val="0"/>
          <w:numId w:val="26"/>
        </w:numPr>
        <w:tabs>
          <w:tab w:val="left" w:pos="1030"/>
        </w:tabs>
        <w:spacing w:before="158" w:after="0" w:line="240" w:lineRule="auto"/>
        <w:ind w:left="1029" w:right="0" w:hanging="242"/>
        <w:jc w:val="left"/>
        <w:rPr>
          <w:sz w:val="24"/>
        </w:rPr>
      </w:pPr>
      <w:r>
        <w:rPr>
          <w:sz w:val="24"/>
        </w:rPr>
        <w:t>3类放射源丢失、被盗或失控，造成环境影响的；</w:t>
      </w:r>
    </w:p>
    <w:p>
      <w:pPr>
        <w:pStyle w:val="19"/>
        <w:numPr>
          <w:ilvl w:val="0"/>
          <w:numId w:val="26"/>
        </w:numPr>
        <w:tabs>
          <w:tab w:val="left" w:pos="1030"/>
        </w:tabs>
        <w:spacing w:before="161" w:after="0" w:line="240" w:lineRule="auto"/>
        <w:ind w:left="1029" w:right="0" w:hanging="242"/>
        <w:jc w:val="left"/>
        <w:rPr>
          <w:sz w:val="24"/>
        </w:rPr>
      </w:pPr>
      <w:r>
        <w:rPr>
          <w:sz w:val="24"/>
        </w:rPr>
        <w:t>跨地市界突发环境事件。</w:t>
      </w:r>
    </w:p>
    <w:p>
      <w:pPr>
        <w:pStyle w:val="19"/>
        <w:numPr>
          <w:ilvl w:val="3"/>
          <w:numId w:val="16"/>
        </w:numPr>
        <w:tabs>
          <w:tab w:val="left" w:pos="1150"/>
        </w:tabs>
        <w:spacing w:before="158" w:after="0" w:line="364" w:lineRule="auto"/>
        <w:ind w:left="222" w:right="321" w:firstLine="566"/>
        <w:jc w:val="left"/>
        <w:rPr>
          <w:sz w:val="22"/>
        </w:rPr>
      </w:pPr>
      <w:r>
        <w:rPr>
          <w:sz w:val="24"/>
        </w:rPr>
        <w:t>一般(IV</w:t>
      </w:r>
      <w:r>
        <w:rPr>
          <w:spacing w:val="-7"/>
          <w:sz w:val="24"/>
        </w:rPr>
        <w:t>级)突发环境事件。除特别重大突发环境事件、重大突发环境事</w:t>
      </w:r>
      <w:r>
        <w:rPr>
          <w:sz w:val="24"/>
        </w:rPr>
        <w:t>件、较大突发环境事件以外的突发环境事件。</w:t>
      </w:r>
    </w:p>
    <w:p>
      <w:pPr>
        <w:spacing w:after="0" w:line="364" w:lineRule="auto"/>
        <w:jc w:val="left"/>
        <w:rPr>
          <w:sz w:val="22"/>
        </w:rPr>
        <w:sectPr>
          <w:footerReference r:id="rId8" w:type="default"/>
          <w:pgSz w:w="11910" w:h="16840"/>
          <w:pgMar w:top="1380" w:right="1480" w:bottom="1200" w:left="1580" w:header="882" w:footer="1004" w:gutter="0"/>
          <w:pgNumType w:start="10"/>
          <w:cols w:space="720" w:num="1"/>
        </w:sectPr>
      </w:pPr>
    </w:p>
    <w:p>
      <w:pPr>
        <w:pStyle w:val="7"/>
        <w:spacing w:before="5"/>
        <w:rPr>
          <w:sz w:val="17"/>
        </w:rPr>
      </w:pPr>
    </w:p>
    <w:p>
      <w:pPr>
        <w:pStyle w:val="4"/>
        <w:tabs>
          <w:tab w:val="left" w:pos="1679"/>
        </w:tabs>
        <w:spacing w:before="32"/>
        <w:ind w:right="99"/>
      </w:pPr>
      <w:r>
        <w:t>第二章</w:t>
      </w:r>
      <w:r>
        <w:tab/>
      </w:r>
      <w:bookmarkStart w:id="24" w:name="第二章企业基本情况 "/>
      <w:bookmarkEnd w:id="24"/>
      <w:bookmarkStart w:id="25" w:name="_bookmark7"/>
      <w:bookmarkEnd w:id="25"/>
      <w:r>
        <w:t>企业基本情况</w:t>
      </w:r>
    </w:p>
    <w:p>
      <w:pPr>
        <w:pStyle w:val="7"/>
        <w:spacing w:before="7"/>
        <w:rPr>
          <w:sz w:val="14"/>
        </w:rPr>
      </w:pPr>
    </w:p>
    <w:p>
      <w:pPr>
        <w:pStyle w:val="5"/>
        <w:numPr>
          <w:ilvl w:val="1"/>
          <w:numId w:val="27"/>
        </w:numPr>
        <w:bidi w:val="0"/>
      </w:pPr>
      <w:bookmarkStart w:id="26" w:name="_bookmark8"/>
      <w:bookmarkEnd w:id="26"/>
      <w:bookmarkStart w:id="27" w:name="_bookmark8"/>
      <w:bookmarkEnd w:id="27"/>
      <w:bookmarkStart w:id="28" w:name="2.1 企业简介 "/>
      <w:bookmarkEnd w:id="28"/>
      <w:r>
        <w:t>企业简介</w:t>
      </w:r>
    </w:p>
    <w:p>
      <w:pPr>
        <w:pStyle w:val="7"/>
        <w:spacing w:before="186" w:line="364" w:lineRule="auto"/>
        <w:ind w:left="222" w:right="199" w:firstLine="566"/>
        <w:rPr>
          <w:color w:val="auto"/>
        </w:rPr>
      </w:pPr>
      <w:r>
        <w:rPr>
          <w:color w:val="auto"/>
        </w:rPr>
        <w:t>江西景新漆业股份有限公司位于江西省丰城市工业园，公司中心地理坐标</w:t>
      </w:r>
      <w:r>
        <w:rPr>
          <w:color w:val="auto"/>
          <w:spacing w:val="-15"/>
        </w:rPr>
        <w:t xml:space="preserve">为东经 </w:t>
      </w:r>
      <w:r>
        <w:rPr>
          <w:color w:val="auto"/>
        </w:rPr>
        <w:t>115°42'50.9"</w:t>
      </w:r>
      <w:r>
        <w:rPr>
          <w:color w:val="auto"/>
          <w:spacing w:val="-42"/>
        </w:rPr>
        <w:t xml:space="preserve">，北纬 </w:t>
      </w:r>
      <w:r>
        <w:rPr>
          <w:color w:val="auto"/>
        </w:rPr>
        <w:t>28°12'39.7"</w:t>
      </w:r>
      <w:r>
        <w:rPr>
          <w:color w:val="auto"/>
          <w:spacing w:val="-12"/>
        </w:rPr>
        <w:t>，是一家主要从事涂料生产化工企业，</w:t>
      </w:r>
      <w:r>
        <w:rPr>
          <w:color w:val="auto"/>
          <w:spacing w:val="-7"/>
        </w:rPr>
        <w:t xml:space="preserve">公司成立于 </w:t>
      </w:r>
      <w:r>
        <w:rPr>
          <w:color w:val="auto"/>
        </w:rPr>
        <w:t>2010</w:t>
      </w:r>
      <w:r>
        <w:rPr>
          <w:color w:val="auto"/>
          <w:spacing w:val="-37"/>
        </w:rPr>
        <w:t xml:space="preserve"> 年 </w:t>
      </w:r>
      <w:r>
        <w:rPr>
          <w:color w:val="auto"/>
        </w:rPr>
        <w:t>9</w:t>
      </w:r>
      <w:r>
        <w:rPr>
          <w:color w:val="auto"/>
          <w:spacing w:val="-8"/>
        </w:rPr>
        <w:t xml:space="preserve"> 月，公司占地面积约 </w:t>
      </w:r>
      <w:r>
        <w:rPr>
          <w:color w:val="auto"/>
        </w:rPr>
        <w:t>34235m</w:t>
      </w:r>
      <w:r>
        <w:rPr>
          <w:color w:val="auto"/>
          <w:position w:val="12"/>
          <w:sz w:val="12"/>
        </w:rPr>
        <w:t>2</w:t>
      </w:r>
      <w:r>
        <w:rPr>
          <w:color w:val="auto"/>
          <w:spacing w:val="1"/>
        </w:rPr>
        <w:t>，公司现有生产装置产能为2000t/a</w:t>
      </w:r>
      <w:r>
        <w:rPr>
          <w:color w:val="auto"/>
          <w:spacing w:val="-9"/>
        </w:rPr>
        <w:t xml:space="preserve"> 溶剂型涂料，</w:t>
      </w:r>
      <w:r>
        <w:rPr>
          <w:color w:val="auto"/>
        </w:rPr>
        <w:t>5000t/a</w:t>
      </w:r>
      <w:r>
        <w:rPr>
          <w:color w:val="auto"/>
          <w:spacing w:val="-8"/>
        </w:rPr>
        <w:t xml:space="preserve"> 水性涂料。公司生产区主要有水性车间、油性车</w:t>
      </w:r>
      <w:r>
        <w:rPr>
          <w:color w:val="auto"/>
          <w:spacing w:val="-17"/>
        </w:rPr>
        <w:t>间、仓库、配电房、污水处理站、危废暂存库等构成。生产涉及主要原料有树脂、</w:t>
      </w:r>
      <w:r>
        <w:rPr>
          <w:color w:val="auto"/>
          <w:spacing w:val="-3"/>
        </w:rPr>
        <w:t xml:space="preserve">乳液、粉料、色浆、助剂、溶剂等。公司现有人员 </w:t>
      </w:r>
      <w:r>
        <w:rPr>
          <w:color w:val="auto"/>
        </w:rPr>
        <w:t>86</w:t>
      </w:r>
      <w:r>
        <w:rPr>
          <w:color w:val="auto"/>
          <w:spacing w:val="-20"/>
        </w:rPr>
        <w:t xml:space="preserve"> 人。</w:t>
      </w:r>
    </w:p>
    <w:p>
      <w:pPr>
        <w:pStyle w:val="7"/>
        <w:spacing w:line="364" w:lineRule="auto"/>
        <w:ind w:left="222" w:right="321" w:firstLine="566"/>
        <w:jc w:val="both"/>
        <w:rPr>
          <w:rFonts w:hint="default"/>
          <w:color w:val="auto"/>
          <w:lang w:val="en-US"/>
        </w:rPr>
      </w:pPr>
      <w:r>
        <w:rPr>
          <w:color w:val="auto"/>
          <w:spacing w:val="-7"/>
        </w:rPr>
        <w:t xml:space="preserve">公司生产项目分二期建设，一期为年产 </w:t>
      </w:r>
      <w:r>
        <w:rPr>
          <w:color w:val="auto"/>
        </w:rPr>
        <w:t>5000</w:t>
      </w:r>
      <w:r>
        <w:rPr>
          <w:color w:val="auto"/>
          <w:spacing w:val="-14"/>
        </w:rPr>
        <w:t xml:space="preserve"> 吨水溶性涂料</w:t>
      </w:r>
      <w:r>
        <w:rPr>
          <w:color w:val="auto"/>
          <w:spacing w:val="-3"/>
        </w:rPr>
        <w:t>（含丙烯酸系乳</w:t>
      </w:r>
      <w:r>
        <w:rPr>
          <w:color w:val="auto"/>
          <w:spacing w:val="-16"/>
        </w:rPr>
        <w:t xml:space="preserve">胶漆 </w:t>
      </w:r>
      <w:r>
        <w:rPr>
          <w:color w:val="auto"/>
        </w:rPr>
        <w:t>1000t/a</w:t>
      </w:r>
      <w:r>
        <w:rPr>
          <w:color w:val="auto"/>
          <w:spacing w:val="-5"/>
        </w:rPr>
        <w:t xml:space="preserve">、丙烯酸系弹性涂料 </w:t>
      </w:r>
      <w:r>
        <w:rPr>
          <w:color w:val="auto"/>
        </w:rPr>
        <w:t>1500t/a</w:t>
      </w:r>
      <w:r>
        <w:rPr>
          <w:color w:val="auto"/>
          <w:spacing w:val="-5"/>
        </w:rPr>
        <w:t xml:space="preserve">、丙烯酸系砂壁状涂料 </w:t>
      </w:r>
      <w:r>
        <w:rPr>
          <w:color w:val="auto"/>
        </w:rPr>
        <w:t>2000t/a、水</w:t>
      </w:r>
      <w:r>
        <w:rPr>
          <w:color w:val="auto"/>
          <w:spacing w:val="-10"/>
        </w:rPr>
        <w:t xml:space="preserve">性环氧涂料 </w:t>
      </w:r>
      <w:r>
        <w:rPr>
          <w:color w:val="auto"/>
        </w:rPr>
        <w:t>500t/a）</w:t>
      </w:r>
      <w:r>
        <w:rPr>
          <w:color w:val="auto"/>
          <w:spacing w:val="-28"/>
        </w:rPr>
        <w:t xml:space="preserve">和 </w:t>
      </w:r>
      <w:r>
        <w:rPr>
          <w:color w:val="auto"/>
        </w:rPr>
        <w:t>2000</w:t>
      </w:r>
      <w:r>
        <w:rPr>
          <w:color w:val="auto"/>
          <w:spacing w:val="-12"/>
        </w:rPr>
        <w:t xml:space="preserve"> 吨溶剂型</w:t>
      </w:r>
      <w:r>
        <w:rPr>
          <w:color w:val="auto"/>
        </w:rPr>
        <w:t>/油性涂料（</w:t>
      </w:r>
      <w:r>
        <w:rPr>
          <w:color w:val="auto"/>
          <w:spacing w:val="-7"/>
        </w:rPr>
        <w:t xml:space="preserve">含丙烯酸树脂涂料 </w:t>
      </w:r>
      <w:r>
        <w:rPr>
          <w:color w:val="auto"/>
        </w:rPr>
        <w:t>200t/a</w:t>
      </w:r>
      <w:r>
        <w:rPr>
          <w:color w:val="auto"/>
          <w:spacing w:val="-12"/>
        </w:rPr>
        <w:t>、</w:t>
      </w:r>
      <w:r>
        <w:rPr>
          <w:color w:val="auto"/>
          <w:spacing w:val="-8"/>
        </w:rPr>
        <w:t xml:space="preserve">聚氨酯树脂涂料 </w:t>
      </w:r>
      <w:r>
        <w:rPr>
          <w:color w:val="auto"/>
        </w:rPr>
        <w:t>800t/a</w:t>
      </w:r>
      <w:r>
        <w:rPr>
          <w:color w:val="auto"/>
          <w:spacing w:val="-10"/>
        </w:rPr>
        <w:t xml:space="preserve">、环氧树脂涂料 </w:t>
      </w:r>
      <w:r>
        <w:rPr>
          <w:color w:val="auto"/>
        </w:rPr>
        <w:t>800t/a</w:t>
      </w:r>
      <w:r>
        <w:rPr>
          <w:color w:val="auto"/>
          <w:spacing w:val="-10"/>
        </w:rPr>
        <w:t xml:space="preserve">、氟碳树脂涂料 </w:t>
      </w:r>
      <w:r>
        <w:rPr>
          <w:color w:val="auto"/>
          <w:spacing w:val="-3"/>
        </w:rPr>
        <w:t>200t/a），</w:t>
      </w:r>
      <w:r>
        <w:rPr>
          <w:color w:val="auto"/>
          <w:spacing w:val="-8"/>
        </w:rPr>
        <w:t>二期</w:t>
      </w:r>
      <w:r>
        <w:rPr>
          <w:color w:val="auto"/>
          <w:spacing w:val="-10"/>
        </w:rPr>
        <w:t xml:space="preserve">为年产 </w:t>
      </w:r>
      <w:r>
        <w:rPr>
          <w:color w:val="auto"/>
        </w:rPr>
        <w:t>3000m</w:t>
      </w:r>
      <w:r>
        <w:rPr>
          <w:color w:val="auto"/>
          <w:position w:val="12"/>
          <w:sz w:val="12"/>
        </w:rPr>
        <w:t xml:space="preserve">2 </w:t>
      </w:r>
      <w:r>
        <w:rPr>
          <w:color w:val="auto"/>
        </w:rPr>
        <w:t>新型墙体保温材料</w:t>
      </w:r>
      <w:r>
        <w:rPr>
          <w:color w:val="auto"/>
          <w:spacing w:val="4"/>
        </w:rPr>
        <w:t>（</w:t>
      </w:r>
      <w:r>
        <w:rPr>
          <w:color w:val="auto"/>
        </w:rPr>
        <w:t>聚苯保温板</w:t>
      </w:r>
      <w:r>
        <w:rPr>
          <w:color w:val="auto"/>
          <w:spacing w:val="4"/>
        </w:rPr>
        <w:t>）</w:t>
      </w:r>
      <w:r>
        <w:rPr>
          <w:color w:val="auto"/>
        </w:rPr>
        <w:t>。现公司已经完成一期项目的建设并投产。二期项目尚未进行建设。</w:t>
      </w:r>
    </w:p>
    <w:p>
      <w:pPr>
        <w:pStyle w:val="7"/>
        <w:spacing w:line="304" w:lineRule="exact"/>
        <w:ind w:left="702"/>
        <w:jc w:val="both"/>
        <w:rPr>
          <w:color w:val="auto"/>
        </w:rPr>
      </w:pPr>
      <w:r>
        <w:rPr>
          <w:color w:val="auto"/>
          <w:spacing w:val="-5"/>
        </w:rPr>
        <w:t>江西景新漆业股份有限公司</w:t>
      </w:r>
      <w:r>
        <w:rPr>
          <w:color w:val="auto"/>
        </w:rPr>
        <w:t>2011</w:t>
      </w:r>
      <w:r>
        <w:rPr>
          <w:color w:val="auto"/>
          <w:spacing w:val="-37"/>
        </w:rPr>
        <w:t xml:space="preserve"> 年 </w:t>
      </w:r>
      <w:r>
        <w:rPr>
          <w:color w:val="auto"/>
        </w:rPr>
        <w:t>1</w:t>
      </w:r>
      <w:r>
        <w:rPr>
          <w:color w:val="auto"/>
          <w:spacing w:val="-8"/>
        </w:rPr>
        <w:t xml:space="preserve"> 月委托宜春市环境保护科学研究所编</w:t>
      </w:r>
    </w:p>
    <w:p>
      <w:pPr>
        <w:pStyle w:val="7"/>
        <w:spacing w:before="157" w:line="362" w:lineRule="auto"/>
        <w:ind w:left="222" w:right="321"/>
        <w:jc w:val="both"/>
        <w:rPr>
          <w:color w:val="auto"/>
        </w:rPr>
      </w:pPr>
      <w:r>
        <w:rPr>
          <w:color w:val="auto"/>
          <w:spacing w:val="3"/>
        </w:rPr>
        <w:t xml:space="preserve">制完成《江西景新漆业股份有限公司年产 </w:t>
      </w:r>
      <w:r>
        <w:rPr>
          <w:color w:val="auto"/>
        </w:rPr>
        <w:t>7000 吨新型建筑材料环境影响报告书》，2011</w:t>
      </w:r>
      <w:r>
        <w:rPr>
          <w:color w:val="auto"/>
          <w:spacing w:val="-26"/>
        </w:rPr>
        <w:t xml:space="preserve"> 年 </w:t>
      </w:r>
      <w:r>
        <w:rPr>
          <w:color w:val="auto"/>
        </w:rPr>
        <w:t>1</w:t>
      </w:r>
      <w:r>
        <w:rPr>
          <w:color w:val="auto"/>
          <w:spacing w:val="-7"/>
        </w:rPr>
        <w:t xml:space="preserve"> 月宜春市环境保护局对该建设项目环境影响报告书进行了批复</w:t>
      </w:r>
    </w:p>
    <w:p>
      <w:pPr>
        <w:pStyle w:val="7"/>
        <w:spacing w:before="4"/>
        <w:ind w:left="222"/>
        <w:jc w:val="both"/>
        <w:rPr>
          <w:color w:val="auto"/>
        </w:rPr>
      </w:pPr>
      <w:r>
        <w:rPr>
          <w:color w:val="auto"/>
        </w:rPr>
        <w:t>（宜环督字【2011】61</w:t>
      </w:r>
      <w:r>
        <w:rPr>
          <w:color w:val="auto"/>
          <w:spacing w:val="-16"/>
        </w:rPr>
        <w:t xml:space="preserve"> 号文</w:t>
      </w:r>
      <w:r>
        <w:rPr>
          <w:color w:val="auto"/>
        </w:rPr>
        <w:t>）</w:t>
      </w:r>
      <w:r>
        <w:rPr>
          <w:color w:val="auto"/>
          <w:spacing w:val="-6"/>
        </w:rPr>
        <w:t xml:space="preserve">。公司一期项目于 </w:t>
      </w:r>
      <w:r>
        <w:rPr>
          <w:color w:val="auto"/>
        </w:rPr>
        <w:t>2011</w:t>
      </w:r>
      <w:r>
        <w:rPr>
          <w:color w:val="auto"/>
          <w:spacing w:val="-33"/>
        </w:rPr>
        <w:t xml:space="preserve"> 年 </w:t>
      </w:r>
      <w:r>
        <w:rPr>
          <w:color w:val="auto"/>
        </w:rPr>
        <w:t>11</w:t>
      </w:r>
      <w:r>
        <w:rPr>
          <w:color w:val="auto"/>
          <w:spacing w:val="-7"/>
        </w:rPr>
        <w:t xml:space="preserve"> 月经丰城市环境保</w:t>
      </w:r>
    </w:p>
    <w:p>
      <w:pPr>
        <w:pStyle w:val="7"/>
        <w:spacing w:before="159" w:line="364" w:lineRule="auto"/>
        <w:ind w:left="222" w:right="319"/>
        <w:jc w:val="both"/>
        <w:rPr>
          <w:color w:val="auto"/>
          <w:spacing w:val="-8"/>
        </w:rPr>
      </w:pPr>
      <w:r>
        <w:rPr>
          <w:color w:val="auto"/>
          <w:spacing w:val="-1"/>
        </w:rPr>
        <w:t>护局核查后同意投入试生产</w:t>
      </w:r>
      <w:r>
        <w:rPr>
          <w:color w:val="auto"/>
        </w:rPr>
        <w:t>（</w:t>
      </w:r>
      <w:r>
        <w:rPr>
          <w:color w:val="auto"/>
          <w:spacing w:val="-2"/>
        </w:rPr>
        <w:t>丰环督字【</w:t>
      </w:r>
      <w:r>
        <w:rPr>
          <w:color w:val="auto"/>
        </w:rPr>
        <w:t>2011</w:t>
      </w:r>
      <w:r>
        <w:rPr>
          <w:color w:val="auto"/>
          <w:spacing w:val="-8"/>
        </w:rPr>
        <w:t>】</w:t>
      </w:r>
      <w:r>
        <w:rPr>
          <w:color w:val="auto"/>
        </w:rPr>
        <w:t>87</w:t>
      </w:r>
      <w:r>
        <w:rPr>
          <w:color w:val="auto"/>
          <w:spacing w:val="-20"/>
        </w:rPr>
        <w:t xml:space="preserve"> 号文</w:t>
      </w:r>
      <w:r>
        <w:rPr>
          <w:color w:val="auto"/>
          <w:spacing w:val="-8"/>
        </w:rPr>
        <w:t>），</w:t>
      </w:r>
      <w:r>
        <w:rPr>
          <w:color w:val="auto"/>
          <w:spacing w:val="-20"/>
        </w:rPr>
        <w:t xml:space="preserve">并于 </w:t>
      </w:r>
      <w:r>
        <w:rPr>
          <w:color w:val="auto"/>
        </w:rPr>
        <w:t>2012</w:t>
      </w:r>
      <w:r>
        <w:rPr>
          <w:color w:val="auto"/>
          <w:spacing w:val="-40"/>
        </w:rPr>
        <w:t xml:space="preserve"> 年 </w:t>
      </w:r>
      <w:r>
        <w:rPr>
          <w:color w:val="auto"/>
        </w:rPr>
        <w:t>3</w:t>
      </w:r>
      <w:r>
        <w:rPr>
          <w:color w:val="auto"/>
          <w:spacing w:val="-25"/>
        </w:rPr>
        <w:t xml:space="preserve"> 月对</w:t>
      </w:r>
      <w:r>
        <w:rPr>
          <w:color w:val="auto"/>
        </w:rPr>
        <w:t>一期项目进行了竣工环境保护验收并形成验收意见（宜环评验字【2012】15</w:t>
      </w:r>
      <w:r>
        <w:rPr>
          <w:color w:val="auto"/>
          <w:spacing w:val="-8"/>
        </w:rPr>
        <w:t xml:space="preserve"> 号文）。</w:t>
      </w:r>
    </w:p>
    <w:p>
      <w:pPr>
        <w:pStyle w:val="7"/>
        <w:keepNext w:val="0"/>
        <w:keepLines w:val="0"/>
        <w:pageBreakBefore w:val="0"/>
        <w:widowControl w:val="0"/>
        <w:kinsoku/>
        <w:wordWrap/>
        <w:overflowPunct/>
        <w:topLinePunct w:val="0"/>
        <w:autoSpaceDE w:val="0"/>
        <w:autoSpaceDN w:val="0"/>
        <w:bidi w:val="0"/>
        <w:adjustRightInd/>
        <w:snapToGrid/>
        <w:spacing w:before="157" w:line="360" w:lineRule="auto"/>
        <w:ind w:left="221" w:right="323" w:firstLine="492" w:firstLineChars="200"/>
        <w:jc w:val="both"/>
        <w:textAlignment w:val="auto"/>
        <w:rPr>
          <w:rFonts w:ascii="宋体" w:hAnsi="宋体" w:eastAsia="宋体" w:cs="宋体"/>
          <w:color w:val="auto"/>
          <w:spacing w:val="3"/>
        </w:rPr>
      </w:pPr>
      <w:r>
        <w:rPr>
          <w:rFonts w:hint="eastAsia" w:ascii="宋体" w:hAnsi="宋体" w:eastAsia="宋体" w:cs="宋体"/>
          <w:color w:val="auto"/>
          <w:spacing w:val="3"/>
          <w:lang w:val="en-US" w:eastAsia="zh-CN"/>
        </w:rPr>
        <w:t>由于原有项目仓库不能满足生产仓储需求，在原有项目原料、设备、生产工艺和产能等均不变情况下，将原有项目仓库改为危废暂存车间，同时</w:t>
      </w:r>
      <w:r>
        <w:rPr>
          <w:rFonts w:hint="eastAsia" w:ascii="宋体" w:hAnsi="宋体" w:eastAsia="宋体" w:cs="宋体"/>
          <w:color w:val="auto"/>
          <w:spacing w:val="3"/>
        </w:rPr>
        <w:t>投资</w:t>
      </w:r>
      <w:r>
        <w:rPr>
          <w:rFonts w:hint="eastAsia" w:ascii="宋体" w:hAnsi="宋体" w:eastAsia="宋体" w:cs="宋体"/>
          <w:color w:val="auto"/>
          <w:spacing w:val="3"/>
          <w:lang w:eastAsia="zh-CN"/>
        </w:rPr>
        <w:t>440万</w:t>
      </w:r>
      <w:r>
        <w:rPr>
          <w:rFonts w:hint="eastAsia" w:cs="宋体"/>
          <w:color w:val="auto"/>
          <w:spacing w:val="3"/>
          <w:lang w:val="en-US" w:eastAsia="zh-CN"/>
        </w:rPr>
        <w:t>元</w:t>
      </w:r>
      <w:r>
        <w:rPr>
          <w:rFonts w:hint="eastAsia" w:ascii="宋体" w:hAnsi="宋体" w:eastAsia="宋体" w:cs="宋体"/>
          <w:color w:val="auto"/>
          <w:spacing w:val="3"/>
        </w:rPr>
        <w:t>于</w:t>
      </w:r>
      <w:r>
        <w:rPr>
          <w:rFonts w:hint="eastAsia" w:ascii="宋体" w:hAnsi="宋体" w:eastAsia="宋体" w:cs="宋体"/>
          <w:color w:val="auto"/>
          <w:spacing w:val="3"/>
          <w:lang w:val="en-US" w:eastAsia="zh-CN"/>
        </w:rPr>
        <w:t>公司内西北部空地上</w:t>
      </w:r>
      <w:r>
        <w:rPr>
          <w:rFonts w:hint="eastAsia" w:ascii="宋体" w:hAnsi="宋体" w:eastAsia="宋体" w:cs="宋体"/>
          <w:color w:val="auto"/>
          <w:spacing w:val="3"/>
        </w:rPr>
        <w:t>新建</w:t>
      </w:r>
      <w:r>
        <w:rPr>
          <w:rFonts w:ascii="宋体" w:hAnsi="宋体" w:eastAsia="宋体" w:cs="宋体"/>
          <w:color w:val="auto"/>
          <w:spacing w:val="3"/>
        </w:rPr>
        <w:t>一栋建筑面积</w:t>
      </w:r>
      <w:r>
        <w:rPr>
          <w:rFonts w:hint="eastAsia" w:ascii="宋体" w:hAnsi="宋体" w:eastAsia="宋体" w:cs="宋体"/>
          <w:color w:val="auto"/>
          <w:spacing w:val="3"/>
          <w:lang w:val="en-US" w:eastAsia="zh-CN"/>
        </w:rPr>
        <w:t>为</w:t>
      </w:r>
      <w:r>
        <w:rPr>
          <w:rFonts w:ascii="宋体" w:hAnsi="宋体" w:eastAsia="宋体" w:cs="宋体"/>
          <w:color w:val="auto"/>
          <w:spacing w:val="3"/>
        </w:rPr>
        <w:t>750m</w:t>
      </w:r>
      <w:r>
        <w:rPr>
          <w:rFonts w:ascii="宋体" w:hAnsi="宋体" w:eastAsia="宋体" w:cs="宋体"/>
          <w:color w:val="auto"/>
          <w:spacing w:val="3"/>
          <w:vertAlign w:val="superscript"/>
        </w:rPr>
        <w:t>2</w:t>
      </w:r>
      <w:r>
        <w:rPr>
          <w:rFonts w:hint="eastAsia" w:ascii="宋体" w:hAnsi="宋体" w:eastAsia="宋体" w:cs="宋体"/>
          <w:color w:val="auto"/>
          <w:spacing w:val="3"/>
          <w:lang w:val="en-US" w:eastAsia="zh-CN"/>
        </w:rPr>
        <w:t>的</w:t>
      </w:r>
      <w:r>
        <w:rPr>
          <w:rFonts w:ascii="宋体" w:hAnsi="宋体" w:eastAsia="宋体" w:cs="宋体"/>
          <w:color w:val="auto"/>
          <w:spacing w:val="3"/>
        </w:rPr>
        <w:t>甲类危险化学品仓库</w:t>
      </w:r>
      <w:r>
        <w:rPr>
          <w:rFonts w:hint="eastAsia" w:ascii="宋体" w:hAnsi="宋体" w:eastAsia="宋体" w:cs="宋体"/>
          <w:color w:val="auto"/>
          <w:spacing w:val="3"/>
          <w:lang w:val="en-US" w:eastAsia="zh-CN"/>
        </w:rPr>
        <w:t>作为原有项目成品仓。公司于2022年7月委托江西六佳环保科技有限公司编制完成《</w:t>
      </w:r>
      <w:r>
        <w:rPr>
          <w:rFonts w:hint="eastAsia" w:ascii="宋体" w:hAnsi="宋体" w:eastAsia="宋体" w:cs="宋体"/>
          <w:color w:val="auto"/>
          <w:spacing w:val="3"/>
          <w:lang w:eastAsia="zh-CN"/>
        </w:rPr>
        <w:t>江西景新漆业股份有限公司安全生产设施技术改造项目</w:t>
      </w:r>
      <w:r>
        <w:rPr>
          <w:rFonts w:hint="eastAsia" w:ascii="宋体" w:hAnsi="宋体" w:eastAsia="宋体" w:cs="宋体"/>
          <w:color w:val="auto"/>
          <w:spacing w:val="3"/>
          <w:lang w:val="en-US" w:eastAsia="zh-CN"/>
        </w:rPr>
        <w:t>环境影响报告表》，2022年9月取得宜春市丰城生态环境局《</w:t>
      </w:r>
      <w:r>
        <w:rPr>
          <w:rFonts w:hint="default" w:ascii="宋体" w:hAnsi="宋体" w:eastAsia="宋体" w:cs="宋体"/>
          <w:color w:val="auto"/>
          <w:spacing w:val="3"/>
          <w:lang w:val="en-US" w:eastAsia="zh-CN"/>
        </w:rPr>
        <w:t>关于</w:t>
      </w:r>
      <w:r>
        <w:rPr>
          <w:rFonts w:hint="eastAsia" w:ascii="宋体" w:hAnsi="宋体" w:eastAsia="宋体" w:cs="宋体"/>
          <w:color w:val="auto"/>
          <w:spacing w:val="3"/>
          <w:lang w:val="en-US" w:eastAsia="zh-CN"/>
        </w:rPr>
        <w:t>江西景新漆业股份有限公司安全生产设施技术改造项目环境影响报告表的批复》</w:t>
      </w:r>
      <w:r>
        <w:rPr>
          <w:rFonts w:hint="default" w:ascii="宋体" w:hAnsi="宋体" w:eastAsia="宋体" w:cs="宋体"/>
          <w:color w:val="auto"/>
          <w:spacing w:val="3"/>
          <w:lang w:val="en-US" w:eastAsia="zh-CN"/>
        </w:rPr>
        <w:t>（</w:t>
      </w:r>
      <w:r>
        <w:rPr>
          <w:rFonts w:hint="eastAsia" w:ascii="宋体" w:hAnsi="宋体" w:eastAsia="宋体" w:cs="宋体"/>
          <w:color w:val="auto"/>
          <w:spacing w:val="3"/>
          <w:lang w:val="en-US" w:eastAsia="zh-CN"/>
        </w:rPr>
        <w:t>丰环评字[2022]68号</w:t>
      </w:r>
      <w:r>
        <w:rPr>
          <w:rFonts w:hint="default" w:ascii="宋体" w:hAnsi="宋体" w:eastAsia="宋体" w:cs="宋体"/>
          <w:color w:val="auto"/>
          <w:spacing w:val="3"/>
          <w:lang w:val="en-US" w:eastAsia="zh-CN"/>
        </w:rPr>
        <w:t>）</w:t>
      </w:r>
      <w:r>
        <w:rPr>
          <w:rFonts w:hint="eastAsia" w:ascii="宋体" w:hAnsi="宋体" w:eastAsia="宋体" w:cs="宋体"/>
          <w:color w:val="auto"/>
          <w:spacing w:val="3"/>
          <w:lang w:val="en-US" w:eastAsia="zh-CN"/>
        </w:rPr>
        <w:t>，20</w:t>
      </w:r>
      <w:r>
        <w:rPr>
          <w:rFonts w:hint="eastAsia" w:ascii="宋体" w:hAnsi="宋体" w:eastAsia="宋体" w:cs="宋体"/>
          <w:color w:val="FF0000"/>
          <w:spacing w:val="3"/>
          <w:lang w:val="en-US" w:eastAsia="zh-CN"/>
        </w:rPr>
        <w:t>23年</w:t>
      </w:r>
      <w:r>
        <w:rPr>
          <w:rFonts w:hint="eastAsia" w:cs="宋体"/>
          <w:color w:val="FF0000"/>
          <w:spacing w:val="3"/>
          <w:lang w:val="en-US" w:eastAsia="zh-CN"/>
        </w:rPr>
        <w:t>10</w:t>
      </w:r>
      <w:r>
        <w:rPr>
          <w:rFonts w:hint="eastAsia" w:ascii="宋体" w:hAnsi="宋体" w:eastAsia="宋体" w:cs="宋体"/>
          <w:color w:val="FF0000"/>
          <w:spacing w:val="3"/>
          <w:lang w:val="en-US" w:eastAsia="zh-CN"/>
        </w:rPr>
        <w:t>月通过</w:t>
      </w:r>
      <w:r>
        <w:rPr>
          <w:rFonts w:hint="eastAsia" w:ascii="宋体" w:hAnsi="宋体" w:eastAsia="宋体" w:cs="宋体"/>
          <w:color w:val="auto"/>
          <w:spacing w:val="3"/>
          <w:lang w:val="en-US" w:eastAsia="zh-CN"/>
        </w:rPr>
        <w:t>环保竣工自主验收。</w:t>
      </w:r>
    </w:p>
    <w:p>
      <w:pPr>
        <w:pStyle w:val="7"/>
        <w:spacing w:before="205" w:line="376" w:lineRule="auto"/>
        <w:ind w:left="342" w:right="549" w:firstLine="480"/>
        <w:jc w:val="both"/>
        <w:rPr>
          <w:color w:val="auto"/>
          <w:spacing w:val="-10"/>
        </w:rPr>
      </w:pPr>
      <w:r>
        <w:rPr>
          <w:color w:val="auto"/>
          <w:spacing w:val="-8"/>
        </w:rPr>
        <w:t>据实地调查，本公司厂址位于江西省丰城市工业园区，厂区东面为飞龙管业有限公司；南面紧邻工业园区大道，道路对面为泰山石膏江西有限公司；西面为信和金属制品有限公司；北面为江西铭远传动设备有限公司。厂区周围无</w:t>
      </w:r>
      <w:r>
        <w:rPr>
          <w:color w:val="auto"/>
          <w:spacing w:val="-10"/>
        </w:rPr>
        <w:t>文物古迹、珍稀植物等特殊敏感对象。</w:t>
      </w:r>
    </w:p>
    <w:p>
      <w:pPr>
        <w:adjustRightInd w:val="0"/>
        <w:snapToGrid w:val="0"/>
        <w:spacing w:before="0" w:after="0" w:line="360" w:lineRule="auto"/>
        <w:ind w:left="0" w:right="0"/>
        <w:jc w:val="left"/>
        <w:rPr>
          <w:rFonts w:ascii="宋体" w:hAnsi="宋体" w:eastAsia="宋体" w:cs="宋体"/>
          <w:b/>
          <w:color w:val="FF0000"/>
          <w:kern w:val="0"/>
          <w:position w:val="6"/>
          <w:sz w:val="24"/>
          <w:szCs w:val="20"/>
        </w:rPr>
      </w:pPr>
      <w:r>
        <w:rPr>
          <w:rFonts w:ascii="宋体" w:hAnsi="宋体" w:eastAsia="宋体" w:cs="宋体"/>
          <w:b/>
          <w:color w:val="FF0000"/>
          <w:kern w:val="0"/>
          <w:position w:val="6"/>
          <w:sz w:val="24"/>
          <w:szCs w:val="20"/>
        </w:rPr>
        <w:t>主要原辅材料</w:t>
      </w:r>
      <w:r>
        <w:rPr>
          <w:rFonts w:hint="eastAsia" w:ascii="宋体" w:hAnsi="宋体" w:eastAsia="宋体" w:cs="宋体"/>
          <w:b/>
          <w:color w:val="FF0000"/>
          <w:kern w:val="0"/>
          <w:position w:val="6"/>
          <w:sz w:val="24"/>
          <w:szCs w:val="20"/>
          <w:lang w:val="en-US" w:eastAsia="zh-CN"/>
        </w:rPr>
        <w:t>和</w:t>
      </w:r>
      <w:r>
        <w:rPr>
          <w:rFonts w:ascii="宋体" w:hAnsi="宋体" w:eastAsia="宋体" w:cs="宋体"/>
          <w:b/>
          <w:color w:val="FF0000"/>
          <w:kern w:val="0"/>
          <w:position w:val="6"/>
          <w:sz w:val="24"/>
          <w:szCs w:val="20"/>
        </w:rPr>
        <w:t>产能</w:t>
      </w:r>
    </w:p>
    <w:p>
      <w:pPr>
        <w:adjustRightInd w:val="0"/>
        <w:snapToGrid w:val="0"/>
        <w:spacing w:before="0" w:after="0" w:line="360" w:lineRule="auto"/>
        <w:ind w:left="0" w:right="0" w:firstLine="236" w:firstLineChars="98"/>
        <w:jc w:val="left"/>
        <w:rPr>
          <w:rFonts w:ascii="宋体" w:hAnsi="宋体" w:eastAsia="宋体" w:cs="宋体"/>
          <w:b/>
          <w:color w:val="FF0000"/>
          <w:kern w:val="0"/>
          <w:position w:val="6"/>
          <w:sz w:val="24"/>
          <w:szCs w:val="20"/>
        </w:rPr>
      </w:pPr>
      <w:r>
        <w:rPr>
          <w:rFonts w:ascii="宋体" w:hAnsi="宋体" w:eastAsia="宋体" w:cs="宋体"/>
          <w:b/>
          <w:color w:val="FF0000"/>
          <w:kern w:val="0"/>
          <w:position w:val="6"/>
          <w:sz w:val="24"/>
          <w:szCs w:val="20"/>
        </w:rPr>
        <w:t>主要原辅材料</w:t>
      </w:r>
    </w:p>
    <w:p>
      <w:pPr>
        <w:widowControl/>
        <w:spacing w:before="0" w:after="62" w:afterLines="20" w:line="400" w:lineRule="exact"/>
        <w:ind w:left="0" w:right="0"/>
        <w:jc w:val="both"/>
        <w:rPr>
          <w:rFonts w:ascii="宋体" w:hAnsi="宋体" w:eastAsia="宋体" w:cs="宋体"/>
          <w:color w:val="FF0000"/>
          <w:kern w:val="0"/>
          <w:position w:val="6"/>
          <w:sz w:val="24"/>
          <w:szCs w:val="20"/>
        </w:rPr>
      </w:pPr>
      <w:r>
        <w:rPr>
          <w:rFonts w:hint="eastAsia" w:ascii="宋体" w:hAnsi="宋体" w:eastAsia="宋体" w:cs="宋体"/>
          <w:color w:val="FF0000"/>
          <w:kern w:val="0"/>
          <w:position w:val="6"/>
          <w:sz w:val="24"/>
          <w:szCs w:val="20"/>
          <w:lang w:val="en-US" w:eastAsia="zh-CN"/>
        </w:rPr>
        <w:t>1、</w:t>
      </w:r>
      <w:r>
        <w:rPr>
          <w:rFonts w:ascii="宋体" w:hAnsi="宋体" w:eastAsia="宋体" w:cs="宋体"/>
          <w:color w:val="FF0000"/>
          <w:kern w:val="0"/>
          <w:position w:val="6"/>
          <w:sz w:val="24"/>
          <w:szCs w:val="20"/>
        </w:rPr>
        <w:t>项目所用原辅材料及动力消耗情况见表</w:t>
      </w:r>
      <w:r>
        <w:rPr>
          <w:rFonts w:hint="eastAsia" w:ascii="宋体" w:hAnsi="宋体" w:eastAsia="宋体" w:cs="宋体"/>
          <w:color w:val="FF0000"/>
          <w:kern w:val="0"/>
          <w:position w:val="6"/>
          <w:sz w:val="24"/>
          <w:szCs w:val="20"/>
          <w:lang w:val="en-US" w:eastAsia="zh-CN"/>
        </w:rPr>
        <w:t>1</w:t>
      </w:r>
      <w:r>
        <w:rPr>
          <w:rFonts w:ascii="宋体" w:hAnsi="宋体" w:eastAsia="宋体" w:cs="宋体"/>
          <w:color w:val="FF0000"/>
          <w:kern w:val="0"/>
          <w:position w:val="6"/>
          <w:sz w:val="24"/>
          <w:szCs w:val="20"/>
        </w:rPr>
        <w:t>。</w:t>
      </w:r>
    </w:p>
    <w:p>
      <w:pPr>
        <w:widowControl w:val="0"/>
        <w:autoSpaceDE w:val="0"/>
        <w:autoSpaceDN w:val="0"/>
        <w:spacing w:before="156" w:beforeLines="50"/>
        <w:jc w:val="center"/>
        <w:rPr>
          <w:rFonts w:ascii="Times New Roman" w:hAnsi="Times New Roman" w:eastAsia="宋体" w:cs="宋体"/>
          <w:b/>
          <w:color w:val="FF0000"/>
          <w:kern w:val="2"/>
          <w:sz w:val="21"/>
          <w:szCs w:val="21"/>
          <w:lang w:val="en-US" w:eastAsia="zh-CN" w:bidi="zh-CN"/>
        </w:rPr>
      </w:pPr>
      <w:r>
        <w:rPr>
          <w:rFonts w:hint="eastAsia" w:ascii="Times New Roman" w:hAnsi="Times New Roman" w:eastAsia="宋体" w:cs="宋体"/>
          <w:b/>
          <w:color w:val="FF0000"/>
          <w:kern w:val="0"/>
          <w:sz w:val="21"/>
          <w:szCs w:val="21"/>
          <w:lang w:val="zh-CN" w:eastAsia="zh-CN" w:bidi="zh-CN"/>
        </w:rPr>
        <w:t>表</w:t>
      </w:r>
      <w:r>
        <w:rPr>
          <w:rFonts w:hint="eastAsia" w:ascii="Times New Roman" w:hAnsi="Times New Roman" w:eastAsia="宋体" w:cs="宋体"/>
          <w:b/>
          <w:color w:val="FF0000"/>
          <w:kern w:val="0"/>
          <w:sz w:val="21"/>
          <w:szCs w:val="21"/>
          <w:lang w:val="en-US" w:eastAsia="zh-CN" w:bidi="zh-CN"/>
        </w:rPr>
        <w:t>1</w:t>
      </w:r>
      <w:r>
        <w:rPr>
          <w:rFonts w:hint="eastAsia" w:ascii="Times New Roman" w:hAnsi="Times New Roman" w:eastAsia="宋体" w:cs="宋体"/>
          <w:b/>
          <w:color w:val="FF0000"/>
          <w:kern w:val="0"/>
          <w:sz w:val="21"/>
          <w:szCs w:val="21"/>
          <w:lang w:val="zh-CN" w:eastAsia="zh-CN" w:bidi="zh-CN"/>
        </w:rPr>
        <w:t xml:space="preserve">  </w:t>
      </w:r>
      <w:r>
        <w:rPr>
          <w:rFonts w:ascii="Times New Roman" w:hAnsi="Times New Roman" w:eastAsia="宋体" w:cs="宋体"/>
          <w:b/>
          <w:color w:val="FF0000"/>
          <w:kern w:val="0"/>
          <w:sz w:val="21"/>
          <w:szCs w:val="21"/>
          <w:lang w:val="zh-CN" w:eastAsia="zh-CN" w:bidi="zh-CN"/>
        </w:rPr>
        <w:t>项目主要原辅材料消耗一览表</w:t>
      </w:r>
    </w:p>
    <w:tbl>
      <w:tblPr>
        <w:tblStyle w:val="15"/>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3087"/>
        <w:gridCol w:w="1572"/>
        <w:gridCol w:w="1699"/>
        <w:gridCol w:w="24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86" w:hRule="exact"/>
          <w:jc w:val="center"/>
        </w:trPr>
        <w:tc>
          <w:tcPr>
            <w:tcW w:w="1744"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FF0000"/>
                <w:kern w:val="2"/>
                <w:szCs w:val="21"/>
              </w:rPr>
            </w:pPr>
            <w:r>
              <w:rPr>
                <w:rFonts w:hint="default" w:ascii="宋体" w:hAnsi="宋体" w:eastAsia="宋体" w:cs="宋体"/>
                <w:b/>
                <w:bCs/>
                <w:color w:val="FF0000"/>
                <w:kern w:val="2"/>
                <w:szCs w:val="21"/>
              </w:rPr>
              <w:t>名称</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FF0000"/>
                <w:kern w:val="2"/>
                <w:szCs w:val="21"/>
              </w:rPr>
            </w:pPr>
            <w:r>
              <w:rPr>
                <w:rFonts w:hint="eastAsia" w:ascii="宋体" w:hAnsi="宋体" w:eastAsia="宋体" w:cs="宋体"/>
                <w:b/>
                <w:bCs/>
                <w:color w:val="FF0000"/>
                <w:kern w:val="2"/>
                <w:szCs w:val="21"/>
              </w:rPr>
              <w:t>物态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FF0000"/>
                <w:kern w:val="2"/>
                <w:szCs w:val="21"/>
              </w:rPr>
            </w:pPr>
            <w:r>
              <w:rPr>
                <w:rFonts w:hint="eastAsia" w:ascii="宋体" w:hAnsi="宋体" w:eastAsia="宋体" w:cs="宋体"/>
                <w:b/>
                <w:bCs/>
                <w:color w:val="FF0000"/>
                <w:kern w:val="2"/>
                <w:szCs w:val="21"/>
              </w:rPr>
              <w:t>储存方式</w:t>
            </w:r>
          </w:p>
        </w:tc>
        <w:tc>
          <w:tcPr>
            <w:tcW w:w="1405"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FF0000"/>
                <w:kern w:val="2"/>
                <w:szCs w:val="21"/>
              </w:rPr>
            </w:pPr>
            <w:r>
              <w:rPr>
                <w:rFonts w:hint="eastAsia" w:ascii="宋体" w:hAnsi="宋体" w:eastAsia="宋体" w:cs="宋体"/>
                <w:b/>
                <w:bCs/>
                <w:color w:val="FF0000"/>
                <w:kern w:val="2"/>
                <w:szCs w:val="21"/>
              </w:rPr>
              <w:t>最大储存量（t）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2"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环己酮</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szCs w:val="21"/>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1"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二甲苯异构体混合物</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83"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正丁醇</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71"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2-丙醇</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乙酸正丁酯</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8"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乙酸仲丁酯</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1"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碳酸二甲酯</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环氧树脂（二甲苯25%）</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丙烯酸树脂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醇酸树脂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油漆</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155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溶剂油</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4-甲基-2-戊醇</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4-羟基-4-甲基-2-戊酮</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固化剂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乙酸甲酯</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二甲醇乙醇胺</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硅油溶剂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流平剂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中和剂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涂料用稀释剂</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150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乙二醇丁醚</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天那水</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r>
              <w:rPr>
                <w:rFonts w:hint="default" w:ascii="宋体" w:hAnsi="宋体" w:eastAsia="宋体" w:cs="宋体"/>
                <w:snapToGrid/>
                <w:color w:val="FF0000"/>
                <w:spacing w:val="-2"/>
                <w:kern w:val="0"/>
                <w:sz w:val="22"/>
                <w:szCs w:val="21"/>
                <w:lang w:val="zh-CN" w:eastAsia="zh-CN" w:bidi="zh-CN"/>
              </w:rPr>
              <w:t>液态</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kern w:val="2"/>
              </w:rPr>
            </w:pPr>
            <w:r>
              <w:rPr>
                <w:rFonts w:hint="default" w:ascii="宋体" w:hAnsi="宋体" w:eastAsia="宋体" w:cs="宋体"/>
                <w:color w:val="FF0000"/>
                <w:spacing w:val="-2"/>
                <w:kern w:val="2"/>
                <w:szCs w:val="21"/>
              </w:rPr>
              <w:t>桶装</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35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zh-CN" w:eastAsia="zh-CN" w:bidi="zh-CN"/>
              </w:rPr>
            </w:pPr>
            <w:r>
              <w:rPr>
                <w:rFonts w:hint="eastAsia" w:ascii="宋体" w:hAnsi="宋体" w:eastAsia="宋体" w:cs="宋体"/>
                <w:snapToGrid/>
                <w:color w:val="FF0000"/>
                <w:spacing w:val="-2"/>
                <w:kern w:val="0"/>
                <w:sz w:val="22"/>
                <w:szCs w:val="21"/>
                <w:lang w:val="zh-CN" w:eastAsia="zh-CN" w:bidi="zh-CN"/>
              </w:rPr>
              <w:t>合计</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snapToGrid/>
                <w:color w:val="FF0000"/>
                <w:spacing w:val="-2"/>
                <w:kern w:val="0"/>
                <w:sz w:val="22"/>
                <w:szCs w:val="21"/>
                <w:lang w:val="zh-CN" w:eastAsia="zh-CN" w:bidi="zh-CN"/>
              </w:rPr>
            </w:pP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eastAsia="宋体" w:cs="宋体"/>
                <w:color w:val="FF0000"/>
                <w:spacing w:val="-2"/>
                <w:kern w:val="2"/>
                <w:szCs w:val="21"/>
              </w:rPr>
            </w:pP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rPr>
            </w:pPr>
            <w:r>
              <w:rPr>
                <w:rFonts w:hint="eastAsia" w:ascii="宋体" w:hAnsi="宋体" w:eastAsia="宋体" w:cs="宋体"/>
                <w:color w:val="FF0000"/>
                <w:kern w:val="2"/>
                <w:szCs w:val="21"/>
              </w:rPr>
              <w:t>687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default" w:ascii="宋体" w:hAnsi="宋体" w:eastAsia="宋体" w:cs="宋体"/>
                <w:snapToGrid/>
                <w:color w:val="FF0000"/>
                <w:spacing w:val="-2"/>
                <w:kern w:val="0"/>
                <w:sz w:val="22"/>
                <w:szCs w:val="21"/>
                <w:lang w:val="en-US" w:eastAsia="zh-CN" w:bidi="zh-CN"/>
              </w:rPr>
            </w:pPr>
            <w:r>
              <w:rPr>
                <w:rFonts w:hint="eastAsia" w:ascii="宋体" w:hAnsi="宋体" w:eastAsia="宋体" w:cs="宋体"/>
                <w:snapToGrid/>
                <w:color w:val="FF0000"/>
                <w:spacing w:val="-2"/>
                <w:kern w:val="0"/>
                <w:sz w:val="22"/>
                <w:szCs w:val="21"/>
                <w:lang w:val="en-US" w:eastAsia="zh-CN" w:bidi="zh-CN"/>
              </w:rPr>
              <w:t>用电</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snapToGrid/>
                <w:color w:val="FF0000"/>
                <w:spacing w:val="-2"/>
                <w:kern w:val="0"/>
                <w:sz w:val="22"/>
                <w:szCs w:val="21"/>
                <w:lang w:val="en-US" w:eastAsia="zh-CN" w:bidi="zh-CN"/>
              </w:rPr>
            </w:pPr>
            <w:r>
              <w:rPr>
                <w:rFonts w:hint="eastAsia" w:ascii="宋体" w:hAnsi="宋体" w:eastAsia="宋体" w:cs="宋体"/>
                <w:snapToGrid/>
                <w:color w:val="FF0000"/>
                <w:spacing w:val="-2"/>
                <w:kern w:val="0"/>
                <w:sz w:val="22"/>
                <w:szCs w:val="21"/>
                <w:lang w:val="en-US" w:eastAsia="zh-CN" w:bidi="zh-CN"/>
              </w:rPr>
              <w:t>/</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FF0000"/>
                <w:spacing w:val="-2"/>
                <w:kern w:val="2"/>
                <w:szCs w:val="21"/>
                <w:lang w:val="en-US" w:eastAsia="zh-CN"/>
              </w:rPr>
            </w:pPr>
            <w:r>
              <w:rPr>
                <w:rFonts w:hint="eastAsia" w:ascii="宋体" w:hAnsi="宋体" w:eastAsia="宋体" w:cs="宋体"/>
                <w:color w:val="FF0000"/>
                <w:spacing w:val="-2"/>
                <w:kern w:val="2"/>
                <w:szCs w:val="21"/>
                <w:lang w:val="en-US" w:eastAsia="zh-CN"/>
              </w:rPr>
              <w:t>/</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lang w:val="en-US" w:eastAsia="zh-CN"/>
              </w:rPr>
            </w:pPr>
            <w:r>
              <w:rPr>
                <w:rFonts w:hint="eastAsia" w:ascii="宋体" w:hAnsi="宋体" w:eastAsia="宋体" w:cs="宋体"/>
                <w:color w:val="FF0000"/>
                <w:kern w:val="2"/>
                <w:szCs w:val="21"/>
                <w:lang w:val="en-US" w:eastAsia="zh-CN"/>
              </w:rPr>
              <w:t>10000kw.h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04" w:hRule="exact"/>
          <w:jc w:val="center"/>
        </w:trPr>
        <w:tc>
          <w:tcPr>
            <w:tcW w:w="174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宋体" w:hAnsi="宋体" w:eastAsia="宋体" w:cs="宋体"/>
                <w:snapToGrid/>
                <w:color w:val="FF0000"/>
                <w:spacing w:val="-2"/>
                <w:kern w:val="0"/>
                <w:sz w:val="22"/>
                <w:szCs w:val="21"/>
                <w:lang w:val="en-US" w:eastAsia="zh-CN" w:bidi="zh-CN"/>
              </w:rPr>
            </w:pPr>
            <w:r>
              <w:rPr>
                <w:rFonts w:hint="eastAsia" w:ascii="宋体" w:hAnsi="宋体" w:eastAsia="宋体" w:cs="宋体"/>
                <w:snapToGrid/>
                <w:color w:val="FF0000"/>
                <w:spacing w:val="-2"/>
                <w:kern w:val="0"/>
                <w:sz w:val="22"/>
                <w:szCs w:val="21"/>
                <w:lang w:val="en-US" w:eastAsia="zh-CN" w:bidi="zh-CN"/>
              </w:rPr>
              <w:t>用水</w:t>
            </w:r>
          </w:p>
        </w:tc>
        <w:tc>
          <w:tcPr>
            <w:tcW w:w="888"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snapToGrid/>
                <w:color w:val="FF0000"/>
                <w:spacing w:val="-2"/>
                <w:kern w:val="0"/>
                <w:sz w:val="22"/>
                <w:szCs w:val="21"/>
                <w:lang w:val="en-US" w:eastAsia="zh-CN" w:bidi="zh-CN"/>
              </w:rPr>
            </w:pPr>
            <w:r>
              <w:rPr>
                <w:rFonts w:hint="eastAsia" w:ascii="宋体" w:hAnsi="宋体" w:eastAsia="宋体" w:cs="宋体"/>
                <w:snapToGrid/>
                <w:color w:val="FF0000"/>
                <w:spacing w:val="-2"/>
                <w:kern w:val="0"/>
                <w:sz w:val="22"/>
                <w:szCs w:val="21"/>
                <w:lang w:val="en-US" w:eastAsia="zh-CN" w:bidi="zh-CN"/>
              </w:rPr>
              <w:t>/</w:t>
            </w:r>
          </w:p>
        </w:tc>
        <w:tc>
          <w:tcPr>
            <w:tcW w:w="96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FF0000"/>
                <w:spacing w:val="-2"/>
                <w:kern w:val="2"/>
                <w:szCs w:val="21"/>
                <w:lang w:val="en-US" w:eastAsia="zh-CN"/>
              </w:rPr>
            </w:pPr>
            <w:r>
              <w:rPr>
                <w:rFonts w:hint="eastAsia" w:ascii="宋体" w:hAnsi="宋体" w:eastAsia="宋体" w:cs="宋体"/>
                <w:color w:val="FF0000"/>
                <w:spacing w:val="-2"/>
                <w:kern w:val="2"/>
                <w:szCs w:val="21"/>
                <w:lang w:val="en-US" w:eastAsia="zh-CN"/>
              </w:rPr>
              <w:t>/</w:t>
            </w:r>
          </w:p>
        </w:tc>
        <w:tc>
          <w:tcPr>
            <w:tcW w:w="1405"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color w:val="FF0000"/>
                <w:kern w:val="2"/>
                <w:szCs w:val="21"/>
                <w:lang w:val="en-US" w:eastAsia="zh-CN"/>
              </w:rPr>
            </w:pPr>
            <w:r>
              <w:rPr>
                <w:rFonts w:hint="eastAsia" w:ascii="宋体" w:hAnsi="宋体" w:eastAsia="宋体" w:cs="宋体"/>
                <w:color w:val="FF0000"/>
                <w:kern w:val="2"/>
                <w:szCs w:val="21"/>
                <w:lang w:val="en-US" w:eastAsia="zh-CN"/>
              </w:rPr>
              <w:t>150t/a</w:t>
            </w:r>
          </w:p>
        </w:tc>
      </w:tr>
    </w:tbl>
    <w:p>
      <w:pPr>
        <w:tabs>
          <w:tab w:val="left" w:pos="1260"/>
        </w:tabs>
        <w:adjustRightInd w:val="0"/>
        <w:spacing w:before="0" w:after="0" w:line="500" w:lineRule="exact"/>
        <w:ind w:left="0" w:right="0" w:firstLine="480"/>
        <w:jc w:val="left"/>
        <w:rPr>
          <w:rFonts w:ascii="宋体" w:hAnsi="宋体" w:eastAsia="宋体" w:cs="宋体"/>
          <w:color w:val="FF0000"/>
          <w:szCs w:val="24"/>
        </w:rPr>
      </w:pPr>
      <w:r>
        <w:rPr>
          <w:rFonts w:hint="eastAsia" w:ascii="宋体" w:hAnsi="宋体" w:eastAsia="宋体" w:cs="宋体"/>
          <w:color w:val="FF0000"/>
          <w:szCs w:val="24"/>
        </w:rPr>
        <w:t>主要</w:t>
      </w:r>
      <w:r>
        <w:rPr>
          <w:rFonts w:ascii="宋体" w:hAnsi="宋体" w:eastAsia="宋体" w:cs="宋体"/>
          <w:color w:val="FF0000"/>
          <w:szCs w:val="24"/>
        </w:rPr>
        <w:t>原辅材料性质及组成</w:t>
      </w:r>
      <w:r>
        <w:rPr>
          <w:rFonts w:hint="eastAsia" w:ascii="宋体" w:hAnsi="宋体" w:eastAsia="宋体" w:cs="宋体"/>
          <w:color w:val="FF0000"/>
          <w:szCs w:val="24"/>
        </w:rPr>
        <w:t>。</w:t>
      </w:r>
    </w:p>
    <w:p>
      <w:pPr>
        <w:widowControl w:val="0"/>
        <w:autoSpaceDE w:val="0"/>
        <w:autoSpaceDN w:val="0"/>
        <w:spacing w:before="156" w:beforeLines="50" w:line="360" w:lineRule="auto"/>
        <w:ind w:firstLine="0" w:firstLineChars="0"/>
        <w:jc w:val="center"/>
        <w:rPr>
          <w:rFonts w:hint="eastAsia" w:asciiTheme="minorEastAsia" w:hAnsiTheme="minorEastAsia" w:eastAsiaTheme="minorEastAsia" w:cstheme="minorEastAsia"/>
          <w:b/>
          <w:color w:val="FF0000"/>
          <w:kern w:val="2"/>
          <w:sz w:val="21"/>
          <w:szCs w:val="21"/>
          <w:lang w:val="en-US" w:eastAsia="zh-CN" w:bidi="zh-CN"/>
        </w:rPr>
      </w:pPr>
      <w:r>
        <w:rPr>
          <w:rFonts w:hint="eastAsia" w:asciiTheme="minorEastAsia" w:hAnsiTheme="minorEastAsia" w:eastAsiaTheme="minorEastAsia" w:cstheme="minorEastAsia"/>
          <w:b/>
          <w:color w:val="FF0000"/>
          <w:kern w:val="0"/>
          <w:sz w:val="21"/>
          <w:szCs w:val="21"/>
          <w:lang w:val="zh-CN" w:eastAsia="zh-CN" w:bidi="zh-CN"/>
        </w:rPr>
        <w:t>表</w:t>
      </w:r>
      <w:r>
        <w:rPr>
          <w:rFonts w:hint="eastAsia" w:asciiTheme="minorEastAsia" w:hAnsiTheme="minorEastAsia" w:eastAsiaTheme="minorEastAsia" w:cstheme="minorEastAsia"/>
          <w:b/>
          <w:color w:val="FF0000"/>
          <w:kern w:val="0"/>
          <w:sz w:val="21"/>
          <w:szCs w:val="21"/>
          <w:lang w:val="en-US" w:eastAsia="zh-CN" w:bidi="zh-CN"/>
        </w:rPr>
        <w:t>2</w:t>
      </w:r>
      <w:r>
        <w:rPr>
          <w:rFonts w:hint="eastAsia" w:asciiTheme="minorEastAsia" w:hAnsiTheme="minorEastAsia" w:eastAsiaTheme="minorEastAsia" w:cstheme="minorEastAsia"/>
          <w:b/>
          <w:color w:val="FF0000"/>
          <w:kern w:val="0"/>
          <w:sz w:val="21"/>
          <w:szCs w:val="21"/>
          <w:lang w:val="zh-CN" w:eastAsia="zh-CN" w:bidi="zh-CN"/>
        </w:rPr>
        <w:t xml:space="preserve">  </w:t>
      </w:r>
      <w:r>
        <w:rPr>
          <w:rFonts w:hint="eastAsia" w:asciiTheme="minorEastAsia" w:hAnsiTheme="minorEastAsia" w:eastAsiaTheme="minorEastAsia" w:cstheme="minorEastAsia"/>
          <w:b/>
          <w:color w:val="FF0000"/>
          <w:kern w:val="2"/>
          <w:sz w:val="21"/>
          <w:szCs w:val="21"/>
          <w:lang w:val="en-US" w:eastAsia="zh-CN" w:bidi="zh-CN"/>
        </w:rPr>
        <w:t>物料理化性质</w:t>
      </w:r>
    </w:p>
    <w:tbl>
      <w:tblPr>
        <w:tblStyle w:val="15"/>
        <w:tblW w:w="498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395"/>
        <w:gridCol w:w="111"/>
        <w:gridCol w:w="111"/>
        <w:gridCol w:w="618"/>
        <w:gridCol w:w="2616"/>
        <w:gridCol w:w="1433"/>
        <w:gridCol w:w="353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86" w:hRule="exact"/>
          <w:jc w:val="center"/>
        </w:trPr>
        <w:tc>
          <w:tcPr>
            <w:tcW w:w="700" w:type="pct"/>
            <w:gridSpan w:val="4"/>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bCs/>
                <w:color w:val="FF0000"/>
                <w:kern w:val="2"/>
                <w:sz w:val="21"/>
                <w:szCs w:val="21"/>
              </w:rPr>
            </w:pPr>
            <w:r>
              <w:rPr>
                <w:rFonts w:hint="eastAsia" w:asciiTheme="minorEastAsia" w:hAnsiTheme="minorEastAsia" w:eastAsiaTheme="minorEastAsia" w:cstheme="minorEastAsia"/>
                <w:b/>
                <w:bCs/>
                <w:color w:val="FF0000"/>
                <w:kern w:val="2"/>
                <w:sz w:val="21"/>
                <w:szCs w:val="21"/>
              </w:rPr>
              <w:t>名称</w:t>
            </w:r>
          </w:p>
        </w:tc>
        <w:tc>
          <w:tcPr>
            <w:tcW w:w="1482" w:type="pct"/>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bCs/>
                <w:color w:val="FF0000"/>
                <w:kern w:val="2"/>
                <w:sz w:val="21"/>
                <w:szCs w:val="21"/>
              </w:rPr>
            </w:pPr>
            <w:r>
              <w:rPr>
                <w:rFonts w:hint="eastAsia" w:asciiTheme="minorEastAsia" w:hAnsiTheme="minorEastAsia" w:eastAsiaTheme="minorEastAsia" w:cstheme="minorEastAsia"/>
                <w:b/>
                <w:bCs/>
                <w:color w:val="FF0000"/>
                <w:kern w:val="2"/>
                <w:sz w:val="21"/>
                <w:szCs w:val="21"/>
              </w:rPr>
              <w:t>理化性质</w:t>
            </w:r>
          </w:p>
        </w:tc>
        <w:tc>
          <w:tcPr>
            <w:tcW w:w="812" w:type="pct"/>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bCs/>
                <w:color w:val="FF0000"/>
                <w:kern w:val="2"/>
                <w:sz w:val="21"/>
                <w:szCs w:val="21"/>
              </w:rPr>
            </w:pPr>
            <w:r>
              <w:rPr>
                <w:rFonts w:hint="eastAsia" w:asciiTheme="minorEastAsia" w:hAnsiTheme="minorEastAsia" w:eastAsiaTheme="minorEastAsia" w:cstheme="minorEastAsia"/>
                <w:b/>
                <w:bCs/>
                <w:color w:val="FF0000"/>
                <w:kern w:val="2"/>
                <w:sz w:val="21"/>
                <w:szCs w:val="21"/>
              </w:rPr>
              <w:t>燃烧爆炸性</w:t>
            </w:r>
          </w:p>
        </w:tc>
        <w:tc>
          <w:tcPr>
            <w:tcW w:w="2004" w:type="pct"/>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bCs/>
                <w:color w:val="FF0000"/>
                <w:kern w:val="2"/>
                <w:sz w:val="21"/>
                <w:szCs w:val="21"/>
              </w:rPr>
            </w:pPr>
            <w:r>
              <w:rPr>
                <w:rFonts w:hint="eastAsia" w:asciiTheme="minorEastAsia" w:hAnsiTheme="minorEastAsia" w:eastAsiaTheme="minorEastAsia" w:cstheme="minorEastAsia"/>
                <w:b/>
                <w:bCs/>
                <w:color w:val="FF0000"/>
                <w:kern w:val="2"/>
                <w:sz w:val="21"/>
                <w:szCs w:val="21"/>
              </w:rPr>
              <w:t>毒理毒性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69"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环己酮</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 115.6℃，熔点-45℃，相对密度：0.95mg/cm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闪点：43℃，爆炸上限9.4%，易燃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LD50：1535mg/kg（大</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鼠经口）；948mg/kg（兔经皮）；  LC50：32080mg/m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，4小时（大鼠吸入）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29"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二甲苯异构体混合物</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液体，沸点144.4℃，熔点-25.5℃，相对密度：0.88mg/cm³</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闪点：25℃，爆炸上限7%，易燃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LC50：19747mg/m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11"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正丁醇</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液体，沸点117.6℃，熔点-89℃，相对密度：0.81g/cm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闪点：35℃，爆炸上限7%，易燃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LD50：4360mg/kg（大鼠经口）；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LC50：24240mg/m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27"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2-丙醇</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液体，沸点95.8℃，熔点-89.5℃，相对密度：0.795g/cm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闪点：15℃，易燃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LD50：5800mg/kg（大鼠经口）；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LC50：3600mg/m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93"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乙酸正丁酯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液体，沸点126.6℃，熔点 -77.9℃，相对密度：0.886g/cm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闪点：22.2℃，  爆炸上限8%，易燃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LD50：14.13g/kg（大鼠经口）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49"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乙酸仲丁酯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液体，沸点112.6℃，熔点 -99℃，相对密度：0.883g/cm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闪点：16.1℃，易燃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98"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碳酸二甲酯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液体，沸点90.5℃，熔点 4℃， 相对密度：1.02g/cm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闪点：18.3℃，  爆炸上限12.8%，易燃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LD50：13.8g/kg（大鼠经口）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67" w:hRule="exact"/>
          <w:jc w:val="center"/>
        </w:trPr>
        <w:tc>
          <w:tcPr>
            <w:tcW w:w="287" w:type="pct"/>
            <w:gridSpan w:val="2"/>
            <w:vMerge w:val="restar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油漆</w:t>
            </w: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环氧树脂</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液体，熔点 120℃， 相对密度：1.36g/cm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闪点：252℃，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39"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丙烯酸树脂</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液体，沸点141℃，熔点 14℃， 相对密度：1.05mg/cm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闪点：50℃，  爆炸上限8%，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LD50：2520mg/kg（大鼠经口）；  950mg/m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（兔经皮）；LC50：53000mg/m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，2 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8"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甲苯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液体，沸点110.6℃，熔点 -95℃，  相对密度：0.867mg/cm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闪点：4.5℃，  爆炸上限7%，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  12124mg/kg（兔经皮）；LC50：20003mg/m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，8小时（小鼠吸入）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7"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二甲苯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液体，沸点144.4℃，熔点-25.5℃，相对密度：0.88mg/cm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闪点：25℃，爆炸上限7%，易燃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LC50：19747mg/m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35"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溶剂油</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液体，相对密度0.61g/cm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 不溶于水</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闪点：-10℃，  引燃温度： 260℃</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LD50：40mg/kg（小鼠静脉）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82"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4-甲基-2-戊醇</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液体，沸点133.5℃，熔点-90℃，相对密度：0.81g/cm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闪点：41℃，爆炸上限5.5%，易燃</w:t>
            </w:r>
          </w:p>
        </w:tc>
        <w:tc>
          <w:tcPr>
            <w:tcW w:w="2004" w:type="pct"/>
            <w:noWrap w:val="0"/>
            <w:vAlign w:val="center"/>
          </w:tcPr>
          <w:p>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kern w:val="2"/>
                <w:sz w:val="21"/>
                <w:szCs w:val="21"/>
              </w:rPr>
              <w:t>LD50：502.6g/kg（大鼠经口）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32"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4-羟基-4-甲基-2-戊酮</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液体，沸点168.1℃，熔点-42.8℃，相对密度：0.95g/cm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闪点：61.7℃，易燃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shd w:val="clear" w:color="auto" w:fill="FFFFFF"/>
                <w:lang w:val="zh-CN" w:eastAsia="zh-CN" w:bidi="zh-CN"/>
              </w:rPr>
              <w:t>本品刺激眼睛、皮肤和呼吸道黏膜。经呼吸道和消化道进入体内，影响神经系统，损伤肝和胃。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35" w:hRule="exact"/>
          <w:jc w:val="center"/>
        </w:trPr>
        <w:tc>
          <w:tcPr>
            <w:tcW w:w="350" w:type="pct"/>
            <w:gridSpan w:val="3"/>
            <w:vMerge w:val="restar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固化剂</w:t>
            </w:r>
          </w:p>
        </w:tc>
        <w:tc>
          <w:tcPr>
            <w:tcW w:w="350"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己二异氰酸酯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液体，沸点255℃，熔点-55℃，相对密度：1.01g/cm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闪点：140℃，爆炸上限9.5%，易燃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LD50：746mg/kg（大鼠经口）；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28" w:hRule="exact"/>
          <w:jc w:val="center"/>
        </w:trPr>
        <w:tc>
          <w:tcPr>
            <w:tcW w:w="350" w:type="pct"/>
            <w:gridSpan w:val="3"/>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350"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乙酸丁酯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液体，沸点57.8℃，熔点-98.7℃，相对密度：0.92mg/cm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闪点：22℃， 爆炸上限7.5%，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LD50：13100mg/kg（大鼠经口）； LC50：</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9480mg/kg（大鼠经口）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14"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乙酸甲酯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液体，沸点126.1℃，熔点-73.5℃，相对密度：0.88mg/cm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闪点：-10℃， 爆炸上限7.5%，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LD50：5450mg/kg（大鼠经口）；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2"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二甲基乙醇胺</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液体，沸点135℃，熔点-70℃，相对密度：0.897g/cm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闪点：40.6℃，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06" w:hRule="exact"/>
          <w:jc w:val="center"/>
        </w:trPr>
        <w:tc>
          <w:tcPr>
            <w:tcW w:w="287" w:type="pct"/>
            <w:gridSpan w:val="2"/>
            <w:vMerge w:val="restar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硅油溶剂</w:t>
            </w: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乙酸正丁酯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液体，沸点126.1℃，熔点-73.5℃，相对密度：0.88mg/cm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闪点：22℃， 爆炸上限7.5%，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LD50：13100mg/kg（大鼠经口）； LC50：</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9480mg/kg（大鼠经口）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78"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二甲苯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液体，沸点144.4℃，熔点-25.5℃，相对密度：0.88mg/cm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闪点：25℃，爆炸上限7%，易燃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LC50：19747mg/m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87"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乙苯</w:t>
            </w:r>
          </w:p>
        </w:tc>
        <w:tc>
          <w:tcPr>
            <w:tcW w:w="1482" w:type="pct"/>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kern w:val="2"/>
                <w:sz w:val="21"/>
                <w:szCs w:val="21"/>
              </w:rPr>
              <w:t>液体，沸点136.2℃，熔点-94℃，相对密度：0.868g/cm</w:t>
            </w:r>
            <w:r>
              <w:rPr>
                <w:rFonts w:hint="eastAsia" w:asciiTheme="minorEastAsia" w:hAnsiTheme="minorEastAsia" w:eastAsiaTheme="minorEastAsia" w:cstheme="minorEastAsia"/>
                <w:color w:val="FF0000"/>
                <w:kern w:val="2"/>
                <w:sz w:val="21"/>
                <w:szCs w:val="21"/>
                <w:vertAlign w:val="superscript"/>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闪点：25.9℃，爆炸上限6.7%，易燃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LD50：3500mg/kg（大鼠经口）；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LC50：43500mg/m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39" w:hRule="exact"/>
          <w:jc w:val="center"/>
        </w:trPr>
        <w:tc>
          <w:tcPr>
            <w:tcW w:w="287" w:type="pct"/>
            <w:gridSpan w:val="2"/>
            <w:vMerge w:val="restar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流平剂</w:t>
            </w: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丙烯酸酯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液体，沸点141℃，熔点14℃， 相对密度：1.05mg/cm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闪点：50℃，  爆炸上限8%，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LD50：2520mg/kg（大鼠经口）；  950mg/m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（兔经皮）；LC50：53000mg/m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，2 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77"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二甲苯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液体，沸点144.4℃，熔点-25.5℃，相对密度：0.88mg/cm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闪点：25℃，爆炸上限7%，易燃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LC50：19747mg/m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53" w:hRule="exact"/>
          <w:jc w:val="center"/>
        </w:trPr>
        <w:tc>
          <w:tcPr>
            <w:tcW w:w="287" w:type="pct"/>
            <w:gridSpan w:val="2"/>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13" w:type="pct"/>
            <w:gridSpan w:val="2"/>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乙苯</w:t>
            </w:r>
          </w:p>
        </w:tc>
        <w:tc>
          <w:tcPr>
            <w:tcW w:w="1482" w:type="pct"/>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kern w:val="2"/>
                <w:sz w:val="21"/>
                <w:szCs w:val="21"/>
              </w:rPr>
              <w:t>液体，沸点136.2℃，熔点-94℃，相对密度：0.868g/cm</w:t>
            </w:r>
            <w:r>
              <w:rPr>
                <w:rFonts w:hint="eastAsia" w:asciiTheme="minorEastAsia" w:hAnsiTheme="minorEastAsia" w:eastAsiaTheme="minorEastAsia" w:cstheme="minorEastAsia"/>
                <w:color w:val="FF0000"/>
                <w:kern w:val="2"/>
                <w:sz w:val="21"/>
                <w:szCs w:val="21"/>
                <w:vertAlign w:val="superscript"/>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闪点：25.9℃，爆炸上限6.7%，易燃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LD50：3500mg/kg（大鼠经口）；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LC50：43500mg/m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32"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中和剂</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（乙酸）</w:t>
            </w:r>
          </w:p>
        </w:tc>
        <w:tc>
          <w:tcPr>
            <w:tcW w:w="1482" w:type="pct"/>
            <w:noWrap w:val="0"/>
            <w:vAlign w:val="center"/>
          </w:tcPr>
          <w:p>
            <w:pPr>
              <w:keepNext w:val="0"/>
              <w:keepLines w:val="0"/>
              <w:suppressLineNumbers w:val="0"/>
              <w:spacing w:before="168" w:beforeAutospacing="0" w:after="0" w:afterAutospacing="0" w:line="240" w:lineRule="auto"/>
              <w:ind w:left="0" w:right="118"/>
              <w:jc w:val="left"/>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kern w:val="2"/>
                <w:sz w:val="21"/>
                <w:szCs w:val="21"/>
              </w:rPr>
              <w:t>液体</w:t>
            </w:r>
            <w:r>
              <w:rPr>
                <w:rFonts w:hint="eastAsia" w:asciiTheme="minorEastAsia" w:hAnsiTheme="minorEastAsia" w:eastAsiaTheme="minorEastAsia" w:cstheme="minorEastAsia"/>
                <w:color w:val="FF0000"/>
                <w:spacing w:val="-61"/>
                <w:kern w:val="2"/>
                <w:sz w:val="21"/>
                <w:szCs w:val="21"/>
              </w:rPr>
              <w:t>，</w:t>
            </w:r>
            <w:r>
              <w:rPr>
                <w:rFonts w:hint="eastAsia" w:asciiTheme="minorEastAsia" w:hAnsiTheme="minorEastAsia" w:eastAsiaTheme="minorEastAsia" w:cstheme="minorEastAsia"/>
                <w:color w:val="FF0000"/>
                <w:kern w:val="2"/>
                <w:sz w:val="21"/>
                <w:szCs w:val="21"/>
              </w:rPr>
              <w:t>沸点118.1℃</w:t>
            </w:r>
            <w:r>
              <w:rPr>
                <w:rFonts w:hint="eastAsia" w:asciiTheme="minorEastAsia" w:hAnsiTheme="minorEastAsia" w:eastAsiaTheme="minorEastAsia" w:cstheme="minorEastAsia"/>
                <w:color w:val="FF0000"/>
                <w:spacing w:val="-61"/>
                <w:kern w:val="2"/>
                <w:sz w:val="21"/>
                <w:szCs w:val="21"/>
              </w:rPr>
              <w:t>，</w:t>
            </w:r>
            <w:r>
              <w:rPr>
                <w:rFonts w:hint="eastAsia" w:asciiTheme="minorEastAsia" w:hAnsiTheme="minorEastAsia" w:eastAsiaTheme="minorEastAsia" w:cstheme="minorEastAsia"/>
                <w:color w:val="FF0000"/>
                <w:kern w:val="2"/>
                <w:sz w:val="21"/>
                <w:szCs w:val="21"/>
              </w:rPr>
              <w:t xml:space="preserve">相对密 </w:t>
            </w:r>
            <w:r>
              <w:rPr>
                <w:rFonts w:hint="eastAsia" w:asciiTheme="minorEastAsia" w:hAnsiTheme="minorEastAsia" w:eastAsiaTheme="minorEastAsia" w:cstheme="minorEastAsia"/>
                <w:color w:val="FF0000"/>
                <w:spacing w:val="-4"/>
                <w:kern w:val="2"/>
                <w:sz w:val="21"/>
                <w:szCs w:val="21"/>
              </w:rPr>
              <w:t>度</w:t>
            </w:r>
            <w:r>
              <w:rPr>
                <w:rFonts w:hint="eastAsia" w:asciiTheme="minorEastAsia" w:hAnsiTheme="minorEastAsia" w:eastAsiaTheme="minorEastAsia" w:cstheme="minorEastAsia"/>
                <w:color w:val="FF0000"/>
                <w:spacing w:val="-40"/>
                <w:kern w:val="2"/>
                <w:sz w:val="21"/>
                <w:szCs w:val="21"/>
              </w:rPr>
              <w:t xml:space="preserve"> </w:t>
            </w:r>
            <w:r>
              <w:rPr>
                <w:rFonts w:hint="eastAsia" w:asciiTheme="minorEastAsia" w:hAnsiTheme="minorEastAsia" w:eastAsiaTheme="minorEastAsia" w:cstheme="minorEastAsia"/>
                <w:color w:val="FF0000"/>
                <w:spacing w:val="-2"/>
                <w:kern w:val="2"/>
                <w:sz w:val="21"/>
                <w:szCs w:val="21"/>
              </w:rPr>
              <w:t>2.07</w:t>
            </w:r>
            <w:r>
              <w:rPr>
                <w:rFonts w:hint="eastAsia" w:asciiTheme="minorEastAsia" w:hAnsiTheme="minorEastAsia" w:eastAsiaTheme="minorEastAsia" w:cstheme="minorEastAsia"/>
                <w:color w:val="FF0000"/>
                <w:spacing w:val="-1"/>
                <w:kern w:val="2"/>
                <w:sz w:val="21"/>
                <w:szCs w:val="21"/>
              </w:rPr>
              <w:t>g/c</w:t>
            </w:r>
            <w:r>
              <w:rPr>
                <w:rFonts w:hint="eastAsia" w:asciiTheme="minorEastAsia" w:hAnsiTheme="minorEastAsia" w:eastAsiaTheme="minorEastAsia" w:cstheme="minorEastAsia"/>
                <w:color w:val="FF0000"/>
                <w:kern w:val="2"/>
                <w:sz w:val="21"/>
                <w:szCs w:val="21"/>
              </w:rPr>
              <w:t>m</w:t>
            </w:r>
            <w:r>
              <w:rPr>
                <w:rFonts w:hint="eastAsia" w:asciiTheme="minorEastAsia" w:hAnsiTheme="minorEastAsia" w:eastAsiaTheme="minorEastAsia" w:cstheme="minorEastAsia"/>
                <w:color w:val="FF0000"/>
                <w:kern w:val="2"/>
                <w:sz w:val="21"/>
                <w:szCs w:val="21"/>
                <w:vertAlign w:val="superscript"/>
              </w:rPr>
              <w:t>3</w:t>
            </w:r>
          </w:p>
        </w:tc>
        <w:tc>
          <w:tcPr>
            <w:tcW w:w="812" w:type="pct"/>
            <w:noWrap w:val="0"/>
            <w:vAlign w:val="center"/>
          </w:tcPr>
          <w:p>
            <w:pPr>
              <w:keepNext w:val="0"/>
              <w:keepLines w:val="0"/>
              <w:suppressLineNumbers w:val="0"/>
              <w:spacing w:before="167" w:beforeAutospacing="0" w:after="0" w:afterAutospacing="0" w:line="240" w:lineRule="auto"/>
              <w:ind w:left="0" w:right="149"/>
              <w:jc w:val="left"/>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spacing w:val="-1"/>
                <w:kern w:val="2"/>
                <w:sz w:val="21"/>
                <w:szCs w:val="21"/>
              </w:rPr>
              <w:t>闪点39℃</w:t>
            </w:r>
            <w:r>
              <w:rPr>
                <w:rFonts w:hint="eastAsia" w:asciiTheme="minorEastAsia" w:hAnsiTheme="minorEastAsia" w:eastAsiaTheme="minorEastAsia" w:cstheme="minorEastAsia"/>
                <w:color w:val="FF0000"/>
                <w:spacing w:val="-106"/>
                <w:kern w:val="2"/>
                <w:sz w:val="21"/>
                <w:szCs w:val="21"/>
              </w:rPr>
              <w:t>，</w:t>
            </w:r>
            <w:r>
              <w:rPr>
                <w:rFonts w:hint="eastAsia" w:asciiTheme="minorEastAsia" w:hAnsiTheme="minorEastAsia" w:eastAsiaTheme="minorEastAsia" w:cstheme="minorEastAsia"/>
                <w:color w:val="FF0000"/>
                <w:spacing w:val="-1"/>
                <w:kern w:val="2"/>
                <w:sz w:val="21"/>
                <w:szCs w:val="21"/>
              </w:rPr>
              <w:t>爆</w:t>
            </w:r>
            <w:r>
              <w:rPr>
                <w:rFonts w:hint="eastAsia" w:asciiTheme="minorEastAsia" w:hAnsiTheme="minorEastAsia" w:eastAsiaTheme="minorEastAsia" w:cstheme="minorEastAsia"/>
                <w:color w:val="FF0000"/>
                <w:kern w:val="2"/>
                <w:sz w:val="21"/>
                <w:szCs w:val="21"/>
              </w:rPr>
              <w:t>炸上限17%</w:t>
            </w:r>
            <w:r>
              <w:rPr>
                <w:rFonts w:hint="eastAsia" w:asciiTheme="minorEastAsia" w:hAnsiTheme="minorEastAsia" w:eastAsiaTheme="minorEastAsia" w:cstheme="minorEastAsia"/>
                <w:color w:val="FF0000"/>
                <w:spacing w:val="-62"/>
                <w:kern w:val="2"/>
                <w:sz w:val="21"/>
                <w:szCs w:val="21"/>
              </w:rPr>
              <w:t>，</w:t>
            </w:r>
            <w:r>
              <w:rPr>
                <w:rFonts w:hint="eastAsia" w:asciiTheme="minorEastAsia" w:hAnsiTheme="minorEastAsia" w:eastAsiaTheme="minorEastAsia" w:cstheme="minorEastAsia"/>
                <w:color w:val="FF0000"/>
                <w:kern w:val="2"/>
                <w:sz w:val="21"/>
                <w:szCs w:val="21"/>
              </w:rPr>
              <w:t>易燃</w:t>
            </w:r>
          </w:p>
        </w:tc>
        <w:tc>
          <w:tcPr>
            <w:tcW w:w="2004" w:type="pct"/>
            <w:noWrap w:val="0"/>
            <w:vAlign w:val="center"/>
          </w:tcPr>
          <w:p>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kern w:val="2"/>
                <w:position w:val="2"/>
                <w:sz w:val="21"/>
                <w:szCs w:val="21"/>
              </w:rPr>
              <w:t>LD50：3530mg/kg（大鼠经口</w:t>
            </w:r>
            <w:r>
              <w:rPr>
                <w:rFonts w:hint="eastAsia" w:asciiTheme="minorEastAsia" w:hAnsiTheme="minorEastAsia" w:eastAsiaTheme="minorEastAsia" w:cstheme="minorEastAsia"/>
                <w:color w:val="FF0000"/>
                <w:spacing w:val="-21"/>
                <w:kern w:val="2"/>
                <w:position w:val="2"/>
                <w:sz w:val="21"/>
                <w:szCs w:val="21"/>
              </w:rPr>
              <w:t>）；</w:t>
            </w:r>
            <w:r>
              <w:rPr>
                <w:rFonts w:hint="eastAsia" w:asciiTheme="minorEastAsia" w:hAnsiTheme="minorEastAsia" w:eastAsiaTheme="minorEastAsia" w:cstheme="minorEastAsia"/>
                <w:color w:val="FF0000"/>
                <w:spacing w:val="-100"/>
                <w:kern w:val="2"/>
                <w:position w:val="2"/>
                <w:sz w:val="21"/>
                <w:szCs w:val="21"/>
              </w:rPr>
              <w:t xml:space="preserve"> </w:t>
            </w:r>
            <w:r>
              <w:rPr>
                <w:rFonts w:hint="eastAsia" w:asciiTheme="minorEastAsia" w:hAnsiTheme="minorEastAsia" w:eastAsiaTheme="minorEastAsia" w:cstheme="minorEastAsia"/>
                <w:color w:val="FF0000"/>
                <w:kern w:val="2"/>
                <w:position w:val="2"/>
                <w:sz w:val="21"/>
                <w:szCs w:val="21"/>
              </w:rPr>
              <w:t>1060mg/kg</w:t>
            </w:r>
          </w:p>
          <w:p>
            <w:pPr>
              <w:keepNext w:val="0"/>
              <w:keepLines w:val="0"/>
              <w:suppressLineNumbers w:val="0"/>
              <w:spacing w:before="27" w:beforeAutospacing="0" w:after="0" w:afterAutospacing="0" w:line="240" w:lineRule="auto"/>
              <w:ind w:left="0" w:right="0"/>
              <w:jc w:val="center"/>
              <w:rPr>
                <w:rFonts w:hint="eastAsia" w:asciiTheme="minorEastAsia" w:hAnsiTheme="minorEastAsia" w:eastAsiaTheme="minorEastAsia" w:cstheme="minorEastAsia"/>
                <w:color w:val="FF0000"/>
                <w:kern w:val="2"/>
                <w:sz w:val="21"/>
                <w:szCs w:val="21"/>
              </w:rPr>
            </w:pPr>
            <w:r>
              <w:rPr>
                <w:rFonts w:hint="eastAsia" w:asciiTheme="minorEastAsia" w:hAnsiTheme="minorEastAsia" w:eastAsiaTheme="minorEastAsia" w:cstheme="minorEastAsia"/>
                <w:color w:val="FF0000"/>
                <w:kern w:val="2"/>
                <w:sz w:val="21"/>
                <w:szCs w:val="21"/>
              </w:rPr>
              <w:t>（兔经皮</w:t>
            </w:r>
            <w:r>
              <w:rPr>
                <w:rFonts w:hint="eastAsia" w:asciiTheme="minorEastAsia" w:hAnsiTheme="minorEastAsia" w:eastAsiaTheme="minorEastAsia" w:cstheme="minorEastAsia"/>
                <w:color w:val="FF0000"/>
                <w:spacing w:val="-23"/>
                <w:kern w:val="2"/>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20" w:hRule="exact"/>
          <w:jc w:val="center"/>
        </w:trPr>
        <w:tc>
          <w:tcPr>
            <w:tcW w:w="224" w:type="pct"/>
            <w:vMerge w:val="restar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稀释剂</w:t>
            </w:r>
          </w:p>
        </w:tc>
        <w:tc>
          <w:tcPr>
            <w:tcW w:w="476" w:type="pct"/>
            <w:gridSpan w:val="3"/>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二甲</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液体，沸点144.4℃，熔点-25.5℃，相对密度：0.88mg/cm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闪点：25℃，爆炸上限7%，易燃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LC50：19747mg/m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64" w:hRule="exact"/>
          <w:jc w:val="center"/>
        </w:trPr>
        <w:tc>
          <w:tcPr>
            <w:tcW w:w="224" w:type="pct"/>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76" w:type="pct"/>
            <w:gridSpan w:val="3"/>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甲苯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 110.6℃，熔点 -95℃，  相对密度：0.867mg/cm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闪点：4.5℃，  爆炸上限7%，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LD50：5000mg/kg（大鼠经口）；  12124mg/kg（兔经皮）；LC50：20003mg/m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，8小时（小鼠吸入）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9" w:hRule="exact"/>
          <w:jc w:val="center"/>
        </w:trPr>
        <w:tc>
          <w:tcPr>
            <w:tcW w:w="224" w:type="pct"/>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76" w:type="pct"/>
            <w:gridSpan w:val="3"/>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醋酸</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丁酯</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液体，沸点126.1℃，熔点-73.5℃，相对密度：0.88mg/cm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闪点：22℃， 爆炸上限7.5%， 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LD50：13100mg/kg（大鼠经口）； LC50：</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9480mg/kg（大鼠经口）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42" w:hRule="exact"/>
          <w:jc w:val="center"/>
        </w:trPr>
        <w:tc>
          <w:tcPr>
            <w:tcW w:w="224" w:type="pct"/>
            <w:vMerge w:val="continue"/>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p>
        </w:tc>
        <w:tc>
          <w:tcPr>
            <w:tcW w:w="476" w:type="pct"/>
            <w:gridSpan w:val="3"/>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环已</w:t>
            </w:r>
          </w:p>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酮</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 115.6℃，熔点-45℃，相对密度：0.95mg/cm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闪点：43℃，爆炸上限9.4%，易燃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LD50：1535mg/kg（大鼠经口）；948mg/kg（兔经皮）；LC50：32080mg/m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r>
              <w:rPr>
                <w:rFonts w:hint="eastAsia" w:asciiTheme="minorEastAsia" w:hAnsiTheme="minorEastAsia" w:eastAsiaTheme="minorEastAsia" w:cstheme="minorEastAsia"/>
                <w:snapToGrid w:val="0"/>
                <w:color w:val="FF0000"/>
                <w:kern w:val="0"/>
                <w:sz w:val="21"/>
                <w:szCs w:val="21"/>
                <w:lang w:val="zh-CN" w:eastAsia="zh-CN" w:bidi="zh-CN"/>
              </w:rPr>
              <w:t>，4小时（大鼠吸入）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80"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乙二醇丁醚</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液体，沸点151.56℃，熔点-70℃，相对密度：0.896g/cm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闪点：48.9℃，爆炸上限9.4%，易燃</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LD50：1480mg/kg（大鼠经口）；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041" w:hRule="exact"/>
          <w:jc w:val="center"/>
        </w:trPr>
        <w:tc>
          <w:tcPr>
            <w:tcW w:w="700" w:type="pct"/>
            <w:gridSpan w:val="4"/>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天那水</w:t>
            </w:r>
          </w:p>
        </w:tc>
        <w:tc>
          <w:tcPr>
            <w:tcW w:w="148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液体，相对密度0.876g/cm</w:t>
            </w:r>
            <w:r>
              <w:rPr>
                <w:rFonts w:hint="eastAsia" w:asciiTheme="minorEastAsia" w:hAnsiTheme="minorEastAsia" w:eastAsiaTheme="minorEastAsia" w:cstheme="minorEastAsia"/>
                <w:snapToGrid w:val="0"/>
                <w:color w:val="FF0000"/>
                <w:kern w:val="0"/>
                <w:sz w:val="21"/>
                <w:szCs w:val="21"/>
                <w:vertAlign w:val="superscript"/>
                <w:lang w:val="zh-CN" w:eastAsia="zh-CN" w:bidi="zh-CN"/>
              </w:rPr>
              <w:t>3</w:t>
            </w:r>
          </w:p>
        </w:tc>
        <w:tc>
          <w:tcPr>
            <w:tcW w:w="812"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闪点：25℃，爆炸上限7.5%，   自燃点360℃</w:t>
            </w:r>
          </w:p>
        </w:tc>
        <w:tc>
          <w:tcPr>
            <w:tcW w:w="2004" w:type="pct"/>
            <w:noWrap w:val="0"/>
            <w:vAlign w:val="center"/>
          </w:tcPr>
          <w:p>
            <w:pPr>
              <w:keepNext w:val="0"/>
              <w:keepLines w:val="0"/>
              <w:widowControl w:val="0"/>
              <w:suppressLineNumbers w:val="0"/>
              <w:autoSpaceDE w:val="0"/>
              <w:autoSpaceDN w:val="0"/>
              <w:adjustRightInd w:val="0"/>
              <w:spacing w:before="0" w:beforeAutospacing="0" w:after="0" w:afterAutospacing="0" w:line="240" w:lineRule="auto"/>
              <w:ind w:left="0" w:leftChars="0" w:right="0" w:firstLine="0" w:firstLineChars="0"/>
              <w:jc w:val="center"/>
              <w:textAlignment w:val="baseline"/>
              <w:rPr>
                <w:rFonts w:hint="eastAsia" w:asciiTheme="minorEastAsia" w:hAnsiTheme="minorEastAsia" w:eastAsiaTheme="minorEastAsia" w:cstheme="minorEastAsia"/>
                <w:snapToGrid w:val="0"/>
                <w:color w:val="FF0000"/>
                <w:kern w:val="0"/>
                <w:sz w:val="21"/>
                <w:szCs w:val="21"/>
                <w:lang w:val="zh-CN" w:eastAsia="zh-CN" w:bidi="zh-CN"/>
              </w:rPr>
            </w:pPr>
            <w:r>
              <w:rPr>
                <w:rFonts w:hint="eastAsia" w:asciiTheme="minorEastAsia" w:hAnsiTheme="minorEastAsia" w:eastAsiaTheme="minorEastAsia" w:cstheme="minorEastAsia"/>
                <w:snapToGrid w:val="0"/>
                <w:color w:val="FF0000"/>
                <w:kern w:val="0"/>
                <w:sz w:val="21"/>
                <w:szCs w:val="21"/>
                <w:lang w:val="zh-CN" w:eastAsia="zh-CN" w:bidi="zh-CN"/>
              </w:rPr>
              <w:t>LD50:6.50ml/kg（大鼠经口）</w:t>
            </w:r>
          </w:p>
        </w:tc>
      </w:tr>
    </w:tbl>
    <w:p>
      <w:pPr>
        <w:numPr>
          <w:ilvl w:val="0"/>
          <w:numId w:val="0"/>
        </w:numPr>
        <w:adjustRightInd w:val="0"/>
        <w:snapToGrid w:val="0"/>
        <w:spacing w:before="156" w:beforeLines="50" w:after="0" w:line="360" w:lineRule="auto"/>
        <w:ind w:left="0" w:right="0"/>
        <w:jc w:val="left"/>
        <w:rPr>
          <w:rFonts w:hint="eastAsia" w:ascii="宋体" w:hAnsi="宋体" w:eastAsia="宋体" w:cs="宋体"/>
          <w:b/>
          <w:color w:val="FF0000"/>
          <w:kern w:val="0"/>
          <w:position w:val="6"/>
          <w:sz w:val="24"/>
          <w:szCs w:val="20"/>
          <w:lang w:eastAsia="zh-CN"/>
        </w:rPr>
      </w:pPr>
    </w:p>
    <w:p>
      <w:pPr>
        <w:numPr>
          <w:ilvl w:val="0"/>
          <w:numId w:val="0"/>
        </w:numPr>
        <w:adjustRightInd w:val="0"/>
        <w:snapToGrid w:val="0"/>
        <w:spacing w:before="156" w:beforeLines="50" w:after="0" w:line="360" w:lineRule="auto"/>
        <w:ind w:left="0" w:right="0"/>
        <w:jc w:val="left"/>
        <w:rPr>
          <w:rFonts w:ascii="宋体" w:hAnsi="宋体" w:eastAsia="宋体" w:cs="宋体"/>
          <w:b/>
          <w:color w:val="FF0000"/>
          <w:kern w:val="0"/>
          <w:position w:val="6"/>
          <w:sz w:val="24"/>
          <w:szCs w:val="20"/>
        </w:rPr>
      </w:pPr>
      <w:r>
        <w:rPr>
          <w:rFonts w:ascii="宋体" w:hAnsi="宋体" w:eastAsia="宋体" w:cs="宋体"/>
          <w:b/>
          <w:color w:val="FF0000"/>
          <w:kern w:val="0"/>
          <w:position w:val="6"/>
          <w:sz w:val="24"/>
          <w:szCs w:val="20"/>
        </w:rPr>
        <w:t>项目产品方案</w:t>
      </w:r>
    </w:p>
    <w:p>
      <w:pPr>
        <w:pStyle w:val="32"/>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Theme="minorEastAsia" w:hAnsiTheme="minorEastAsia" w:eastAsiaTheme="minorEastAsia" w:cstheme="minorEastAsia"/>
          <w:b w:val="0"/>
          <w:bCs w:val="0"/>
          <w:color w:val="FF0000"/>
          <w:sz w:val="21"/>
          <w:szCs w:val="21"/>
          <w:lang w:val="en-US" w:eastAsia="zh-CN" w:bidi="zh-CN"/>
        </w:rPr>
      </w:pPr>
      <w:r>
        <w:rPr>
          <w:rFonts w:hint="eastAsia" w:asciiTheme="minorEastAsia" w:hAnsiTheme="minorEastAsia" w:eastAsiaTheme="minorEastAsia" w:cstheme="minorEastAsia"/>
          <w:b/>
          <w:bCs/>
          <w:color w:val="FF0000"/>
          <w:sz w:val="21"/>
          <w:szCs w:val="21"/>
        </w:rPr>
        <w:t>表</w:t>
      </w:r>
      <w:r>
        <w:rPr>
          <w:rFonts w:hint="eastAsia" w:asciiTheme="minorEastAsia" w:hAnsiTheme="minorEastAsia" w:eastAsiaTheme="minorEastAsia" w:cstheme="minorEastAsia"/>
          <w:b/>
          <w:bCs/>
          <w:color w:val="FF0000"/>
          <w:sz w:val="21"/>
          <w:szCs w:val="21"/>
          <w:lang w:val="en-US" w:eastAsia="zh-CN"/>
        </w:rPr>
        <w:t>3</w:t>
      </w:r>
      <w:r>
        <w:rPr>
          <w:rFonts w:hint="eastAsia" w:asciiTheme="minorEastAsia" w:hAnsiTheme="minorEastAsia" w:eastAsiaTheme="minorEastAsia" w:cstheme="minorEastAsia"/>
          <w:b/>
          <w:bCs/>
          <w:color w:val="FF0000"/>
          <w:sz w:val="21"/>
          <w:szCs w:val="21"/>
        </w:rPr>
        <w:t xml:space="preserve">  项目主要产品方案及生产规模一览表</w:t>
      </w:r>
    </w:p>
    <w:tbl>
      <w:tblPr>
        <w:tblStyle w:val="15"/>
        <w:tblW w:w="795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401"/>
        <w:gridCol w:w="2250"/>
        <w:gridCol w:w="230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01" w:type="dxa"/>
            <w:noWrap w:val="0"/>
            <w:vAlign w:val="center"/>
          </w:tcPr>
          <w:p>
            <w:pPr>
              <w:keepNext w:val="0"/>
              <w:keepLines w:val="0"/>
              <w:suppressLineNumbers w:val="0"/>
              <w:spacing w:before="0" w:beforeAutospacing="0" w:after="0" w:afterAutospacing="0" w:line="340" w:lineRule="exact"/>
              <w:ind w:left="0" w:right="0"/>
              <w:jc w:val="center"/>
              <w:rPr>
                <w:rFonts w:hint="default" w:ascii="Times New Roman" w:hAnsi="Times New Roman" w:eastAsia="宋体" w:cs="Times New Roman"/>
                <w:b/>
                <w:bCs/>
                <w:color w:val="FF0000"/>
                <w:kern w:val="0"/>
                <w:szCs w:val="21"/>
              </w:rPr>
            </w:pPr>
            <w:r>
              <w:rPr>
                <w:rFonts w:hint="default" w:ascii="Times New Roman" w:hAnsi="Times New Roman" w:eastAsia="宋体" w:cs="Times New Roman"/>
                <w:b/>
                <w:bCs/>
                <w:color w:val="FF0000"/>
                <w:kern w:val="0"/>
                <w:szCs w:val="21"/>
              </w:rPr>
              <w:t>名称</w:t>
            </w:r>
          </w:p>
        </w:tc>
        <w:tc>
          <w:tcPr>
            <w:tcW w:w="2250" w:type="dxa"/>
            <w:noWrap w:val="0"/>
            <w:vAlign w:val="center"/>
          </w:tcPr>
          <w:p>
            <w:pPr>
              <w:keepNext w:val="0"/>
              <w:keepLines w:val="0"/>
              <w:suppressLineNumbers w:val="0"/>
              <w:spacing w:before="0" w:beforeAutospacing="0" w:after="0" w:afterAutospacing="0" w:line="340" w:lineRule="exact"/>
              <w:ind w:left="0" w:right="0"/>
              <w:jc w:val="center"/>
              <w:rPr>
                <w:rFonts w:hint="default" w:ascii="Times New Roman" w:hAnsi="Times New Roman" w:eastAsia="宋体" w:cs="Times New Roman"/>
                <w:b/>
                <w:bCs/>
                <w:color w:val="FF0000"/>
                <w:kern w:val="0"/>
                <w:szCs w:val="21"/>
                <w:highlight w:val="yellow"/>
              </w:rPr>
            </w:pPr>
            <w:r>
              <w:rPr>
                <w:rFonts w:hint="default" w:ascii="Times New Roman" w:hAnsi="Times New Roman" w:eastAsia="宋体" w:cs="Times New Roman"/>
                <w:b/>
                <w:bCs/>
                <w:color w:val="FF0000"/>
                <w:kern w:val="0"/>
                <w:szCs w:val="21"/>
                <w:highlight w:val="none"/>
                <w:lang w:val="en-US" w:eastAsia="zh-CN"/>
              </w:rPr>
              <w:t>环评</w:t>
            </w:r>
            <w:r>
              <w:rPr>
                <w:rFonts w:hint="default" w:ascii="Times New Roman" w:hAnsi="Times New Roman" w:eastAsia="宋体" w:cs="Times New Roman"/>
                <w:b/>
                <w:bCs/>
                <w:color w:val="FF0000"/>
                <w:kern w:val="0"/>
                <w:szCs w:val="21"/>
                <w:highlight w:val="none"/>
              </w:rPr>
              <w:t>情况（数量/单位）</w:t>
            </w:r>
          </w:p>
        </w:tc>
        <w:tc>
          <w:tcPr>
            <w:tcW w:w="2304" w:type="dxa"/>
            <w:noWrap w:val="0"/>
            <w:vAlign w:val="center"/>
          </w:tcPr>
          <w:p>
            <w:pPr>
              <w:keepNext w:val="0"/>
              <w:keepLines w:val="0"/>
              <w:suppressLineNumbers w:val="0"/>
              <w:spacing w:before="0" w:beforeAutospacing="0" w:after="0" w:afterAutospacing="0" w:line="340" w:lineRule="exact"/>
              <w:ind w:left="0" w:right="0"/>
              <w:jc w:val="center"/>
              <w:rPr>
                <w:rFonts w:hint="default" w:ascii="Times New Roman" w:hAnsi="Times New Roman" w:eastAsia="宋体" w:cs="Times New Roman"/>
                <w:b/>
                <w:bCs/>
                <w:color w:val="FF0000"/>
                <w:kern w:val="0"/>
                <w:szCs w:val="21"/>
                <w:lang w:eastAsia="zh-CN"/>
              </w:rPr>
            </w:pPr>
            <w:r>
              <w:rPr>
                <w:rFonts w:hint="default" w:ascii="Times New Roman" w:hAnsi="Times New Roman" w:eastAsia="宋体" w:cs="Times New Roman"/>
                <w:b/>
                <w:bCs/>
                <w:color w:val="FF0000"/>
                <w:kern w:val="0"/>
                <w:szCs w:val="21"/>
                <w:highlight w:val="none"/>
              </w:rPr>
              <w:t>实际情况（数量/单位）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1" w:type="dxa"/>
            <w:noWrap w:val="0"/>
            <w:vAlign w:val="top"/>
          </w:tcPr>
          <w:p>
            <w:pPr>
              <w:keepNext w:val="0"/>
              <w:keepLines w:val="0"/>
              <w:pageBreakBefore w:val="0"/>
              <w:widowControl w:val="0"/>
              <w:suppressLineNumbers w:val="0"/>
              <w:tabs>
                <w:tab w:val="left" w:pos="13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2"/>
                <w:sz w:val="21"/>
                <w:szCs w:val="21"/>
                <w:vertAlign w:val="baseline"/>
                <w:lang w:val="en-US" w:eastAsia="zh-CN"/>
              </w:rPr>
            </w:pPr>
            <w:r>
              <w:rPr>
                <w:rFonts w:hint="default" w:ascii="Times New Roman" w:hAnsi="Times New Roman" w:eastAsia="宋体" w:cs="Times New Roman"/>
                <w:color w:val="FF0000"/>
                <w:kern w:val="2"/>
                <w:sz w:val="21"/>
                <w:szCs w:val="21"/>
                <w:vertAlign w:val="baseline"/>
                <w:lang w:val="en-US" w:eastAsia="zh-CN"/>
              </w:rPr>
              <w:t>水溶性涂料</w:t>
            </w:r>
          </w:p>
        </w:tc>
        <w:tc>
          <w:tcPr>
            <w:tcW w:w="2250" w:type="dxa"/>
            <w:noWrap w:val="0"/>
            <w:vAlign w:val="top"/>
          </w:tcPr>
          <w:p>
            <w:pPr>
              <w:keepNext w:val="0"/>
              <w:keepLines w:val="0"/>
              <w:pageBreakBefore w:val="0"/>
              <w:widowControl w:val="0"/>
              <w:suppressLineNumbers w:val="0"/>
              <w:tabs>
                <w:tab w:val="left" w:pos="13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2"/>
                <w:sz w:val="21"/>
                <w:szCs w:val="21"/>
                <w:vertAlign w:val="baseline"/>
                <w:lang w:val="en-US" w:eastAsia="zh-CN"/>
              </w:rPr>
            </w:pPr>
            <w:r>
              <w:rPr>
                <w:rFonts w:hint="default" w:ascii="Times New Roman" w:hAnsi="Times New Roman" w:eastAsia="宋体" w:cs="Times New Roman"/>
                <w:color w:val="FF0000"/>
                <w:kern w:val="2"/>
                <w:sz w:val="21"/>
                <w:szCs w:val="21"/>
                <w:vertAlign w:val="baseline"/>
                <w:lang w:val="en-US" w:eastAsia="zh-CN"/>
              </w:rPr>
              <w:t>5000t/a</w:t>
            </w:r>
          </w:p>
        </w:tc>
        <w:tc>
          <w:tcPr>
            <w:tcW w:w="2304" w:type="dxa"/>
            <w:noWrap w:val="0"/>
            <w:vAlign w:val="top"/>
          </w:tcPr>
          <w:p>
            <w:pPr>
              <w:keepNext w:val="0"/>
              <w:keepLines w:val="0"/>
              <w:pageBreakBefore w:val="0"/>
              <w:widowControl w:val="0"/>
              <w:suppressLineNumbers w:val="0"/>
              <w:tabs>
                <w:tab w:val="left" w:pos="13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2"/>
                <w:sz w:val="21"/>
                <w:szCs w:val="21"/>
                <w:vertAlign w:val="baseline"/>
                <w:lang w:val="en-US" w:eastAsia="zh-CN"/>
              </w:rPr>
            </w:pPr>
            <w:r>
              <w:rPr>
                <w:rFonts w:hint="default" w:ascii="Times New Roman" w:hAnsi="Times New Roman" w:eastAsia="宋体" w:cs="Times New Roman"/>
                <w:color w:val="FF0000"/>
                <w:kern w:val="2"/>
                <w:sz w:val="21"/>
                <w:szCs w:val="21"/>
                <w:vertAlign w:val="baseline"/>
                <w:lang w:val="en-US" w:eastAsia="zh-CN"/>
              </w:rPr>
              <w:t>5000t/a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1" w:type="dxa"/>
            <w:noWrap w:val="0"/>
            <w:vAlign w:val="top"/>
          </w:tcPr>
          <w:p>
            <w:pPr>
              <w:keepNext w:val="0"/>
              <w:keepLines w:val="0"/>
              <w:pageBreakBefore w:val="0"/>
              <w:widowControl w:val="0"/>
              <w:suppressLineNumbers w:val="0"/>
              <w:tabs>
                <w:tab w:val="left" w:pos="13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2"/>
                <w:sz w:val="21"/>
                <w:szCs w:val="21"/>
                <w:vertAlign w:val="baseline"/>
                <w:lang w:val="en-US" w:eastAsia="zh-CN"/>
              </w:rPr>
            </w:pPr>
            <w:r>
              <w:rPr>
                <w:rFonts w:hint="default" w:ascii="Times New Roman" w:hAnsi="Times New Roman" w:eastAsia="宋体" w:cs="Times New Roman"/>
                <w:color w:val="FF0000"/>
                <w:kern w:val="2"/>
                <w:sz w:val="21"/>
                <w:szCs w:val="21"/>
                <w:vertAlign w:val="baseline"/>
                <w:lang w:val="en-US" w:eastAsia="zh-CN"/>
              </w:rPr>
              <w:t>溶剂型涂料</w:t>
            </w:r>
          </w:p>
        </w:tc>
        <w:tc>
          <w:tcPr>
            <w:tcW w:w="2250" w:type="dxa"/>
            <w:noWrap w:val="0"/>
            <w:vAlign w:val="top"/>
          </w:tcPr>
          <w:p>
            <w:pPr>
              <w:keepNext w:val="0"/>
              <w:keepLines w:val="0"/>
              <w:pageBreakBefore w:val="0"/>
              <w:widowControl w:val="0"/>
              <w:suppressLineNumbers w:val="0"/>
              <w:tabs>
                <w:tab w:val="left" w:pos="13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2"/>
                <w:sz w:val="21"/>
                <w:szCs w:val="21"/>
                <w:vertAlign w:val="baseline"/>
                <w:lang w:val="en-US" w:eastAsia="zh-CN"/>
              </w:rPr>
            </w:pPr>
            <w:r>
              <w:rPr>
                <w:rFonts w:hint="default" w:ascii="Times New Roman" w:hAnsi="Times New Roman" w:eastAsia="宋体" w:cs="Times New Roman"/>
                <w:color w:val="FF0000"/>
                <w:kern w:val="2"/>
                <w:sz w:val="21"/>
                <w:szCs w:val="21"/>
                <w:vertAlign w:val="baseline"/>
                <w:lang w:val="en-US" w:eastAsia="zh-CN"/>
              </w:rPr>
              <w:t>2000t/a</w:t>
            </w:r>
          </w:p>
        </w:tc>
        <w:tc>
          <w:tcPr>
            <w:tcW w:w="2304" w:type="dxa"/>
            <w:noWrap w:val="0"/>
            <w:vAlign w:val="top"/>
          </w:tcPr>
          <w:p>
            <w:pPr>
              <w:keepNext w:val="0"/>
              <w:keepLines w:val="0"/>
              <w:pageBreakBefore w:val="0"/>
              <w:widowControl w:val="0"/>
              <w:suppressLineNumbers w:val="0"/>
              <w:tabs>
                <w:tab w:val="left" w:pos="13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FF0000"/>
                <w:kern w:val="2"/>
                <w:sz w:val="21"/>
                <w:szCs w:val="21"/>
                <w:vertAlign w:val="baseline"/>
                <w:lang w:val="en-US" w:eastAsia="zh-CN"/>
              </w:rPr>
            </w:pPr>
            <w:r>
              <w:rPr>
                <w:rFonts w:hint="default" w:ascii="Times New Roman" w:hAnsi="Times New Roman" w:eastAsia="宋体" w:cs="Times New Roman"/>
                <w:color w:val="FF0000"/>
                <w:kern w:val="2"/>
                <w:sz w:val="21"/>
                <w:szCs w:val="21"/>
                <w:vertAlign w:val="baseline"/>
                <w:lang w:val="en-US" w:eastAsia="zh-CN"/>
              </w:rPr>
              <w:t>2000t/a</w:t>
            </w:r>
          </w:p>
        </w:tc>
      </w:tr>
    </w:tbl>
    <w:p>
      <w:pPr>
        <w:pStyle w:val="5"/>
        <w:numPr>
          <w:ilvl w:val="1"/>
          <w:numId w:val="27"/>
        </w:numPr>
        <w:bidi w:val="0"/>
      </w:pPr>
      <w:bookmarkStart w:id="29" w:name="2.2 生产工艺"/>
      <w:bookmarkEnd w:id="29"/>
      <w:bookmarkStart w:id="30" w:name="_bookmark9"/>
      <w:bookmarkEnd w:id="30"/>
      <w:bookmarkStart w:id="31" w:name="_bookmark9"/>
      <w:bookmarkEnd w:id="31"/>
      <w:r>
        <w:t>生产工艺</w:t>
      </w:r>
    </w:p>
    <w:p>
      <w:pPr>
        <w:pStyle w:val="7"/>
        <w:spacing w:before="6"/>
        <w:rPr>
          <w:b/>
          <w:sz w:val="11"/>
        </w:rPr>
      </w:pPr>
    </w:p>
    <w:p>
      <w:pPr>
        <w:pStyle w:val="7"/>
        <w:spacing w:before="66"/>
        <w:ind w:left="788"/>
        <w:rPr>
          <w:color w:val="auto"/>
        </w:rPr>
      </w:pPr>
      <w:r>
        <w:rPr>
          <w:color w:val="auto"/>
        </w:rPr>
        <w:t>公司现有产品主要有水溶性涂料和溶剂型/油性涂料，具体生产工艺如</w:t>
      </w:r>
    </w:p>
    <w:p>
      <w:pPr>
        <w:pStyle w:val="7"/>
        <w:spacing w:before="158"/>
        <w:ind w:left="222"/>
        <w:rPr>
          <w:color w:val="auto"/>
        </w:rPr>
      </w:pPr>
      <w:r>
        <w:rPr>
          <w:color w:val="auto"/>
        </w:rPr>
        <w:t>下：</w:t>
      </w:r>
    </w:p>
    <w:p>
      <w:pPr>
        <w:pStyle w:val="19"/>
        <w:numPr>
          <w:ilvl w:val="2"/>
          <w:numId w:val="27"/>
        </w:numPr>
        <w:tabs>
          <w:tab w:val="left" w:pos="1070"/>
        </w:tabs>
        <w:spacing w:before="57" w:after="0" w:line="240" w:lineRule="auto"/>
        <w:ind w:left="1069" w:right="0" w:hanging="848"/>
        <w:jc w:val="left"/>
        <w:rPr>
          <w:b/>
          <w:sz w:val="28"/>
        </w:rPr>
      </w:pPr>
      <w:bookmarkStart w:id="32" w:name="2.2.1 水溶性涂料"/>
      <w:bookmarkEnd w:id="32"/>
      <w:bookmarkStart w:id="33" w:name="2.2.1 水溶性涂料"/>
      <w:bookmarkEnd w:id="33"/>
      <w:r>
        <w:rPr>
          <w:b/>
          <w:sz w:val="28"/>
        </w:rPr>
        <w:t>水溶性涂料</w:t>
      </w:r>
    </w:p>
    <w:p>
      <w:pPr>
        <w:pStyle w:val="7"/>
        <w:spacing w:before="106"/>
        <w:ind w:left="822"/>
      </w:pPr>
      <w:r>
        <w:t>水溶性涂料的生产为间歇生产，每批产量为0.5-5t。</w:t>
      </w:r>
    </w:p>
    <w:p>
      <w:pPr>
        <w:pStyle w:val="7"/>
        <w:rPr>
          <w:sz w:val="20"/>
        </w:rPr>
      </w:pPr>
    </w:p>
    <w:p>
      <w:pPr>
        <w:pStyle w:val="7"/>
        <w:keepNext w:val="0"/>
        <w:keepLines w:val="0"/>
        <w:pageBreakBefore w:val="0"/>
        <w:widowControl w:val="0"/>
        <w:kinsoku/>
        <w:wordWrap/>
        <w:overflowPunct/>
        <w:topLinePunct w:val="0"/>
        <w:autoSpaceDE w:val="0"/>
        <w:autoSpaceDN w:val="0"/>
        <w:bidi w:val="0"/>
        <w:adjustRightInd/>
        <w:snapToGrid/>
        <w:spacing w:line="360" w:lineRule="auto"/>
        <w:ind w:left="342" w:right="412" w:firstLine="480"/>
        <w:jc w:val="both"/>
        <w:textAlignment w:val="auto"/>
      </w:pPr>
      <w:r>
        <w:rPr>
          <w:spacing w:val="-24"/>
        </w:rPr>
        <w:t>先将粉料——钛白粉、调料等用台秤按配比人工称量，之后将纯净水、钛白粉、</w:t>
      </w:r>
      <w:r>
        <w:rPr>
          <w:spacing w:val="-27"/>
        </w:rPr>
        <w:t>调料、分散剂等倒入不锈钢拉缸中，然后将分散机速度调到</w:t>
      </w:r>
      <w:r>
        <w:rPr>
          <w:spacing w:val="-16"/>
        </w:rPr>
        <w:t>1200R/min</w:t>
      </w:r>
      <w:r>
        <w:rPr>
          <w:spacing w:val="-23"/>
        </w:rPr>
        <w:t>，对配料缸中的</w:t>
      </w:r>
      <w:r>
        <w:rPr>
          <w:spacing w:val="-19"/>
        </w:rPr>
        <w:t>物料搅拌分散</w:t>
      </w:r>
      <w:r>
        <w:rPr>
          <w:spacing w:val="-10"/>
        </w:rPr>
        <w:t>15min</w:t>
      </w:r>
      <w:r>
        <w:rPr>
          <w:spacing w:val="-71"/>
        </w:rPr>
        <w:t xml:space="preserve"> 后</w:t>
      </w:r>
      <w:r>
        <w:rPr>
          <w:spacing w:val="-27"/>
        </w:rPr>
        <w:t>（</w:t>
      </w:r>
      <w:r>
        <w:rPr>
          <w:spacing w:val="-28"/>
        </w:rPr>
        <w:t>加料过程中散发的粉尘通过袋式除尘后排放，收集的粉尘回配</w:t>
      </w:r>
      <w:r>
        <w:rPr>
          <w:spacing w:val="-27"/>
        </w:rPr>
        <w:t>料缸套用），由浆料泵送到研磨机研磨（根据需要），</w:t>
      </w:r>
      <w:r>
        <w:rPr>
          <w:spacing w:val="-24"/>
        </w:rPr>
        <w:t>以降低物料细度。</w:t>
      </w:r>
    </w:p>
    <w:p>
      <w:pPr>
        <w:pStyle w:val="7"/>
        <w:keepNext w:val="0"/>
        <w:keepLines w:val="0"/>
        <w:pageBreakBefore w:val="0"/>
        <w:widowControl w:val="0"/>
        <w:kinsoku/>
        <w:wordWrap/>
        <w:overflowPunct/>
        <w:topLinePunct w:val="0"/>
        <w:autoSpaceDE w:val="0"/>
        <w:autoSpaceDN w:val="0"/>
        <w:bidi w:val="0"/>
        <w:adjustRightInd/>
        <w:snapToGrid/>
        <w:spacing w:before="106" w:line="360" w:lineRule="auto"/>
        <w:ind w:left="342" w:right="412" w:firstLine="480"/>
        <w:jc w:val="both"/>
        <w:textAlignment w:val="auto"/>
      </w:pPr>
      <w:r>
        <w:rPr>
          <w:spacing w:val="-24"/>
        </w:rPr>
        <w:t>研磨后的物料经过细度检测合格后，送到调漆缸，按配比将乳液、增稠剂、纤维</w:t>
      </w:r>
      <w:r>
        <w:rPr>
          <w:spacing w:val="-22"/>
        </w:rPr>
        <w:t>素、色浆、成膜剂加入调漆缸，用分散机对调漆缸的物料进行调和</w:t>
      </w:r>
      <w:r>
        <w:rPr>
          <w:spacing w:val="-15"/>
        </w:rPr>
        <w:t>（200R/min</w:t>
      </w:r>
      <w:r>
        <w:rPr>
          <w:spacing w:val="-13"/>
        </w:rPr>
        <w:t>，调和</w:t>
      </w:r>
      <w:r>
        <w:rPr>
          <w:spacing w:val="-17"/>
        </w:rPr>
        <w:t>15min）</w:t>
      </w:r>
      <w:r>
        <w:rPr>
          <w:spacing w:val="-27"/>
        </w:rPr>
        <w:t>，调好的物料经过滤机过滤，再经过成品检测，检测合格的成品经计量，包装</w:t>
      </w:r>
      <w:r>
        <w:rPr>
          <w:spacing w:val="26"/>
        </w:rPr>
        <w:t>为</w:t>
      </w:r>
      <w:r>
        <w:rPr>
          <w:spacing w:val="-14"/>
        </w:rPr>
        <w:t>20kg/</w:t>
      </w:r>
      <w:r>
        <w:rPr>
          <w:spacing w:val="-21"/>
        </w:rPr>
        <w:t>桶，</w:t>
      </w:r>
      <w:r>
        <w:rPr>
          <w:spacing w:val="-15"/>
        </w:rPr>
        <w:t>25kg/</w:t>
      </w:r>
      <w:r>
        <w:rPr>
          <w:spacing w:val="-24"/>
        </w:rPr>
        <w:t>桶的产品即可出厂。</w:t>
      </w:r>
    </w:p>
    <w:p>
      <w:pPr>
        <w:pStyle w:val="7"/>
        <w:keepNext w:val="0"/>
        <w:keepLines w:val="0"/>
        <w:pageBreakBefore w:val="0"/>
        <w:widowControl w:val="0"/>
        <w:kinsoku/>
        <w:wordWrap/>
        <w:overflowPunct/>
        <w:topLinePunct w:val="0"/>
        <w:autoSpaceDE w:val="0"/>
        <w:autoSpaceDN w:val="0"/>
        <w:bidi w:val="0"/>
        <w:adjustRightInd/>
        <w:snapToGrid/>
        <w:spacing w:before="97" w:line="360" w:lineRule="auto"/>
        <w:ind w:left="822" w:right="508"/>
        <w:textAlignment w:val="auto"/>
      </w:pPr>
      <w:r>
        <w:rPr>
          <w:spacing w:val="-27"/>
        </w:rPr>
        <w:t>整个生产过程为常温常压状态，所有物料均为物理混合，未相互发生化学反应。</w:t>
      </w:r>
      <w:r>
        <w:rPr>
          <w:spacing w:val="-21"/>
        </w:rPr>
        <w:t>具体工艺流程图见图</w:t>
      </w:r>
      <w:r>
        <w:rPr>
          <w:spacing w:val="-10"/>
        </w:rPr>
        <w:t>2.2-1</w:t>
      </w:r>
      <w:r>
        <w:rPr>
          <w:spacing w:val="-36"/>
        </w:rPr>
        <w:t xml:space="preserve"> 所示。</w:t>
      </w:r>
    </w:p>
    <w:p>
      <w:pPr>
        <w:spacing w:after="0" w:line="439" w:lineRule="auto"/>
        <w:sectPr>
          <w:pgSz w:w="11910" w:h="16840"/>
          <w:pgMar w:top="1380" w:right="1480" w:bottom="1200" w:left="1580" w:header="882" w:footer="1004" w:gutter="0"/>
          <w:cols w:space="720" w:num="1"/>
        </w:sectPr>
      </w:pPr>
    </w:p>
    <w:p>
      <w:pPr>
        <w:pStyle w:val="7"/>
        <w:rPr>
          <w:sz w:val="7"/>
        </w:rPr>
      </w:pPr>
    </w:p>
    <w:p>
      <w:pPr>
        <w:pStyle w:val="7"/>
        <w:ind w:left="1044"/>
        <w:rPr>
          <w:sz w:val="20"/>
        </w:rPr>
      </w:pPr>
      <w:r>
        <w:rPr>
          <w:sz w:val="20"/>
        </w:rPr>
        <w:drawing>
          <wp:inline distT="0" distB="0" distL="0" distR="0">
            <wp:extent cx="3853815" cy="635190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22" cstate="print"/>
                    <a:stretch>
                      <a:fillRect/>
                    </a:stretch>
                  </pic:blipFill>
                  <pic:spPr>
                    <a:xfrm>
                      <a:off x="0" y="0"/>
                      <a:ext cx="3854240" cy="6352508"/>
                    </a:xfrm>
                    <a:prstGeom prst="rect">
                      <a:avLst/>
                    </a:prstGeom>
                  </pic:spPr>
                </pic:pic>
              </a:graphicData>
            </a:graphic>
          </wp:inline>
        </w:drawing>
      </w:r>
    </w:p>
    <w:p>
      <w:pPr>
        <w:pStyle w:val="7"/>
        <w:spacing w:before="7"/>
        <w:rPr>
          <w:sz w:val="26"/>
        </w:rPr>
      </w:pPr>
    </w:p>
    <w:p>
      <w:pPr>
        <w:spacing w:before="67"/>
        <w:ind w:left="520" w:right="99" w:firstLine="0"/>
        <w:jc w:val="center"/>
        <w:rPr>
          <w:b/>
          <w:sz w:val="24"/>
        </w:rPr>
      </w:pPr>
      <w:r>
        <w:rPr>
          <w:b/>
          <w:sz w:val="24"/>
        </w:rPr>
        <w:t>图2.2-1 水溶性涂料生产工艺流程图</w:t>
      </w:r>
    </w:p>
    <w:p>
      <w:pPr>
        <w:pStyle w:val="7"/>
        <w:spacing w:before="11"/>
        <w:rPr>
          <w:b/>
          <w:sz w:val="16"/>
        </w:rPr>
      </w:pPr>
    </w:p>
    <w:p>
      <w:pPr>
        <w:pStyle w:val="19"/>
        <w:numPr>
          <w:ilvl w:val="2"/>
          <w:numId w:val="27"/>
        </w:numPr>
        <w:tabs>
          <w:tab w:val="left" w:pos="1070"/>
        </w:tabs>
        <w:spacing w:before="0" w:after="0" w:line="240" w:lineRule="auto"/>
        <w:ind w:left="1069" w:right="0" w:hanging="848"/>
        <w:jc w:val="left"/>
        <w:rPr>
          <w:b/>
          <w:sz w:val="28"/>
        </w:rPr>
      </w:pPr>
      <w:bookmarkStart w:id="34" w:name="2.2.2 溶剂型涂料"/>
      <w:bookmarkEnd w:id="34"/>
      <w:bookmarkStart w:id="35" w:name="2.2.2 溶剂型涂料"/>
      <w:bookmarkEnd w:id="35"/>
      <w:r>
        <w:rPr>
          <w:b/>
          <w:sz w:val="28"/>
        </w:rPr>
        <w:t>溶剂型涂料</w:t>
      </w:r>
    </w:p>
    <w:p>
      <w:pPr>
        <w:pStyle w:val="7"/>
        <w:spacing w:before="104" w:line="362" w:lineRule="auto"/>
        <w:ind w:left="342" w:right="415" w:firstLine="480"/>
      </w:pPr>
      <w:r>
        <w:rPr>
          <w:spacing w:val="-24"/>
        </w:rPr>
        <w:t>溶剂型涂料包括多种品种，但生产工艺基本相同，主要材料有树脂、溶剂等有所</w:t>
      </w:r>
      <w:r>
        <w:rPr>
          <w:spacing w:val="-26"/>
        </w:rPr>
        <w:t>差别，以丙烯酸树脂涂料为例，分析其生产工艺。</w:t>
      </w:r>
    </w:p>
    <w:p>
      <w:pPr>
        <w:pStyle w:val="7"/>
        <w:spacing w:before="99" w:line="362" w:lineRule="auto"/>
        <w:ind w:left="342" w:right="415" w:firstLine="480"/>
      </w:pPr>
      <w:r>
        <w:rPr>
          <w:spacing w:val="-24"/>
        </w:rPr>
        <w:t>将氨基树脂、丙烯酸树脂、颜料和填充料、二甲苯、乙酸丁酯加入配料缸内进行</w:t>
      </w:r>
      <w:r>
        <w:rPr>
          <w:spacing w:val="-27"/>
        </w:rPr>
        <w:t>分散、加料过程中散发的粉尘通过袋式除尘后排放，收集的粉尘回配料缸套用。</w:t>
      </w:r>
    </w:p>
    <w:p>
      <w:pPr>
        <w:pStyle w:val="7"/>
        <w:spacing w:before="98"/>
        <w:ind w:left="822"/>
      </w:pPr>
      <w:r>
        <w:rPr>
          <w:spacing w:val="-24"/>
        </w:rPr>
        <w:t>搅拌均匀的物料进入研磨机内研磨分散，然后进入调漆缸，加入二甲苯、乙酸丁</w:t>
      </w:r>
    </w:p>
    <w:p>
      <w:pPr>
        <w:spacing w:after="0"/>
        <w:sectPr>
          <w:pgSz w:w="11910" w:h="16840"/>
          <w:pgMar w:top="1380" w:right="1480" w:bottom="1200" w:left="1580" w:header="882" w:footer="1004" w:gutter="0"/>
          <w:cols w:space="720" w:num="1"/>
        </w:sectPr>
      </w:pPr>
    </w:p>
    <w:p>
      <w:pPr>
        <w:pStyle w:val="7"/>
        <w:spacing w:before="56"/>
        <w:ind w:left="342"/>
      </w:pPr>
      <w:r>
        <w:t>酯进行调漆，调配好的漆经过过滤后得到成品丙烯酸树脂漆。</w:t>
      </w:r>
    </w:p>
    <w:p>
      <w:pPr>
        <w:pStyle w:val="7"/>
        <w:rPr>
          <w:sz w:val="20"/>
        </w:rPr>
      </w:pPr>
    </w:p>
    <w:p>
      <w:pPr>
        <w:pStyle w:val="7"/>
        <w:spacing w:line="439" w:lineRule="auto"/>
        <w:ind w:left="822" w:right="938"/>
      </w:pPr>
      <w:r>
        <w:drawing>
          <wp:anchor distT="0" distB="0" distL="0" distR="0" simplePos="0" relativeHeight="251660288" behindDoc="0" locked="0" layoutInCell="1" allowOverlap="1">
            <wp:simplePos x="0" y="0"/>
            <wp:positionH relativeFrom="page">
              <wp:posOffset>1544955</wp:posOffset>
            </wp:positionH>
            <wp:positionV relativeFrom="paragraph">
              <wp:posOffset>737870</wp:posOffset>
            </wp:positionV>
            <wp:extent cx="4297045" cy="6538595"/>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23" cstate="print"/>
                    <a:stretch>
                      <a:fillRect/>
                    </a:stretch>
                  </pic:blipFill>
                  <pic:spPr>
                    <a:xfrm>
                      <a:off x="0" y="0"/>
                      <a:ext cx="4296904" cy="6538531"/>
                    </a:xfrm>
                    <a:prstGeom prst="rect">
                      <a:avLst/>
                    </a:prstGeom>
                  </pic:spPr>
                </pic:pic>
              </a:graphicData>
            </a:graphic>
          </wp:anchor>
        </w:drawing>
      </w:r>
      <w:r>
        <w:rPr>
          <w:spacing w:val="-27"/>
        </w:rPr>
        <w:t>生产过程为常温常压状态，所有物料均为物理混合，未相互发生化学反应。</w:t>
      </w:r>
      <w:r>
        <w:rPr>
          <w:spacing w:val="-21"/>
        </w:rPr>
        <w:t>具体工艺流程图见图</w:t>
      </w:r>
      <w:r>
        <w:rPr>
          <w:spacing w:val="-10"/>
        </w:rPr>
        <w:t>2.2-2</w:t>
      </w:r>
      <w:r>
        <w:rPr>
          <w:spacing w:val="-36"/>
        </w:rPr>
        <w:t xml:space="preserve"> 所示。</w:t>
      </w:r>
    </w:p>
    <w:p>
      <w:pPr>
        <w:pStyle w:val="7"/>
        <w:spacing w:before="9"/>
      </w:pPr>
    </w:p>
    <w:p>
      <w:pPr>
        <w:tabs>
          <w:tab w:val="left" w:pos="1513"/>
        </w:tabs>
        <w:spacing w:before="0"/>
        <w:ind w:left="421" w:right="0" w:firstLine="0"/>
        <w:jc w:val="center"/>
        <w:rPr>
          <w:b/>
          <w:sz w:val="24"/>
        </w:rPr>
      </w:pPr>
      <w:r>
        <w:rPr>
          <w:b/>
          <w:spacing w:val="28"/>
          <w:sz w:val="24"/>
        </w:rPr>
        <w:t>图</w:t>
      </w:r>
      <w:r>
        <w:rPr>
          <w:b/>
          <w:spacing w:val="-10"/>
          <w:sz w:val="24"/>
        </w:rPr>
        <w:t>2.2-2</w:t>
      </w:r>
      <w:r>
        <w:rPr>
          <w:b/>
          <w:spacing w:val="-10"/>
          <w:sz w:val="24"/>
        </w:rPr>
        <w:tab/>
      </w:r>
      <w:r>
        <w:rPr>
          <w:b/>
          <w:spacing w:val="-24"/>
          <w:sz w:val="24"/>
        </w:rPr>
        <w:t>溶</w:t>
      </w:r>
      <w:r>
        <w:rPr>
          <w:b/>
          <w:spacing w:val="-27"/>
          <w:sz w:val="24"/>
        </w:rPr>
        <w:t>剂</w:t>
      </w:r>
      <w:r>
        <w:rPr>
          <w:b/>
          <w:spacing w:val="-24"/>
          <w:sz w:val="24"/>
        </w:rPr>
        <w:t>型</w:t>
      </w:r>
      <w:r>
        <w:rPr>
          <w:b/>
          <w:spacing w:val="-27"/>
          <w:sz w:val="24"/>
        </w:rPr>
        <w:t>涂</w:t>
      </w:r>
      <w:r>
        <w:rPr>
          <w:b/>
          <w:spacing w:val="-24"/>
          <w:sz w:val="24"/>
        </w:rPr>
        <w:t>料</w:t>
      </w:r>
      <w:r>
        <w:rPr>
          <w:b/>
          <w:spacing w:val="-27"/>
          <w:sz w:val="24"/>
        </w:rPr>
        <w:t>生</w:t>
      </w:r>
      <w:r>
        <w:rPr>
          <w:b/>
          <w:spacing w:val="-24"/>
          <w:sz w:val="24"/>
        </w:rPr>
        <w:t>产</w:t>
      </w:r>
      <w:r>
        <w:rPr>
          <w:b/>
          <w:spacing w:val="-27"/>
          <w:sz w:val="24"/>
        </w:rPr>
        <w:t>工</w:t>
      </w:r>
      <w:r>
        <w:rPr>
          <w:b/>
          <w:spacing w:val="-24"/>
          <w:sz w:val="24"/>
        </w:rPr>
        <w:t>艺流</w:t>
      </w:r>
      <w:r>
        <w:rPr>
          <w:b/>
          <w:spacing w:val="-27"/>
          <w:sz w:val="24"/>
        </w:rPr>
        <w:t>程</w:t>
      </w:r>
      <w:r>
        <w:rPr>
          <w:b/>
          <w:sz w:val="24"/>
        </w:rPr>
        <w:t>图</w:t>
      </w:r>
    </w:p>
    <w:p>
      <w:pPr>
        <w:pStyle w:val="7"/>
        <w:rPr>
          <w:b/>
        </w:rPr>
      </w:pPr>
    </w:p>
    <w:p>
      <w:pPr>
        <w:pStyle w:val="5"/>
        <w:numPr>
          <w:ilvl w:val="1"/>
          <w:numId w:val="27"/>
        </w:numPr>
        <w:bidi w:val="0"/>
      </w:pPr>
      <w:bookmarkStart w:id="36" w:name="_bookmark10"/>
      <w:bookmarkEnd w:id="36"/>
      <w:bookmarkStart w:id="37" w:name="_bookmark10"/>
      <w:bookmarkEnd w:id="37"/>
      <w:bookmarkStart w:id="38" w:name="2.3 环境风险基本情况"/>
      <w:bookmarkEnd w:id="38"/>
      <w:r>
        <w:t>环境风险基本情况</w:t>
      </w:r>
    </w:p>
    <w:p>
      <w:pPr>
        <w:spacing w:after="0" w:line="240" w:lineRule="auto"/>
        <w:jc w:val="left"/>
        <w:rPr>
          <w:sz w:val="28"/>
        </w:rPr>
        <w:sectPr>
          <w:pgSz w:w="11910" w:h="16840"/>
          <w:pgMar w:top="1380" w:right="1480" w:bottom="1200" w:left="1580" w:header="882" w:footer="1004" w:gutter="0"/>
          <w:cols w:space="720" w:num="1"/>
        </w:sectPr>
      </w:pPr>
    </w:p>
    <w:p>
      <w:pPr>
        <w:pStyle w:val="19"/>
        <w:numPr>
          <w:ilvl w:val="2"/>
          <w:numId w:val="27"/>
        </w:numPr>
        <w:tabs>
          <w:tab w:val="left" w:pos="1070"/>
        </w:tabs>
        <w:spacing w:before="57" w:after="0" w:line="240" w:lineRule="auto"/>
        <w:ind w:left="1069" w:right="0" w:hanging="848"/>
        <w:jc w:val="left"/>
        <w:rPr>
          <w:b/>
          <w:sz w:val="28"/>
        </w:rPr>
      </w:pPr>
      <w:bookmarkStart w:id="39" w:name="2.3.1 废气治理措施 "/>
      <w:bookmarkEnd w:id="39"/>
      <w:bookmarkStart w:id="40" w:name="2.3.1 废气治理措施 "/>
      <w:bookmarkEnd w:id="40"/>
      <w:r>
        <w:rPr>
          <w:b/>
          <w:sz w:val="28"/>
        </w:rPr>
        <w:t>废气治理措施</w:t>
      </w:r>
    </w:p>
    <w:p>
      <w:pPr>
        <w:pStyle w:val="7"/>
        <w:spacing w:before="3"/>
        <w:rPr>
          <w:b/>
          <w:sz w:val="41"/>
        </w:rPr>
      </w:pPr>
    </w:p>
    <w:p>
      <w:pPr>
        <w:pStyle w:val="7"/>
        <w:spacing w:line="362" w:lineRule="auto"/>
        <w:ind w:left="342" w:right="415" w:firstLine="480"/>
        <w:jc w:val="both"/>
      </w:pPr>
      <w:r>
        <w:rPr>
          <w:spacing w:val="-27"/>
        </w:rPr>
        <w:t>公司生产废气：（1）</w:t>
      </w:r>
      <w:r>
        <w:rPr>
          <w:spacing w:val="-26"/>
        </w:rPr>
        <w:t>水溶性涂料在对配料缸中的物料加料过程中散发的粉尘及下</w:t>
      </w:r>
      <w:r>
        <w:rPr>
          <w:spacing w:val="-27"/>
        </w:rPr>
        <w:t>料包装过程中产生的废气；</w:t>
      </w:r>
      <w:r>
        <w:rPr>
          <w:spacing w:val="-22"/>
        </w:rPr>
        <w:t>（2）</w:t>
      </w:r>
      <w:r>
        <w:rPr>
          <w:spacing w:val="-26"/>
        </w:rPr>
        <w:t>溶剂型涂料生产中在加入粉状原料、混料过程中有粉</w:t>
      </w:r>
      <w:r>
        <w:rPr>
          <w:spacing w:val="-25"/>
        </w:rPr>
        <w:t>尘产生；</w:t>
      </w:r>
      <w:r>
        <w:rPr>
          <w:spacing w:val="-22"/>
        </w:rPr>
        <w:t>（3）</w:t>
      </w:r>
      <w:r>
        <w:rPr>
          <w:spacing w:val="-27"/>
        </w:rPr>
        <w:t>溶剂型涂料在生产过程中加入了二甲苯、乙酸丁酯等有机物，在调漆工段有废气逸出。</w:t>
      </w:r>
      <w:r>
        <w:rPr>
          <w:spacing w:val="-20"/>
        </w:rPr>
        <w:t>（4）</w:t>
      </w:r>
      <w:r>
        <w:rPr>
          <w:spacing w:val="-27"/>
        </w:rPr>
        <w:t>在水性涂料和溶剂型涂料生产过程中，会有少量的粉尘在车间内</w:t>
      </w:r>
      <w:r>
        <w:rPr>
          <w:spacing w:val="-23"/>
        </w:rPr>
        <w:t>无组织排放。</w:t>
      </w:r>
    </w:p>
    <w:p>
      <w:pPr>
        <w:pStyle w:val="7"/>
        <w:spacing w:before="95" w:line="362" w:lineRule="auto"/>
        <w:ind w:left="342" w:right="349" w:firstLine="480"/>
      </w:pPr>
      <w:r>
        <w:rPr>
          <w:spacing w:val="-24"/>
        </w:rPr>
        <w:t>针对以上废气，针对产生的有组织排放的粉尘，采用移动式布袋除尘器和设备自</w:t>
      </w:r>
      <w:r>
        <w:rPr>
          <w:spacing w:val="-27"/>
        </w:rPr>
        <w:t>带布袋除尘器处理；针对溶剂型涂料有机废气，采用有机废气生物过滤处理设施处理。</w:t>
      </w:r>
    </w:p>
    <w:p>
      <w:pPr>
        <w:pStyle w:val="7"/>
        <w:spacing w:before="99"/>
        <w:ind w:left="822"/>
      </w:pPr>
      <w:r>
        <w:t>具体如下图所示：</w:t>
      </w:r>
    </w:p>
    <w:p>
      <w:pPr>
        <w:pStyle w:val="7"/>
        <w:spacing w:before="11"/>
        <w:rPr>
          <w:sz w:val="11"/>
        </w:rPr>
      </w:pPr>
    </w:p>
    <w:tbl>
      <w:tblPr>
        <w:tblStyle w:val="15"/>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93"/>
        <w:gridCol w:w="40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3" w:hRule="atLeast"/>
        </w:trPr>
        <w:tc>
          <w:tcPr>
            <w:tcW w:w="4593" w:type="dxa"/>
          </w:tcPr>
          <w:p>
            <w:pPr>
              <w:pStyle w:val="20"/>
              <w:spacing w:before="10"/>
              <w:rPr>
                <w:rFonts w:ascii="宋体"/>
                <w:sz w:val="7"/>
              </w:rPr>
            </w:pPr>
          </w:p>
          <w:p>
            <w:pPr>
              <w:pStyle w:val="20"/>
              <w:ind w:left="107"/>
              <w:rPr>
                <w:rFonts w:ascii="宋体"/>
                <w:sz w:val="20"/>
              </w:rPr>
            </w:pPr>
            <w:r>
              <w:rPr>
                <w:rFonts w:ascii="宋体"/>
                <w:sz w:val="20"/>
              </w:rPr>
              <w:drawing>
                <wp:inline distT="0" distB="0" distL="0" distR="0">
                  <wp:extent cx="2726690" cy="2771775"/>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24" cstate="print"/>
                          <a:stretch>
                            <a:fillRect/>
                          </a:stretch>
                        </pic:blipFill>
                        <pic:spPr>
                          <a:xfrm>
                            <a:off x="0" y="0"/>
                            <a:ext cx="2726823" cy="2772346"/>
                          </a:xfrm>
                          <a:prstGeom prst="rect">
                            <a:avLst/>
                          </a:prstGeom>
                        </pic:spPr>
                      </pic:pic>
                    </a:graphicData>
                  </a:graphic>
                </wp:inline>
              </w:drawing>
            </w:r>
          </w:p>
        </w:tc>
        <w:tc>
          <w:tcPr>
            <w:tcW w:w="4017" w:type="dxa"/>
          </w:tcPr>
          <w:p>
            <w:pPr>
              <w:pStyle w:val="20"/>
              <w:spacing w:before="10"/>
              <w:rPr>
                <w:rFonts w:ascii="宋体"/>
                <w:sz w:val="7"/>
              </w:rPr>
            </w:pPr>
          </w:p>
          <w:p>
            <w:pPr>
              <w:pStyle w:val="20"/>
              <w:ind w:left="107"/>
              <w:rPr>
                <w:rFonts w:ascii="宋体"/>
                <w:sz w:val="20"/>
              </w:rPr>
            </w:pPr>
            <w:r>
              <w:rPr>
                <w:rFonts w:ascii="宋体"/>
                <w:sz w:val="20"/>
              </w:rPr>
              <w:drawing>
                <wp:inline distT="0" distB="0" distL="0" distR="0">
                  <wp:extent cx="2390775" cy="2687955"/>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25" cstate="print"/>
                          <a:stretch>
                            <a:fillRect/>
                          </a:stretch>
                        </pic:blipFill>
                        <pic:spPr>
                          <a:xfrm>
                            <a:off x="0" y="0"/>
                            <a:ext cx="2390812" cy="2688336"/>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3" w:hRule="atLeast"/>
        </w:trPr>
        <w:tc>
          <w:tcPr>
            <w:tcW w:w="4593" w:type="dxa"/>
          </w:tcPr>
          <w:p>
            <w:pPr>
              <w:pStyle w:val="20"/>
              <w:spacing w:before="10"/>
              <w:rPr>
                <w:rFonts w:ascii="宋体"/>
                <w:sz w:val="7"/>
              </w:rPr>
            </w:pPr>
          </w:p>
          <w:p>
            <w:pPr>
              <w:pStyle w:val="20"/>
              <w:ind w:left="107"/>
              <w:rPr>
                <w:rFonts w:ascii="宋体"/>
                <w:sz w:val="20"/>
              </w:rPr>
            </w:pPr>
            <w:r>
              <w:rPr>
                <w:rFonts w:ascii="宋体"/>
                <w:sz w:val="20"/>
              </w:rPr>
              <w:drawing>
                <wp:inline distT="0" distB="0" distL="0" distR="0">
                  <wp:extent cx="2769870" cy="2409190"/>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26" cstate="print"/>
                          <a:stretch>
                            <a:fillRect/>
                          </a:stretch>
                        </pic:blipFill>
                        <pic:spPr>
                          <a:xfrm>
                            <a:off x="0" y="0"/>
                            <a:ext cx="2770478" cy="2409444"/>
                          </a:xfrm>
                          <a:prstGeom prst="rect">
                            <a:avLst/>
                          </a:prstGeom>
                        </pic:spPr>
                      </pic:pic>
                    </a:graphicData>
                  </a:graphic>
                </wp:inline>
              </w:drawing>
            </w:r>
          </w:p>
        </w:tc>
        <w:tc>
          <w:tcPr>
            <w:tcW w:w="4017" w:type="dxa"/>
          </w:tcPr>
          <w:p>
            <w:pPr>
              <w:pStyle w:val="20"/>
              <w:spacing w:before="10"/>
              <w:rPr>
                <w:rFonts w:ascii="宋体"/>
                <w:sz w:val="7"/>
              </w:rPr>
            </w:pPr>
          </w:p>
          <w:p>
            <w:pPr>
              <w:pStyle w:val="20"/>
              <w:ind w:left="107"/>
              <w:rPr>
                <w:rFonts w:ascii="宋体"/>
                <w:sz w:val="20"/>
              </w:rPr>
            </w:pPr>
            <w:r>
              <w:rPr>
                <w:rFonts w:ascii="宋体"/>
                <w:sz w:val="20"/>
              </w:rPr>
              <w:drawing>
                <wp:inline distT="0" distB="0" distL="0" distR="0">
                  <wp:extent cx="2377440" cy="2352040"/>
                  <wp:effectExtent l="0" t="0" r="0"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27" cstate="print"/>
                          <a:stretch>
                            <a:fillRect/>
                          </a:stretch>
                        </pic:blipFill>
                        <pic:spPr>
                          <a:xfrm>
                            <a:off x="0" y="0"/>
                            <a:ext cx="2377960" cy="2352294"/>
                          </a:xfrm>
                          <a:prstGeom prst="rect">
                            <a:avLst/>
                          </a:prstGeom>
                        </pic:spPr>
                      </pic:pic>
                    </a:graphicData>
                  </a:graphic>
                </wp:inline>
              </w:drawing>
            </w:r>
          </w:p>
        </w:tc>
      </w:tr>
    </w:tbl>
    <w:p>
      <w:pPr>
        <w:spacing w:before="102"/>
        <w:ind w:left="516" w:right="99" w:firstLine="0"/>
        <w:jc w:val="center"/>
        <w:rPr>
          <w:b/>
          <w:sz w:val="24"/>
        </w:rPr>
      </w:pPr>
      <w:r>
        <w:rPr>
          <w:b/>
          <w:sz w:val="24"/>
        </w:rPr>
        <w:t>图2.3-1 废气处理设施</w:t>
      </w:r>
    </w:p>
    <w:p>
      <w:pPr>
        <w:spacing w:after="0"/>
        <w:jc w:val="center"/>
        <w:rPr>
          <w:sz w:val="24"/>
        </w:rPr>
        <w:sectPr>
          <w:pgSz w:w="11910" w:h="16840"/>
          <w:pgMar w:top="1380" w:right="1480" w:bottom="1200" w:left="1580" w:header="882" w:footer="1004" w:gutter="0"/>
          <w:cols w:space="720" w:num="1"/>
        </w:sectPr>
      </w:pPr>
    </w:p>
    <w:p>
      <w:pPr>
        <w:pStyle w:val="19"/>
        <w:numPr>
          <w:ilvl w:val="2"/>
          <w:numId w:val="27"/>
        </w:numPr>
        <w:tabs>
          <w:tab w:val="left" w:pos="1070"/>
        </w:tabs>
        <w:spacing w:before="57" w:after="0" w:line="240" w:lineRule="auto"/>
        <w:ind w:left="1069" w:right="0" w:hanging="848"/>
        <w:jc w:val="left"/>
        <w:rPr>
          <w:b/>
          <w:sz w:val="28"/>
        </w:rPr>
      </w:pPr>
      <w:bookmarkStart w:id="41" w:name="2.3.2 废水治理措施 "/>
      <w:bookmarkEnd w:id="41"/>
      <w:bookmarkStart w:id="42" w:name="2.3.2 废水治理措施 "/>
      <w:bookmarkEnd w:id="42"/>
      <w:r>
        <w:rPr>
          <w:b/>
          <w:sz w:val="28"/>
        </w:rPr>
        <w:t>废水治理措施</w:t>
      </w:r>
    </w:p>
    <w:p>
      <w:pPr>
        <w:pStyle w:val="7"/>
        <w:spacing w:before="139" w:line="340" w:lineRule="auto"/>
        <w:ind w:left="340" w:right="417" w:firstLine="480"/>
      </w:pPr>
      <w:r>
        <w:rPr>
          <w:spacing w:val="-17"/>
        </w:rPr>
        <w:t>公司产生的废水主要来自水性涂料生产过程中产生的设备清洗废水、地面冲洗</w:t>
      </w:r>
      <w:r>
        <w:rPr>
          <w:spacing w:val="-19"/>
        </w:rPr>
        <w:t>水、研发中心废水和生活废水。</w:t>
      </w:r>
    </w:p>
    <w:p>
      <w:pPr>
        <w:pStyle w:val="7"/>
        <w:spacing w:before="138" w:line="343" w:lineRule="auto"/>
        <w:ind w:left="340" w:right="307" w:firstLine="480"/>
      </w:pPr>
      <w:r>
        <w:rPr>
          <w:spacing w:val="-27"/>
        </w:rPr>
        <w:t>设备清洗废水、</w:t>
      </w:r>
      <w:r>
        <w:rPr>
          <w:rFonts w:hint="eastAsia"/>
          <w:spacing w:val="-27"/>
          <w:lang w:val="en-US" w:eastAsia="zh-CN"/>
        </w:rPr>
        <w:t>地</w:t>
      </w:r>
      <w:r>
        <w:rPr>
          <w:spacing w:val="-27"/>
        </w:rPr>
        <w:t xml:space="preserve">面冲洗废水和研发中心废水采用“絮凝沉淀+好氧生化+过滤” </w:t>
      </w:r>
      <w:r>
        <w:rPr>
          <w:spacing w:val="-19"/>
        </w:rPr>
        <w:t>后回收利用，用于车间地面冲洗等。</w:t>
      </w:r>
    </w:p>
    <w:p>
      <w:pPr>
        <w:pStyle w:val="7"/>
        <w:spacing w:before="133"/>
        <w:ind w:left="820"/>
      </w:pPr>
      <w:r>
        <w:t>生活污水经微动力生化处理设施处理后达标排放。</w:t>
      </w:r>
    </w:p>
    <w:p>
      <w:pPr>
        <w:pStyle w:val="7"/>
        <w:spacing w:before="1"/>
        <w:rPr>
          <w:sz w:val="10"/>
        </w:rPr>
      </w:pPr>
    </w:p>
    <w:tbl>
      <w:tblPr>
        <w:tblStyle w:val="15"/>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43"/>
        <w:gridCol w:w="4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1" w:hRule="atLeast"/>
        </w:trPr>
        <w:tc>
          <w:tcPr>
            <w:tcW w:w="4343" w:type="dxa"/>
          </w:tcPr>
          <w:p>
            <w:pPr>
              <w:pStyle w:val="20"/>
              <w:spacing w:before="5"/>
              <w:rPr>
                <w:rFonts w:ascii="宋体"/>
                <w:sz w:val="10"/>
              </w:rPr>
            </w:pPr>
          </w:p>
          <w:p>
            <w:pPr>
              <w:pStyle w:val="20"/>
              <w:ind w:left="107"/>
              <w:rPr>
                <w:rFonts w:ascii="宋体"/>
                <w:sz w:val="20"/>
              </w:rPr>
            </w:pPr>
            <w:r>
              <w:rPr>
                <w:rFonts w:ascii="宋体"/>
                <w:sz w:val="20"/>
              </w:rPr>
              <w:drawing>
                <wp:inline distT="0" distB="0" distL="0" distR="0">
                  <wp:extent cx="2616835" cy="3192145"/>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28" cstate="print"/>
                          <a:stretch>
                            <a:fillRect/>
                          </a:stretch>
                        </pic:blipFill>
                        <pic:spPr>
                          <a:xfrm>
                            <a:off x="0" y="0"/>
                            <a:ext cx="2616919" cy="3192399"/>
                          </a:xfrm>
                          <a:prstGeom prst="rect">
                            <a:avLst/>
                          </a:prstGeom>
                        </pic:spPr>
                      </pic:pic>
                    </a:graphicData>
                  </a:graphic>
                </wp:inline>
              </w:drawing>
            </w:r>
          </w:p>
        </w:tc>
        <w:tc>
          <w:tcPr>
            <w:tcW w:w="4134" w:type="dxa"/>
          </w:tcPr>
          <w:p>
            <w:pPr>
              <w:pStyle w:val="20"/>
              <w:spacing w:before="5"/>
              <w:rPr>
                <w:rFonts w:ascii="宋体"/>
                <w:sz w:val="10"/>
              </w:rPr>
            </w:pPr>
          </w:p>
          <w:p>
            <w:pPr>
              <w:pStyle w:val="20"/>
              <w:ind w:left="108" w:right="-44"/>
              <w:rPr>
                <w:rFonts w:ascii="宋体"/>
                <w:sz w:val="20"/>
              </w:rPr>
            </w:pPr>
            <w:r>
              <w:rPr>
                <w:rFonts w:ascii="宋体"/>
                <w:sz w:val="20"/>
              </w:rPr>
              <w:drawing>
                <wp:inline distT="0" distB="0" distL="0" distR="0">
                  <wp:extent cx="2545715" cy="3259455"/>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29" cstate="print"/>
                          <a:stretch>
                            <a:fillRect/>
                          </a:stretch>
                        </pic:blipFill>
                        <pic:spPr>
                          <a:xfrm>
                            <a:off x="0" y="0"/>
                            <a:ext cx="2545791" cy="3259836"/>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2" w:hRule="atLeast"/>
        </w:trPr>
        <w:tc>
          <w:tcPr>
            <w:tcW w:w="4343" w:type="dxa"/>
          </w:tcPr>
          <w:p>
            <w:pPr>
              <w:pStyle w:val="20"/>
              <w:spacing w:before="5"/>
              <w:rPr>
                <w:rFonts w:ascii="宋体"/>
                <w:sz w:val="10"/>
              </w:rPr>
            </w:pPr>
          </w:p>
          <w:p>
            <w:pPr>
              <w:pStyle w:val="20"/>
              <w:ind w:left="107"/>
              <w:rPr>
                <w:rFonts w:ascii="宋体"/>
                <w:sz w:val="20"/>
              </w:rPr>
            </w:pPr>
            <w:r>
              <w:rPr>
                <w:rFonts w:ascii="宋体"/>
                <w:sz w:val="20"/>
              </w:rPr>
              <w:drawing>
                <wp:inline distT="0" distB="0" distL="0" distR="0">
                  <wp:extent cx="2649220" cy="3164840"/>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r:embed="rId30" cstate="print"/>
                          <a:stretch>
                            <a:fillRect/>
                          </a:stretch>
                        </pic:blipFill>
                        <pic:spPr>
                          <a:xfrm>
                            <a:off x="0" y="0"/>
                            <a:ext cx="2649809" cy="3165348"/>
                          </a:xfrm>
                          <a:prstGeom prst="rect">
                            <a:avLst/>
                          </a:prstGeom>
                        </pic:spPr>
                      </pic:pic>
                    </a:graphicData>
                  </a:graphic>
                </wp:inline>
              </w:drawing>
            </w:r>
          </w:p>
        </w:tc>
        <w:tc>
          <w:tcPr>
            <w:tcW w:w="4134" w:type="dxa"/>
          </w:tcPr>
          <w:p>
            <w:pPr>
              <w:pStyle w:val="20"/>
              <w:spacing w:before="5"/>
              <w:rPr>
                <w:rFonts w:ascii="宋体"/>
                <w:sz w:val="10"/>
              </w:rPr>
            </w:pPr>
          </w:p>
          <w:p>
            <w:pPr>
              <w:pStyle w:val="20"/>
              <w:ind w:left="108" w:right="-44"/>
              <w:rPr>
                <w:rFonts w:ascii="宋体"/>
                <w:sz w:val="20"/>
              </w:rPr>
            </w:pPr>
            <w:r>
              <w:rPr>
                <w:rFonts w:ascii="宋体"/>
                <w:sz w:val="20"/>
              </w:rPr>
              <w:drawing>
                <wp:inline distT="0" distB="0" distL="0" distR="0">
                  <wp:extent cx="2544445" cy="3117850"/>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31" cstate="print"/>
                          <a:stretch>
                            <a:fillRect/>
                          </a:stretch>
                        </pic:blipFill>
                        <pic:spPr>
                          <a:xfrm>
                            <a:off x="0" y="0"/>
                            <a:ext cx="2544454" cy="3118104"/>
                          </a:xfrm>
                          <a:prstGeom prst="rect">
                            <a:avLst/>
                          </a:prstGeom>
                        </pic:spPr>
                      </pic:pic>
                    </a:graphicData>
                  </a:graphic>
                </wp:inline>
              </w:drawing>
            </w:r>
          </w:p>
        </w:tc>
      </w:tr>
    </w:tbl>
    <w:p>
      <w:pPr>
        <w:spacing w:before="103"/>
        <w:ind w:left="516" w:right="99" w:firstLine="0"/>
        <w:jc w:val="center"/>
        <w:rPr>
          <w:b/>
          <w:sz w:val="24"/>
        </w:rPr>
      </w:pPr>
      <w:r>
        <w:rPr>
          <w:b/>
          <w:sz w:val="24"/>
        </w:rPr>
        <w:t>图2.3-2 废水处理设施</w:t>
      </w:r>
    </w:p>
    <w:p>
      <w:pPr>
        <w:spacing w:after="0"/>
        <w:jc w:val="center"/>
        <w:rPr>
          <w:sz w:val="24"/>
        </w:rPr>
        <w:sectPr>
          <w:pgSz w:w="11910" w:h="16840"/>
          <w:pgMar w:top="1380" w:right="1480" w:bottom="1200" w:left="1580" w:header="882" w:footer="1004" w:gutter="0"/>
          <w:cols w:space="720" w:num="1"/>
        </w:sectPr>
      </w:pPr>
    </w:p>
    <w:p>
      <w:pPr>
        <w:pStyle w:val="19"/>
        <w:numPr>
          <w:ilvl w:val="2"/>
          <w:numId w:val="27"/>
        </w:numPr>
        <w:tabs>
          <w:tab w:val="left" w:pos="1070"/>
        </w:tabs>
        <w:spacing w:before="57" w:after="0" w:line="240" w:lineRule="auto"/>
        <w:ind w:left="1069" w:right="0" w:hanging="848"/>
        <w:jc w:val="left"/>
        <w:rPr>
          <w:b/>
          <w:sz w:val="28"/>
        </w:rPr>
      </w:pPr>
      <w:bookmarkStart w:id="43" w:name="2.3.3 噪声源控制措施"/>
      <w:bookmarkEnd w:id="43"/>
      <w:bookmarkStart w:id="44" w:name="2.3.3 噪声源控制措施"/>
      <w:bookmarkEnd w:id="44"/>
      <w:r>
        <w:rPr>
          <w:b/>
          <w:sz w:val="28"/>
        </w:rPr>
        <w:t>噪声源控制措施</w:t>
      </w:r>
    </w:p>
    <w:p>
      <w:pPr>
        <w:pStyle w:val="7"/>
        <w:spacing w:before="139"/>
        <w:ind w:left="820"/>
      </w:pPr>
      <w:r>
        <w:t>噪声是生产区的主要污染源之一，从以下几个方面控制噪声源：</w:t>
      </w:r>
    </w:p>
    <w:p>
      <w:pPr>
        <w:pStyle w:val="19"/>
        <w:numPr>
          <w:ilvl w:val="3"/>
          <w:numId w:val="27"/>
        </w:numPr>
        <w:tabs>
          <w:tab w:val="left" w:pos="1421"/>
        </w:tabs>
        <w:spacing w:before="192" w:after="0" w:line="340" w:lineRule="auto"/>
        <w:ind w:left="340" w:right="444" w:firstLine="480"/>
        <w:jc w:val="left"/>
        <w:rPr>
          <w:sz w:val="24"/>
        </w:rPr>
      </w:pPr>
      <w:r>
        <w:rPr>
          <w:spacing w:val="-1"/>
          <w:sz w:val="24"/>
        </w:rPr>
        <w:t>设备选型选用低噪声的设备，特别是空压机、风机、水泵等选用低</w:t>
      </w:r>
      <w:r>
        <w:rPr>
          <w:sz w:val="24"/>
        </w:rPr>
        <w:t>噪声类型。</w:t>
      </w:r>
    </w:p>
    <w:p>
      <w:pPr>
        <w:pStyle w:val="19"/>
        <w:numPr>
          <w:ilvl w:val="3"/>
          <w:numId w:val="27"/>
        </w:numPr>
        <w:tabs>
          <w:tab w:val="left" w:pos="1421"/>
        </w:tabs>
        <w:spacing w:before="58" w:after="0" w:line="240" w:lineRule="auto"/>
        <w:ind w:left="1421" w:right="0" w:hanging="601"/>
        <w:jc w:val="left"/>
        <w:rPr>
          <w:sz w:val="24"/>
        </w:rPr>
      </w:pPr>
      <w:r>
        <w:rPr>
          <w:sz w:val="24"/>
        </w:rPr>
        <w:t>重视整体设计</w:t>
      </w:r>
    </w:p>
    <w:p>
      <w:pPr>
        <w:pStyle w:val="7"/>
        <w:spacing w:before="139" w:line="362" w:lineRule="auto"/>
        <w:ind w:left="340" w:right="405" w:firstLine="480"/>
        <w:jc w:val="both"/>
      </w:pPr>
      <w:r>
        <w:rPr>
          <w:spacing w:val="-23"/>
        </w:rPr>
        <w:t>重视总平面的布置，将高噪声设备布置在厂区中间，厂界四周考虑绿化等；其</w:t>
      </w:r>
      <w:r>
        <w:rPr>
          <w:spacing w:val="-27"/>
        </w:rPr>
        <w:t>次对设备噪声，在设计中考虑在厂房建筑、绿化设计等方面采取有效措施，降低噪声</w:t>
      </w:r>
      <w:r>
        <w:rPr>
          <w:spacing w:val="-29"/>
        </w:rPr>
        <w:t>的传播。同时在工厂总体布置上利用建筑物、构筑物来阻隔声波的传播。车间周围加强</w:t>
      </w:r>
      <w:r>
        <w:rPr>
          <w:spacing w:val="-31"/>
        </w:rPr>
        <w:t>绿化，从而使噪声最大限度地随距离自然衰减。</w:t>
      </w:r>
    </w:p>
    <w:p>
      <w:pPr>
        <w:pStyle w:val="19"/>
        <w:numPr>
          <w:ilvl w:val="3"/>
          <w:numId w:val="27"/>
        </w:numPr>
        <w:tabs>
          <w:tab w:val="left" w:pos="1421"/>
        </w:tabs>
        <w:spacing w:before="29" w:after="0" w:line="240" w:lineRule="auto"/>
        <w:ind w:left="1421" w:right="0" w:hanging="601"/>
        <w:jc w:val="left"/>
        <w:rPr>
          <w:sz w:val="24"/>
        </w:rPr>
      </w:pPr>
      <w:r>
        <w:rPr>
          <w:sz w:val="24"/>
        </w:rPr>
        <w:t>重视主厂房的设计</w:t>
      </w:r>
    </w:p>
    <w:p>
      <w:pPr>
        <w:pStyle w:val="7"/>
        <w:spacing w:before="139"/>
        <w:ind w:left="820"/>
      </w:pPr>
      <w:r>
        <w:t>主厂房采用密闭形式，少开门窗，防止噪声对外传播；</w:t>
      </w:r>
    </w:p>
    <w:p>
      <w:pPr>
        <w:pStyle w:val="7"/>
        <w:spacing w:before="4"/>
      </w:pPr>
    </w:p>
    <w:p>
      <w:pPr>
        <w:pStyle w:val="19"/>
        <w:numPr>
          <w:ilvl w:val="3"/>
          <w:numId w:val="27"/>
        </w:numPr>
        <w:tabs>
          <w:tab w:val="left" w:pos="1421"/>
        </w:tabs>
        <w:spacing w:before="0" w:after="0" w:line="240" w:lineRule="auto"/>
        <w:ind w:left="1421" w:right="0" w:hanging="601"/>
        <w:jc w:val="left"/>
        <w:rPr>
          <w:sz w:val="24"/>
        </w:rPr>
      </w:pPr>
      <w:r>
        <w:rPr>
          <w:sz w:val="24"/>
        </w:rPr>
        <w:t>安装吸声材料及消声器</w:t>
      </w:r>
    </w:p>
    <w:p>
      <w:pPr>
        <w:pStyle w:val="7"/>
        <w:spacing w:before="2" w:line="364" w:lineRule="auto"/>
        <w:ind w:left="222" w:right="314" w:firstLine="566"/>
      </w:pPr>
      <w:r>
        <w:rPr>
          <w:spacing w:val="-8"/>
        </w:rPr>
        <w:t>空压机房采取隔声措施，安装隔声门窗及吸声装置，风机进、出气口安装消声器并设置隔声罩等工程措施。</w:t>
      </w:r>
    </w:p>
    <w:p>
      <w:pPr>
        <w:pStyle w:val="19"/>
        <w:numPr>
          <w:ilvl w:val="3"/>
          <w:numId w:val="27"/>
        </w:numPr>
        <w:tabs>
          <w:tab w:val="left" w:pos="1378"/>
        </w:tabs>
        <w:spacing w:before="0" w:after="0" w:line="306" w:lineRule="exact"/>
        <w:ind w:left="1377" w:right="0" w:hanging="590"/>
        <w:jc w:val="left"/>
        <w:rPr>
          <w:sz w:val="24"/>
        </w:rPr>
      </w:pPr>
      <w:r>
        <w:rPr>
          <w:spacing w:val="-9"/>
          <w:sz w:val="24"/>
        </w:rPr>
        <w:t>设备基础和设备安装</w:t>
      </w:r>
    </w:p>
    <w:p>
      <w:pPr>
        <w:pStyle w:val="7"/>
        <w:spacing w:before="161"/>
        <w:ind w:left="788"/>
      </w:pPr>
      <w:r>
        <w:t>引风机、空压机和水泵的基础设计，基础加固加强，底座安装减振装置。</w:t>
      </w:r>
    </w:p>
    <w:p>
      <w:pPr>
        <w:pStyle w:val="19"/>
        <w:numPr>
          <w:ilvl w:val="3"/>
          <w:numId w:val="27"/>
        </w:numPr>
        <w:tabs>
          <w:tab w:val="left" w:pos="1378"/>
        </w:tabs>
        <w:spacing w:before="158" w:after="0" w:line="240" w:lineRule="auto"/>
        <w:ind w:left="1377" w:right="0" w:hanging="590"/>
        <w:jc w:val="left"/>
        <w:rPr>
          <w:sz w:val="24"/>
        </w:rPr>
      </w:pPr>
      <w:r>
        <w:rPr>
          <w:spacing w:val="-10"/>
          <w:sz w:val="24"/>
        </w:rPr>
        <w:t>加强管理，降低人为噪声</w:t>
      </w:r>
    </w:p>
    <w:p>
      <w:pPr>
        <w:pStyle w:val="7"/>
        <w:spacing w:before="160"/>
        <w:ind w:left="788"/>
      </w:pPr>
      <w:r>
        <w:t>加强以下几方面管理工作，以减轻对周围声环境的污染：</w:t>
      </w:r>
    </w:p>
    <w:p>
      <w:pPr>
        <w:pStyle w:val="7"/>
        <w:spacing w:before="158" w:line="364" w:lineRule="auto"/>
        <w:ind w:left="222" w:right="314" w:firstLine="566"/>
      </w:pPr>
      <w:r>
        <w:rPr>
          <w:spacing w:val="-8"/>
        </w:rPr>
        <w:t>①建立设备定期维护，保养的管理制度，以防止设备故障形成的非正常生产</w:t>
      </w:r>
      <w:r>
        <w:rPr>
          <w:spacing w:val="-10"/>
        </w:rPr>
        <w:t>噪声，同时确保环保措施发挥最有效的功能；</w:t>
      </w:r>
    </w:p>
    <w:p>
      <w:pPr>
        <w:pStyle w:val="7"/>
        <w:spacing w:line="306" w:lineRule="exact"/>
        <w:ind w:left="788"/>
      </w:pPr>
      <w:r>
        <w:t>②加强职工环保意识教育，提倡文明生产，防止人为噪声；</w:t>
      </w:r>
    </w:p>
    <w:p>
      <w:pPr>
        <w:pStyle w:val="7"/>
        <w:spacing w:before="161"/>
        <w:ind w:left="788"/>
      </w:pPr>
      <w:r>
        <w:t>③优化工作制度，避免高噪声设备夜间运行。</w:t>
      </w:r>
    </w:p>
    <w:p>
      <w:pPr>
        <w:pStyle w:val="7"/>
        <w:spacing w:before="3"/>
        <w:rPr>
          <w:sz w:val="17"/>
        </w:rPr>
      </w:pPr>
    </w:p>
    <w:p>
      <w:pPr>
        <w:pStyle w:val="19"/>
        <w:numPr>
          <w:ilvl w:val="2"/>
          <w:numId w:val="27"/>
        </w:numPr>
        <w:tabs>
          <w:tab w:val="left" w:pos="1070"/>
        </w:tabs>
        <w:spacing w:before="0" w:after="0" w:line="240" w:lineRule="auto"/>
        <w:ind w:left="1069" w:right="0" w:hanging="848"/>
        <w:jc w:val="left"/>
        <w:rPr>
          <w:b/>
          <w:sz w:val="28"/>
        </w:rPr>
      </w:pPr>
      <w:bookmarkStart w:id="45" w:name="2.3.4 固体废物排放及处置"/>
      <w:bookmarkEnd w:id="45"/>
      <w:bookmarkStart w:id="46" w:name="2.3.4 固体废物排放及处置"/>
      <w:bookmarkEnd w:id="46"/>
      <w:r>
        <w:rPr>
          <w:b/>
          <w:sz w:val="28"/>
        </w:rPr>
        <w:t>固体废物排放及处置</w:t>
      </w:r>
    </w:p>
    <w:p>
      <w:pPr>
        <w:pStyle w:val="7"/>
        <w:spacing w:before="63" w:line="362" w:lineRule="auto"/>
        <w:ind w:left="222" w:right="312" w:firstLine="566"/>
      </w:pPr>
      <w:r>
        <w:rPr>
          <w:spacing w:val="-11"/>
        </w:rPr>
        <w:t xml:space="preserve">公司在水性涂料车间旁设有固废临时贮存间 </w:t>
      </w:r>
      <w:r>
        <w:t>1</w:t>
      </w:r>
      <w:r>
        <w:rPr>
          <w:spacing w:val="-13"/>
        </w:rPr>
        <w:t xml:space="preserve"> 个，生产工艺中产生的废液残</w:t>
      </w:r>
      <w:r>
        <w:rPr>
          <w:spacing w:val="-10"/>
        </w:rPr>
        <w:t>渣、收集的粉尘、污水处理污泥等固废按照相关要求分类处置。</w:t>
      </w:r>
    </w:p>
    <w:p>
      <w:pPr>
        <w:pStyle w:val="7"/>
        <w:spacing w:before="5"/>
        <w:ind w:left="788"/>
      </w:pPr>
      <w:r>
        <w:t>固废临时贮存间分别设施了危废暂存库和一般固废暂存库。</w:t>
      </w:r>
    </w:p>
    <w:p>
      <w:pPr>
        <w:pStyle w:val="19"/>
        <w:numPr>
          <w:ilvl w:val="0"/>
          <w:numId w:val="28"/>
        </w:numPr>
        <w:tabs>
          <w:tab w:val="left" w:pos="1378"/>
        </w:tabs>
        <w:spacing w:before="158" w:after="0" w:line="240" w:lineRule="auto"/>
        <w:ind w:left="1377" w:right="0" w:hanging="590"/>
        <w:jc w:val="left"/>
        <w:rPr>
          <w:sz w:val="24"/>
        </w:rPr>
      </w:pPr>
      <w:r>
        <w:rPr>
          <w:rFonts w:hint="eastAsia"/>
          <w:spacing w:val="-7"/>
          <w:sz w:val="24"/>
          <w:lang w:eastAsia="zh-CN"/>
        </w:rPr>
        <w:t>化学品</w:t>
      </w:r>
    </w:p>
    <w:p>
      <w:pPr>
        <w:pStyle w:val="7"/>
        <w:spacing w:before="161" w:line="362" w:lineRule="auto"/>
        <w:ind w:left="222" w:right="312" w:firstLine="566"/>
      </w:pPr>
      <w:r>
        <w:rPr>
          <w:spacing w:val="-8"/>
        </w:rPr>
        <w:t>废液残渣、收集的粉尘、污水处理污泥属于</w:t>
      </w:r>
      <w:r>
        <w:rPr>
          <w:rFonts w:hint="eastAsia"/>
          <w:spacing w:val="-8"/>
          <w:lang w:eastAsia="zh-CN"/>
        </w:rPr>
        <w:t>化学品</w:t>
      </w:r>
      <w:r>
        <w:rPr>
          <w:spacing w:val="-8"/>
        </w:rPr>
        <w:t>，临时堆存于危废暂存</w:t>
      </w:r>
      <w:r>
        <w:rPr>
          <w:spacing w:val="-10"/>
        </w:rPr>
        <w:t>房内，以密闭加盖容器暂存，定期交有资质的单位处置。</w:t>
      </w:r>
    </w:p>
    <w:p>
      <w:pPr>
        <w:pStyle w:val="7"/>
        <w:spacing w:before="5"/>
        <w:ind w:left="788"/>
      </w:pPr>
      <w:r>
        <w:t>对生产过程中产生</w:t>
      </w:r>
      <w:r>
        <w:rPr>
          <w:rFonts w:hint="eastAsia"/>
          <w:lang w:eastAsia="zh-CN"/>
        </w:rPr>
        <w:t>化学品</w:t>
      </w:r>
      <w:r>
        <w:t>的收集、运输、贮存、管理以及转运应严格按照</w:t>
      </w:r>
    </w:p>
    <w:p>
      <w:pPr>
        <w:spacing w:after="0"/>
        <w:sectPr>
          <w:pgSz w:w="11910" w:h="16840"/>
          <w:pgMar w:top="1380" w:right="1480" w:bottom="1200" w:left="1580" w:header="882" w:footer="1004" w:gutter="0"/>
          <w:cols w:space="720" w:num="1"/>
        </w:sectPr>
      </w:pPr>
    </w:p>
    <w:p>
      <w:pPr>
        <w:pStyle w:val="7"/>
        <w:spacing w:before="56" w:line="364" w:lineRule="auto"/>
        <w:ind w:left="222" w:right="312"/>
      </w:pPr>
      <w:r>
        <w:rPr>
          <w:spacing w:val="-10"/>
        </w:rPr>
        <w:t>《</w:t>
      </w:r>
      <w:r>
        <w:rPr>
          <w:rFonts w:hint="eastAsia"/>
          <w:spacing w:val="-10"/>
          <w:lang w:eastAsia="zh-CN"/>
        </w:rPr>
        <w:t>化学品</w:t>
      </w:r>
      <w:r>
        <w:rPr>
          <w:spacing w:val="-10"/>
        </w:rPr>
        <w:t>污染防治技术政策》</w:t>
      </w:r>
      <w:r>
        <w:rPr>
          <w:spacing w:val="-8"/>
        </w:rPr>
        <w:t>（环发</w:t>
      </w:r>
      <w:r>
        <w:rPr>
          <w:spacing w:val="-4"/>
        </w:rPr>
        <w:t>[2001]199</w:t>
      </w:r>
      <w:r>
        <w:rPr>
          <w:spacing w:val="-38"/>
        </w:rPr>
        <w:t xml:space="preserve"> 号</w:t>
      </w:r>
      <w:r>
        <w:rPr>
          <w:spacing w:val="-8"/>
        </w:rPr>
        <w:t>）</w:t>
      </w:r>
      <w:r>
        <w:rPr>
          <w:spacing w:val="-10"/>
        </w:rPr>
        <w:t>、《</w:t>
      </w:r>
      <w:r>
        <w:rPr>
          <w:rFonts w:hint="eastAsia"/>
          <w:spacing w:val="-10"/>
          <w:lang w:eastAsia="zh-CN"/>
        </w:rPr>
        <w:t>化学品</w:t>
      </w:r>
      <w:r>
        <w:rPr>
          <w:spacing w:val="-10"/>
        </w:rPr>
        <w:t>转移联单管理</w:t>
      </w:r>
      <w:r>
        <w:rPr>
          <w:spacing w:val="-27"/>
        </w:rPr>
        <w:t>办法》</w:t>
      </w:r>
      <w:r>
        <w:rPr>
          <w:spacing w:val="-10"/>
        </w:rPr>
        <w:t>（</w:t>
      </w:r>
      <w:r>
        <w:rPr>
          <w:spacing w:val="-15"/>
        </w:rPr>
        <w:t xml:space="preserve">国家环境保护总局令第 </w:t>
      </w:r>
      <w:r>
        <w:t>5</w:t>
      </w:r>
      <w:r>
        <w:rPr>
          <w:spacing w:val="-37"/>
        </w:rPr>
        <w:t xml:space="preserve"> 号</w:t>
      </w:r>
      <w:r>
        <w:rPr>
          <w:spacing w:val="-36"/>
        </w:rPr>
        <w:t>）</w:t>
      </w:r>
      <w:r>
        <w:rPr>
          <w:spacing w:val="-18"/>
        </w:rPr>
        <w:t>和《</w:t>
      </w:r>
      <w:r>
        <w:rPr>
          <w:rFonts w:hint="eastAsia"/>
          <w:spacing w:val="-18"/>
          <w:lang w:eastAsia="zh-CN"/>
        </w:rPr>
        <w:t>化学品</w:t>
      </w:r>
      <w:r>
        <w:rPr>
          <w:spacing w:val="-18"/>
        </w:rPr>
        <w:t>贮存污染控制标准》</w:t>
      </w:r>
      <w:r>
        <w:rPr>
          <w:spacing w:val="-5"/>
        </w:rPr>
        <w:t>（GB18597</w:t>
      </w:r>
    </w:p>
    <w:p>
      <w:pPr>
        <w:pStyle w:val="7"/>
        <w:spacing w:line="364" w:lineRule="auto"/>
        <w:ind w:left="222" w:right="314"/>
      </w:pPr>
      <w:r>
        <w:rPr>
          <w:spacing w:val="-10"/>
        </w:rPr>
        <w:t>－2001）</w:t>
      </w:r>
      <w:r>
        <w:rPr>
          <w:spacing w:val="-13"/>
        </w:rPr>
        <w:t>及其修改单实行。</w:t>
      </w:r>
      <w:r>
        <w:rPr>
          <w:rFonts w:hint="eastAsia"/>
          <w:spacing w:val="-13"/>
          <w:lang w:eastAsia="zh-CN"/>
        </w:rPr>
        <w:t>化学品</w:t>
      </w:r>
      <w:r>
        <w:rPr>
          <w:spacing w:val="-13"/>
        </w:rPr>
        <w:t>以密封加盖容器或有内衬塑料袋的编制袋包装</w:t>
      </w:r>
      <w:r>
        <w:rPr>
          <w:spacing w:val="-9"/>
        </w:rPr>
        <w:t>后桶装存放。</w:t>
      </w:r>
    </w:p>
    <w:p>
      <w:pPr>
        <w:pStyle w:val="7"/>
        <w:spacing w:line="364" w:lineRule="auto"/>
        <w:ind w:left="788" w:right="4572"/>
      </w:pPr>
      <w:r>
        <w:rPr>
          <w:spacing w:val="-10"/>
        </w:rPr>
        <w:t>处理处置</w:t>
      </w:r>
      <w:r>
        <w:rPr>
          <w:rFonts w:hint="eastAsia"/>
          <w:spacing w:val="-10"/>
          <w:lang w:eastAsia="zh-CN"/>
        </w:rPr>
        <w:t>化学品</w:t>
      </w:r>
      <w:r>
        <w:rPr>
          <w:spacing w:val="-10"/>
        </w:rPr>
        <w:t xml:space="preserve">具体方法如下： </w:t>
      </w:r>
      <w:r>
        <w:rPr>
          <w:spacing w:val="-3"/>
        </w:rPr>
        <w:t>a</w:t>
      </w:r>
      <w:r>
        <w:rPr>
          <w:spacing w:val="-9"/>
        </w:rPr>
        <w:t>、收集和运输</w:t>
      </w:r>
    </w:p>
    <w:p>
      <w:pPr>
        <w:pStyle w:val="7"/>
        <w:spacing w:line="364" w:lineRule="auto"/>
        <w:ind w:left="222" w:right="312" w:firstLine="566"/>
        <w:jc w:val="both"/>
      </w:pPr>
      <w:r>
        <w:rPr>
          <w:spacing w:val="-8"/>
        </w:rPr>
        <w:t>采用不易破损、变形、老化的容器，能有效地防止渗漏和扩散。容器上必须</w:t>
      </w:r>
      <w:r>
        <w:rPr>
          <w:spacing w:val="-11"/>
        </w:rPr>
        <w:t>贴上标签，在标签上详细说明：1</w:t>
      </w:r>
      <w:r>
        <w:rPr>
          <w:spacing w:val="-12"/>
        </w:rPr>
        <w:t>、装有容器的重量、成分；</w:t>
      </w:r>
      <w:r>
        <w:rPr>
          <w:spacing w:val="-10"/>
        </w:rPr>
        <w:t>2、发生渗漏和扩散时</w:t>
      </w:r>
      <w:r>
        <w:rPr>
          <w:spacing w:val="-9"/>
        </w:rPr>
        <w:t>应采取的应急措施。</w:t>
      </w:r>
    </w:p>
    <w:p>
      <w:pPr>
        <w:pStyle w:val="7"/>
        <w:spacing w:line="307" w:lineRule="exact"/>
        <w:ind w:left="788"/>
      </w:pPr>
      <w:r>
        <w:t>b、转移</w:t>
      </w:r>
    </w:p>
    <w:p>
      <w:pPr>
        <w:pStyle w:val="7"/>
        <w:spacing w:before="154" w:line="364" w:lineRule="auto"/>
        <w:ind w:left="222" w:right="312" w:firstLine="566"/>
        <w:jc w:val="both"/>
      </w:pPr>
      <w:r>
        <w:rPr>
          <w:rFonts w:hint="eastAsia"/>
          <w:spacing w:val="-8"/>
          <w:lang w:eastAsia="zh-CN"/>
        </w:rPr>
        <w:t>化学品</w:t>
      </w:r>
      <w:r>
        <w:rPr>
          <w:spacing w:val="-8"/>
        </w:rPr>
        <w:t>在国内转移时遵从《</w:t>
      </w:r>
      <w:r>
        <w:rPr>
          <w:rFonts w:hint="eastAsia"/>
          <w:spacing w:val="-8"/>
          <w:lang w:eastAsia="zh-CN"/>
        </w:rPr>
        <w:t>化学品</w:t>
      </w:r>
      <w:r>
        <w:rPr>
          <w:spacing w:val="-8"/>
        </w:rPr>
        <w:t>转移联单管理办法》中的有关规定。</w:t>
      </w:r>
      <w:r>
        <w:rPr>
          <w:spacing w:val="-14"/>
        </w:rPr>
        <w:t>在转移</w:t>
      </w:r>
      <w:r>
        <w:rPr>
          <w:rFonts w:hint="eastAsia"/>
          <w:spacing w:val="-14"/>
          <w:lang w:eastAsia="zh-CN"/>
        </w:rPr>
        <w:t>化学品</w:t>
      </w:r>
      <w:r>
        <w:rPr>
          <w:spacing w:val="-14"/>
        </w:rPr>
        <w:t>前，须按照国家有关规定报批</w:t>
      </w:r>
      <w:r>
        <w:rPr>
          <w:rFonts w:hint="eastAsia"/>
          <w:spacing w:val="-14"/>
          <w:lang w:eastAsia="zh-CN"/>
        </w:rPr>
        <w:t>化学品</w:t>
      </w:r>
      <w:r>
        <w:rPr>
          <w:spacing w:val="-14"/>
        </w:rPr>
        <w:t>转移计划；经批准后，建设</w:t>
      </w:r>
      <w:r>
        <w:rPr>
          <w:spacing w:val="-10"/>
        </w:rPr>
        <w:t>单位向移出地环境保护行政主管部门申请领取联单。</w:t>
      </w:r>
    </w:p>
    <w:p>
      <w:pPr>
        <w:pStyle w:val="7"/>
        <w:spacing w:line="307" w:lineRule="exact"/>
        <w:ind w:left="788"/>
      </w:pPr>
      <w:r>
        <w:t>c、贮存</w:t>
      </w:r>
    </w:p>
    <w:p>
      <w:pPr>
        <w:pStyle w:val="7"/>
        <w:spacing w:before="161" w:line="364" w:lineRule="auto"/>
        <w:ind w:left="222" w:right="312" w:firstLine="566"/>
        <w:jc w:val="both"/>
      </w:pPr>
      <w:r>
        <w:rPr>
          <w:spacing w:val="-12"/>
        </w:rPr>
        <w:t>贮存严格按照《</w:t>
      </w:r>
      <w:r>
        <w:rPr>
          <w:rFonts w:hint="eastAsia"/>
          <w:spacing w:val="-12"/>
          <w:lang w:eastAsia="zh-CN"/>
        </w:rPr>
        <w:t>化学品</w:t>
      </w:r>
      <w:r>
        <w:rPr>
          <w:spacing w:val="-12"/>
        </w:rPr>
        <w:t>贮存污染控制标准》</w:t>
      </w:r>
      <w:r>
        <w:rPr>
          <w:spacing w:val="-6"/>
        </w:rPr>
        <w:t>（GB18597－2001）</w:t>
      </w:r>
      <w:r>
        <w:rPr>
          <w:spacing w:val="-8"/>
        </w:rPr>
        <w:t>及其修改单</w:t>
      </w:r>
      <w:r>
        <w:rPr>
          <w:spacing w:val="-14"/>
        </w:rPr>
        <w:t>实行。对于不能及时进行处理处置的</w:t>
      </w:r>
      <w:r>
        <w:rPr>
          <w:rFonts w:hint="eastAsia"/>
          <w:spacing w:val="-14"/>
          <w:lang w:eastAsia="zh-CN"/>
        </w:rPr>
        <w:t>化学品</w:t>
      </w:r>
      <w:r>
        <w:rPr>
          <w:spacing w:val="-14"/>
        </w:rPr>
        <w:t>，设专门的</w:t>
      </w:r>
      <w:r>
        <w:rPr>
          <w:rFonts w:hint="eastAsia"/>
          <w:spacing w:val="-14"/>
          <w:lang w:eastAsia="zh-CN"/>
        </w:rPr>
        <w:t>化学品</w:t>
      </w:r>
      <w:r>
        <w:rPr>
          <w:spacing w:val="-14"/>
        </w:rPr>
        <w:t>贮存设施进行贮</w:t>
      </w:r>
      <w:r>
        <w:rPr>
          <w:spacing w:val="-10"/>
        </w:rPr>
        <w:t>存，并要设立</w:t>
      </w:r>
      <w:r>
        <w:rPr>
          <w:rFonts w:hint="eastAsia"/>
          <w:spacing w:val="-10"/>
          <w:lang w:eastAsia="zh-CN"/>
        </w:rPr>
        <w:t>化学品</w:t>
      </w:r>
      <w:r>
        <w:rPr>
          <w:spacing w:val="-10"/>
        </w:rPr>
        <w:t>标志。对险废物贮存设施建设的要求如下：</w:t>
      </w:r>
    </w:p>
    <w:p>
      <w:pPr>
        <w:pStyle w:val="7"/>
        <w:spacing w:line="364" w:lineRule="auto"/>
        <w:ind w:left="222" w:right="314" w:firstLine="566"/>
      </w:pPr>
      <w:r>
        <w:rPr>
          <w:spacing w:val="-8"/>
        </w:rPr>
        <w:t>建有堵截泄漏的裙脚，地面和裙脚要用坚固防渗的材料建造。有隔离设施、</w:t>
      </w:r>
      <w:r>
        <w:rPr>
          <w:spacing w:val="-10"/>
        </w:rPr>
        <w:t>报警装置和防风、防雨设施；</w:t>
      </w:r>
    </w:p>
    <w:p>
      <w:pPr>
        <w:pStyle w:val="7"/>
        <w:spacing w:line="364" w:lineRule="auto"/>
        <w:ind w:left="222" w:right="312" w:firstLine="566"/>
      </w:pPr>
      <w:r>
        <w:rPr>
          <w:spacing w:val="-15"/>
        </w:rPr>
        <w:t xml:space="preserve">基础防渗层有厚度为 </w:t>
      </w:r>
      <w:r>
        <w:t>1m</w:t>
      </w:r>
      <w:r>
        <w:rPr>
          <w:spacing w:val="-23"/>
        </w:rPr>
        <w:t xml:space="preserve"> 以上的粘土层或 </w:t>
      </w:r>
      <w:r>
        <w:t>2</w:t>
      </w:r>
      <w:r>
        <w:rPr>
          <w:spacing w:val="-18"/>
        </w:rPr>
        <w:t xml:space="preserve"> 毫米厚高密度聚乙烯，防渗的面层</w:t>
      </w:r>
      <w:r>
        <w:rPr>
          <w:spacing w:val="-10"/>
        </w:rPr>
        <w:t>结构足以承受一般负荷及移动容器时所产生的磨损，不会污染土壤和地下水；</w:t>
      </w:r>
    </w:p>
    <w:p>
      <w:pPr>
        <w:pStyle w:val="7"/>
        <w:spacing w:line="364" w:lineRule="auto"/>
        <w:ind w:left="788" w:right="314"/>
      </w:pPr>
      <w:r>
        <w:rPr>
          <w:spacing w:val="-10"/>
        </w:rPr>
        <w:t>采用密封加盖容器暂存，堆放</w:t>
      </w:r>
      <w:r>
        <w:rPr>
          <w:rFonts w:hint="eastAsia"/>
          <w:spacing w:val="-10"/>
          <w:lang w:eastAsia="zh-CN"/>
        </w:rPr>
        <w:t>化学品</w:t>
      </w:r>
      <w:r>
        <w:rPr>
          <w:spacing w:val="-10"/>
        </w:rPr>
        <w:t xml:space="preserve">的场所高度根据地面承载能力确定； </w:t>
      </w:r>
      <w:r>
        <w:rPr>
          <w:spacing w:val="-8"/>
        </w:rPr>
        <w:t>衬里放在一个基础或底座上，衬里能够覆盖</w:t>
      </w:r>
      <w:r>
        <w:rPr>
          <w:rFonts w:hint="eastAsia"/>
          <w:spacing w:val="-8"/>
          <w:lang w:eastAsia="zh-CN"/>
        </w:rPr>
        <w:t>化学品</w:t>
      </w:r>
      <w:r>
        <w:rPr>
          <w:spacing w:val="-8"/>
        </w:rPr>
        <w:t>或其溶出物可能涉及到</w:t>
      </w:r>
    </w:p>
    <w:p>
      <w:pPr>
        <w:pStyle w:val="7"/>
        <w:ind w:left="222"/>
      </w:pPr>
      <w:r>
        <w:t>的范围，衬里材料与堆放</w:t>
      </w:r>
      <w:r>
        <w:rPr>
          <w:rFonts w:hint="eastAsia"/>
          <w:lang w:eastAsia="zh-CN"/>
        </w:rPr>
        <w:t>化学品</w:t>
      </w:r>
      <w:r>
        <w:t>相容。</w:t>
      </w:r>
    </w:p>
    <w:p>
      <w:pPr>
        <w:pStyle w:val="19"/>
        <w:numPr>
          <w:ilvl w:val="0"/>
          <w:numId w:val="28"/>
        </w:numPr>
        <w:tabs>
          <w:tab w:val="left" w:pos="1378"/>
        </w:tabs>
        <w:spacing w:before="154" w:after="0" w:line="240" w:lineRule="auto"/>
        <w:ind w:left="1377" w:right="0" w:hanging="590"/>
        <w:jc w:val="left"/>
        <w:rPr>
          <w:sz w:val="24"/>
        </w:rPr>
      </w:pPr>
      <w:r>
        <w:rPr>
          <w:spacing w:val="-9"/>
          <w:sz w:val="24"/>
        </w:rPr>
        <w:t>一般工业固废</w:t>
      </w:r>
    </w:p>
    <w:p>
      <w:pPr>
        <w:pStyle w:val="7"/>
        <w:spacing w:before="158" w:line="364" w:lineRule="auto"/>
        <w:ind w:left="222" w:right="312" w:firstLine="566"/>
        <w:rPr>
          <w:color w:val="auto"/>
        </w:rPr>
      </w:pPr>
      <w:r>
        <w:rPr>
          <w:spacing w:val="-7"/>
        </w:rPr>
        <w:t>一般工业固</w:t>
      </w:r>
      <w:r>
        <w:rPr>
          <w:color w:val="auto"/>
          <w:spacing w:val="-7"/>
        </w:rPr>
        <w:t>废</w:t>
      </w:r>
      <w:r>
        <w:rPr>
          <w:color w:val="auto"/>
          <w:spacing w:val="-8"/>
        </w:rPr>
        <w:t>主要为废旧包装材料等杂物，暂存于一般暂存库，这些废旧物</w:t>
      </w:r>
      <w:r>
        <w:rPr>
          <w:color w:val="auto"/>
          <w:spacing w:val="-10"/>
        </w:rPr>
        <w:t>定期交给废物回收站处理。</w:t>
      </w:r>
    </w:p>
    <w:p>
      <w:pPr>
        <w:pStyle w:val="7"/>
        <w:spacing w:line="364" w:lineRule="auto"/>
        <w:ind w:left="222" w:right="314" w:firstLine="566"/>
        <w:rPr>
          <w:color w:val="auto"/>
        </w:rPr>
      </w:pPr>
      <w:r>
        <w:rPr>
          <w:color w:val="auto"/>
          <w:spacing w:val="-8"/>
        </w:rPr>
        <w:t>一些空桶等厂家回收物资放置于大棚暂存，并做了导流沟设施，避免大雨天</w:t>
      </w:r>
      <w:r>
        <w:rPr>
          <w:color w:val="auto"/>
          <w:spacing w:val="-10"/>
        </w:rPr>
        <w:t>气产生废水乱排等现象。</w:t>
      </w:r>
    </w:p>
    <w:p>
      <w:pPr>
        <w:spacing w:after="0" w:line="364" w:lineRule="auto"/>
        <w:rPr>
          <w:color w:val="auto"/>
        </w:rPr>
        <w:sectPr>
          <w:pgSz w:w="11910" w:h="16840"/>
          <w:pgMar w:top="1380" w:right="1480" w:bottom="1200" w:left="1580" w:header="882" w:footer="1004" w:gutter="0"/>
          <w:cols w:space="720" w:num="1"/>
        </w:sectPr>
      </w:pPr>
    </w:p>
    <w:p>
      <w:pPr>
        <w:pStyle w:val="7"/>
        <w:spacing w:before="4"/>
        <w:rPr>
          <w:sz w:val="4"/>
        </w:rPr>
      </w:pPr>
    </w:p>
    <w:tbl>
      <w:tblPr>
        <w:tblStyle w:val="15"/>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43"/>
        <w:gridCol w:w="42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5" w:hRule="atLeast"/>
        </w:trPr>
        <w:tc>
          <w:tcPr>
            <w:tcW w:w="4243" w:type="dxa"/>
          </w:tcPr>
          <w:p>
            <w:pPr>
              <w:pStyle w:val="20"/>
              <w:ind w:left="107"/>
              <w:rPr>
                <w:rFonts w:ascii="宋体"/>
                <w:sz w:val="20"/>
              </w:rPr>
            </w:pPr>
            <w:r>
              <w:rPr>
                <w:rFonts w:ascii="宋体"/>
                <w:sz w:val="20"/>
              </w:rPr>
              <w:drawing>
                <wp:inline distT="0" distB="0" distL="0" distR="0">
                  <wp:extent cx="2538730" cy="2827655"/>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32" cstate="print"/>
                          <a:stretch>
                            <a:fillRect/>
                          </a:stretch>
                        </pic:blipFill>
                        <pic:spPr>
                          <a:xfrm>
                            <a:off x="0" y="0"/>
                            <a:ext cx="2539121" cy="2828163"/>
                          </a:xfrm>
                          <a:prstGeom prst="rect">
                            <a:avLst/>
                          </a:prstGeom>
                        </pic:spPr>
                      </pic:pic>
                    </a:graphicData>
                  </a:graphic>
                </wp:inline>
              </w:drawing>
            </w:r>
          </w:p>
        </w:tc>
        <w:tc>
          <w:tcPr>
            <w:tcW w:w="4217" w:type="dxa"/>
          </w:tcPr>
          <w:p>
            <w:pPr>
              <w:pStyle w:val="20"/>
              <w:ind w:left="107" w:right="-15"/>
              <w:rPr>
                <w:rFonts w:ascii="宋体"/>
                <w:sz w:val="20"/>
              </w:rPr>
            </w:pPr>
            <w:r>
              <w:rPr>
                <w:rFonts w:ascii="宋体"/>
                <w:sz w:val="20"/>
              </w:rPr>
              <w:drawing>
                <wp:inline distT="0" distB="0" distL="0" distR="0">
                  <wp:extent cx="2583180" cy="2950210"/>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jpeg"/>
                          <pic:cNvPicPr>
                            <a:picLocks noChangeAspect="1"/>
                          </pic:cNvPicPr>
                        </pic:nvPicPr>
                        <pic:blipFill>
                          <a:blip r:embed="rId33" cstate="print"/>
                          <a:stretch>
                            <a:fillRect/>
                          </a:stretch>
                        </pic:blipFill>
                        <pic:spPr>
                          <a:xfrm>
                            <a:off x="0" y="0"/>
                            <a:ext cx="2583180" cy="2950463"/>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5" w:hRule="atLeast"/>
        </w:trPr>
        <w:tc>
          <w:tcPr>
            <w:tcW w:w="4243" w:type="dxa"/>
          </w:tcPr>
          <w:p>
            <w:pPr>
              <w:pStyle w:val="20"/>
              <w:ind w:left="107"/>
              <w:rPr>
                <w:rFonts w:ascii="宋体"/>
                <w:sz w:val="20"/>
              </w:rPr>
            </w:pPr>
            <w:r>
              <w:rPr>
                <w:rFonts w:ascii="宋体"/>
                <w:sz w:val="20"/>
              </w:rPr>
              <w:drawing>
                <wp:inline distT="0" distB="0" distL="0" distR="0">
                  <wp:extent cx="2586355" cy="3444240"/>
                  <wp:effectExtent l="0" t="0" r="0" b="0"/>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jpeg"/>
                          <pic:cNvPicPr>
                            <a:picLocks noChangeAspect="1"/>
                          </pic:cNvPicPr>
                        </pic:nvPicPr>
                        <pic:blipFill>
                          <a:blip r:embed="rId34" cstate="print"/>
                          <a:stretch>
                            <a:fillRect/>
                          </a:stretch>
                        </pic:blipFill>
                        <pic:spPr>
                          <a:xfrm>
                            <a:off x="0" y="0"/>
                            <a:ext cx="2586589" cy="3444240"/>
                          </a:xfrm>
                          <a:prstGeom prst="rect">
                            <a:avLst/>
                          </a:prstGeom>
                        </pic:spPr>
                      </pic:pic>
                    </a:graphicData>
                  </a:graphic>
                </wp:inline>
              </w:drawing>
            </w:r>
          </w:p>
        </w:tc>
        <w:tc>
          <w:tcPr>
            <w:tcW w:w="4217" w:type="dxa"/>
          </w:tcPr>
          <w:p>
            <w:pPr>
              <w:pStyle w:val="20"/>
              <w:ind w:left="107" w:right="-58"/>
              <w:rPr>
                <w:rFonts w:ascii="宋体"/>
                <w:sz w:val="20"/>
              </w:rPr>
            </w:pPr>
            <w:r>
              <w:rPr>
                <w:rFonts w:ascii="宋体"/>
                <w:sz w:val="20"/>
              </w:rPr>
              <w:drawing>
                <wp:inline distT="0" distB="0" distL="0" distR="0">
                  <wp:extent cx="2609850" cy="3495675"/>
                  <wp:effectExtent l="0" t="0" r="0" b="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35" cstate="print"/>
                          <a:stretch>
                            <a:fillRect/>
                          </a:stretch>
                        </pic:blipFill>
                        <pic:spPr>
                          <a:xfrm>
                            <a:off x="0" y="0"/>
                            <a:ext cx="2610104" cy="3496055"/>
                          </a:xfrm>
                          <a:prstGeom prst="rect">
                            <a:avLst/>
                          </a:prstGeom>
                        </pic:spPr>
                      </pic:pic>
                    </a:graphicData>
                  </a:graphic>
                </wp:inline>
              </w:drawing>
            </w:r>
          </w:p>
        </w:tc>
      </w:tr>
    </w:tbl>
    <w:p>
      <w:pPr>
        <w:spacing w:before="103"/>
        <w:ind w:left="518" w:right="99" w:firstLine="0"/>
        <w:jc w:val="center"/>
        <w:rPr>
          <w:b/>
          <w:sz w:val="24"/>
        </w:rPr>
      </w:pPr>
      <w:r>
        <w:rPr>
          <w:b/>
          <w:sz w:val="24"/>
        </w:rPr>
        <w:t>图2.3-3 固废及回用桶现状图</w:t>
      </w:r>
    </w:p>
    <w:p>
      <w:pPr>
        <w:pStyle w:val="7"/>
        <w:spacing w:before="11"/>
        <w:rPr>
          <w:b/>
          <w:sz w:val="16"/>
        </w:rPr>
      </w:pPr>
    </w:p>
    <w:p>
      <w:pPr>
        <w:pStyle w:val="19"/>
        <w:numPr>
          <w:ilvl w:val="2"/>
          <w:numId w:val="27"/>
        </w:numPr>
        <w:tabs>
          <w:tab w:val="left" w:pos="1070"/>
        </w:tabs>
        <w:spacing w:before="0" w:after="0" w:line="240" w:lineRule="auto"/>
        <w:ind w:left="1069" w:right="0" w:hanging="848"/>
        <w:jc w:val="both"/>
        <w:rPr>
          <w:b/>
          <w:sz w:val="28"/>
        </w:rPr>
      </w:pPr>
      <w:bookmarkStart w:id="47" w:name="2.3.5 地下水防治措施"/>
      <w:bookmarkEnd w:id="47"/>
      <w:bookmarkStart w:id="48" w:name="2.3.5 地下水防治措施"/>
      <w:bookmarkEnd w:id="48"/>
      <w:r>
        <w:rPr>
          <w:b/>
          <w:sz w:val="28"/>
        </w:rPr>
        <w:t>地下水防治措施</w:t>
      </w:r>
    </w:p>
    <w:p>
      <w:pPr>
        <w:pStyle w:val="7"/>
        <w:spacing w:before="63" w:line="362" w:lineRule="auto"/>
        <w:ind w:left="340" w:right="432" w:firstLine="480"/>
        <w:jc w:val="both"/>
      </w:pPr>
      <w:r>
        <w:rPr>
          <w:spacing w:val="-16"/>
        </w:rPr>
        <w:t>选择先进、成熟的工艺技术、装备和较清洁的原辅材料，从源头上减少污染物排放；严格按照国家相关规范要求，对工艺、管道、设备、污水储存及处理构</w:t>
      </w:r>
      <w:r>
        <w:rPr>
          <w:spacing w:val="-15"/>
        </w:rPr>
        <w:t>筑物采取相应的措施，防止和降低污染物的跑、冒、滴、漏，将污染物泄漏的环</w:t>
      </w:r>
      <w:r>
        <w:rPr>
          <w:spacing w:val="-10"/>
        </w:rPr>
        <w:t>境风险事故降低到最低程度。</w:t>
      </w:r>
    </w:p>
    <w:p>
      <w:pPr>
        <w:pStyle w:val="7"/>
        <w:spacing w:before="32"/>
        <w:ind w:left="498"/>
        <w:jc w:val="center"/>
      </w:pPr>
      <w:r>
        <w:rPr>
          <w:rFonts w:hint="eastAsia"/>
          <w:lang w:eastAsia="zh-CN"/>
        </w:rPr>
        <w:t>化学品</w:t>
      </w:r>
      <w:r>
        <w:t>暂存房应严格执行《</w:t>
      </w:r>
      <w:r>
        <w:rPr>
          <w:rFonts w:hint="eastAsia"/>
          <w:lang w:eastAsia="zh-CN"/>
        </w:rPr>
        <w:t>化学品</w:t>
      </w:r>
      <w:r>
        <w:t>贮存污染控制标准》（GB18597-2001）</w:t>
      </w:r>
    </w:p>
    <w:p>
      <w:pPr>
        <w:spacing w:after="0"/>
        <w:jc w:val="center"/>
        <w:sectPr>
          <w:pgSz w:w="11910" w:h="16840"/>
          <w:pgMar w:top="1380" w:right="1480" w:bottom="1200" w:left="1580" w:header="882" w:footer="1004" w:gutter="0"/>
          <w:cols w:space="720" w:num="1"/>
        </w:sectPr>
      </w:pPr>
    </w:p>
    <w:p>
      <w:pPr>
        <w:pStyle w:val="7"/>
        <w:spacing w:before="56" w:line="362" w:lineRule="auto"/>
        <w:ind w:left="340" w:right="434"/>
      </w:pPr>
      <w:r>
        <w:rPr>
          <w:spacing w:val="-16"/>
        </w:rPr>
        <w:t>的有关要求，做好防腐防渗措施，以防止和降低渗滤液渗入地下污染地下水的环</w:t>
      </w:r>
      <w:r>
        <w:rPr>
          <w:spacing w:val="-7"/>
        </w:rPr>
        <w:t>境风险。</w:t>
      </w:r>
    </w:p>
    <w:p>
      <w:pPr>
        <w:pStyle w:val="7"/>
        <w:spacing w:before="34"/>
        <w:ind w:left="820"/>
      </w:pPr>
      <w:r>
        <w:t>1、分区防渗控制措施</w:t>
      </w:r>
    </w:p>
    <w:p>
      <w:pPr>
        <w:pStyle w:val="7"/>
        <w:spacing w:before="191" w:line="362" w:lineRule="auto"/>
        <w:ind w:left="340" w:right="434" w:firstLine="480"/>
      </w:pPr>
      <w:r>
        <w:rPr>
          <w:spacing w:val="-8"/>
        </w:rPr>
        <w:t>对厂区可能泄漏污染物的污染区地面进行防渗处理，并及时地将泄漏</w:t>
      </w:r>
      <w:r>
        <w:rPr>
          <w:spacing w:val="-3"/>
        </w:rPr>
        <w:t>/</w:t>
      </w:r>
      <w:r>
        <w:rPr>
          <w:spacing w:val="-4"/>
        </w:rPr>
        <w:t>渗漏</w:t>
      </w:r>
      <w:r>
        <w:rPr>
          <w:spacing w:val="-10"/>
        </w:rPr>
        <w:t>的污染物收集起来进行处理，有效防治洒落地面的污染物渗入地下。</w:t>
      </w:r>
    </w:p>
    <w:p>
      <w:pPr>
        <w:pStyle w:val="7"/>
        <w:spacing w:before="34" w:line="360" w:lineRule="auto"/>
        <w:ind w:left="340" w:right="432" w:firstLine="480"/>
        <w:jc w:val="both"/>
      </w:pPr>
      <w:r>
        <w:rPr>
          <w:spacing w:val="-17"/>
        </w:rPr>
        <w:t>重点防渗区：生产车间、原料库、污水输送管网、污水处理站、罐区、危废</w:t>
      </w:r>
      <w:r>
        <w:rPr>
          <w:spacing w:val="-13"/>
        </w:rPr>
        <w:t>暂存场为本项目地下水重点防渗区域，重点防渗区域地面采用水泥硬化，铺设环氧树脂涂层和玻璃钢防渗防腐防渗处理。通过上述措施可使重点污染区各单元防</w:t>
      </w:r>
      <w:r>
        <w:rPr>
          <w:spacing w:val="-10"/>
        </w:rPr>
        <w:t>渗层渗透系数≤</w:t>
      </w:r>
      <w:r>
        <w:rPr>
          <w:spacing w:val="-6"/>
        </w:rPr>
        <w:t>1.0×10</w:t>
      </w:r>
      <w:r>
        <w:rPr>
          <w:spacing w:val="-6"/>
          <w:position w:val="12"/>
          <w:sz w:val="12"/>
        </w:rPr>
        <w:t>-10</w:t>
      </w:r>
      <w:r>
        <w:rPr>
          <w:spacing w:val="-6"/>
        </w:rPr>
        <w:t>cm/s</w:t>
      </w:r>
      <w:r>
        <w:t>。</w:t>
      </w:r>
    </w:p>
    <w:p>
      <w:pPr>
        <w:pStyle w:val="7"/>
        <w:spacing w:before="42" w:line="362" w:lineRule="auto"/>
        <w:ind w:left="340" w:right="319" w:firstLine="480"/>
      </w:pPr>
      <w:r>
        <w:rPr>
          <w:spacing w:val="-22"/>
        </w:rPr>
        <w:t xml:space="preserve">一般防渗区：成品仓库、车间配电房、备料车间、控制配电间、空压站、等， </w:t>
      </w:r>
      <w:r>
        <w:rPr>
          <w:spacing w:val="-16"/>
        </w:rPr>
        <w:t xml:space="preserve">地面防渗性能应与 </w:t>
      </w:r>
      <w:r>
        <w:rPr>
          <w:spacing w:val="-3"/>
        </w:rPr>
        <w:t>1.5m</w:t>
      </w:r>
      <w:r>
        <w:rPr>
          <w:spacing w:val="-21"/>
        </w:rPr>
        <w:t xml:space="preserve"> 厚粘土层(渗透系数 </w:t>
      </w:r>
      <w:r>
        <w:rPr>
          <w:spacing w:val="-5"/>
        </w:rPr>
        <w:t>1.0×10</w:t>
      </w:r>
      <w:r>
        <w:rPr>
          <w:spacing w:val="-5"/>
          <w:position w:val="12"/>
          <w:sz w:val="12"/>
        </w:rPr>
        <w:t>-7</w:t>
      </w:r>
      <w:r>
        <w:rPr>
          <w:spacing w:val="-5"/>
        </w:rPr>
        <w:t>cm/s</w:t>
      </w:r>
      <w:r>
        <w:rPr>
          <w:spacing w:val="-9"/>
        </w:rPr>
        <w:t>)等效。同时，厂区建</w:t>
      </w:r>
      <w:r>
        <w:rPr>
          <w:spacing w:val="-10"/>
        </w:rPr>
        <w:t>设应符合《工业建筑防腐蚀设计规范》</w:t>
      </w:r>
      <w:r>
        <w:rPr>
          <w:spacing w:val="-5"/>
        </w:rPr>
        <w:t>（GB50046-2008）</w:t>
      </w:r>
      <w:r>
        <w:rPr>
          <w:spacing w:val="-9"/>
        </w:rPr>
        <w:t>等有关要求。</w:t>
      </w:r>
    </w:p>
    <w:p>
      <w:pPr>
        <w:pStyle w:val="7"/>
        <w:spacing w:before="32"/>
        <w:ind w:left="820"/>
      </w:pPr>
      <w:r>
        <w:t>简单防渗区：研发中心等地面均采取水泥硬化。同时，以上建筑建设应符合</w:t>
      </w:r>
    </w:p>
    <w:p>
      <w:pPr>
        <w:pStyle w:val="7"/>
        <w:spacing w:before="156" w:line="388" w:lineRule="auto"/>
        <w:ind w:left="820" w:right="2236" w:hanging="480"/>
      </w:pPr>
      <w:r>
        <w:rPr>
          <w:spacing w:val="-10"/>
        </w:rPr>
        <w:t>《工业建筑防腐蚀设计规范》</w:t>
      </w:r>
      <w:r>
        <w:rPr>
          <w:spacing w:val="-6"/>
        </w:rPr>
        <w:t>（GB50046-2008）</w:t>
      </w:r>
      <w:r>
        <w:rPr>
          <w:spacing w:val="-9"/>
        </w:rPr>
        <w:t>等有关要求。</w:t>
      </w:r>
      <w:r>
        <w:rPr>
          <w:spacing w:val="-10"/>
        </w:rPr>
        <w:t>其它采取的防渗漏措施主要有：</w:t>
      </w:r>
    </w:p>
    <w:p>
      <w:pPr>
        <w:pStyle w:val="7"/>
        <w:spacing w:before="2" w:line="362" w:lineRule="auto"/>
        <w:ind w:left="340" w:right="434" w:firstLine="480"/>
      </w:pPr>
      <w:r>
        <w:rPr>
          <w:spacing w:val="-7"/>
        </w:rPr>
        <w:t>（1）</w:t>
      </w:r>
      <w:r>
        <w:rPr>
          <w:spacing w:val="-8"/>
        </w:rPr>
        <w:t>选用优质设备和管件，并加强日常管理和维修维护工作，防止和减少</w:t>
      </w:r>
      <w:r>
        <w:rPr>
          <w:spacing w:val="-10"/>
        </w:rPr>
        <w:t>跑、冒、滴、漏现象的发生。</w:t>
      </w:r>
    </w:p>
    <w:p>
      <w:pPr>
        <w:pStyle w:val="19"/>
        <w:numPr>
          <w:ilvl w:val="0"/>
          <w:numId w:val="29"/>
        </w:numPr>
        <w:tabs>
          <w:tab w:val="left" w:pos="1412"/>
        </w:tabs>
        <w:spacing w:before="34" w:after="0" w:line="360" w:lineRule="auto"/>
        <w:ind w:left="340" w:right="434" w:firstLine="480"/>
        <w:jc w:val="left"/>
        <w:rPr>
          <w:sz w:val="24"/>
        </w:rPr>
      </w:pPr>
      <w:r>
        <w:rPr>
          <w:spacing w:val="-8"/>
          <w:sz w:val="24"/>
        </w:rPr>
        <w:t>对废水收集处理系统的收集池和沉淀池等采取防腐、防渗措施，防止</w:t>
      </w:r>
      <w:r>
        <w:rPr>
          <w:spacing w:val="-9"/>
          <w:sz w:val="24"/>
        </w:rPr>
        <w:t>渗水污染地下水。</w:t>
      </w:r>
    </w:p>
    <w:p>
      <w:pPr>
        <w:pStyle w:val="19"/>
        <w:numPr>
          <w:ilvl w:val="0"/>
          <w:numId w:val="29"/>
        </w:numPr>
        <w:tabs>
          <w:tab w:val="left" w:pos="1412"/>
        </w:tabs>
        <w:spacing w:before="37" w:after="0" w:line="362" w:lineRule="auto"/>
        <w:ind w:left="340" w:right="434" w:firstLine="480"/>
        <w:jc w:val="left"/>
        <w:rPr>
          <w:sz w:val="24"/>
        </w:rPr>
      </w:pPr>
      <w:r>
        <w:rPr>
          <w:spacing w:val="-8"/>
          <w:sz w:val="24"/>
        </w:rPr>
        <w:t>在厂区设置雨水、排水系统并做好相应的防渗措施。同时在厂区内严</w:t>
      </w:r>
      <w:r>
        <w:rPr>
          <w:spacing w:val="-10"/>
          <w:sz w:val="24"/>
        </w:rPr>
        <w:t>格管理，禁止进行分散的地面漫流冲洗。</w:t>
      </w:r>
    </w:p>
    <w:p>
      <w:pPr>
        <w:pStyle w:val="19"/>
        <w:numPr>
          <w:ilvl w:val="0"/>
          <w:numId w:val="29"/>
        </w:numPr>
        <w:tabs>
          <w:tab w:val="left" w:pos="1409"/>
        </w:tabs>
        <w:spacing w:before="34" w:after="0" w:line="240" w:lineRule="auto"/>
        <w:ind w:left="1409" w:right="0" w:hanging="589"/>
        <w:jc w:val="left"/>
        <w:rPr>
          <w:sz w:val="24"/>
        </w:rPr>
      </w:pPr>
      <w:r>
        <w:rPr>
          <w:spacing w:val="-10"/>
          <w:sz w:val="24"/>
        </w:rPr>
        <w:t>原料、物料、固废存放于库房和车间内，不露天堆放。</w:t>
      </w:r>
    </w:p>
    <w:p>
      <w:pPr>
        <w:pStyle w:val="7"/>
        <w:spacing w:before="2"/>
        <w:rPr>
          <w:sz w:val="18"/>
        </w:rPr>
      </w:pPr>
    </w:p>
    <w:p>
      <w:pPr>
        <w:pStyle w:val="5"/>
        <w:numPr>
          <w:ilvl w:val="1"/>
          <w:numId w:val="27"/>
        </w:numPr>
        <w:bidi w:val="0"/>
      </w:pPr>
      <w:bookmarkStart w:id="49" w:name="_bookmark11"/>
      <w:bookmarkEnd w:id="49"/>
      <w:bookmarkStart w:id="50" w:name="_bookmark11"/>
      <w:bookmarkEnd w:id="50"/>
      <w:bookmarkStart w:id="51" w:name="2.4 周边环境状况 "/>
      <w:bookmarkEnd w:id="51"/>
      <w:r>
        <w:t>周边环境状况</w:t>
      </w:r>
    </w:p>
    <w:p>
      <w:pPr>
        <w:pStyle w:val="7"/>
        <w:keepNext w:val="0"/>
        <w:keepLines w:val="0"/>
        <w:pageBreakBefore w:val="0"/>
        <w:widowControl w:val="0"/>
        <w:kinsoku/>
        <w:wordWrap/>
        <w:overflowPunct/>
        <w:topLinePunct w:val="0"/>
        <w:autoSpaceDE w:val="0"/>
        <w:autoSpaceDN w:val="0"/>
        <w:bidi w:val="0"/>
        <w:adjustRightInd/>
        <w:snapToGrid/>
        <w:spacing w:before="211" w:line="360" w:lineRule="auto"/>
        <w:ind w:right="549" w:firstLine="448" w:firstLineChars="200"/>
        <w:jc w:val="both"/>
        <w:textAlignment w:val="auto"/>
      </w:pPr>
      <w:r>
        <w:rPr>
          <w:spacing w:val="-8"/>
        </w:rPr>
        <w:t>据实地调查，本公司厂址位于江西省丰城市工业园区，厂区东面为飞龙管业有限公司；南面紧邻工业园区大道，道路对面为泰山石膏江西有限公司；西面为信和金属制品有限公司；北面为江西铭远传动设备有限公司。厂区周围无</w:t>
      </w:r>
      <w:r>
        <w:rPr>
          <w:spacing w:val="-10"/>
        </w:rPr>
        <w:t>文物古迹、珍稀植物等特殊敏感对象。</w:t>
      </w:r>
    </w:p>
    <w:p>
      <w:pPr>
        <w:pStyle w:val="7"/>
        <w:keepNext w:val="0"/>
        <w:keepLines w:val="0"/>
        <w:pageBreakBefore w:val="0"/>
        <w:widowControl w:val="0"/>
        <w:kinsoku/>
        <w:wordWrap/>
        <w:overflowPunct/>
        <w:topLinePunct w:val="0"/>
        <w:autoSpaceDE w:val="0"/>
        <w:autoSpaceDN w:val="0"/>
        <w:bidi w:val="0"/>
        <w:adjustRightInd/>
        <w:snapToGrid/>
        <w:spacing w:before="56" w:line="360" w:lineRule="auto"/>
        <w:ind w:right="8" w:firstLine="448" w:firstLineChars="200"/>
        <w:jc w:val="left"/>
        <w:textAlignment w:val="auto"/>
      </w:pPr>
      <w:r>
        <w:rPr>
          <w:spacing w:val="-8"/>
        </w:rPr>
        <w:t>厂区废水实行雨污分流，雨水经排水管排入园区下水管道后排放赣江。</w:t>
      </w:r>
      <w:r>
        <w:rPr>
          <w:color w:val="FF0000"/>
          <w:spacing w:val="-8"/>
        </w:rPr>
        <w:t>生</w:t>
      </w:r>
      <w:r>
        <w:rPr>
          <w:color w:val="FF0000"/>
          <w:spacing w:val="-14"/>
        </w:rPr>
        <w:t>产废水经污水处理系统处理后</w:t>
      </w:r>
      <w:r>
        <w:rPr>
          <w:rFonts w:hint="eastAsia"/>
          <w:color w:val="FF0000"/>
          <w:spacing w:val="-14"/>
          <w:lang w:val="en-US" w:eastAsia="zh-CN"/>
        </w:rPr>
        <w:t>回用，不外排</w:t>
      </w:r>
      <w:r>
        <w:rPr>
          <w:color w:val="FF0000"/>
          <w:spacing w:val="-14"/>
        </w:rPr>
        <w:t>。</w:t>
      </w:r>
      <w:r>
        <w:rPr>
          <w:color w:val="FF0000"/>
        </w:rPr>
        <w:t>周边环境敏感点分布见下表 2.4-</w:t>
      </w:r>
      <w:r>
        <w:t>1 所示。</w:t>
      </w:r>
    </w:p>
    <w:p>
      <w:pPr>
        <w:tabs>
          <w:tab w:val="left" w:pos="1003"/>
        </w:tabs>
        <w:spacing w:before="154" w:after="4"/>
        <w:ind w:left="0" w:right="89" w:firstLine="0"/>
        <w:jc w:val="center"/>
        <w:rPr>
          <w:b/>
          <w:sz w:val="21"/>
        </w:rPr>
      </w:pPr>
      <w:r>
        <w:rPr>
          <w:b/>
          <w:sz w:val="21"/>
        </w:rPr>
        <w:t>表</w:t>
      </w:r>
      <w:r>
        <w:rPr>
          <w:b/>
          <w:spacing w:val="-52"/>
          <w:sz w:val="21"/>
        </w:rPr>
        <w:t xml:space="preserve"> </w:t>
      </w:r>
      <w:r>
        <w:rPr>
          <w:b/>
          <w:sz w:val="21"/>
        </w:rPr>
        <w:t>2.4-1</w:t>
      </w:r>
      <w:r>
        <w:rPr>
          <w:b/>
          <w:sz w:val="21"/>
        </w:rPr>
        <w:tab/>
      </w:r>
      <w:r>
        <w:rPr>
          <w:b/>
          <w:sz w:val="21"/>
        </w:rPr>
        <w:t>周边环境现状表</w:t>
      </w:r>
    </w:p>
    <w:tbl>
      <w:tblPr>
        <w:tblStyle w:val="15"/>
        <w:tblW w:w="0" w:type="auto"/>
        <w:tblInd w:w="21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651"/>
        <w:gridCol w:w="1541"/>
        <w:gridCol w:w="1541"/>
        <w:gridCol w:w="1731"/>
        <w:gridCol w:w="184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2" w:hRule="atLeast"/>
        </w:trPr>
        <w:tc>
          <w:tcPr>
            <w:tcW w:w="1651" w:type="dxa"/>
            <w:tcBorders>
              <w:left w:val="nil"/>
              <w:bottom w:val="single" w:color="000000" w:sz="2" w:space="0"/>
              <w:right w:val="single" w:color="000000" w:sz="2" w:space="0"/>
            </w:tcBorders>
          </w:tcPr>
          <w:p>
            <w:pPr>
              <w:pStyle w:val="20"/>
              <w:spacing w:before="9"/>
              <w:rPr>
                <w:rFonts w:ascii="宋体"/>
                <w:b/>
                <w:sz w:val="28"/>
              </w:rPr>
            </w:pPr>
          </w:p>
          <w:p>
            <w:pPr>
              <w:pStyle w:val="20"/>
              <w:ind w:left="412" w:right="351"/>
              <w:jc w:val="center"/>
              <w:rPr>
                <w:rFonts w:hint="eastAsia" w:ascii="宋体" w:eastAsia="宋体"/>
                <w:b/>
                <w:sz w:val="21"/>
              </w:rPr>
            </w:pPr>
            <w:r>
              <w:rPr>
                <w:rFonts w:hint="eastAsia" w:ascii="宋体" w:eastAsia="宋体"/>
                <w:b/>
                <w:sz w:val="21"/>
              </w:rPr>
              <w:t>环境要素</w:t>
            </w:r>
          </w:p>
        </w:tc>
        <w:tc>
          <w:tcPr>
            <w:tcW w:w="1541" w:type="dxa"/>
            <w:tcBorders>
              <w:left w:val="single" w:color="000000" w:sz="2" w:space="0"/>
              <w:bottom w:val="single" w:color="000000" w:sz="2" w:space="0"/>
              <w:right w:val="single" w:color="000000" w:sz="2" w:space="0"/>
            </w:tcBorders>
          </w:tcPr>
          <w:p>
            <w:pPr>
              <w:pStyle w:val="20"/>
              <w:spacing w:before="7"/>
              <w:rPr>
                <w:rFonts w:ascii="宋体"/>
                <w:b/>
                <w:sz w:val="16"/>
              </w:rPr>
            </w:pPr>
          </w:p>
          <w:p>
            <w:pPr>
              <w:pStyle w:val="20"/>
              <w:spacing w:line="276" w:lineRule="auto"/>
              <w:ind w:left="587" w:right="103" w:hanging="420"/>
              <w:rPr>
                <w:rFonts w:hint="eastAsia" w:ascii="宋体" w:eastAsia="宋体"/>
                <w:b/>
                <w:sz w:val="21"/>
              </w:rPr>
            </w:pPr>
            <w:r>
              <w:rPr>
                <w:rFonts w:hint="eastAsia" w:ascii="宋体" w:eastAsia="宋体"/>
                <w:b/>
                <w:sz w:val="21"/>
              </w:rPr>
              <w:t>环境保护对象名称</w:t>
            </w:r>
          </w:p>
        </w:tc>
        <w:tc>
          <w:tcPr>
            <w:tcW w:w="1541" w:type="dxa"/>
            <w:tcBorders>
              <w:left w:val="single" w:color="000000" w:sz="2" w:space="0"/>
              <w:bottom w:val="single" w:color="000000" w:sz="2" w:space="0"/>
              <w:right w:val="single" w:color="000000" w:sz="2" w:space="0"/>
            </w:tcBorders>
          </w:tcPr>
          <w:p>
            <w:pPr>
              <w:pStyle w:val="20"/>
              <w:rPr>
                <w:rFonts w:ascii="宋体"/>
                <w:b/>
                <w:sz w:val="20"/>
              </w:rPr>
            </w:pPr>
          </w:p>
          <w:p>
            <w:pPr>
              <w:pStyle w:val="20"/>
              <w:spacing w:before="2"/>
              <w:rPr>
                <w:rFonts w:ascii="宋体"/>
                <w:b/>
                <w:sz w:val="26"/>
              </w:rPr>
            </w:pPr>
          </w:p>
          <w:p>
            <w:pPr>
              <w:pStyle w:val="20"/>
              <w:ind w:left="357" w:right="299"/>
              <w:jc w:val="center"/>
              <w:rPr>
                <w:rFonts w:hint="eastAsia" w:ascii="宋体" w:eastAsia="宋体"/>
                <w:b/>
                <w:sz w:val="21"/>
              </w:rPr>
            </w:pPr>
            <w:r>
              <w:rPr>
                <w:rFonts w:hint="eastAsia" w:ascii="宋体" w:eastAsia="宋体"/>
                <w:b/>
                <w:sz w:val="21"/>
              </w:rPr>
              <w:t>方位</w:t>
            </w:r>
          </w:p>
        </w:tc>
        <w:tc>
          <w:tcPr>
            <w:tcW w:w="1731" w:type="dxa"/>
            <w:tcBorders>
              <w:left w:val="single" w:color="000000" w:sz="2" w:space="0"/>
              <w:bottom w:val="single" w:color="000000" w:sz="2" w:space="0"/>
              <w:right w:val="single" w:color="000000" w:sz="2" w:space="0"/>
            </w:tcBorders>
          </w:tcPr>
          <w:p>
            <w:pPr>
              <w:pStyle w:val="20"/>
              <w:spacing w:before="142"/>
              <w:ind w:left="662" w:right="602"/>
              <w:jc w:val="center"/>
              <w:rPr>
                <w:rFonts w:hint="eastAsia" w:ascii="宋体" w:eastAsia="宋体"/>
                <w:b/>
                <w:sz w:val="21"/>
              </w:rPr>
            </w:pPr>
            <w:r>
              <w:rPr>
                <w:rFonts w:hint="eastAsia" w:ascii="宋体" w:eastAsia="宋体"/>
                <w:b/>
                <w:sz w:val="21"/>
              </w:rPr>
              <w:t>距离</w:t>
            </w:r>
          </w:p>
          <w:p>
            <w:pPr>
              <w:pStyle w:val="20"/>
              <w:rPr>
                <w:rFonts w:ascii="宋体"/>
                <w:b/>
                <w:sz w:val="14"/>
              </w:rPr>
            </w:pPr>
          </w:p>
          <w:p>
            <w:pPr>
              <w:pStyle w:val="20"/>
              <w:spacing w:before="1"/>
              <w:ind w:left="662" w:right="601"/>
              <w:jc w:val="center"/>
              <w:rPr>
                <w:rFonts w:ascii="宋体"/>
                <w:b/>
                <w:sz w:val="21"/>
              </w:rPr>
            </w:pPr>
            <w:r>
              <w:rPr>
                <w:rFonts w:ascii="宋体"/>
                <w:b/>
                <w:sz w:val="21"/>
              </w:rPr>
              <w:t>(m)</w:t>
            </w:r>
          </w:p>
        </w:tc>
        <w:tc>
          <w:tcPr>
            <w:tcW w:w="1842" w:type="dxa"/>
            <w:tcBorders>
              <w:left w:val="single" w:color="000000" w:sz="2" w:space="0"/>
              <w:bottom w:val="single" w:color="000000" w:sz="2" w:space="0"/>
              <w:right w:val="nil"/>
            </w:tcBorders>
          </w:tcPr>
          <w:p>
            <w:pPr>
              <w:pStyle w:val="20"/>
              <w:rPr>
                <w:rFonts w:ascii="宋体"/>
                <w:b/>
                <w:sz w:val="20"/>
              </w:rPr>
            </w:pPr>
          </w:p>
          <w:p>
            <w:pPr>
              <w:pStyle w:val="20"/>
              <w:spacing w:before="2"/>
              <w:rPr>
                <w:rFonts w:ascii="宋体"/>
                <w:b/>
                <w:sz w:val="26"/>
              </w:rPr>
            </w:pPr>
          </w:p>
          <w:p>
            <w:pPr>
              <w:pStyle w:val="20"/>
              <w:ind w:left="402" w:right="346"/>
              <w:jc w:val="center"/>
              <w:rPr>
                <w:rFonts w:hint="eastAsia" w:ascii="宋体" w:eastAsia="宋体"/>
                <w:b/>
                <w:sz w:val="21"/>
              </w:rPr>
            </w:pPr>
            <w:r>
              <w:rPr>
                <w:rFonts w:hint="eastAsia" w:ascii="宋体" w:eastAsia="宋体"/>
                <w:b/>
                <w:sz w:val="21"/>
              </w:rPr>
              <w:t>规模</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1651" w:type="dxa"/>
            <w:tcBorders>
              <w:top w:val="single" w:color="000000" w:sz="2" w:space="0"/>
              <w:left w:val="nil"/>
              <w:bottom w:val="single" w:color="000000" w:sz="2" w:space="0"/>
              <w:right w:val="single" w:color="000000" w:sz="2" w:space="0"/>
            </w:tcBorders>
          </w:tcPr>
          <w:p>
            <w:pPr>
              <w:pStyle w:val="20"/>
              <w:spacing w:before="140"/>
              <w:ind w:left="408" w:right="352"/>
              <w:jc w:val="center"/>
              <w:rPr>
                <w:rFonts w:hint="eastAsia" w:ascii="宋体" w:eastAsia="宋体"/>
                <w:sz w:val="21"/>
              </w:rPr>
            </w:pPr>
            <w:r>
              <w:rPr>
                <w:rFonts w:hint="eastAsia" w:ascii="宋体" w:eastAsia="宋体"/>
                <w:sz w:val="21"/>
              </w:rPr>
              <w:t>空气环境</w:t>
            </w:r>
          </w:p>
        </w:tc>
        <w:tc>
          <w:tcPr>
            <w:tcW w:w="1541" w:type="dxa"/>
            <w:tcBorders>
              <w:top w:val="single" w:color="000000" w:sz="2" w:space="0"/>
              <w:left w:val="single" w:color="000000" w:sz="2" w:space="0"/>
              <w:bottom w:val="single" w:color="000000" w:sz="2" w:space="0"/>
              <w:right w:val="single" w:color="000000" w:sz="2" w:space="0"/>
            </w:tcBorders>
          </w:tcPr>
          <w:p>
            <w:pPr>
              <w:pStyle w:val="20"/>
              <w:spacing w:before="140"/>
              <w:ind w:left="355" w:right="299"/>
              <w:jc w:val="center"/>
              <w:rPr>
                <w:rFonts w:hint="eastAsia" w:ascii="宋体" w:eastAsia="宋体"/>
                <w:sz w:val="21"/>
              </w:rPr>
            </w:pPr>
            <w:r>
              <w:rPr>
                <w:rFonts w:hint="eastAsia" w:ascii="宋体" w:eastAsia="宋体"/>
                <w:sz w:val="21"/>
              </w:rPr>
              <w:t>渔梓洲</w:t>
            </w:r>
          </w:p>
        </w:tc>
        <w:tc>
          <w:tcPr>
            <w:tcW w:w="1541" w:type="dxa"/>
            <w:tcBorders>
              <w:top w:val="single" w:color="000000" w:sz="2" w:space="0"/>
              <w:left w:val="single" w:color="000000" w:sz="2" w:space="0"/>
              <w:bottom w:val="single" w:color="000000" w:sz="2" w:space="0"/>
              <w:right w:val="single" w:color="000000" w:sz="2" w:space="0"/>
            </w:tcBorders>
          </w:tcPr>
          <w:p>
            <w:pPr>
              <w:pStyle w:val="20"/>
              <w:spacing w:before="140"/>
              <w:ind w:left="58"/>
              <w:jc w:val="center"/>
              <w:rPr>
                <w:rFonts w:hint="eastAsia" w:ascii="宋体" w:eastAsia="宋体"/>
                <w:sz w:val="21"/>
              </w:rPr>
            </w:pPr>
            <w:r>
              <w:rPr>
                <w:rFonts w:hint="eastAsia" w:ascii="宋体" w:eastAsia="宋体"/>
                <w:w w:val="99"/>
                <w:sz w:val="21"/>
              </w:rPr>
              <w:t>北</w:t>
            </w:r>
          </w:p>
        </w:tc>
        <w:tc>
          <w:tcPr>
            <w:tcW w:w="1731" w:type="dxa"/>
            <w:tcBorders>
              <w:top w:val="single" w:color="000000" w:sz="2" w:space="0"/>
              <w:left w:val="single" w:color="000000" w:sz="2" w:space="0"/>
              <w:bottom w:val="single" w:color="000000" w:sz="2" w:space="0"/>
              <w:right w:val="single" w:color="000000" w:sz="2" w:space="0"/>
            </w:tcBorders>
          </w:tcPr>
          <w:p>
            <w:pPr>
              <w:pStyle w:val="20"/>
              <w:spacing w:before="140"/>
              <w:ind w:left="662" w:right="601"/>
              <w:jc w:val="center"/>
              <w:rPr>
                <w:rFonts w:ascii="宋体"/>
                <w:sz w:val="21"/>
              </w:rPr>
            </w:pPr>
            <w:r>
              <w:rPr>
                <w:rFonts w:ascii="宋体"/>
                <w:sz w:val="21"/>
              </w:rPr>
              <w:t>1000</w:t>
            </w:r>
          </w:p>
        </w:tc>
        <w:tc>
          <w:tcPr>
            <w:tcW w:w="1842" w:type="dxa"/>
            <w:tcBorders>
              <w:top w:val="single" w:color="000000" w:sz="2" w:space="0"/>
              <w:left w:val="single" w:color="000000" w:sz="2" w:space="0"/>
              <w:bottom w:val="single" w:color="000000" w:sz="2" w:space="0"/>
              <w:right w:val="nil"/>
            </w:tcBorders>
          </w:tcPr>
          <w:p>
            <w:pPr>
              <w:pStyle w:val="20"/>
              <w:spacing w:before="140"/>
              <w:ind w:left="402" w:right="344"/>
              <w:jc w:val="center"/>
              <w:rPr>
                <w:rFonts w:hint="eastAsia" w:ascii="宋体" w:eastAsia="宋体"/>
                <w:sz w:val="21"/>
              </w:rPr>
            </w:pPr>
            <w:r>
              <w:rPr>
                <w:rFonts w:hint="eastAsia" w:ascii="宋体" w:eastAsia="宋体"/>
                <w:sz w:val="21"/>
              </w:rPr>
              <w:t>200 人</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1651" w:type="dxa"/>
            <w:tcBorders>
              <w:top w:val="single" w:color="000000" w:sz="2" w:space="0"/>
              <w:left w:val="nil"/>
              <w:bottom w:val="single" w:color="000000" w:sz="2" w:space="0"/>
              <w:right w:val="single" w:color="000000" w:sz="2" w:space="0"/>
            </w:tcBorders>
          </w:tcPr>
          <w:p>
            <w:pPr>
              <w:pStyle w:val="20"/>
              <w:spacing w:before="140"/>
              <w:ind w:left="411" w:right="352"/>
              <w:jc w:val="center"/>
              <w:rPr>
                <w:rFonts w:hint="eastAsia" w:ascii="宋体" w:eastAsia="宋体"/>
                <w:sz w:val="21"/>
              </w:rPr>
            </w:pPr>
            <w:r>
              <w:rPr>
                <w:rFonts w:hint="eastAsia" w:ascii="宋体" w:eastAsia="宋体"/>
                <w:sz w:val="21"/>
              </w:rPr>
              <w:t>水环境</w:t>
            </w:r>
          </w:p>
        </w:tc>
        <w:tc>
          <w:tcPr>
            <w:tcW w:w="1541" w:type="dxa"/>
            <w:tcBorders>
              <w:top w:val="single" w:color="000000" w:sz="2" w:space="0"/>
              <w:left w:val="single" w:color="000000" w:sz="2" w:space="0"/>
              <w:bottom w:val="single" w:color="000000" w:sz="2" w:space="0"/>
              <w:right w:val="single" w:color="000000" w:sz="2" w:space="0"/>
            </w:tcBorders>
          </w:tcPr>
          <w:p>
            <w:pPr>
              <w:pStyle w:val="20"/>
              <w:spacing w:before="140"/>
              <w:ind w:left="355" w:right="299"/>
              <w:jc w:val="center"/>
              <w:rPr>
                <w:rFonts w:hint="eastAsia" w:ascii="宋体" w:eastAsia="宋体"/>
                <w:sz w:val="21"/>
              </w:rPr>
            </w:pPr>
            <w:r>
              <w:rPr>
                <w:rFonts w:hint="eastAsia" w:ascii="宋体" w:eastAsia="宋体"/>
                <w:sz w:val="21"/>
              </w:rPr>
              <w:t>赣江</w:t>
            </w:r>
          </w:p>
        </w:tc>
        <w:tc>
          <w:tcPr>
            <w:tcW w:w="1541" w:type="dxa"/>
            <w:tcBorders>
              <w:top w:val="single" w:color="000000" w:sz="2" w:space="0"/>
              <w:left w:val="single" w:color="000000" w:sz="2" w:space="0"/>
              <w:bottom w:val="single" w:color="000000" w:sz="2" w:space="0"/>
              <w:right w:val="single" w:color="000000" w:sz="2" w:space="0"/>
            </w:tcBorders>
          </w:tcPr>
          <w:p>
            <w:pPr>
              <w:pStyle w:val="20"/>
              <w:spacing w:before="140"/>
              <w:ind w:left="58"/>
              <w:jc w:val="center"/>
              <w:rPr>
                <w:rFonts w:hint="eastAsia" w:ascii="宋体" w:eastAsia="宋体"/>
                <w:sz w:val="21"/>
              </w:rPr>
            </w:pPr>
            <w:r>
              <w:rPr>
                <w:rFonts w:hint="eastAsia" w:ascii="宋体" w:eastAsia="宋体"/>
                <w:w w:val="99"/>
                <w:sz w:val="21"/>
              </w:rPr>
              <w:t>南</w:t>
            </w:r>
          </w:p>
        </w:tc>
        <w:tc>
          <w:tcPr>
            <w:tcW w:w="1731" w:type="dxa"/>
            <w:tcBorders>
              <w:top w:val="single" w:color="000000" w:sz="2" w:space="0"/>
              <w:left w:val="single" w:color="000000" w:sz="2" w:space="0"/>
              <w:bottom w:val="single" w:color="000000" w:sz="2" w:space="0"/>
              <w:right w:val="single" w:color="000000" w:sz="2" w:space="0"/>
            </w:tcBorders>
          </w:tcPr>
          <w:p>
            <w:pPr>
              <w:pStyle w:val="20"/>
              <w:spacing w:before="140"/>
              <w:ind w:left="662" w:right="601"/>
              <w:jc w:val="center"/>
              <w:rPr>
                <w:rFonts w:ascii="宋体"/>
                <w:sz w:val="21"/>
              </w:rPr>
            </w:pPr>
            <w:r>
              <w:rPr>
                <w:rFonts w:ascii="宋体"/>
                <w:sz w:val="21"/>
              </w:rPr>
              <w:t>5000</w:t>
            </w:r>
          </w:p>
        </w:tc>
        <w:tc>
          <w:tcPr>
            <w:tcW w:w="1842" w:type="dxa"/>
            <w:tcBorders>
              <w:top w:val="single" w:color="000000" w:sz="2" w:space="0"/>
              <w:left w:val="single" w:color="000000" w:sz="2" w:space="0"/>
              <w:bottom w:val="single" w:color="000000" w:sz="2" w:space="0"/>
              <w:right w:val="nil"/>
            </w:tcBorders>
          </w:tcPr>
          <w:p>
            <w:pPr>
              <w:pStyle w:val="20"/>
              <w:spacing w:before="140"/>
              <w:ind w:left="399" w:right="346"/>
              <w:jc w:val="center"/>
              <w:rPr>
                <w:rFonts w:hint="eastAsia" w:ascii="宋体" w:eastAsia="宋体"/>
                <w:sz w:val="21"/>
              </w:rPr>
            </w:pPr>
            <w:r>
              <w:rPr>
                <w:rFonts w:hint="eastAsia" w:ascii="宋体" w:eastAsia="宋体"/>
                <w:sz w:val="21"/>
              </w:rPr>
              <w:t>大河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60" w:hRule="atLeast"/>
        </w:trPr>
        <w:tc>
          <w:tcPr>
            <w:tcW w:w="1651" w:type="dxa"/>
            <w:tcBorders>
              <w:top w:val="single" w:color="000000" w:sz="2" w:space="0"/>
              <w:left w:val="nil"/>
              <w:bottom w:val="single" w:color="000000" w:sz="2" w:space="0"/>
              <w:right w:val="single" w:color="000000" w:sz="2" w:space="0"/>
            </w:tcBorders>
          </w:tcPr>
          <w:p>
            <w:pPr>
              <w:pStyle w:val="20"/>
              <w:rPr>
                <w:rFonts w:ascii="Times New Roman"/>
                <w:sz w:val="20"/>
              </w:rPr>
            </w:pPr>
          </w:p>
        </w:tc>
        <w:tc>
          <w:tcPr>
            <w:tcW w:w="1541" w:type="dxa"/>
            <w:tcBorders>
              <w:top w:val="single" w:color="000000" w:sz="2" w:space="0"/>
              <w:left w:val="single" w:color="000000" w:sz="2" w:space="0"/>
              <w:bottom w:val="single" w:color="000000" w:sz="2" w:space="0"/>
              <w:right w:val="single" w:color="000000" w:sz="2" w:space="0"/>
            </w:tcBorders>
          </w:tcPr>
          <w:p>
            <w:pPr>
              <w:pStyle w:val="20"/>
              <w:spacing w:before="100" w:line="310" w:lineRule="atLeast"/>
              <w:ind w:left="378" w:right="108" w:hanging="212"/>
              <w:rPr>
                <w:rFonts w:hint="eastAsia" w:ascii="宋体" w:eastAsia="宋体"/>
                <w:sz w:val="21"/>
              </w:rPr>
            </w:pPr>
            <w:r>
              <w:rPr>
                <w:rFonts w:hint="eastAsia" w:ascii="宋体" w:eastAsia="宋体"/>
                <w:sz w:val="21"/>
              </w:rPr>
              <w:t>丰城市饮用水源取水口</w:t>
            </w:r>
          </w:p>
        </w:tc>
        <w:tc>
          <w:tcPr>
            <w:tcW w:w="1541" w:type="dxa"/>
            <w:tcBorders>
              <w:top w:val="single" w:color="000000" w:sz="2" w:space="0"/>
              <w:left w:val="single" w:color="000000" w:sz="2" w:space="0"/>
              <w:bottom w:val="single" w:color="000000" w:sz="2" w:space="0"/>
              <w:right w:val="single" w:color="000000" w:sz="2" w:space="0"/>
            </w:tcBorders>
          </w:tcPr>
          <w:p>
            <w:pPr>
              <w:pStyle w:val="20"/>
              <w:spacing w:before="2"/>
              <w:rPr>
                <w:rFonts w:ascii="宋体"/>
                <w:b/>
                <w:sz w:val="23"/>
              </w:rPr>
            </w:pPr>
          </w:p>
          <w:p>
            <w:pPr>
              <w:pStyle w:val="20"/>
              <w:ind w:left="58"/>
              <w:jc w:val="center"/>
              <w:rPr>
                <w:rFonts w:hint="eastAsia" w:ascii="宋体" w:eastAsia="宋体"/>
                <w:sz w:val="21"/>
              </w:rPr>
            </w:pPr>
            <w:r>
              <w:rPr>
                <w:rFonts w:hint="eastAsia" w:ascii="宋体" w:eastAsia="宋体"/>
                <w:w w:val="99"/>
                <w:sz w:val="21"/>
              </w:rPr>
              <w:t>南</w:t>
            </w:r>
          </w:p>
        </w:tc>
        <w:tc>
          <w:tcPr>
            <w:tcW w:w="1731" w:type="dxa"/>
            <w:tcBorders>
              <w:top w:val="single" w:color="000000" w:sz="2" w:space="0"/>
              <w:left w:val="single" w:color="000000" w:sz="2" w:space="0"/>
              <w:bottom w:val="single" w:color="000000" w:sz="2" w:space="0"/>
              <w:right w:val="single" w:color="000000" w:sz="2" w:space="0"/>
            </w:tcBorders>
          </w:tcPr>
          <w:p>
            <w:pPr>
              <w:pStyle w:val="20"/>
              <w:spacing w:before="2"/>
              <w:rPr>
                <w:rFonts w:ascii="宋体"/>
                <w:b/>
                <w:sz w:val="23"/>
              </w:rPr>
            </w:pPr>
          </w:p>
          <w:p>
            <w:pPr>
              <w:pStyle w:val="20"/>
              <w:ind w:left="662" w:right="601"/>
              <w:jc w:val="center"/>
              <w:rPr>
                <w:rFonts w:ascii="宋体"/>
                <w:sz w:val="21"/>
              </w:rPr>
            </w:pPr>
            <w:r>
              <w:rPr>
                <w:rFonts w:ascii="宋体"/>
                <w:sz w:val="21"/>
              </w:rPr>
              <w:t>7000</w:t>
            </w:r>
          </w:p>
        </w:tc>
        <w:tc>
          <w:tcPr>
            <w:tcW w:w="1842" w:type="dxa"/>
            <w:tcBorders>
              <w:top w:val="single" w:color="000000" w:sz="2" w:space="0"/>
              <w:left w:val="single" w:color="000000" w:sz="2" w:space="0"/>
              <w:bottom w:val="single" w:color="000000" w:sz="2" w:space="0"/>
              <w:right w:val="nil"/>
            </w:tcBorders>
          </w:tcPr>
          <w:p>
            <w:pPr>
              <w:pStyle w:val="20"/>
              <w:spacing w:before="2"/>
              <w:rPr>
                <w:rFonts w:ascii="宋体"/>
                <w:b/>
                <w:sz w:val="23"/>
              </w:rPr>
            </w:pPr>
          </w:p>
          <w:p>
            <w:pPr>
              <w:pStyle w:val="20"/>
              <w:ind w:left="402" w:right="346"/>
              <w:jc w:val="center"/>
              <w:rPr>
                <w:rFonts w:hint="eastAsia" w:ascii="宋体" w:eastAsia="宋体"/>
                <w:sz w:val="21"/>
              </w:rPr>
            </w:pPr>
            <w:r>
              <w:rPr>
                <w:rFonts w:hint="eastAsia" w:ascii="宋体" w:eastAsia="宋体"/>
                <w:sz w:val="21"/>
              </w:rPr>
              <w:t>约 32 万人</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1651" w:type="dxa"/>
            <w:tcBorders>
              <w:top w:val="single" w:color="000000" w:sz="2" w:space="0"/>
              <w:left w:val="nil"/>
              <w:right w:val="single" w:color="000000" w:sz="2" w:space="0"/>
            </w:tcBorders>
          </w:tcPr>
          <w:p>
            <w:pPr>
              <w:pStyle w:val="20"/>
              <w:spacing w:before="143"/>
              <w:ind w:left="411" w:right="352"/>
              <w:jc w:val="center"/>
              <w:rPr>
                <w:rFonts w:hint="eastAsia" w:ascii="宋体" w:eastAsia="宋体"/>
                <w:sz w:val="21"/>
              </w:rPr>
            </w:pPr>
            <w:r>
              <w:rPr>
                <w:rFonts w:hint="eastAsia" w:ascii="宋体" w:eastAsia="宋体"/>
                <w:sz w:val="21"/>
              </w:rPr>
              <w:t>声环境</w:t>
            </w:r>
          </w:p>
        </w:tc>
        <w:tc>
          <w:tcPr>
            <w:tcW w:w="1541" w:type="dxa"/>
            <w:tcBorders>
              <w:top w:val="single" w:color="000000" w:sz="2" w:space="0"/>
              <w:left w:val="single" w:color="000000" w:sz="2" w:space="0"/>
              <w:right w:val="single" w:color="000000" w:sz="2" w:space="0"/>
            </w:tcBorders>
          </w:tcPr>
          <w:p>
            <w:pPr>
              <w:pStyle w:val="20"/>
              <w:rPr>
                <w:rFonts w:ascii="Times New Roman"/>
                <w:sz w:val="20"/>
              </w:rPr>
            </w:pPr>
          </w:p>
        </w:tc>
        <w:tc>
          <w:tcPr>
            <w:tcW w:w="1541" w:type="dxa"/>
            <w:tcBorders>
              <w:top w:val="single" w:color="000000" w:sz="2" w:space="0"/>
              <w:left w:val="single" w:color="000000" w:sz="2" w:space="0"/>
              <w:right w:val="single" w:color="000000" w:sz="2" w:space="0"/>
            </w:tcBorders>
          </w:tcPr>
          <w:p>
            <w:pPr>
              <w:pStyle w:val="20"/>
              <w:spacing w:before="143"/>
              <w:ind w:left="357" w:right="299"/>
              <w:jc w:val="center"/>
              <w:rPr>
                <w:rFonts w:hint="eastAsia" w:ascii="宋体" w:eastAsia="宋体"/>
                <w:sz w:val="21"/>
              </w:rPr>
            </w:pPr>
            <w:r>
              <w:rPr>
                <w:rFonts w:hint="eastAsia" w:ascii="宋体" w:eastAsia="宋体"/>
                <w:sz w:val="21"/>
              </w:rPr>
              <w:t>厂界四周</w:t>
            </w:r>
          </w:p>
        </w:tc>
        <w:tc>
          <w:tcPr>
            <w:tcW w:w="1731" w:type="dxa"/>
            <w:tcBorders>
              <w:top w:val="single" w:color="000000" w:sz="2" w:space="0"/>
              <w:left w:val="single" w:color="000000" w:sz="2" w:space="0"/>
              <w:right w:val="single" w:color="000000" w:sz="2" w:space="0"/>
            </w:tcBorders>
          </w:tcPr>
          <w:p>
            <w:pPr>
              <w:pStyle w:val="20"/>
              <w:spacing w:before="143"/>
              <w:ind w:left="662" w:right="601"/>
              <w:jc w:val="center"/>
              <w:rPr>
                <w:rFonts w:ascii="宋体"/>
                <w:sz w:val="21"/>
              </w:rPr>
            </w:pPr>
            <w:r>
              <w:rPr>
                <w:rFonts w:ascii="宋体"/>
                <w:sz w:val="21"/>
              </w:rPr>
              <w:t>200</w:t>
            </w:r>
          </w:p>
        </w:tc>
        <w:tc>
          <w:tcPr>
            <w:tcW w:w="1842" w:type="dxa"/>
            <w:tcBorders>
              <w:top w:val="single" w:color="000000" w:sz="2" w:space="0"/>
              <w:left w:val="single" w:color="000000" w:sz="2" w:space="0"/>
              <w:right w:val="nil"/>
            </w:tcBorders>
          </w:tcPr>
          <w:p>
            <w:pPr>
              <w:pStyle w:val="20"/>
              <w:rPr>
                <w:rFonts w:ascii="Times New Roman"/>
                <w:sz w:val="20"/>
              </w:rPr>
            </w:pPr>
          </w:p>
        </w:tc>
      </w:tr>
    </w:tbl>
    <w:p>
      <w:pPr>
        <w:spacing w:after="0"/>
        <w:rPr>
          <w:rFonts w:ascii="Times New Roman"/>
          <w:sz w:val="20"/>
        </w:rPr>
        <w:sectPr>
          <w:footerReference r:id="rId9" w:type="default"/>
          <w:pgSz w:w="11910" w:h="16840"/>
          <w:pgMar w:top="1380" w:right="1480" w:bottom="1200" w:left="1580" w:header="882" w:footer="1004" w:gutter="0"/>
          <w:cols w:space="720" w:num="1"/>
        </w:sectPr>
      </w:pPr>
    </w:p>
    <w:p>
      <w:pPr>
        <w:pStyle w:val="7"/>
        <w:rPr>
          <w:b/>
          <w:sz w:val="20"/>
        </w:rPr>
      </w:pPr>
    </w:p>
    <w:p>
      <w:pPr>
        <w:pStyle w:val="7"/>
        <w:spacing w:before="12"/>
        <w:rPr>
          <w:b/>
          <w:sz w:val="18"/>
        </w:rPr>
      </w:pPr>
    </w:p>
    <w:p>
      <w:pPr>
        <w:pStyle w:val="7"/>
        <w:ind w:left="1540"/>
        <w:rPr>
          <w:sz w:val="20"/>
        </w:rPr>
      </w:pPr>
      <w:r>
        <w:rPr>
          <w:sz w:val="20"/>
        </w:rPr>
        <mc:AlternateContent>
          <mc:Choice Requires="wpg">
            <w:drawing>
              <wp:inline distT="0" distB="0" distL="114300" distR="114300">
                <wp:extent cx="5382895" cy="3942715"/>
                <wp:effectExtent l="0" t="0" r="8255" b="635"/>
                <wp:docPr id="10" name="组合 4"/>
                <wp:cNvGraphicFramePr/>
                <a:graphic xmlns:a="http://schemas.openxmlformats.org/drawingml/2006/main">
                  <a:graphicData uri="http://schemas.microsoft.com/office/word/2010/wordprocessingGroup">
                    <wpg:wgp>
                      <wpg:cNvGrpSpPr/>
                      <wpg:grpSpPr>
                        <a:xfrm>
                          <a:off x="0" y="0"/>
                          <a:ext cx="5382895" cy="3942715"/>
                          <a:chOff x="0" y="0"/>
                          <a:chExt cx="8477" cy="6209"/>
                        </a:xfrm>
                      </wpg:grpSpPr>
                      <pic:pic xmlns:pic="http://schemas.openxmlformats.org/drawingml/2006/picture">
                        <pic:nvPicPr>
                          <pic:cNvPr id="6" name="图片 5"/>
                          <pic:cNvPicPr>
                            <a:picLocks noChangeAspect="1"/>
                          </pic:cNvPicPr>
                        </pic:nvPicPr>
                        <pic:blipFill>
                          <a:blip r:embed="rId36"/>
                          <a:stretch>
                            <a:fillRect/>
                          </a:stretch>
                        </pic:blipFill>
                        <pic:spPr>
                          <a:xfrm>
                            <a:off x="0" y="0"/>
                            <a:ext cx="8477" cy="6209"/>
                          </a:xfrm>
                          <a:prstGeom prst="rect">
                            <a:avLst/>
                          </a:prstGeom>
                          <a:noFill/>
                          <a:ln>
                            <a:noFill/>
                          </a:ln>
                        </pic:spPr>
                      </pic:pic>
                      <wps:wsp>
                        <wps:cNvPr id="8" name="文本框 6"/>
                        <wps:cNvSpPr txBox="1"/>
                        <wps:spPr>
                          <a:xfrm>
                            <a:off x="1881" y="1969"/>
                            <a:ext cx="3632" cy="240"/>
                          </a:xfrm>
                          <a:prstGeom prst="rect">
                            <a:avLst/>
                          </a:prstGeom>
                          <a:noFill/>
                          <a:ln>
                            <a:noFill/>
                          </a:ln>
                        </wps:spPr>
                        <wps:txbx>
                          <w:txbxContent>
                            <w:p>
                              <w:pPr>
                                <w:spacing w:before="0" w:line="240" w:lineRule="exact"/>
                                <w:ind w:left="0" w:right="0" w:firstLine="0"/>
                                <w:jc w:val="left"/>
                                <w:rPr>
                                  <w:b/>
                                  <w:sz w:val="24"/>
                                </w:rPr>
                              </w:pPr>
                              <w:r>
                                <w:rPr>
                                  <w:b/>
                                  <w:color w:val="FF0000"/>
                                  <w:sz w:val="24"/>
                                </w:rPr>
                                <w:t>江西景新漆业股份有限公司所在地</w:t>
                              </w:r>
                            </w:p>
                          </w:txbxContent>
                        </wps:txbx>
                        <wps:bodyPr lIns="0" tIns="0" rIns="0" bIns="0" upright="1"/>
                      </wps:wsp>
                    </wpg:wgp>
                  </a:graphicData>
                </a:graphic>
              </wp:inline>
            </w:drawing>
          </mc:Choice>
          <mc:Fallback>
            <w:pict>
              <v:group id="组合 4" o:spid="_x0000_s1026" o:spt="203" style="height:310.45pt;width:423.85pt;" coordsize="8477,6209" o:gfxdata="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">
                <o:lock v:ext="edit" aspectratio="f"/>
                <v:shape id="图片 5" o:spid="_x0000_s1026" o:spt="75" type="#_x0000_t75" style="position:absolute;left:0;top:0;height:6209;width:8477;" filled="f" o:preferrelative="t" stroked="f" coordsize="21600,21600" o:gfxdata="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qOb7gAAADaAAAA&#10;DwAAAAAAAAABACAAAAAiAAAAZHJzL2Rvd25yZXYueG1sUEsBAhQAFAAAAAgAh07iQDMvBZ47AAAA&#10;OQAAABAAAAAAAAAAAQAgAAAABwEAAGRycy9zaGFwZXhtbC54bWxQSwUGAAAAAAYABgBbAQAAsQMA&#10;AAAA&#10;">
                  <v:fill on="f" focussize="0,0"/>
                  <v:stroke on="f"/>
                  <v:imagedata r:id="rId36" o:title=""/>
                  <o:lock v:ext="edit" aspectratio="t"/>
                </v:shape>
                <v:shape id="文本框 6" o:spid="_x0000_s1026" o:spt="202" type="#_x0000_t202" style="position:absolute;left:1881;top:1969;height:240;width:3632;"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pacing w:before="0" w:line="240" w:lineRule="exact"/>
                          <w:ind w:left="0" w:right="0" w:firstLine="0"/>
                          <w:jc w:val="left"/>
                          <w:rPr>
                            <w:b/>
                            <w:sz w:val="24"/>
                          </w:rPr>
                        </w:pPr>
                        <w:r>
                          <w:rPr>
                            <w:b/>
                            <w:color w:val="FF0000"/>
                            <w:sz w:val="24"/>
                          </w:rPr>
                          <w:t>江西景新漆业股份有限公司所在地</w:t>
                        </w:r>
                      </w:p>
                    </w:txbxContent>
                  </v:textbox>
                </v:shape>
                <w10:wrap type="none"/>
                <w10:anchorlock/>
              </v:group>
            </w:pict>
          </mc:Fallback>
        </mc:AlternateContent>
      </w:r>
    </w:p>
    <w:p>
      <w:pPr>
        <w:tabs>
          <w:tab w:val="left" w:pos="1003"/>
        </w:tabs>
        <w:spacing w:before="136"/>
        <w:ind w:left="0" w:right="166" w:firstLine="0"/>
        <w:jc w:val="center"/>
        <w:rPr>
          <w:b/>
          <w:sz w:val="21"/>
        </w:rPr>
      </w:pPr>
      <w:r>
        <w:rPr>
          <w:b/>
          <w:sz w:val="21"/>
        </w:rPr>
        <w:t>图</w:t>
      </w:r>
      <w:r>
        <w:rPr>
          <w:b/>
          <w:spacing w:val="-55"/>
          <w:sz w:val="21"/>
        </w:rPr>
        <w:t xml:space="preserve"> </w:t>
      </w:r>
      <w:r>
        <w:rPr>
          <w:b/>
          <w:sz w:val="21"/>
        </w:rPr>
        <w:t>2.4-1</w:t>
      </w:r>
      <w:r>
        <w:rPr>
          <w:b/>
          <w:sz w:val="21"/>
        </w:rPr>
        <w:tab/>
      </w:r>
      <w:r>
        <w:rPr>
          <w:b/>
          <w:sz w:val="21"/>
        </w:rPr>
        <w:t>公司周围环境敏感目标分布图</w:t>
      </w:r>
    </w:p>
    <w:p>
      <w:pPr>
        <w:spacing w:after="0"/>
        <w:jc w:val="center"/>
        <w:rPr>
          <w:sz w:val="21"/>
        </w:rPr>
        <w:sectPr>
          <w:pgSz w:w="11900" w:h="16840"/>
          <w:pgMar w:top="1420" w:right="80" w:bottom="1200" w:left="260" w:header="882" w:footer="1004" w:gutter="0"/>
          <w:cols w:space="720" w:num="1"/>
        </w:sectPr>
      </w:pPr>
    </w:p>
    <w:p>
      <w:pPr>
        <w:pStyle w:val="4"/>
        <w:tabs>
          <w:tab w:val="left" w:pos="1679"/>
        </w:tabs>
      </w:pPr>
      <w:r>
        <w:t>第三章</w:t>
      </w:r>
      <w:r>
        <w:tab/>
      </w:r>
      <w:bookmarkStart w:id="52" w:name="第三章环境风险源及环境风险评价"/>
      <w:bookmarkEnd w:id="52"/>
      <w:bookmarkStart w:id="53" w:name="_bookmark12"/>
      <w:bookmarkEnd w:id="53"/>
      <w:r>
        <w:t>环境风险源及环境风险评价</w:t>
      </w:r>
    </w:p>
    <w:p>
      <w:pPr>
        <w:pStyle w:val="7"/>
        <w:spacing w:before="1"/>
        <w:rPr>
          <w:sz w:val="34"/>
        </w:rPr>
      </w:pPr>
    </w:p>
    <w:p>
      <w:pPr>
        <w:pStyle w:val="5"/>
        <w:numPr>
          <w:ilvl w:val="1"/>
          <w:numId w:val="30"/>
        </w:numPr>
        <w:bidi w:val="0"/>
      </w:pPr>
      <w:bookmarkStart w:id="54" w:name="3.1 主要环境风险源识别"/>
      <w:bookmarkEnd w:id="54"/>
      <w:bookmarkStart w:id="55" w:name="_bookmark13"/>
      <w:bookmarkEnd w:id="55"/>
      <w:bookmarkStart w:id="56" w:name="_bookmark13"/>
      <w:bookmarkEnd w:id="56"/>
      <w:r>
        <w:t>主要环境风险源识别</w:t>
      </w:r>
    </w:p>
    <w:p>
      <w:pPr>
        <w:pStyle w:val="19"/>
        <w:numPr>
          <w:ilvl w:val="2"/>
          <w:numId w:val="30"/>
        </w:numPr>
        <w:tabs>
          <w:tab w:val="left" w:pos="2505"/>
        </w:tabs>
        <w:spacing w:before="115" w:after="0" w:line="240" w:lineRule="auto"/>
        <w:ind w:left="2504" w:right="0" w:hanging="965"/>
        <w:jc w:val="left"/>
        <w:rPr>
          <w:b/>
          <w:sz w:val="32"/>
        </w:rPr>
      </w:pPr>
      <w:r>
        <w:rPr>
          <w:b/>
          <w:sz w:val="32"/>
        </w:rPr>
        <w:t>风险物质识别</w:t>
      </w:r>
    </w:p>
    <w:p>
      <w:pPr>
        <w:pStyle w:val="7"/>
        <w:spacing w:before="275" w:line="494" w:lineRule="auto"/>
        <w:ind w:left="1540" w:right="1721" w:firstLine="566"/>
        <w:jc w:val="both"/>
      </w:pPr>
      <w:r>
        <w:t>根据《建设项目环境风险评价技术导则》中对于物质危险性的释义，对于</w:t>
      </w:r>
      <w:r>
        <w:rPr>
          <w:spacing w:val="-6"/>
        </w:rPr>
        <w:t>公司使用中的化学品主要分为剧毒危险性物质、一般毒性危险性物质、可燃易燃</w:t>
      </w:r>
      <w:r>
        <w:rPr>
          <w:spacing w:val="-11"/>
        </w:rPr>
        <w:t>危险性物质、爆炸危险性物质四类，对于物质危险性判定的结果将作为评价工作</w:t>
      </w:r>
      <w:r>
        <w:t>等级划分的主要依据。</w:t>
      </w:r>
    </w:p>
    <w:p>
      <w:pPr>
        <w:pStyle w:val="7"/>
        <w:spacing w:before="3" w:line="494" w:lineRule="auto"/>
        <w:ind w:left="1540" w:right="1721" w:firstLine="566"/>
        <w:jc w:val="both"/>
      </w:pPr>
      <w:r>
        <w:rPr>
          <w:spacing w:val="-7"/>
        </w:rPr>
        <w:t>根据《建设项目环境风险评价技术导则》第</w:t>
      </w:r>
      <w:r>
        <w:t>4.4.2</w:t>
      </w:r>
      <w:r>
        <w:rPr>
          <w:spacing w:val="-6"/>
        </w:rPr>
        <w:t>条的要求，可在初步工程</w:t>
      </w:r>
      <w:r>
        <w:t>分析的基础上，选取在生产、加工、运输、使用或贮存中涉及的1-3</w:t>
      </w:r>
      <w:r>
        <w:rPr>
          <w:spacing w:val="-3"/>
        </w:rPr>
        <w:t>个主要化学</w:t>
      </w:r>
      <w:r>
        <w:t>品作为判定的对象。</w:t>
      </w:r>
    </w:p>
    <w:p>
      <w:pPr>
        <w:pStyle w:val="7"/>
        <w:spacing w:before="5" w:line="494" w:lineRule="auto"/>
        <w:ind w:left="1540" w:right="1721" w:firstLine="566"/>
      </w:pPr>
      <w:r>
        <w:t>根据公司中所涉及的化学品的危险特性及使用、储存量并结合工程分析的结果，其判定依据见表3.1-1。</w:t>
      </w:r>
    </w:p>
    <w:p>
      <w:pPr>
        <w:pStyle w:val="7"/>
        <w:spacing w:before="4"/>
        <w:rPr>
          <w:sz w:val="26"/>
        </w:rPr>
      </w:pPr>
    </w:p>
    <w:p>
      <w:pPr>
        <w:spacing w:before="0"/>
        <w:ind w:left="397" w:right="2" w:firstLine="0"/>
        <w:jc w:val="center"/>
        <w:rPr>
          <w:b/>
          <w:sz w:val="21"/>
        </w:rPr>
      </w:pPr>
      <w:r>
        <w:rPr>
          <w:b/>
          <w:sz w:val="21"/>
        </w:rPr>
        <w:t>表3.1-1 物质危险性判定表</w:t>
      </w:r>
    </w:p>
    <w:p>
      <w:pPr>
        <w:pStyle w:val="7"/>
        <w:rPr>
          <w:b/>
          <w:sz w:val="6"/>
        </w:rPr>
      </w:pPr>
    </w:p>
    <w:tbl>
      <w:tblPr>
        <w:tblStyle w:val="15"/>
        <w:tblW w:w="0" w:type="auto"/>
        <w:tblInd w:w="110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460"/>
        <w:gridCol w:w="1122"/>
        <w:gridCol w:w="2128"/>
        <w:gridCol w:w="2267"/>
        <w:gridCol w:w="222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6" w:hRule="atLeast"/>
        </w:trPr>
        <w:tc>
          <w:tcPr>
            <w:tcW w:w="1460" w:type="dxa"/>
            <w:tcBorders>
              <w:bottom w:val="single" w:color="000000" w:sz="2" w:space="0"/>
              <w:right w:val="single" w:color="000000" w:sz="2" w:space="0"/>
            </w:tcBorders>
          </w:tcPr>
          <w:p>
            <w:pPr>
              <w:pStyle w:val="20"/>
              <w:spacing w:before="5"/>
              <w:rPr>
                <w:rFonts w:ascii="宋体"/>
                <w:b/>
                <w:sz w:val="22"/>
              </w:rPr>
            </w:pPr>
          </w:p>
          <w:p>
            <w:pPr>
              <w:pStyle w:val="20"/>
              <w:ind w:left="184" w:right="168"/>
              <w:jc w:val="center"/>
              <w:rPr>
                <w:rFonts w:hint="eastAsia" w:ascii="宋体" w:eastAsia="宋体"/>
                <w:sz w:val="21"/>
              </w:rPr>
            </w:pPr>
            <w:r>
              <w:rPr>
                <w:rFonts w:hint="eastAsia" w:ascii="宋体" w:eastAsia="宋体"/>
                <w:sz w:val="21"/>
              </w:rPr>
              <w:t>物质类别</w:t>
            </w:r>
          </w:p>
        </w:tc>
        <w:tc>
          <w:tcPr>
            <w:tcW w:w="1122" w:type="dxa"/>
            <w:tcBorders>
              <w:left w:val="single" w:color="000000" w:sz="2" w:space="0"/>
              <w:bottom w:val="single" w:color="000000" w:sz="2" w:space="0"/>
              <w:right w:val="single" w:color="000000" w:sz="2" w:space="0"/>
            </w:tcBorders>
          </w:tcPr>
          <w:p>
            <w:pPr>
              <w:pStyle w:val="20"/>
              <w:spacing w:before="5"/>
              <w:rPr>
                <w:rFonts w:ascii="宋体"/>
                <w:b/>
                <w:sz w:val="22"/>
              </w:rPr>
            </w:pPr>
          </w:p>
          <w:p>
            <w:pPr>
              <w:pStyle w:val="20"/>
              <w:ind w:left="341" w:right="315"/>
              <w:jc w:val="center"/>
              <w:rPr>
                <w:rFonts w:hint="eastAsia" w:ascii="宋体" w:eastAsia="宋体"/>
                <w:sz w:val="21"/>
              </w:rPr>
            </w:pPr>
            <w:r>
              <w:rPr>
                <w:rFonts w:hint="eastAsia" w:ascii="宋体" w:eastAsia="宋体"/>
                <w:sz w:val="21"/>
              </w:rPr>
              <w:t>等级</w:t>
            </w:r>
          </w:p>
        </w:tc>
        <w:tc>
          <w:tcPr>
            <w:tcW w:w="2128" w:type="dxa"/>
            <w:tcBorders>
              <w:left w:val="single" w:color="000000" w:sz="2" w:space="0"/>
              <w:bottom w:val="single" w:color="000000" w:sz="2" w:space="0"/>
              <w:right w:val="single" w:color="000000" w:sz="2" w:space="0"/>
            </w:tcBorders>
          </w:tcPr>
          <w:p>
            <w:pPr>
              <w:pStyle w:val="20"/>
              <w:spacing w:before="75"/>
              <w:ind w:left="215" w:right="187"/>
              <w:jc w:val="center"/>
              <w:rPr>
                <w:rFonts w:hint="eastAsia" w:ascii="宋体" w:eastAsia="宋体"/>
                <w:sz w:val="21"/>
              </w:rPr>
            </w:pPr>
            <w:r>
              <w:rPr>
                <w:rFonts w:hint="eastAsia" w:ascii="宋体" w:eastAsia="宋体"/>
                <w:sz w:val="21"/>
              </w:rPr>
              <w:t>LD50（大鼠经口）</w:t>
            </w:r>
          </w:p>
          <w:p>
            <w:pPr>
              <w:pStyle w:val="20"/>
              <w:spacing w:before="156"/>
              <w:ind w:left="214" w:right="187"/>
              <w:jc w:val="center"/>
              <w:rPr>
                <w:rFonts w:ascii="宋体"/>
                <w:sz w:val="21"/>
              </w:rPr>
            </w:pPr>
            <w:r>
              <w:rPr>
                <w:rFonts w:ascii="宋体"/>
                <w:sz w:val="21"/>
              </w:rPr>
              <w:t>mg/kg</w:t>
            </w:r>
          </w:p>
        </w:tc>
        <w:tc>
          <w:tcPr>
            <w:tcW w:w="2267" w:type="dxa"/>
            <w:tcBorders>
              <w:left w:val="single" w:color="000000" w:sz="2" w:space="0"/>
              <w:bottom w:val="single" w:color="000000" w:sz="2" w:space="0"/>
              <w:right w:val="single" w:color="000000" w:sz="2" w:space="0"/>
            </w:tcBorders>
          </w:tcPr>
          <w:p>
            <w:pPr>
              <w:pStyle w:val="20"/>
              <w:spacing w:before="5"/>
              <w:rPr>
                <w:rFonts w:ascii="宋体"/>
                <w:b/>
                <w:sz w:val="22"/>
              </w:rPr>
            </w:pPr>
          </w:p>
          <w:p>
            <w:pPr>
              <w:pStyle w:val="20"/>
              <w:ind w:left="29"/>
              <w:jc w:val="center"/>
              <w:rPr>
                <w:rFonts w:hint="eastAsia" w:ascii="宋体" w:eastAsia="宋体"/>
                <w:sz w:val="21"/>
              </w:rPr>
            </w:pPr>
            <w:r>
              <w:rPr>
                <w:rFonts w:hint="eastAsia" w:ascii="宋体" w:eastAsia="宋体"/>
                <w:sz w:val="21"/>
              </w:rPr>
              <w:t>LD50（大鼠经皮）mg/kg</w:t>
            </w:r>
          </w:p>
        </w:tc>
        <w:tc>
          <w:tcPr>
            <w:tcW w:w="2229" w:type="dxa"/>
            <w:tcBorders>
              <w:left w:val="single" w:color="000000" w:sz="2" w:space="0"/>
              <w:bottom w:val="single" w:color="000000" w:sz="2" w:space="0"/>
            </w:tcBorders>
          </w:tcPr>
          <w:p>
            <w:pPr>
              <w:pStyle w:val="20"/>
              <w:spacing w:before="75"/>
              <w:ind w:left="56" w:right="14"/>
              <w:jc w:val="center"/>
              <w:rPr>
                <w:rFonts w:hint="eastAsia" w:ascii="宋体" w:eastAsia="宋体"/>
                <w:sz w:val="21"/>
              </w:rPr>
            </w:pPr>
            <w:r>
              <w:rPr>
                <w:rFonts w:hint="eastAsia" w:ascii="宋体" w:eastAsia="宋体"/>
                <w:sz w:val="21"/>
              </w:rPr>
              <w:t>LC50（小鼠吸入，4 小</w:t>
            </w:r>
          </w:p>
          <w:p>
            <w:pPr>
              <w:pStyle w:val="20"/>
              <w:spacing w:before="156"/>
              <w:ind w:left="54" w:right="14"/>
              <w:jc w:val="center"/>
              <w:rPr>
                <w:rFonts w:hint="eastAsia" w:ascii="宋体" w:eastAsia="宋体"/>
                <w:sz w:val="21"/>
              </w:rPr>
            </w:pPr>
            <w:r>
              <w:rPr>
                <w:rFonts w:hint="eastAsia" w:ascii="宋体" w:eastAsia="宋体"/>
                <w:sz w:val="21"/>
              </w:rPr>
              <w:t>时）mg/L</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2" w:hRule="atLeast"/>
        </w:trPr>
        <w:tc>
          <w:tcPr>
            <w:tcW w:w="1460" w:type="dxa"/>
            <w:vMerge w:val="restart"/>
            <w:tcBorders>
              <w:top w:val="single" w:color="000000" w:sz="2" w:space="0"/>
              <w:bottom w:val="single" w:color="000000" w:sz="2" w:space="0"/>
              <w:right w:val="single" w:color="000000" w:sz="2" w:space="0"/>
            </w:tcBorders>
          </w:tcPr>
          <w:p>
            <w:pPr>
              <w:pStyle w:val="20"/>
              <w:rPr>
                <w:rFonts w:ascii="宋体"/>
                <w:b/>
                <w:sz w:val="20"/>
              </w:rPr>
            </w:pPr>
          </w:p>
          <w:p>
            <w:pPr>
              <w:pStyle w:val="20"/>
              <w:spacing w:before="3"/>
              <w:rPr>
                <w:rFonts w:ascii="宋体"/>
                <w:b/>
                <w:sz w:val="19"/>
              </w:rPr>
            </w:pPr>
          </w:p>
          <w:p>
            <w:pPr>
              <w:pStyle w:val="20"/>
              <w:ind w:left="310"/>
              <w:rPr>
                <w:rFonts w:hint="eastAsia" w:ascii="宋体" w:eastAsia="宋体"/>
                <w:sz w:val="21"/>
              </w:rPr>
            </w:pPr>
            <w:r>
              <w:rPr>
                <w:rFonts w:hint="eastAsia" w:ascii="宋体" w:eastAsia="宋体"/>
                <w:sz w:val="21"/>
              </w:rPr>
              <w:t>有毒物质</w:t>
            </w:r>
          </w:p>
        </w:tc>
        <w:tc>
          <w:tcPr>
            <w:tcW w:w="1122" w:type="dxa"/>
            <w:tcBorders>
              <w:top w:val="single" w:color="000000" w:sz="2" w:space="0"/>
              <w:left w:val="single" w:color="000000" w:sz="2" w:space="0"/>
              <w:bottom w:val="single" w:color="000000" w:sz="2" w:space="0"/>
              <w:right w:val="single" w:color="000000" w:sz="2" w:space="0"/>
            </w:tcBorders>
          </w:tcPr>
          <w:p>
            <w:pPr>
              <w:pStyle w:val="20"/>
              <w:spacing w:before="76"/>
              <w:ind w:left="25"/>
              <w:jc w:val="center"/>
              <w:rPr>
                <w:rFonts w:ascii="宋体"/>
                <w:sz w:val="21"/>
              </w:rPr>
            </w:pPr>
            <w:r>
              <w:rPr>
                <w:rFonts w:ascii="宋体"/>
                <w:w w:val="99"/>
                <w:sz w:val="21"/>
              </w:rPr>
              <w:t>1</w:t>
            </w:r>
          </w:p>
        </w:tc>
        <w:tc>
          <w:tcPr>
            <w:tcW w:w="2128" w:type="dxa"/>
            <w:tcBorders>
              <w:top w:val="single" w:color="000000" w:sz="2" w:space="0"/>
              <w:left w:val="single" w:color="000000" w:sz="2" w:space="0"/>
              <w:bottom w:val="single" w:color="000000" w:sz="2" w:space="0"/>
              <w:right w:val="single" w:color="000000" w:sz="2" w:space="0"/>
            </w:tcBorders>
          </w:tcPr>
          <w:p>
            <w:pPr>
              <w:pStyle w:val="20"/>
              <w:spacing w:before="76"/>
              <w:ind w:left="215" w:right="186"/>
              <w:jc w:val="center"/>
              <w:rPr>
                <w:rFonts w:ascii="宋体"/>
                <w:sz w:val="21"/>
              </w:rPr>
            </w:pPr>
            <w:r>
              <w:rPr>
                <w:rFonts w:ascii="宋体"/>
                <w:sz w:val="21"/>
              </w:rPr>
              <w:t>&lt;5</w:t>
            </w:r>
          </w:p>
        </w:tc>
        <w:tc>
          <w:tcPr>
            <w:tcW w:w="2267" w:type="dxa"/>
            <w:tcBorders>
              <w:top w:val="single" w:color="000000" w:sz="2" w:space="0"/>
              <w:left w:val="single" w:color="000000" w:sz="2" w:space="0"/>
              <w:bottom w:val="single" w:color="000000" w:sz="2" w:space="0"/>
              <w:right w:val="single" w:color="000000" w:sz="2" w:space="0"/>
            </w:tcBorders>
          </w:tcPr>
          <w:p>
            <w:pPr>
              <w:pStyle w:val="20"/>
              <w:spacing w:before="76"/>
              <w:ind w:left="26"/>
              <w:jc w:val="center"/>
              <w:rPr>
                <w:rFonts w:ascii="宋体"/>
                <w:sz w:val="21"/>
              </w:rPr>
            </w:pPr>
            <w:r>
              <w:rPr>
                <w:rFonts w:ascii="宋体"/>
                <w:sz w:val="21"/>
              </w:rPr>
              <w:t>&lt;1</w:t>
            </w:r>
          </w:p>
        </w:tc>
        <w:tc>
          <w:tcPr>
            <w:tcW w:w="2229" w:type="dxa"/>
            <w:tcBorders>
              <w:top w:val="single" w:color="000000" w:sz="2" w:space="0"/>
              <w:left w:val="single" w:color="000000" w:sz="2" w:space="0"/>
              <w:bottom w:val="single" w:color="000000" w:sz="2" w:space="0"/>
            </w:tcBorders>
          </w:tcPr>
          <w:p>
            <w:pPr>
              <w:pStyle w:val="20"/>
              <w:spacing w:before="76"/>
              <w:ind w:left="52" w:right="14"/>
              <w:jc w:val="center"/>
              <w:rPr>
                <w:rFonts w:ascii="宋体"/>
                <w:sz w:val="21"/>
              </w:rPr>
            </w:pPr>
            <w:r>
              <w:rPr>
                <w:rFonts w:ascii="宋体"/>
                <w:sz w:val="21"/>
              </w:rPr>
              <w:t>&lt;0.01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3" w:hRule="atLeast"/>
        </w:trPr>
        <w:tc>
          <w:tcPr>
            <w:tcW w:w="1460" w:type="dxa"/>
            <w:vMerge w:val="continue"/>
            <w:tcBorders>
              <w:top w:val="nil"/>
              <w:bottom w:val="single" w:color="000000" w:sz="2" w:space="0"/>
              <w:right w:val="single" w:color="000000" w:sz="2" w:space="0"/>
            </w:tcBorders>
          </w:tcPr>
          <w:p>
            <w:pPr>
              <w:rPr>
                <w:sz w:val="2"/>
                <w:szCs w:val="2"/>
              </w:rPr>
            </w:pPr>
          </w:p>
        </w:tc>
        <w:tc>
          <w:tcPr>
            <w:tcW w:w="1122" w:type="dxa"/>
            <w:tcBorders>
              <w:top w:val="single" w:color="000000" w:sz="2" w:space="0"/>
              <w:left w:val="single" w:color="000000" w:sz="2" w:space="0"/>
              <w:bottom w:val="single" w:color="000000" w:sz="2" w:space="0"/>
              <w:right w:val="single" w:color="000000" w:sz="2" w:space="0"/>
            </w:tcBorders>
          </w:tcPr>
          <w:p>
            <w:pPr>
              <w:pStyle w:val="20"/>
              <w:spacing w:before="75"/>
              <w:ind w:left="25"/>
              <w:jc w:val="center"/>
              <w:rPr>
                <w:rFonts w:ascii="宋体"/>
                <w:sz w:val="21"/>
              </w:rPr>
            </w:pPr>
            <w:r>
              <w:rPr>
                <w:rFonts w:ascii="宋体"/>
                <w:w w:val="99"/>
                <w:sz w:val="21"/>
              </w:rPr>
              <w:t>2</w:t>
            </w:r>
          </w:p>
        </w:tc>
        <w:tc>
          <w:tcPr>
            <w:tcW w:w="2128" w:type="dxa"/>
            <w:tcBorders>
              <w:top w:val="single" w:color="000000" w:sz="2" w:space="0"/>
              <w:left w:val="single" w:color="000000" w:sz="2" w:space="0"/>
              <w:bottom w:val="single" w:color="000000" w:sz="2" w:space="0"/>
              <w:right w:val="single" w:color="000000" w:sz="2" w:space="0"/>
            </w:tcBorders>
          </w:tcPr>
          <w:p>
            <w:pPr>
              <w:pStyle w:val="20"/>
              <w:spacing w:before="75"/>
              <w:ind w:left="211" w:right="187"/>
              <w:jc w:val="center"/>
              <w:rPr>
                <w:rFonts w:ascii="宋体"/>
                <w:sz w:val="21"/>
              </w:rPr>
            </w:pPr>
            <w:r>
              <w:rPr>
                <w:rFonts w:ascii="宋体"/>
                <w:sz w:val="21"/>
              </w:rPr>
              <w:t>5&lt;LD50&lt;25</w:t>
            </w:r>
          </w:p>
        </w:tc>
        <w:tc>
          <w:tcPr>
            <w:tcW w:w="2267" w:type="dxa"/>
            <w:tcBorders>
              <w:top w:val="single" w:color="000000" w:sz="2" w:space="0"/>
              <w:left w:val="single" w:color="000000" w:sz="2" w:space="0"/>
              <w:bottom w:val="single" w:color="000000" w:sz="2" w:space="0"/>
              <w:right w:val="single" w:color="000000" w:sz="2" w:space="0"/>
            </w:tcBorders>
          </w:tcPr>
          <w:p>
            <w:pPr>
              <w:pStyle w:val="20"/>
              <w:spacing w:before="75"/>
              <w:ind w:left="26"/>
              <w:jc w:val="center"/>
              <w:rPr>
                <w:rFonts w:ascii="宋体"/>
                <w:sz w:val="21"/>
              </w:rPr>
            </w:pPr>
            <w:r>
              <w:rPr>
                <w:rFonts w:ascii="宋体"/>
                <w:sz w:val="21"/>
              </w:rPr>
              <w:t>10&lt;LD50&lt;50</w:t>
            </w:r>
          </w:p>
        </w:tc>
        <w:tc>
          <w:tcPr>
            <w:tcW w:w="2229" w:type="dxa"/>
            <w:tcBorders>
              <w:top w:val="single" w:color="000000" w:sz="2" w:space="0"/>
              <w:left w:val="single" w:color="000000" w:sz="2" w:space="0"/>
              <w:bottom w:val="single" w:color="000000" w:sz="2" w:space="0"/>
            </w:tcBorders>
          </w:tcPr>
          <w:p>
            <w:pPr>
              <w:pStyle w:val="20"/>
              <w:spacing w:before="75"/>
              <w:ind w:left="54" w:right="14"/>
              <w:jc w:val="center"/>
              <w:rPr>
                <w:rFonts w:ascii="宋体"/>
                <w:sz w:val="21"/>
              </w:rPr>
            </w:pPr>
            <w:r>
              <w:rPr>
                <w:rFonts w:ascii="宋体"/>
                <w:sz w:val="21"/>
              </w:rPr>
              <w:t>0.1&lt;LC50&lt;0.5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2" w:hRule="atLeast"/>
        </w:trPr>
        <w:tc>
          <w:tcPr>
            <w:tcW w:w="1460" w:type="dxa"/>
            <w:vMerge w:val="continue"/>
            <w:tcBorders>
              <w:top w:val="nil"/>
              <w:bottom w:val="single" w:color="000000" w:sz="2" w:space="0"/>
              <w:right w:val="single" w:color="000000" w:sz="2" w:space="0"/>
            </w:tcBorders>
          </w:tcPr>
          <w:p>
            <w:pPr>
              <w:rPr>
                <w:sz w:val="2"/>
                <w:szCs w:val="2"/>
              </w:rPr>
            </w:pPr>
          </w:p>
        </w:tc>
        <w:tc>
          <w:tcPr>
            <w:tcW w:w="1122" w:type="dxa"/>
            <w:tcBorders>
              <w:top w:val="single" w:color="000000" w:sz="2" w:space="0"/>
              <w:left w:val="single" w:color="000000" w:sz="2" w:space="0"/>
              <w:bottom w:val="single" w:color="000000" w:sz="2" w:space="0"/>
              <w:right w:val="single" w:color="000000" w:sz="2" w:space="0"/>
            </w:tcBorders>
          </w:tcPr>
          <w:p>
            <w:pPr>
              <w:pStyle w:val="20"/>
              <w:spacing w:before="77"/>
              <w:ind w:left="25"/>
              <w:jc w:val="center"/>
              <w:rPr>
                <w:rFonts w:ascii="宋体"/>
                <w:sz w:val="21"/>
              </w:rPr>
            </w:pPr>
            <w:r>
              <w:rPr>
                <w:rFonts w:ascii="宋体"/>
                <w:w w:val="99"/>
                <w:sz w:val="21"/>
              </w:rPr>
              <w:t>3</w:t>
            </w:r>
          </w:p>
        </w:tc>
        <w:tc>
          <w:tcPr>
            <w:tcW w:w="2128" w:type="dxa"/>
            <w:tcBorders>
              <w:top w:val="single" w:color="000000" w:sz="2" w:space="0"/>
              <w:left w:val="single" w:color="000000" w:sz="2" w:space="0"/>
              <w:bottom w:val="single" w:color="000000" w:sz="2" w:space="0"/>
              <w:right w:val="single" w:color="000000" w:sz="2" w:space="0"/>
            </w:tcBorders>
          </w:tcPr>
          <w:p>
            <w:pPr>
              <w:pStyle w:val="20"/>
              <w:spacing w:before="77"/>
              <w:ind w:left="215" w:right="186"/>
              <w:jc w:val="center"/>
              <w:rPr>
                <w:rFonts w:ascii="宋体"/>
                <w:sz w:val="21"/>
              </w:rPr>
            </w:pPr>
            <w:r>
              <w:rPr>
                <w:rFonts w:ascii="宋体"/>
                <w:sz w:val="21"/>
              </w:rPr>
              <w:t>25&lt;LD50&lt;200</w:t>
            </w:r>
          </w:p>
        </w:tc>
        <w:tc>
          <w:tcPr>
            <w:tcW w:w="2267" w:type="dxa"/>
            <w:tcBorders>
              <w:top w:val="single" w:color="000000" w:sz="2" w:space="0"/>
              <w:left w:val="single" w:color="000000" w:sz="2" w:space="0"/>
              <w:bottom w:val="single" w:color="000000" w:sz="2" w:space="0"/>
              <w:right w:val="single" w:color="000000" w:sz="2" w:space="0"/>
            </w:tcBorders>
          </w:tcPr>
          <w:p>
            <w:pPr>
              <w:pStyle w:val="20"/>
              <w:spacing w:before="77"/>
              <w:ind w:left="31"/>
              <w:jc w:val="center"/>
              <w:rPr>
                <w:rFonts w:ascii="宋体"/>
                <w:sz w:val="21"/>
              </w:rPr>
            </w:pPr>
            <w:r>
              <w:rPr>
                <w:rFonts w:ascii="宋体"/>
                <w:sz w:val="21"/>
              </w:rPr>
              <w:t>50&lt;LD50&lt;400</w:t>
            </w:r>
          </w:p>
        </w:tc>
        <w:tc>
          <w:tcPr>
            <w:tcW w:w="2229" w:type="dxa"/>
            <w:tcBorders>
              <w:top w:val="single" w:color="000000" w:sz="2" w:space="0"/>
              <w:left w:val="single" w:color="000000" w:sz="2" w:space="0"/>
              <w:bottom w:val="single" w:color="000000" w:sz="2" w:space="0"/>
            </w:tcBorders>
          </w:tcPr>
          <w:p>
            <w:pPr>
              <w:pStyle w:val="20"/>
              <w:spacing w:before="77"/>
              <w:ind w:left="54" w:right="14"/>
              <w:jc w:val="center"/>
              <w:rPr>
                <w:rFonts w:ascii="宋体"/>
                <w:sz w:val="21"/>
              </w:rPr>
            </w:pPr>
            <w:r>
              <w:rPr>
                <w:rFonts w:ascii="宋体"/>
                <w:sz w:val="21"/>
              </w:rPr>
              <w:t>0.5&lt;LC50&lt;2</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5" w:hRule="atLeast"/>
        </w:trPr>
        <w:tc>
          <w:tcPr>
            <w:tcW w:w="1460" w:type="dxa"/>
            <w:vMerge w:val="restart"/>
            <w:tcBorders>
              <w:top w:val="single" w:color="000000" w:sz="2" w:space="0"/>
              <w:bottom w:val="single" w:color="000000" w:sz="2" w:space="0"/>
              <w:right w:val="single" w:color="000000" w:sz="2" w:space="0"/>
            </w:tcBorders>
          </w:tcPr>
          <w:p>
            <w:pPr>
              <w:pStyle w:val="20"/>
              <w:rPr>
                <w:rFonts w:ascii="宋体"/>
                <w:b/>
                <w:sz w:val="20"/>
              </w:rPr>
            </w:pPr>
          </w:p>
          <w:p>
            <w:pPr>
              <w:pStyle w:val="20"/>
              <w:rPr>
                <w:rFonts w:ascii="宋体"/>
                <w:b/>
                <w:sz w:val="20"/>
              </w:rPr>
            </w:pPr>
          </w:p>
          <w:p>
            <w:pPr>
              <w:pStyle w:val="20"/>
              <w:rPr>
                <w:rFonts w:ascii="宋体"/>
                <w:b/>
                <w:sz w:val="20"/>
              </w:rPr>
            </w:pPr>
          </w:p>
          <w:p>
            <w:pPr>
              <w:pStyle w:val="20"/>
              <w:spacing w:before="157"/>
              <w:ind w:left="310"/>
              <w:rPr>
                <w:rFonts w:hint="eastAsia" w:ascii="宋体" w:eastAsia="宋体"/>
                <w:sz w:val="21"/>
              </w:rPr>
            </w:pPr>
            <w:r>
              <w:rPr>
                <w:rFonts w:hint="eastAsia" w:ascii="宋体" w:eastAsia="宋体"/>
                <w:sz w:val="21"/>
              </w:rPr>
              <w:t>易燃物质</w:t>
            </w:r>
          </w:p>
        </w:tc>
        <w:tc>
          <w:tcPr>
            <w:tcW w:w="1122" w:type="dxa"/>
            <w:tcBorders>
              <w:top w:val="single" w:color="000000" w:sz="2" w:space="0"/>
              <w:left w:val="single" w:color="000000" w:sz="2" w:space="0"/>
              <w:bottom w:val="single" w:color="000000" w:sz="2" w:space="0"/>
              <w:right w:val="single" w:color="000000" w:sz="2" w:space="0"/>
            </w:tcBorders>
          </w:tcPr>
          <w:p>
            <w:pPr>
              <w:pStyle w:val="20"/>
              <w:spacing w:before="5"/>
              <w:rPr>
                <w:rFonts w:ascii="宋体"/>
                <w:b/>
                <w:sz w:val="22"/>
              </w:rPr>
            </w:pPr>
          </w:p>
          <w:p>
            <w:pPr>
              <w:pStyle w:val="20"/>
              <w:ind w:left="25"/>
              <w:jc w:val="center"/>
              <w:rPr>
                <w:rFonts w:ascii="宋体"/>
                <w:sz w:val="21"/>
              </w:rPr>
            </w:pPr>
            <w:r>
              <w:rPr>
                <w:rFonts w:ascii="宋体"/>
                <w:w w:val="99"/>
                <w:sz w:val="21"/>
              </w:rPr>
              <w:t>1</w:t>
            </w:r>
          </w:p>
        </w:tc>
        <w:tc>
          <w:tcPr>
            <w:tcW w:w="6624" w:type="dxa"/>
            <w:gridSpan w:val="3"/>
            <w:tcBorders>
              <w:top w:val="single" w:color="000000" w:sz="2" w:space="0"/>
              <w:left w:val="single" w:color="000000" w:sz="2" w:space="0"/>
              <w:bottom w:val="single" w:color="000000" w:sz="2" w:space="0"/>
            </w:tcBorders>
          </w:tcPr>
          <w:p>
            <w:pPr>
              <w:pStyle w:val="20"/>
              <w:spacing w:before="76"/>
              <w:ind w:left="44" w:right="7"/>
              <w:jc w:val="center"/>
              <w:rPr>
                <w:rFonts w:hint="eastAsia" w:ascii="宋体" w:eastAsia="宋体"/>
                <w:sz w:val="21"/>
              </w:rPr>
            </w:pPr>
            <w:r>
              <w:rPr>
                <w:rFonts w:hint="eastAsia" w:ascii="宋体" w:eastAsia="宋体"/>
                <w:sz w:val="21"/>
              </w:rPr>
              <w:t>可燃气体-在常压下一气体存在并与空气混合形成可燃混合物；其沸点</w:t>
            </w:r>
          </w:p>
          <w:p>
            <w:pPr>
              <w:pStyle w:val="20"/>
              <w:spacing w:before="153"/>
              <w:ind w:left="49" w:right="7"/>
              <w:jc w:val="center"/>
              <w:rPr>
                <w:rFonts w:hint="eastAsia" w:ascii="宋体" w:eastAsia="宋体"/>
                <w:sz w:val="21"/>
              </w:rPr>
            </w:pPr>
            <w:r>
              <w:rPr>
                <w:rFonts w:hint="eastAsia" w:ascii="宋体" w:eastAsia="宋体"/>
                <w:sz w:val="21"/>
              </w:rPr>
              <w:t>（常压下）是 20 或者 20 以下的物质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2" w:hRule="atLeast"/>
        </w:trPr>
        <w:tc>
          <w:tcPr>
            <w:tcW w:w="1460" w:type="dxa"/>
            <w:vMerge w:val="continue"/>
            <w:tcBorders>
              <w:top w:val="nil"/>
              <w:bottom w:val="single" w:color="000000" w:sz="2" w:space="0"/>
              <w:right w:val="single" w:color="000000" w:sz="2" w:space="0"/>
            </w:tcBorders>
          </w:tcPr>
          <w:p>
            <w:pPr>
              <w:rPr>
                <w:sz w:val="2"/>
                <w:szCs w:val="2"/>
              </w:rPr>
            </w:pPr>
          </w:p>
        </w:tc>
        <w:tc>
          <w:tcPr>
            <w:tcW w:w="1122" w:type="dxa"/>
            <w:tcBorders>
              <w:top w:val="single" w:color="000000" w:sz="2" w:space="0"/>
              <w:left w:val="single" w:color="000000" w:sz="2" w:space="0"/>
              <w:bottom w:val="single" w:color="000000" w:sz="2" w:space="0"/>
              <w:right w:val="single" w:color="000000" w:sz="2" w:space="0"/>
            </w:tcBorders>
          </w:tcPr>
          <w:p>
            <w:pPr>
              <w:pStyle w:val="20"/>
              <w:spacing w:before="75"/>
              <w:ind w:left="25"/>
              <w:jc w:val="center"/>
              <w:rPr>
                <w:rFonts w:ascii="宋体"/>
                <w:sz w:val="21"/>
              </w:rPr>
            </w:pPr>
            <w:r>
              <w:rPr>
                <w:rFonts w:ascii="宋体"/>
                <w:w w:val="99"/>
                <w:sz w:val="21"/>
              </w:rPr>
              <w:t>2</w:t>
            </w:r>
          </w:p>
        </w:tc>
        <w:tc>
          <w:tcPr>
            <w:tcW w:w="6624" w:type="dxa"/>
            <w:gridSpan w:val="3"/>
            <w:tcBorders>
              <w:top w:val="single" w:color="000000" w:sz="2" w:space="0"/>
              <w:left w:val="single" w:color="000000" w:sz="2" w:space="0"/>
              <w:bottom w:val="single" w:color="000000" w:sz="2" w:space="0"/>
            </w:tcBorders>
          </w:tcPr>
          <w:p>
            <w:pPr>
              <w:pStyle w:val="20"/>
              <w:spacing w:before="75"/>
              <w:ind w:left="47" w:right="7"/>
              <w:jc w:val="center"/>
              <w:rPr>
                <w:rFonts w:hint="eastAsia" w:ascii="宋体" w:eastAsia="宋体"/>
                <w:sz w:val="21"/>
              </w:rPr>
            </w:pPr>
            <w:r>
              <w:rPr>
                <w:rFonts w:hint="eastAsia" w:ascii="宋体" w:eastAsia="宋体"/>
                <w:sz w:val="21"/>
              </w:rPr>
              <w:t>易燃液体-闪点低于 21，沸点高于 20 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6" w:hRule="atLeast"/>
        </w:trPr>
        <w:tc>
          <w:tcPr>
            <w:tcW w:w="1460" w:type="dxa"/>
            <w:vMerge w:val="continue"/>
            <w:tcBorders>
              <w:top w:val="nil"/>
              <w:bottom w:val="single" w:color="000000" w:sz="2" w:space="0"/>
              <w:right w:val="single" w:color="000000" w:sz="2" w:space="0"/>
            </w:tcBorders>
          </w:tcPr>
          <w:p>
            <w:pPr>
              <w:rPr>
                <w:sz w:val="2"/>
                <w:szCs w:val="2"/>
              </w:rPr>
            </w:pPr>
          </w:p>
        </w:tc>
        <w:tc>
          <w:tcPr>
            <w:tcW w:w="1122" w:type="dxa"/>
            <w:tcBorders>
              <w:top w:val="single" w:color="000000" w:sz="2" w:space="0"/>
              <w:left w:val="single" w:color="000000" w:sz="2" w:space="0"/>
              <w:bottom w:val="single" w:color="000000" w:sz="2" w:space="0"/>
              <w:right w:val="single" w:color="000000" w:sz="2" w:space="0"/>
            </w:tcBorders>
          </w:tcPr>
          <w:p>
            <w:pPr>
              <w:pStyle w:val="20"/>
              <w:spacing w:before="5"/>
              <w:rPr>
                <w:rFonts w:ascii="宋体"/>
                <w:b/>
                <w:sz w:val="22"/>
              </w:rPr>
            </w:pPr>
          </w:p>
          <w:p>
            <w:pPr>
              <w:pStyle w:val="20"/>
              <w:spacing w:before="1"/>
              <w:ind w:left="25"/>
              <w:jc w:val="center"/>
              <w:rPr>
                <w:rFonts w:ascii="宋体"/>
                <w:sz w:val="21"/>
              </w:rPr>
            </w:pPr>
            <w:r>
              <w:rPr>
                <w:rFonts w:ascii="宋体"/>
                <w:w w:val="99"/>
                <w:sz w:val="21"/>
              </w:rPr>
              <w:t>3</w:t>
            </w:r>
          </w:p>
        </w:tc>
        <w:tc>
          <w:tcPr>
            <w:tcW w:w="6624" w:type="dxa"/>
            <w:gridSpan w:val="3"/>
            <w:tcBorders>
              <w:top w:val="single" w:color="000000" w:sz="2" w:space="0"/>
              <w:left w:val="single" w:color="000000" w:sz="2" w:space="0"/>
              <w:bottom w:val="single" w:color="000000" w:sz="2" w:space="0"/>
            </w:tcBorders>
          </w:tcPr>
          <w:p>
            <w:pPr>
              <w:pStyle w:val="20"/>
              <w:spacing w:before="76"/>
              <w:ind w:left="49" w:right="7"/>
              <w:jc w:val="center"/>
              <w:rPr>
                <w:rFonts w:hint="eastAsia" w:ascii="宋体" w:eastAsia="宋体"/>
                <w:sz w:val="21"/>
              </w:rPr>
            </w:pPr>
            <w:r>
              <w:rPr>
                <w:rFonts w:hint="eastAsia" w:ascii="宋体" w:eastAsia="宋体"/>
                <w:sz w:val="21"/>
              </w:rPr>
              <w:t>可燃液体-闪点低于 55，压力下保持液体，在事件操作条件下（如高温</w:t>
            </w:r>
          </w:p>
          <w:p>
            <w:pPr>
              <w:pStyle w:val="20"/>
              <w:spacing w:before="154"/>
              <w:ind w:left="44" w:right="7"/>
              <w:jc w:val="center"/>
              <w:rPr>
                <w:rFonts w:hint="eastAsia" w:ascii="宋体" w:eastAsia="宋体"/>
                <w:sz w:val="21"/>
              </w:rPr>
            </w:pPr>
            <w:r>
              <w:rPr>
                <w:rFonts w:hint="eastAsia" w:ascii="宋体" w:eastAsia="宋体"/>
                <w:sz w:val="21"/>
              </w:rPr>
              <w:t>高压)可以引起重大事故的物质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2" w:hRule="atLeast"/>
        </w:trPr>
        <w:tc>
          <w:tcPr>
            <w:tcW w:w="1460" w:type="dxa"/>
            <w:tcBorders>
              <w:top w:val="single" w:color="000000" w:sz="2" w:space="0"/>
              <w:right w:val="single" w:color="000000" w:sz="2" w:space="0"/>
            </w:tcBorders>
          </w:tcPr>
          <w:p>
            <w:pPr>
              <w:pStyle w:val="20"/>
              <w:spacing w:before="75"/>
              <w:ind w:left="184" w:right="168"/>
              <w:jc w:val="center"/>
              <w:rPr>
                <w:rFonts w:hint="eastAsia" w:ascii="宋体" w:eastAsia="宋体"/>
                <w:sz w:val="21"/>
              </w:rPr>
            </w:pPr>
            <w:r>
              <w:rPr>
                <w:rFonts w:hint="eastAsia" w:ascii="宋体" w:eastAsia="宋体"/>
                <w:sz w:val="21"/>
              </w:rPr>
              <w:t>爆炸性物质</w:t>
            </w:r>
          </w:p>
        </w:tc>
        <w:tc>
          <w:tcPr>
            <w:tcW w:w="7746" w:type="dxa"/>
            <w:gridSpan w:val="4"/>
            <w:tcBorders>
              <w:top w:val="single" w:color="000000" w:sz="2" w:space="0"/>
              <w:left w:val="single" w:color="000000" w:sz="2" w:space="0"/>
            </w:tcBorders>
          </w:tcPr>
          <w:p>
            <w:pPr>
              <w:pStyle w:val="20"/>
              <w:spacing w:before="75"/>
              <w:ind w:left="734"/>
              <w:rPr>
                <w:rFonts w:hint="eastAsia" w:ascii="宋体" w:eastAsia="宋体"/>
                <w:sz w:val="21"/>
              </w:rPr>
            </w:pPr>
            <w:r>
              <w:rPr>
                <w:rFonts w:hint="eastAsia" w:ascii="宋体" w:eastAsia="宋体"/>
                <w:sz w:val="21"/>
              </w:rPr>
              <w:t>在火焰影响下可以爆炸，或者对冲击、摩擦比硝基苯更为敏感的物质</w:t>
            </w:r>
          </w:p>
        </w:tc>
      </w:tr>
    </w:tbl>
    <w:p>
      <w:pPr>
        <w:spacing w:after="0"/>
        <w:rPr>
          <w:rFonts w:hint="eastAsia" w:ascii="宋体" w:eastAsia="宋体"/>
          <w:sz w:val="21"/>
        </w:rPr>
        <w:sectPr>
          <w:pgSz w:w="11900" w:h="16840"/>
          <w:pgMar w:top="1420" w:right="80" w:bottom="1200" w:left="260" w:header="882" w:footer="1004" w:gutter="0"/>
          <w:cols w:space="720" w:num="1"/>
        </w:sectPr>
      </w:pPr>
    </w:p>
    <w:p>
      <w:pPr>
        <w:pStyle w:val="7"/>
        <w:spacing w:before="5"/>
        <w:rPr>
          <w:b/>
          <w:sz w:val="8"/>
        </w:rPr>
      </w:pPr>
    </w:p>
    <w:p>
      <w:pPr>
        <w:pStyle w:val="7"/>
        <w:spacing w:before="66" w:line="494" w:lineRule="auto"/>
        <w:ind w:left="1540" w:right="1721" w:firstLine="566"/>
        <w:jc w:val="both"/>
      </w:pPr>
      <w:r>
        <w:t>江西景新漆业股份有限公司生产过程中使用的化学品有环氧树脂、 二甲苯、 醋酸丁酯、正丁醇、丙二醇等，现将其中主要化学品的理化性质，危险、有害性质如下：</w:t>
      </w:r>
    </w:p>
    <w:p>
      <w:pPr>
        <w:pStyle w:val="7"/>
        <w:spacing w:before="5"/>
        <w:rPr>
          <w:sz w:val="26"/>
        </w:rPr>
      </w:pPr>
    </w:p>
    <w:p>
      <w:pPr>
        <w:spacing w:before="0"/>
        <w:ind w:left="397" w:right="0" w:firstLine="0"/>
        <w:jc w:val="center"/>
        <w:rPr>
          <w:b/>
          <w:sz w:val="21"/>
        </w:rPr>
      </w:pPr>
      <w:r>
        <w:rPr>
          <w:b/>
          <w:sz w:val="21"/>
        </w:rPr>
        <w:t>表3.1-2 环氧树脂理化性质及危险特性表</w:t>
      </w:r>
    </w:p>
    <w:p>
      <w:pPr>
        <w:pStyle w:val="7"/>
        <w:spacing w:before="2"/>
        <w:rPr>
          <w:b/>
          <w:sz w:val="6"/>
        </w:r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15"/>
        <w:gridCol w:w="61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4"/>
              <w:ind w:left="107"/>
              <w:rPr>
                <w:sz w:val="21"/>
              </w:rPr>
            </w:pPr>
            <w:r>
              <w:rPr>
                <w:w w:val="99"/>
                <w:sz w:val="21"/>
              </w:rPr>
              <w:t>标</w:t>
            </w:r>
          </w:p>
          <w:p>
            <w:pPr>
              <w:pStyle w:val="20"/>
              <w:rPr>
                <w:rFonts w:ascii="宋体"/>
                <w:b/>
                <w:sz w:val="20"/>
              </w:rPr>
            </w:pPr>
          </w:p>
          <w:p>
            <w:pPr>
              <w:pStyle w:val="20"/>
              <w:rPr>
                <w:rFonts w:ascii="宋体"/>
                <w:b/>
                <w:sz w:val="20"/>
              </w:rPr>
            </w:pPr>
          </w:p>
          <w:p>
            <w:pPr>
              <w:pStyle w:val="20"/>
              <w:rPr>
                <w:rFonts w:ascii="宋体"/>
                <w:b/>
                <w:sz w:val="20"/>
              </w:rPr>
            </w:pPr>
          </w:p>
          <w:p>
            <w:pPr>
              <w:pStyle w:val="20"/>
              <w:spacing w:before="10"/>
              <w:rPr>
                <w:rFonts w:ascii="宋体"/>
                <w:b/>
                <w:sz w:val="28"/>
              </w:rPr>
            </w:pPr>
          </w:p>
          <w:p>
            <w:pPr>
              <w:pStyle w:val="20"/>
              <w:ind w:left="107"/>
              <w:rPr>
                <w:sz w:val="21"/>
              </w:rPr>
            </w:pPr>
            <w:r>
              <w:rPr>
                <w:w w:val="99"/>
                <w:sz w:val="21"/>
              </w:rPr>
              <w:t>识</w:t>
            </w:r>
          </w:p>
        </w:tc>
        <w:tc>
          <w:tcPr>
            <w:tcW w:w="1915" w:type="dxa"/>
          </w:tcPr>
          <w:p>
            <w:pPr>
              <w:pStyle w:val="20"/>
              <w:spacing w:before="74"/>
              <w:ind w:right="99"/>
              <w:jc w:val="right"/>
              <w:rPr>
                <w:sz w:val="21"/>
              </w:rPr>
            </w:pPr>
            <w:r>
              <w:rPr>
                <w:w w:val="95"/>
                <w:sz w:val="21"/>
              </w:rPr>
              <w:t>中文名：</w:t>
            </w:r>
          </w:p>
        </w:tc>
        <w:tc>
          <w:tcPr>
            <w:tcW w:w="6172" w:type="dxa"/>
          </w:tcPr>
          <w:p>
            <w:pPr>
              <w:pStyle w:val="20"/>
              <w:spacing w:before="74"/>
              <w:ind w:left="106"/>
              <w:rPr>
                <w:sz w:val="21"/>
              </w:rPr>
            </w:pPr>
            <w:r>
              <w:rPr>
                <w:sz w:val="21"/>
              </w:rPr>
              <w:t>环氧树脂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w w:val="95"/>
                <w:sz w:val="21"/>
              </w:rPr>
              <w:t>英文名：</w:t>
            </w:r>
          </w:p>
        </w:tc>
        <w:tc>
          <w:tcPr>
            <w:tcW w:w="6172" w:type="dxa"/>
          </w:tcPr>
          <w:p>
            <w:pPr>
              <w:pStyle w:val="20"/>
              <w:spacing w:before="75"/>
              <w:ind w:left="106"/>
              <w:rPr>
                <w:sz w:val="21"/>
              </w:rPr>
            </w:pPr>
            <w:r>
              <w:rPr>
                <w:sz w:val="21"/>
              </w:rPr>
              <w:t>Epoxy resin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w w:val="95"/>
                <w:sz w:val="21"/>
              </w:rPr>
              <w:t>分子式：</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99"/>
              <w:jc w:val="right"/>
              <w:rPr>
                <w:sz w:val="21"/>
              </w:rPr>
            </w:pPr>
            <w:r>
              <w:rPr>
                <w:w w:val="95"/>
                <w:sz w:val="21"/>
              </w:rPr>
              <w:t>分子量：</w:t>
            </w:r>
          </w:p>
        </w:tc>
        <w:tc>
          <w:tcPr>
            <w:tcW w:w="6172" w:type="dxa"/>
          </w:tcPr>
          <w:p>
            <w:pPr>
              <w:pStyle w:val="20"/>
              <w:spacing w:before="76"/>
              <w:ind w:left="106"/>
              <w:rPr>
                <w:sz w:val="21"/>
              </w:rPr>
            </w:pPr>
            <w:r>
              <w:rPr>
                <w:sz w:val="21"/>
              </w:rPr>
              <w:t>350．8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sz w:val="21"/>
              </w:rPr>
              <w:t>CAS 号：</w:t>
            </w:r>
          </w:p>
        </w:tc>
        <w:tc>
          <w:tcPr>
            <w:tcW w:w="6172" w:type="dxa"/>
          </w:tcPr>
          <w:p>
            <w:pPr>
              <w:pStyle w:val="20"/>
              <w:spacing w:before="75"/>
              <w:ind w:left="106"/>
              <w:rPr>
                <w:sz w:val="21"/>
              </w:rPr>
            </w:pPr>
            <w:r>
              <w:rPr>
                <w:sz w:val="21"/>
              </w:rPr>
              <w:t>24969—06—0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4"/>
              <w:ind w:right="99"/>
              <w:jc w:val="right"/>
              <w:rPr>
                <w:sz w:val="21"/>
              </w:rPr>
            </w:pPr>
            <w:r>
              <w:rPr>
                <w:sz w:val="21"/>
              </w:rPr>
              <w:t>RTECS 号：</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sz w:val="21"/>
              </w:rPr>
              <w:t>UN 编号：</w:t>
            </w:r>
          </w:p>
        </w:tc>
        <w:tc>
          <w:tcPr>
            <w:tcW w:w="6172" w:type="dxa"/>
          </w:tcPr>
          <w:p>
            <w:pPr>
              <w:pStyle w:val="20"/>
              <w:spacing w:before="75"/>
              <w:ind w:left="106"/>
              <w:rPr>
                <w:sz w:val="21"/>
              </w:rPr>
            </w:pPr>
            <w:r>
              <w:rPr>
                <w:sz w:val="21"/>
              </w:rPr>
              <w:t>1866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4"/>
              <w:ind w:left="336"/>
              <w:rPr>
                <w:sz w:val="21"/>
              </w:rPr>
            </w:pPr>
            <w:r>
              <w:rPr>
                <w:sz w:val="21"/>
              </w:rPr>
              <w:t>危险货物编号：</w:t>
            </w:r>
          </w:p>
        </w:tc>
        <w:tc>
          <w:tcPr>
            <w:tcW w:w="6172" w:type="dxa"/>
          </w:tcPr>
          <w:p>
            <w:pPr>
              <w:pStyle w:val="20"/>
              <w:spacing w:before="74"/>
              <w:ind w:left="106"/>
              <w:rPr>
                <w:sz w:val="21"/>
              </w:rPr>
            </w:pPr>
            <w:r>
              <w:rPr>
                <w:sz w:val="21"/>
              </w:rPr>
              <w:t>32197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left="284"/>
              <w:rPr>
                <w:sz w:val="21"/>
              </w:rPr>
            </w:pPr>
            <w:r>
              <w:rPr>
                <w:sz w:val="21"/>
              </w:rPr>
              <w:t>IMDG 规则页码：</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426" w:type="dxa"/>
            <w:vMerge w:val="restart"/>
          </w:tcPr>
          <w:p>
            <w:pPr>
              <w:pStyle w:val="20"/>
              <w:spacing w:before="75" w:line="626" w:lineRule="auto"/>
              <w:ind w:left="107" w:right="97"/>
              <w:jc w:val="both"/>
              <w:rPr>
                <w:sz w:val="21"/>
              </w:rPr>
            </w:pPr>
            <w:r>
              <w:rPr>
                <w:sz w:val="21"/>
              </w:rPr>
              <w:t>理化性质</w:t>
            </w:r>
          </w:p>
        </w:tc>
        <w:tc>
          <w:tcPr>
            <w:tcW w:w="1915" w:type="dxa"/>
          </w:tcPr>
          <w:p>
            <w:pPr>
              <w:pStyle w:val="20"/>
              <w:spacing w:before="75"/>
              <w:ind w:right="99"/>
              <w:jc w:val="right"/>
              <w:rPr>
                <w:sz w:val="21"/>
              </w:rPr>
            </w:pPr>
            <w:r>
              <w:rPr>
                <w:w w:val="95"/>
                <w:sz w:val="21"/>
              </w:rPr>
              <w:t>外观与性状：</w:t>
            </w:r>
          </w:p>
        </w:tc>
        <w:tc>
          <w:tcPr>
            <w:tcW w:w="6172" w:type="dxa"/>
          </w:tcPr>
          <w:p>
            <w:pPr>
              <w:pStyle w:val="20"/>
              <w:spacing w:before="75" w:line="376" w:lineRule="auto"/>
              <w:ind w:left="106" w:right="98"/>
              <w:rPr>
                <w:sz w:val="21"/>
              </w:rPr>
            </w:pPr>
            <w:r>
              <w:rPr>
                <w:sz w:val="21"/>
              </w:rPr>
              <w:t>环氧树脂是两端含有环氧基团的一类聚合物的总称。根据分子结构和分子量大小的不同，其物态可从无臭、无味、黄色透明液体</w:t>
            </w:r>
          </w:p>
          <w:p>
            <w:pPr>
              <w:pStyle w:val="20"/>
              <w:spacing w:before="2"/>
              <w:ind w:left="106"/>
              <w:rPr>
                <w:sz w:val="21"/>
              </w:rPr>
            </w:pPr>
            <w:r>
              <w:rPr>
                <w:sz w:val="21"/>
              </w:rPr>
              <w:t>至固态。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主要用途：</w:t>
            </w:r>
          </w:p>
        </w:tc>
        <w:tc>
          <w:tcPr>
            <w:tcW w:w="6172" w:type="dxa"/>
          </w:tcPr>
          <w:p>
            <w:pPr>
              <w:pStyle w:val="20"/>
              <w:spacing w:before="75"/>
              <w:ind w:left="106" w:right="-15"/>
              <w:rPr>
                <w:sz w:val="21"/>
              </w:rPr>
            </w:pPr>
            <w:r>
              <w:rPr>
                <w:spacing w:val="-4"/>
                <w:w w:val="95"/>
                <w:sz w:val="21"/>
              </w:rPr>
              <w:t>用作金属涂料、金属粘合剂、玻璃纤维增强结构材料、防腐材料、</w:t>
            </w:r>
          </w:p>
          <w:p>
            <w:pPr>
              <w:pStyle w:val="20"/>
              <w:spacing w:before="153"/>
              <w:ind w:left="106"/>
              <w:rPr>
                <w:sz w:val="21"/>
              </w:rPr>
            </w:pPr>
            <w:r>
              <w:rPr>
                <w:sz w:val="21"/>
              </w:rPr>
              <w:t>金属加工用模具等，在电器工业中用作绝缘材料。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熔点：</w:t>
            </w:r>
          </w:p>
        </w:tc>
        <w:tc>
          <w:tcPr>
            <w:tcW w:w="6172" w:type="dxa"/>
          </w:tcPr>
          <w:p>
            <w:pPr>
              <w:pStyle w:val="20"/>
              <w:spacing w:before="76"/>
              <w:ind w:left="106"/>
              <w:rPr>
                <w:sz w:val="21"/>
              </w:rPr>
            </w:pPr>
            <w:r>
              <w:rPr>
                <w:sz w:val="21"/>
              </w:rPr>
              <w:t>145～155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沸点：</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4"/>
              <w:ind w:left="125"/>
              <w:rPr>
                <w:sz w:val="21"/>
              </w:rPr>
            </w:pPr>
            <w:r>
              <w:rPr>
                <w:sz w:val="21"/>
              </w:rPr>
              <w:t>相对密度(水=1)：</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spacing w:val="-1"/>
                <w:w w:val="95"/>
                <w:sz w:val="21"/>
              </w:rPr>
              <w:t>相对密度(空气</w:t>
            </w:r>
          </w:p>
          <w:p>
            <w:pPr>
              <w:pStyle w:val="20"/>
              <w:spacing w:before="153"/>
              <w:ind w:right="95"/>
              <w:jc w:val="right"/>
              <w:rPr>
                <w:sz w:val="21"/>
              </w:rPr>
            </w:pPr>
            <w:r>
              <w:rPr>
                <w:sz w:val="21"/>
              </w:rPr>
              <w:t>=1):</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10"/>
              <w:jc w:val="right"/>
              <w:rPr>
                <w:sz w:val="21"/>
              </w:rPr>
            </w:pPr>
            <w:r>
              <w:rPr>
                <w:w w:val="95"/>
                <w:sz w:val="21"/>
              </w:rPr>
              <w:t>饱和蒸汽压(kPa)：</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w w:val="95"/>
                <w:sz w:val="21"/>
              </w:rPr>
              <w:t>溶解性：</w:t>
            </w:r>
          </w:p>
        </w:tc>
        <w:tc>
          <w:tcPr>
            <w:tcW w:w="6172" w:type="dxa"/>
          </w:tcPr>
          <w:p>
            <w:pPr>
              <w:pStyle w:val="20"/>
              <w:spacing w:before="75"/>
              <w:ind w:left="106"/>
              <w:rPr>
                <w:sz w:val="21"/>
              </w:rPr>
            </w:pPr>
            <w:r>
              <w:rPr>
                <w:sz w:val="21"/>
              </w:rPr>
              <w:t>溶于丙酮、乙二醇、甲苯等。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4"/>
              <w:ind w:left="336"/>
              <w:rPr>
                <w:sz w:val="21"/>
              </w:rPr>
            </w:pPr>
            <w:r>
              <w:rPr>
                <w:sz w:val="21"/>
              </w:rPr>
              <w:t>临界温度(℃)：</w:t>
            </w:r>
          </w:p>
        </w:tc>
        <w:tc>
          <w:tcPr>
            <w:tcW w:w="6172" w:type="dxa"/>
          </w:tcPr>
          <w:p>
            <w:pPr>
              <w:pStyle w:val="20"/>
              <w:spacing w:before="74"/>
              <w:ind w:left="106"/>
              <w:rPr>
                <w:sz w:val="21"/>
              </w:rPr>
            </w:pPr>
            <w:r>
              <w:rPr>
                <w:sz w:val="21"/>
              </w:rPr>
              <w:t>最小引燃能量(mJ)：9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left="231"/>
              <w:rPr>
                <w:sz w:val="21"/>
              </w:rPr>
            </w:pPr>
            <w:r>
              <w:rPr>
                <w:sz w:val="21"/>
              </w:rPr>
              <w:t>临界压力(MPa)：</w:t>
            </w:r>
          </w:p>
        </w:tc>
        <w:tc>
          <w:tcPr>
            <w:tcW w:w="6172" w:type="dxa"/>
          </w:tcPr>
          <w:p>
            <w:pPr>
              <w:pStyle w:val="20"/>
              <w:spacing w:before="75"/>
              <w:ind w:left="106"/>
              <w:rPr>
                <w:sz w:val="21"/>
              </w:rPr>
            </w:pPr>
            <w:r>
              <w:rPr>
                <w:sz w:val="21"/>
              </w:rPr>
              <w:t>最大爆炸压力(10kPa)：5．4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4"/>
              <w:ind w:left="125"/>
              <w:rPr>
                <w:sz w:val="21"/>
              </w:rPr>
            </w:pPr>
            <w:r>
              <w:rPr>
                <w:sz w:val="21"/>
              </w:rPr>
              <w:t>燃烧热(kj/mol)：</w:t>
            </w:r>
          </w:p>
        </w:tc>
        <w:tc>
          <w:tcPr>
            <w:tcW w:w="6172" w:type="dxa"/>
          </w:tcPr>
          <w:p>
            <w:pPr>
              <w:pStyle w:val="20"/>
              <w:spacing w:before="74"/>
              <w:ind w:left="106"/>
              <w:rPr>
                <w:sz w:val="21"/>
              </w:rPr>
            </w:pPr>
            <w:r>
              <w:rPr>
                <w:sz w:val="21"/>
              </w:rPr>
              <w:t>无资料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426" w:type="dxa"/>
          </w:tcPr>
          <w:p>
            <w:pPr>
              <w:pStyle w:val="20"/>
              <w:spacing w:before="76"/>
              <w:ind w:left="107"/>
              <w:rPr>
                <w:sz w:val="21"/>
              </w:rPr>
            </w:pPr>
            <w:r>
              <w:rPr>
                <w:w w:val="99"/>
                <w:sz w:val="21"/>
              </w:rPr>
              <w:t>燃</w:t>
            </w:r>
          </w:p>
        </w:tc>
        <w:tc>
          <w:tcPr>
            <w:tcW w:w="1915" w:type="dxa"/>
          </w:tcPr>
          <w:p>
            <w:pPr>
              <w:pStyle w:val="20"/>
              <w:spacing w:before="76"/>
              <w:ind w:left="125"/>
              <w:rPr>
                <w:sz w:val="21"/>
              </w:rPr>
            </w:pPr>
            <w:r>
              <w:rPr>
                <w:sz w:val="21"/>
              </w:rPr>
              <w:t>避免接触的条件：</w:t>
            </w:r>
          </w:p>
        </w:tc>
        <w:tc>
          <w:tcPr>
            <w:tcW w:w="6172" w:type="dxa"/>
          </w:tcPr>
          <w:p>
            <w:pPr>
              <w:pStyle w:val="20"/>
              <w:rPr>
                <w:rFonts w:ascii="Times New Roman"/>
                <w:sz w:val="20"/>
              </w:rPr>
            </w:pPr>
          </w:p>
        </w:tc>
      </w:tr>
    </w:tbl>
    <w:p>
      <w:pPr>
        <w:spacing w:after="0"/>
        <w:rPr>
          <w:rFonts w:ascii="Times New Roman"/>
          <w:sz w:val="20"/>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15"/>
        <w:gridCol w:w="6172"/>
      </w:tblGrid>
      <w:tr>
        <w:tblPrEx>
          <w:tblCellMar>
            <w:top w:w="0" w:type="dxa"/>
            <w:left w:w="0" w:type="dxa"/>
            <w:bottom w:w="0" w:type="dxa"/>
            <w:right w:w="0" w:type="dxa"/>
          </w:tblCellMar>
        </w:tblPrEx>
        <w:trPr>
          <w:trHeight w:val="422" w:hRule="atLeast"/>
        </w:trPr>
        <w:tc>
          <w:tcPr>
            <w:tcW w:w="426" w:type="dxa"/>
            <w:vMerge w:val="restart"/>
          </w:tcPr>
          <w:p>
            <w:pPr>
              <w:pStyle w:val="20"/>
              <w:rPr>
                <w:rFonts w:ascii="宋体"/>
                <w:b/>
                <w:sz w:val="20"/>
              </w:rPr>
            </w:pPr>
          </w:p>
          <w:p>
            <w:pPr>
              <w:pStyle w:val="20"/>
              <w:spacing w:before="11"/>
              <w:rPr>
                <w:rFonts w:ascii="宋体"/>
                <w:b/>
                <w:sz w:val="18"/>
              </w:rPr>
            </w:pPr>
          </w:p>
          <w:p>
            <w:pPr>
              <w:pStyle w:val="20"/>
              <w:spacing w:before="1"/>
              <w:ind w:left="107"/>
              <w:rPr>
                <w:sz w:val="21"/>
              </w:rPr>
            </w:pPr>
            <w:r>
              <w:rPr>
                <w:w w:val="99"/>
                <w:sz w:val="21"/>
              </w:rPr>
              <w:t>烧</w:t>
            </w:r>
          </w:p>
          <w:p>
            <w:pPr>
              <w:pStyle w:val="20"/>
              <w:rPr>
                <w:rFonts w:ascii="宋体"/>
                <w:b/>
                <w:sz w:val="20"/>
              </w:rPr>
            </w:pPr>
          </w:p>
          <w:p>
            <w:pPr>
              <w:pStyle w:val="20"/>
              <w:spacing w:before="1"/>
              <w:rPr>
                <w:rFonts w:ascii="宋体"/>
                <w:b/>
                <w:sz w:val="25"/>
              </w:rPr>
            </w:pPr>
          </w:p>
          <w:p>
            <w:pPr>
              <w:pStyle w:val="20"/>
              <w:ind w:left="107"/>
              <w:rPr>
                <w:sz w:val="21"/>
              </w:rPr>
            </w:pPr>
            <w:r>
              <w:rPr>
                <w:w w:val="99"/>
                <w:sz w:val="21"/>
              </w:rPr>
              <w:t>爆</w:t>
            </w:r>
          </w:p>
          <w:p>
            <w:pPr>
              <w:pStyle w:val="20"/>
              <w:rPr>
                <w:rFonts w:ascii="宋体"/>
                <w:b/>
                <w:sz w:val="20"/>
              </w:rPr>
            </w:pPr>
          </w:p>
          <w:p>
            <w:pPr>
              <w:pStyle w:val="20"/>
              <w:spacing w:before="12"/>
              <w:rPr>
                <w:rFonts w:ascii="宋体"/>
                <w:b/>
                <w:sz w:val="24"/>
              </w:rPr>
            </w:pPr>
          </w:p>
          <w:p>
            <w:pPr>
              <w:pStyle w:val="20"/>
              <w:ind w:left="107"/>
              <w:rPr>
                <w:sz w:val="21"/>
              </w:rPr>
            </w:pPr>
            <w:r>
              <w:rPr>
                <w:w w:val="99"/>
                <w:sz w:val="21"/>
              </w:rPr>
              <w:t>炸</w:t>
            </w:r>
          </w:p>
          <w:p>
            <w:pPr>
              <w:pStyle w:val="20"/>
              <w:rPr>
                <w:rFonts w:ascii="宋体"/>
                <w:b/>
                <w:sz w:val="20"/>
              </w:rPr>
            </w:pPr>
          </w:p>
          <w:p>
            <w:pPr>
              <w:pStyle w:val="20"/>
              <w:spacing w:before="2"/>
              <w:rPr>
                <w:rFonts w:ascii="宋体"/>
                <w:b/>
                <w:sz w:val="25"/>
              </w:rPr>
            </w:pPr>
          </w:p>
          <w:p>
            <w:pPr>
              <w:pStyle w:val="20"/>
              <w:ind w:left="107"/>
              <w:rPr>
                <w:sz w:val="21"/>
              </w:rPr>
            </w:pPr>
            <w:r>
              <w:rPr>
                <w:w w:val="99"/>
                <w:sz w:val="21"/>
              </w:rPr>
              <w:t>危</w:t>
            </w:r>
          </w:p>
          <w:p>
            <w:pPr>
              <w:pStyle w:val="20"/>
              <w:rPr>
                <w:rFonts w:ascii="宋体"/>
                <w:b/>
                <w:sz w:val="20"/>
              </w:rPr>
            </w:pPr>
          </w:p>
          <w:p>
            <w:pPr>
              <w:pStyle w:val="20"/>
              <w:spacing w:before="12"/>
              <w:rPr>
                <w:rFonts w:ascii="宋体"/>
                <w:b/>
                <w:sz w:val="24"/>
              </w:rPr>
            </w:pPr>
          </w:p>
          <w:p>
            <w:pPr>
              <w:pStyle w:val="20"/>
              <w:ind w:left="107"/>
              <w:rPr>
                <w:sz w:val="21"/>
              </w:rPr>
            </w:pPr>
            <w:r>
              <w:rPr>
                <w:w w:val="99"/>
                <w:sz w:val="21"/>
              </w:rPr>
              <w:t>险</w:t>
            </w:r>
          </w:p>
          <w:p>
            <w:pPr>
              <w:pStyle w:val="20"/>
              <w:rPr>
                <w:rFonts w:ascii="宋体"/>
                <w:b/>
                <w:sz w:val="20"/>
              </w:rPr>
            </w:pPr>
          </w:p>
          <w:p>
            <w:pPr>
              <w:pStyle w:val="20"/>
              <w:spacing w:before="1"/>
              <w:rPr>
                <w:rFonts w:ascii="宋体"/>
                <w:b/>
                <w:sz w:val="25"/>
              </w:rPr>
            </w:pPr>
          </w:p>
          <w:p>
            <w:pPr>
              <w:pStyle w:val="20"/>
              <w:ind w:left="107"/>
              <w:rPr>
                <w:sz w:val="21"/>
              </w:rPr>
            </w:pPr>
            <w:r>
              <w:rPr>
                <w:w w:val="99"/>
                <w:sz w:val="21"/>
              </w:rPr>
              <w:t>性</w:t>
            </w:r>
          </w:p>
        </w:tc>
        <w:tc>
          <w:tcPr>
            <w:tcW w:w="1915" w:type="dxa"/>
          </w:tcPr>
          <w:p>
            <w:pPr>
              <w:pStyle w:val="20"/>
              <w:spacing w:before="76"/>
              <w:ind w:right="99"/>
              <w:jc w:val="right"/>
              <w:rPr>
                <w:sz w:val="21"/>
              </w:rPr>
            </w:pPr>
            <w:r>
              <w:rPr>
                <w:w w:val="95"/>
                <w:sz w:val="21"/>
              </w:rPr>
              <w:t>燃烧性：</w:t>
            </w:r>
          </w:p>
        </w:tc>
        <w:tc>
          <w:tcPr>
            <w:tcW w:w="6172" w:type="dxa"/>
          </w:tcPr>
          <w:p>
            <w:pPr>
              <w:pStyle w:val="20"/>
              <w:spacing w:before="76"/>
              <w:ind w:left="106"/>
              <w:rPr>
                <w:sz w:val="21"/>
              </w:rPr>
            </w:pPr>
            <w:r>
              <w:rPr>
                <w:sz w:val="21"/>
              </w:rPr>
              <w:t>可燃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建规火险分级：</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7"/>
              <w:ind w:right="97"/>
              <w:jc w:val="right"/>
              <w:rPr>
                <w:sz w:val="21"/>
              </w:rPr>
            </w:pPr>
            <w:r>
              <w:rPr>
                <w:w w:val="95"/>
                <w:sz w:val="21"/>
              </w:rPr>
              <w:t>闪点(℃)：</w:t>
            </w:r>
          </w:p>
        </w:tc>
        <w:tc>
          <w:tcPr>
            <w:tcW w:w="6172" w:type="dxa"/>
          </w:tcPr>
          <w:p>
            <w:pPr>
              <w:pStyle w:val="20"/>
              <w:spacing w:before="77"/>
              <w:ind w:left="106"/>
              <w:rPr>
                <w:sz w:val="21"/>
              </w:rPr>
            </w:pPr>
            <w:r>
              <w:rPr>
                <w:sz w:val="21"/>
              </w:rPr>
              <w:t>无资料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自燃温度(℃)：</w:t>
            </w:r>
          </w:p>
        </w:tc>
        <w:tc>
          <w:tcPr>
            <w:tcW w:w="6172" w:type="dxa"/>
          </w:tcPr>
          <w:p>
            <w:pPr>
              <w:pStyle w:val="20"/>
              <w:spacing w:before="75"/>
              <w:ind w:left="106"/>
              <w:rPr>
                <w:sz w:val="21"/>
              </w:rPr>
            </w:pPr>
            <w:r>
              <w:rPr>
                <w:sz w:val="21"/>
              </w:rPr>
              <w:t>引燃温度(℃)：490(粉云)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7"/>
              <w:ind w:right="97"/>
              <w:jc w:val="right"/>
              <w:rPr>
                <w:sz w:val="21"/>
              </w:rPr>
            </w:pPr>
            <w:r>
              <w:rPr>
                <w:w w:val="95"/>
                <w:sz w:val="21"/>
              </w:rPr>
              <w:t>爆炸下限(V%)：</w:t>
            </w:r>
          </w:p>
        </w:tc>
        <w:tc>
          <w:tcPr>
            <w:tcW w:w="617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爆炸上限(V%)：</w:t>
            </w:r>
          </w:p>
        </w:tc>
        <w:tc>
          <w:tcPr>
            <w:tcW w:w="6172" w:type="dxa"/>
          </w:tcPr>
          <w:p>
            <w:pPr>
              <w:pStyle w:val="20"/>
              <w:spacing w:before="76"/>
              <w:ind w:left="106"/>
              <w:rPr>
                <w:sz w:val="21"/>
              </w:rPr>
            </w:pPr>
            <w:r>
              <w:rPr>
                <w:sz w:val="21"/>
              </w:rPr>
              <w:t>无资料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危险特性：</w:t>
            </w:r>
          </w:p>
        </w:tc>
        <w:tc>
          <w:tcPr>
            <w:tcW w:w="6172" w:type="dxa"/>
          </w:tcPr>
          <w:p>
            <w:pPr>
              <w:pStyle w:val="20"/>
              <w:spacing w:before="75"/>
              <w:ind w:left="106"/>
              <w:rPr>
                <w:sz w:val="21"/>
              </w:rPr>
            </w:pPr>
            <w:r>
              <w:rPr>
                <w:sz w:val="21"/>
              </w:rPr>
              <w:t>受高热分解放出有毒的气体。粉体与空气可形成爆炸性混合物，</w:t>
            </w:r>
          </w:p>
          <w:p>
            <w:pPr>
              <w:pStyle w:val="20"/>
              <w:spacing w:before="156"/>
              <w:ind w:left="106"/>
              <w:rPr>
                <w:sz w:val="21"/>
              </w:rPr>
            </w:pPr>
            <w:r>
              <w:rPr>
                <w:sz w:val="21"/>
              </w:rPr>
              <w:t>当达到一定的浓度时，遇火星会发生爆炸。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燃烧(分解)产物：</w:t>
            </w:r>
          </w:p>
        </w:tc>
        <w:tc>
          <w:tcPr>
            <w:tcW w:w="6172" w:type="dxa"/>
          </w:tcPr>
          <w:p>
            <w:pPr>
              <w:pStyle w:val="20"/>
              <w:spacing w:before="76"/>
              <w:ind w:left="106"/>
              <w:rPr>
                <w:sz w:val="21"/>
              </w:rPr>
            </w:pPr>
            <w:r>
              <w:rPr>
                <w:sz w:val="21"/>
              </w:rPr>
              <w:t>一氧化碳、二氧化碳。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w w:val="95"/>
                <w:sz w:val="21"/>
              </w:rPr>
              <w:t>稳定性：</w:t>
            </w:r>
          </w:p>
        </w:tc>
        <w:tc>
          <w:tcPr>
            <w:tcW w:w="6172" w:type="dxa"/>
          </w:tcPr>
          <w:p>
            <w:pPr>
              <w:pStyle w:val="20"/>
              <w:spacing w:before="75"/>
              <w:ind w:left="106"/>
              <w:rPr>
                <w:sz w:val="21"/>
              </w:rPr>
            </w:pPr>
            <w:r>
              <w:rPr>
                <w:sz w:val="21"/>
              </w:rPr>
              <w:t>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聚合危害：</w:t>
            </w:r>
          </w:p>
        </w:tc>
        <w:tc>
          <w:tcPr>
            <w:tcW w:w="6172" w:type="dxa"/>
          </w:tcPr>
          <w:p>
            <w:pPr>
              <w:pStyle w:val="20"/>
              <w:spacing w:before="76"/>
              <w:ind w:left="106"/>
              <w:rPr>
                <w:sz w:val="21"/>
              </w:rPr>
            </w:pPr>
            <w:r>
              <w:rPr>
                <w:sz w:val="21"/>
              </w:rPr>
              <w:t>不能出现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w w:val="95"/>
                <w:sz w:val="21"/>
              </w:rPr>
              <w:t>禁忌物：</w:t>
            </w:r>
          </w:p>
        </w:tc>
        <w:tc>
          <w:tcPr>
            <w:tcW w:w="6172" w:type="dxa"/>
          </w:tcPr>
          <w:p>
            <w:pPr>
              <w:pStyle w:val="20"/>
              <w:spacing w:before="75"/>
              <w:ind w:left="106"/>
              <w:rPr>
                <w:sz w:val="21"/>
              </w:rPr>
            </w:pPr>
            <w:r>
              <w:rPr>
                <w:sz w:val="21"/>
              </w:rPr>
              <w:t>强氧化剂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7"/>
              <w:ind w:right="97"/>
              <w:jc w:val="right"/>
              <w:rPr>
                <w:sz w:val="21"/>
              </w:rPr>
            </w:pPr>
            <w:r>
              <w:rPr>
                <w:w w:val="95"/>
                <w:sz w:val="21"/>
              </w:rPr>
              <w:t>灭火方法：</w:t>
            </w:r>
          </w:p>
        </w:tc>
        <w:tc>
          <w:tcPr>
            <w:tcW w:w="6172" w:type="dxa"/>
          </w:tcPr>
          <w:p>
            <w:pPr>
              <w:pStyle w:val="20"/>
              <w:spacing w:before="77"/>
              <w:ind w:left="106"/>
              <w:rPr>
                <w:sz w:val="21"/>
              </w:rPr>
            </w:pPr>
            <w:r>
              <w:rPr>
                <w:sz w:val="21"/>
              </w:rPr>
              <w:t>雾状水、泡沫、二氧化碳、干粉、砂土。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6" w:line="376" w:lineRule="auto"/>
              <w:ind w:left="107" w:right="97"/>
              <w:jc w:val="both"/>
              <w:rPr>
                <w:sz w:val="21"/>
              </w:rPr>
            </w:pPr>
            <w:r>
              <w:rPr>
                <w:sz w:val="21"/>
              </w:rPr>
              <w:t>包装与储运</w:t>
            </w:r>
          </w:p>
        </w:tc>
        <w:tc>
          <w:tcPr>
            <w:tcW w:w="1915" w:type="dxa"/>
          </w:tcPr>
          <w:p>
            <w:pPr>
              <w:pStyle w:val="20"/>
              <w:spacing w:before="76"/>
              <w:ind w:right="99"/>
              <w:jc w:val="right"/>
              <w:rPr>
                <w:sz w:val="21"/>
              </w:rPr>
            </w:pPr>
            <w:r>
              <w:rPr>
                <w:w w:val="95"/>
                <w:sz w:val="21"/>
              </w:rPr>
              <w:t>危险性类别：</w:t>
            </w:r>
          </w:p>
        </w:tc>
        <w:tc>
          <w:tcPr>
            <w:tcW w:w="6172" w:type="dxa"/>
          </w:tcPr>
          <w:p>
            <w:pPr>
              <w:pStyle w:val="20"/>
              <w:tabs>
                <w:tab w:val="left" w:pos="1157"/>
              </w:tabs>
              <w:spacing w:before="76"/>
              <w:ind w:left="106"/>
              <w:rPr>
                <w:sz w:val="21"/>
              </w:rPr>
            </w:pPr>
            <w:r>
              <w:rPr>
                <w:sz w:val="21"/>
              </w:rPr>
              <w:t>第</w:t>
            </w:r>
            <w:r>
              <w:rPr>
                <w:spacing w:val="-51"/>
                <w:sz w:val="21"/>
              </w:rPr>
              <w:t xml:space="preserve"> </w:t>
            </w:r>
            <w:r>
              <w:rPr>
                <w:sz w:val="21"/>
              </w:rPr>
              <w:t>3</w:t>
            </w:r>
            <w:r>
              <w:rPr>
                <w:spacing w:val="-55"/>
                <w:sz w:val="21"/>
              </w:rPr>
              <w:t xml:space="preserve"> </w:t>
            </w:r>
            <w:r>
              <w:rPr>
                <w:sz w:val="21"/>
              </w:rPr>
              <w:t>类</w:t>
            </w:r>
            <w:r>
              <w:rPr>
                <w:sz w:val="21"/>
              </w:rPr>
              <w:tab/>
            </w:r>
            <w:r>
              <w:rPr>
                <w:sz w:val="21"/>
              </w:rPr>
              <w:t>易燃液体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15" w:type="dxa"/>
          </w:tcPr>
          <w:p>
            <w:pPr>
              <w:pStyle w:val="20"/>
              <w:spacing w:before="77"/>
              <w:ind w:right="97"/>
              <w:jc w:val="right"/>
              <w:rPr>
                <w:sz w:val="21"/>
              </w:rPr>
            </w:pPr>
            <w:r>
              <w:rPr>
                <w:w w:val="95"/>
                <w:sz w:val="21"/>
              </w:rPr>
              <w:t>危险货物包装标</w:t>
            </w:r>
          </w:p>
          <w:p>
            <w:pPr>
              <w:pStyle w:val="20"/>
              <w:spacing w:before="153"/>
              <w:ind w:right="99"/>
              <w:jc w:val="right"/>
              <w:rPr>
                <w:sz w:val="21"/>
              </w:rPr>
            </w:pPr>
            <w:r>
              <w:rPr>
                <w:spacing w:val="-1"/>
                <w:w w:val="95"/>
                <w:sz w:val="21"/>
              </w:rPr>
              <w:t>志：</w:t>
            </w:r>
          </w:p>
        </w:tc>
        <w:tc>
          <w:tcPr>
            <w:tcW w:w="6172" w:type="dxa"/>
          </w:tcPr>
          <w:p>
            <w:pPr>
              <w:pStyle w:val="20"/>
              <w:spacing w:before="77"/>
              <w:ind w:left="106"/>
              <w:rPr>
                <w:sz w:val="21"/>
              </w:rPr>
            </w:pPr>
            <w:r>
              <w:rPr>
                <w:w w:val="99"/>
                <w:sz w:val="21"/>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包装类别：</w:t>
            </w:r>
          </w:p>
        </w:tc>
        <w:tc>
          <w:tcPr>
            <w:tcW w:w="6172" w:type="dxa"/>
          </w:tcPr>
          <w:p>
            <w:pPr>
              <w:pStyle w:val="20"/>
              <w:spacing w:before="75"/>
              <w:ind w:left="106"/>
              <w:rPr>
                <w:sz w:val="21"/>
              </w:rPr>
            </w:pPr>
            <w:r>
              <w:rPr>
                <w:w w:val="99"/>
                <w:sz w:val="21"/>
              </w:rPr>
              <w:t>Ⅱ</w:t>
            </w:r>
          </w:p>
        </w:tc>
      </w:tr>
      <w:tr>
        <w:tblPrEx>
          <w:tblCellMar>
            <w:top w:w="0" w:type="dxa"/>
            <w:left w:w="0" w:type="dxa"/>
            <w:bottom w:w="0" w:type="dxa"/>
            <w:right w:w="0" w:type="dxa"/>
          </w:tblCellMar>
        </w:tblPrEx>
        <w:trPr>
          <w:trHeight w:val="1268" w:hRule="atLeast"/>
        </w:trPr>
        <w:tc>
          <w:tcPr>
            <w:tcW w:w="426" w:type="dxa"/>
            <w:vMerge w:val="continue"/>
            <w:tcBorders>
              <w:top w:val="nil"/>
            </w:tcBorders>
          </w:tcPr>
          <w:p>
            <w:pPr>
              <w:rPr>
                <w:sz w:val="2"/>
                <w:szCs w:val="2"/>
              </w:rPr>
            </w:pPr>
          </w:p>
        </w:tc>
        <w:tc>
          <w:tcPr>
            <w:tcW w:w="1915" w:type="dxa"/>
          </w:tcPr>
          <w:p>
            <w:pPr>
              <w:pStyle w:val="20"/>
              <w:spacing w:before="77"/>
              <w:ind w:right="97"/>
              <w:jc w:val="right"/>
              <w:rPr>
                <w:sz w:val="21"/>
              </w:rPr>
            </w:pPr>
            <w:r>
              <w:rPr>
                <w:w w:val="95"/>
                <w:sz w:val="21"/>
              </w:rPr>
              <w:t>储运注意事项：</w:t>
            </w:r>
          </w:p>
        </w:tc>
        <w:tc>
          <w:tcPr>
            <w:tcW w:w="6172" w:type="dxa"/>
          </w:tcPr>
          <w:p>
            <w:pPr>
              <w:pStyle w:val="20"/>
              <w:spacing w:before="77" w:line="376" w:lineRule="auto"/>
              <w:ind w:left="106" w:right="98"/>
              <w:rPr>
                <w:sz w:val="21"/>
              </w:rPr>
            </w:pPr>
            <w:r>
              <w:rPr>
                <w:sz w:val="21"/>
              </w:rPr>
              <w:t>储存于阴凉、通风仓间内。远离火种、热源。防止阳光直射。包装必须密封，切勿受潮。应与氧化剂分开存放。搬运时要轻装轻</w:t>
            </w:r>
          </w:p>
          <w:p>
            <w:pPr>
              <w:pStyle w:val="20"/>
              <w:ind w:left="106"/>
              <w:rPr>
                <w:sz w:val="21"/>
              </w:rPr>
            </w:pPr>
            <w:r>
              <w:rPr>
                <w:sz w:val="21"/>
              </w:rPr>
              <w:t>卸，防止包装及容器损坏。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426" w:type="dxa"/>
            <w:vMerge w:val="restart"/>
          </w:tcPr>
          <w:p>
            <w:pPr>
              <w:pStyle w:val="20"/>
              <w:spacing w:before="77" w:line="376" w:lineRule="auto"/>
              <w:ind w:left="107" w:right="97"/>
              <w:jc w:val="both"/>
              <w:rPr>
                <w:sz w:val="21"/>
              </w:rPr>
            </w:pPr>
            <w:r>
              <w:rPr>
                <w:sz w:val="21"/>
              </w:rPr>
              <w:t>毒性危害</w:t>
            </w:r>
          </w:p>
        </w:tc>
        <w:tc>
          <w:tcPr>
            <w:tcW w:w="1915" w:type="dxa"/>
          </w:tcPr>
          <w:p>
            <w:pPr>
              <w:pStyle w:val="20"/>
              <w:spacing w:before="77"/>
              <w:ind w:right="97"/>
              <w:jc w:val="right"/>
              <w:rPr>
                <w:sz w:val="21"/>
              </w:rPr>
            </w:pPr>
            <w:r>
              <w:rPr>
                <w:w w:val="95"/>
                <w:sz w:val="21"/>
              </w:rPr>
              <w:t>接触限值：</w:t>
            </w:r>
          </w:p>
        </w:tc>
        <w:tc>
          <w:tcPr>
            <w:tcW w:w="6172" w:type="dxa"/>
          </w:tcPr>
          <w:p>
            <w:pPr>
              <w:pStyle w:val="20"/>
              <w:tabs>
                <w:tab w:val="left" w:pos="737"/>
                <w:tab w:val="left" w:pos="1366"/>
              </w:tabs>
              <w:spacing w:before="77" w:line="376" w:lineRule="auto"/>
              <w:ind w:left="106" w:right="3089"/>
              <w:rPr>
                <w:sz w:val="21"/>
              </w:rPr>
            </w:pPr>
            <w:r>
              <w:rPr>
                <w:sz w:val="21"/>
              </w:rPr>
              <w:t>中</w:t>
            </w:r>
            <w:r>
              <w:rPr>
                <w:sz w:val="21"/>
              </w:rPr>
              <w:tab/>
            </w:r>
            <w:r>
              <w:rPr>
                <w:sz w:val="21"/>
              </w:rPr>
              <w:t>国</w:t>
            </w:r>
            <w:r>
              <w:rPr>
                <w:sz w:val="21"/>
              </w:rPr>
              <w:tab/>
            </w:r>
            <w:r>
              <w:rPr>
                <w:sz w:val="21"/>
              </w:rPr>
              <w:t>MAC：未制订标准</w:t>
            </w:r>
            <w:r>
              <w:rPr>
                <w:spacing w:val="-1"/>
                <w:w w:val="99"/>
                <w:sz w:val="21"/>
              </w:rPr>
              <w:t>前</w:t>
            </w:r>
            <w:r>
              <w:rPr>
                <w:spacing w:val="2"/>
                <w:w w:val="99"/>
                <w:sz w:val="21"/>
              </w:rPr>
              <w:t>苏</w:t>
            </w:r>
            <w:r>
              <w:rPr>
                <w:w w:val="99"/>
                <w:sz w:val="21"/>
              </w:rPr>
              <w:t>联</w:t>
            </w:r>
            <w:r>
              <w:rPr>
                <w:spacing w:val="-50"/>
                <w:sz w:val="21"/>
              </w:rPr>
              <w:t xml:space="preserve"> </w:t>
            </w:r>
            <w:r>
              <w:rPr>
                <w:spacing w:val="1"/>
                <w:w w:val="99"/>
                <w:sz w:val="21"/>
              </w:rPr>
              <w:t>MA</w:t>
            </w:r>
            <w:r>
              <w:rPr>
                <w:spacing w:val="-2"/>
                <w:w w:val="99"/>
                <w:sz w:val="21"/>
              </w:rPr>
              <w:t>C</w:t>
            </w:r>
            <w:r>
              <w:rPr>
                <w:spacing w:val="-1"/>
                <w:w w:val="99"/>
                <w:sz w:val="21"/>
              </w:rPr>
              <w:t>：</w:t>
            </w:r>
            <w:r>
              <w:rPr>
                <w:spacing w:val="1"/>
                <w:w w:val="99"/>
                <w:sz w:val="21"/>
              </w:rPr>
              <w:t>0</w:t>
            </w:r>
            <w:r>
              <w:rPr>
                <w:spacing w:val="2"/>
                <w:w w:val="99"/>
                <w:sz w:val="21"/>
              </w:rPr>
              <w:t>．</w:t>
            </w:r>
            <w:r>
              <w:rPr>
                <w:spacing w:val="-2"/>
                <w:w w:val="99"/>
                <w:sz w:val="21"/>
              </w:rPr>
              <w:t>1</w:t>
            </w:r>
            <w:r>
              <w:rPr>
                <w:spacing w:val="2"/>
                <w:w w:val="99"/>
                <w:sz w:val="21"/>
              </w:rPr>
              <w:t>—</w:t>
            </w:r>
            <w:r>
              <w:rPr>
                <w:spacing w:val="1"/>
                <w:w w:val="99"/>
                <w:sz w:val="21"/>
              </w:rPr>
              <w:t>1m</w:t>
            </w:r>
            <w:r>
              <w:rPr>
                <w:spacing w:val="-2"/>
                <w:w w:val="99"/>
                <w:sz w:val="21"/>
              </w:rPr>
              <w:t>g</w:t>
            </w:r>
            <w:r>
              <w:rPr>
                <w:spacing w:val="2"/>
                <w:w w:val="99"/>
                <w:sz w:val="21"/>
              </w:rPr>
              <w:t>／</w:t>
            </w:r>
            <w:r>
              <w:rPr>
                <w:spacing w:val="-2"/>
                <w:w w:val="99"/>
                <w:sz w:val="21"/>
              </w:rPr>
              <w:t>m</w:t>
            </w:r>
            <w:r>
              <w:rPr>
                <w:w w:val="106"/>
                <w:position w:val="11"/>
                <w:sz w:val="10"/>
              </w:rPr>
              <w:t>3</w:t>
            </w:r>
            <w:r>
              <w:rPr>
                <w:spacing w:val="-24"/>
                <w:position w:val="11"/>
                <w:sz w:val="10"/>
              </w:rPr>
              <w:t xml:space="preserve"> </w:t>
            </w:r>
            <w:r>
              <w:rPr>
                <w:spacing w:val="-1"/>
                <w:w w:val="99"/>
                <w:sz w:val="21"/>
              </w:rPr>
              <w:t>不</w:t>
            </w:r>
            <w:r>
              <w:rPr>
                <w:spacing w:val="-11"/>
                <w:w w:val="99"/>
                <w:sz w:val="21"/>
              </w:rPr>
              <w:t>等</w:t>
            </w:r>
            <w:r>
              <w:rPr>
                <w:sz w:val="21"/>
              </w:rPr>
              <w:t>美国</w:t>
            </w:r>
            <w:r>
              <w:rPr>
                <w:spacing w:val="-52"/>
                <w:sz w:val="21"/>
              </w:rPr>
              <w:t xml:space="preserve"> </w:t>
            </w:r>
            <w:r>
              <w:rPr>
                <w:sz w:val="21"/>
              </w:rPr>
              <w:t>TLV—TWA：未制订标准</w:t>
            </w:r>
          </w:p>
          <w:p>
            <w:pPr>
              <w:pStyle w:val="20"/>
              <w:ind w:left="106"/>
              <w:rPr>
                <w:sz w:val="21"/>
              </w:rPr>
            </w:pPr>
            <w:r>
              <w:rPr>
                <w:sz w:val="21"/>
              </w:rPr>
              <w:t>美国 TLV—STEL：未制订标准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侵入途径：</w:t>
            </w:r>
          </w:p>
        </w:tc>
        <w:tc>
          <w:tcPr>
            <w:tcW w:w="6172" w:type="dxa"/>
          </w:tcPr>
          <w:p>
            <w:pPr>
              <w:pStyle w:val="20"/>
              <w:tabs>
                <w:tab w:val="left" w:pos="946"/>
                <w:tab w:val="left" w:pos="1786"/>
              </w:tabs>
              <w:spacing w:before="76"/>
              <w:ind w:left="106"/>
              <w:rPr>
                <w:sz w:val="21"/>
              </w:rPr>
            </w:pPr>
            <w:r>
              <w:rPr>
                <w:sz w:val="21"/>
              </w:rPr>
              <w:t>吸入</w:t>
            </w:r>
            <w:r>
              <w:rPr>
                <w:sz w:val="21"/>
              </w:rPr>
              <w:tab/>
            </w:r>
            <w:r>
              <w:rPr>
                <w:sz w:val="21"/>
              </w:rPr>
              <w:t>食入</w:t>
            </w:r>
            <w:r>
              <w:rPr>
                <w:sz w:val="21"/>
              </w:rPr>
              <w:tab/>
            </w:r>
            <w:r>
              <w:rPr>
                <w:sz w:val="21"/>
              </w:rPr>
              <w:t>经皮吸收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毒性：</w:t>
            </w:r>
          </w:p>
        </w:tc>
        <w:tc>
          <w:tcPr>
            <w:tcW w:w="6172" w:type="dxa"/>
          </w:tcPr>
          <w:p>
            <w:pPr>
              <w:pStyle w:val="20"/>
              <w:spacing w:before="75"/>
              <w:ind w:left="106"/>
              <w:rPr>
                <w:sz w:val="21"/>
              </w:rPr>
            </w:pPr>
            <w:r>
              <w:rPr>
                <w:sz w:val="21"/>
              </w:rPr>
              <w:t>属微毒类</w:t>
            </w:r>
          </w:p>
          <w:p>
            <w:pPr>
              <w:pStyle w:val="20"/>
              <w:spacing w:before="154"/>
              <w:ind w:left="106"/>
              <w:rPr>
                <w:sz w:val="21"/>
              </w:rPr>
            </w:pPr>
            <w:r>
              <w:rPr>
                <w:sz w:val="21"/>
              </w:rPr>
              <w:t>LD50： LC50：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健康危害：</w:t>
            </w:r>
          </w:p>
        </w:tc>
        <w:tc>
          <w:tcPr>
            <w:tcW w:w="6172" w:type="dxa"/>
          </w:tcPr>
          <w:p>
            <w:pPr>
              <w:pStyle w:val="20"/>
              <w:spacing w:before="76"/>
              <w:ind w:left="106" w:right="-15"/>
              <w:rPr>
                <w:sz w:val="21"/>
              </w:rPr>
            </w:pPr>
            <w:r>
              <w:rPr>
                <w:sz w:val="21"/>
              </w:rPr>
              <w:t>接触本品主要危害为过敏而出现皮肤疾病。皮炎有时伴有眼睛和</w:t>
            </w:r>
          </w:p>
          <w:p>
            <w:pPr>
              <w:pStyle w:val="20"/>
              <w:spacing w:before="3" w:line="420" w:lineRule="atLeast"/>
              <w:ind w:left="106" w:right="-15"/>
              <w:rPr>
                <w:sz w:val="21"/>
              </w:rPr>
            </w:pPr>
            <w:r>
              <w:rPr>
                <w:spacing w:val="-4"/>
                <w:sz w:val="21"/>
              </w:rPr>
              <w:t>上呼吸道的刺激，制备和使用环氧树脂的工人，可有头痛、恶心、</w:t>
            </w:r>
            <w:r>
              <w:rPr>
                <w:spacing w:val="-5"/>
                <w:sz w:val="21"/>
              </w:rPr>
              <w:t>食欲不振、眼灼痛、眼睑水肿，上呼吸道刺激，皮肤病症等。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7"/>
              <w:ind w:left="107"/>
              <w:rPr>
                <w:sz w:val="21"/>
              </w:rPr>
            </w:pPr>
            <w:r>
              <w:rPr>
                <w:w w:val="99"/>
                <w:sz w:val="21"/>
              </w:rPr>
              <w:t>急</w:t>
            </w:r>
          </w:p>
        </w:tc>
        <w:tc>
          <w:tcPr>
            <w:tcW w:w="1915" w:type="dxa"/>
          </w:tcPr>
          <w:p>
            <w:pPr>
              <w:pStyle w:val="20"/>
              <w:spacing w:before="77"/>
              <w:ind w:right="97"/>
              <w:jc w:val="right"/>
              <w:rPr>
                <w:sz w:val="21"/>
              </w:rPr>
            </w:pPr>
            <w:r>
              <w:rPr>
                <w:w w:val="95"/>
                <w:sz w:val="21"/>
              </w:rPr>
              <w:t>皮肤接触：</w:t>
            </w:r>
          </w:p>
        </w:tc>
        <w:tc>
          <w:tcPr>
            <w:tcW w:w="6172" w:type="dxa"/>
          </w:tcPr>
          <w:p>
            <w:pPr>
              <w:pStyle w:val="20"/>
              <w:spacing w:before="77"/>
              <w:ind w:left="106"/>
              <w:rPr>
                <w:sz w:val="21"/>
              </w:rPr>
            </w:pPr>
            <w:r>
              <w:rPr>
                <w:sz w:val="21"/>
              </w:rPr>
              <w:t>脱去污染的衣着，用肥皂水及清水彻底冲洗。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眼睛接触：</w:t>
            </w:r>
          </w:p>
        </w:tc>
        <w:tc>
          <w:tcPr>
            <w:tcW w:w="6172" w:type="dxa"/>
          </w:tcPr>
          <w:p>
            <w:pPr>
              <w:pStyle w:val="20"/>
              <w:spacing w:before="76"/>
              <w:ind w:left="106"/>
              <w:rPr>
                <w:sz w:val="21"/>
              </w:rPr>
            </w:pPr>
            <w:r>
              <w:rPr>
                <w:sz w:val="21"/>
              </w:rPr>
              <w:t>立即翻开上下眼睑，立即用流动清水彻底冲洗。就医。</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15"/>
        <w:gridCol w:w="61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6"/>
              <w:ind w:left="107"/>
              <w:rPr>
                <w:sz w:val="21"/>
              </w:rPr>
            </w:pPr>
            <w:r>
              <w:rPr>
                <w:w w:val="99"/>
                <w:sz w:val="21"/>
              </w:rPr>
              <w:t>救</w:t>
            </w:r>
          </w:p>
        </w:tc>
        <w:tc>
          <w:tcPr>
            <w:tcW w:w="1915" w:type="dxa"/>
          </w:tcPr>
          <w:p>
            <w:pPr>
              <w:pStyle w:val="20"/>
              <w:spacing w:before="76"/>
              <w:ind w:right="97"/>
              <w:jc w:val="right"/>
              <w:rPr>
                <w:sz w:val="21"/>
              </w:rPr>
            </w:pPr>
            <w:r>
              <w:rPr>
                <w:w w:val="95"/>
                <w:sz w:val="21"/>
              </w:rPr>
              <w:t>吸入：</w:t>
            </w:r>
          </w:p>
        </w:tc>
        <w:tc>
          <w:tcPr>
            <w:tcW w:w="6172" w:type="dxa"/>
          </w:tcPr>
          <w:p>
            <w:pPr>
              <w:pStyle w:val="20"/>
              <w:spacing w:before="76"/>
              <w:ind w:left="106"/>
              <w:rPr>
                <w:sz w:val="21"/>
              </w:rPr>
            </w:pPr>
            <w:r>
              <w:rPr>
                <w:sz w:val="21"/>
              </w:rPr>
              <w:t>脱离现场至空气新鲜处。就医。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食入：</w:t>
            </w:r>
          </w:p>
        </w:tc>
        <w:tc>
          <w:tcPr>
            <w:tcW w:w="6172" w:type="dxa"/>
          </w:tcPr>
          <w:p>
            <w:pPr>
              <w:pStyle w:val="20"/>
              <w:spacing w:before="75"/>
              <w:ind w:left="106"/>
              <w:rPr>
                <w:sz w:val="21"/>
              </w:rPr>
            </w:pPr>
            <w:r>
              <w:rPr>
                <w:sz w:val="21"/>
              </w:rPr>
              <w:t>误服者给饮足量温水，催吐，就医。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restart"/>
          </w:tcPr>
          <w:p>
            <w:pPr>
              <w:pStyle w:val="20"/>
              <w:spacing w:before="77"/>
              <w:ind w:left="107"/>
              <w:rPr>
                <w:sz w:val="21"/>
              </w:rPr>
            </w:pPr>
            <w:r>
              <w:rPr>
                <w:w w:val="99"/>
                <w:sz w:val="21"/>
              </w:rPr>
              <w:t>防</w:t>
            </w:r>
          </w:p>
          <w:p>
            <w:pPr>
              <w:pStyle w:val="20"/>
              <w:rPr>
                <w:rFonts w:ascii="宋体"/>
                <w:b/>
                <w:sz w:val="20"/>
              </w:rPr>
            </w:pPr>
          </w:p>
          <w:p>
            <w:pPr>
              <w:pStyle w:val="20"/>
              <w:spacing w:before="11"/>
              <w:rPr>
                <w:rFonts w:ascii="宋体"/>
                <w:b/>
                <w:sz w:val="24"/>
              </w:rPr>
            </w:pPr>
          </w:p>
          <w:p>
            <w:pPr>
              <w:pStyle w:val="20"/>
              <w:ind w:left="107"/>
              <w:rPr>
                <w:sz w:val="21"/>
              </w:rPr>
            </w:pPr>
            <w:r>
              <w:rPr>
                <w:w w:val="99"/>
                <w:sz w:val="21"/>
              </w:rPr>
              <w:t>护</w:t>
            </w:r>
          </w:p>
          <w:p>
            <w:pPr>
              <w:pStyle w:val="20"/>
              <w:rPr>
                <w:rFonts w:ascii="宋体"/>
                <w:b/>
                <w:sz w:val="20"/>
              </w:rPr>
            </w:pPr>
          </w:p>
          <w:p>
            <w:pPr>
              <w:pStyle w:val="20"/>
              <w:spacing w:before="2"/>
              <w:rPr>
                <w:rFonts w:ascii="宋体"/>
                <w:b/>
                <w:sz w:val="25"/>
              </w:rPr>
            </w:pPr>
          </w:p>
          <w:p>
            <w:pPr>
              <w:pStyle w:val="20"/>
              <w:ind w:left="107"/>
              <w:rPr>
                <w:sz w:val="21"/>
              </w:rPr>
            </w:pPr>
            <w:r>
              <w:rPr>
                <w:w w:val="99"/>
                <w:sz w:val="21"/>
              </w:rPr>
              <w:t>措</w:t>
            </w:r>
          </w:p>
          <w:p>
            <w:pPr>
              <w:pStyle w:val="20"/>
              <w:rPr>
                <w:rFonts w:ascii="宋体"/>
                <w:b/>
                <w:sz w:val="20"/>
              </w:rPr>
            </w:pPr>
          </w:p>
          <w:p>
            <w:pPr>
              <w:pStyle w:val="20"/>
              <w:spacing w:before="12"/>
              <w:rPr>
                <w:rFonts w:ascii="宋体"/>
                <w:b/>
                <w:sz w:val="24"/>
              </w:rPr>
            </w:pPr>
          </w:p>
          <w:p>
            <w:pPr>
              <w:pStyle w:val="20"/>
              <w:ind w:left="107"/>
              <w:rPr>
                <w:sz w:val="21"/>
              </w:rPr>
            </w:pPr>
            <w:r>
              <w:rPr>
                <w:w w:val="99"/>
                <w:sz w:val="21"/>
              </w:rPr>
              <w:t>施</w:t>
            </w:r>
          </w:p>
        </w:tc>
        <w:tc>
          <w:tcPr>
            <w:tcW w:w="1915" w:type="dxa"/>
          </w:tcPr>
          <w:p>
            <w:pPr>
              <w:pStyle w:val="20"/>
              <w:spacing w:before="77"/>
              <w:ind w:right="97"/>
              <w:jc w:val="right"/>
              <w:rPr>
                <w:sz w:val="21"/>
              </w:rPr>
            </w:pPr>
            <w:r>
              <w:rPr>
                <w:w w:val="95"/>
                <w:sz w:val="21"/>
              </w:rPr>
              <w:t>工程控制：</w:t>
            </w:r>
          </w:p>
        </w:tc>
        <w:tc>
          <w:tcPr>
            <w:tcW w:w="6172" w:type="dxa"/>
          </w:tcPr>
          <w:p>
            <w:pPr>
              <w:pStyle w:val="20"/>
              <w:spacing w:before="77"/>
              <w:ind w:left="106"/>
              <w:rPr>
                <w:sz w:val="21"/>
              </w:rPr>
            </w:pPr>
            <w:r>
              <w:rPr>
                <w:sz w:val="21"/>
              </w:rPr>
              <w:t>密闭操作。提供良好的自然通风条件。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7"/>
              <w:jc w:val="right"/>
              <w:rPr>
                <w:sz w:val="21"/>
              </w:rPr>
            </w:pPr>
            <w:r>
              <w:rPr>
                <w:w w:val="95"/>
                <w:sz w:val="21"/>
              </w:rPr>
              <w:t>呼吸系统防护：</w:t>
            </w:r>
          </w:p>
        </w:tc>
        <w:tc>
          <w:tcPr>
            <w:tcW w:w="6172" w:type="dxa"/>
          </w:tcPr>
          <w:p>
            <w:pPr>
              <w:pStyle w:val="20"/>
              <w:spacing w:before="75"/>
              <w:ind w:left="106"/>
              <w:rPr>
                <w:sz w:val="21"/>
              </w:rPr>
            </w:pPr>
            <w:r>
              <w:rPr>
                <w:sz w:val="21"/>
              </w:rPr>
              <w:t>一般不需特殊防护，但建议特殊情况下，佩带防尘口罩。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7"/>
              <w:ind w:right="97"/>
              <w:jc w:val="right"/>
              <w:rPr>
                <w:sz w:val="21"/>
              </w:rPr>
            </w:pPr>
            <w:r>
              <w:rPr>
                <w:w w:val="95"/>
                <w:sz w:val="21"/>
              </w:rPr>
              <w:t>眼睛防护：</w:t>
            </w:r>
          </w:p>
        </w:tc>
        <w:tc>
          <w:tcPr>
            <w:tcW w:w="6172" w:type="dxa"/>
          </w:tcPr>
          <w:p>
            <w:pPr>
              <w:pStyle w:val="20"/>
              <w:spacing w:before="77"/>
              <w:ind w:left="106"/>
              <w:rPr>
                <w:sz w:val="21"/>
              </w:rPr>
            </w:pPr>
            <w:r>
              <w:rPr>
                <w:sz w:val="21"/>
              </w:rPr>
              <w:t>一般不需特殊防护。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6"/>
              <w:ind w:right="99"/>
              <w:jc w:val="right"/>
              <w:rPr>
                <w:sz w:val="21"/>
              </w:rPr>
            </w:pPr>
            <w:r>
              <w:rPr>
                <w:w w:val="95"/>
                <w:sz w:val="21"/>
              </w:rPr>
              <w:t>防护服：</w:t>
            </w:r>
          </w:p>
        </w:tc>
        <w:tc>
          <w:tcPr>
            <w:tcW w:w="6172" w:type="dxa"/>
          </w:tcPr>
          <w:p>
            <w:pPr>
              <w:pStyle w:val="20"/>
              <w:spacing w:before="76"/>
              <w:ind w:left="106"/>
              <w:rPr>
                <w:sz w:val="21"/>
              </w:rPr>
            </w:pPr>
            <w:r>
              <w:rPr>
                <w:sz w:val="21"/>
              </w:rPr>
              <w:t>穿工作服。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15" w:type="dxa"/>
          </w:tcPr>
          <w:p>
            <w:pPr>
              <w:pStyle w:val="20"/>
              <w:spacing w:before="75"/>
              <w:ind w:right="99"/>
              <w:jc w:val="right"/>
              <w:rPr>
                <w:sz w:val="21"/>
              </w:rPr>
            </w:pPr>
            <w:r>
              <w:rPr>
                <w:w w:val="95"/>
                <w:sz w:val="21"/>
              </w:rPr>
              <w:t>手防护：</w:t>
            </w:r>
          </w:p>
        </w:tc>
        <w:tc>
          <w:tcPr>
            <w:tcW w:w="6172" w:type="dxa"/>
          </w:tcPr>
          <w:p>
            <w:pPr>
              <w:pStyle w:val="20"/>
              <w:spacing w:before="75"/>
              <w:ind w:left="106"/>
              <w:rPr>
                <w:sz w:val="21"/>
              </w:rPr>
            </w:pPr>
            <w:r>
              <w:rPr>
                <w:sz w:val="21"/>
              </w:rPr>
              <w:t>一般不需特殊防护。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26" w:type="dxa"/>
            <w:vMerge w:val="continue"/>
            <w:tcBorders>
              <w:top w:val="nil"/>
            </w:tcBorders>
          </w:tcPr>
          <w:p>
            <w:pPr>
              <w:rPr>
                <w:sz w:val="2"/>
                <w:szCs w:val="2"/>
              </w:rPr>
            </w:pPr>
          </w:p>
        </w:tc>
        <w:tc>
          <w:tcPr>
            <w:tcW w:w="1915" w:type="dxa"/>
          </w:tcPr>
          <w:p>
            <w:pPr>
              <w:pStyle w:val="20"/>
              <w:spacing w:before="76"/>
              <w:ind w:right="97"/>
              <w:jc w:val="right"/>
              <w:rPr>
                <w:sz w:val="21"/>
              </w:rPr>
            </w:pPr>
            <w:r>
              <w:rPr>
                <w:w w:val="95"/>
                <w:sz w:val="21"/>
              </w:rPr>
              <w:t>其他：</w:t>
            </w:r>
          </w:p>
        </w:tc>
        <w:tc>
          <w:tcPr>
            <w:tcW w:w="6172" w:type="dxa"/>
          </w:tcPr>
          <w:p>
            <w:pPr>
              <w:pStyle w:val="20"/>
              <w:spacing w:before="76"/>
              <w:ind w:left="106"/>
              <w:rPr>
                <w:sz w:val="21"/>
              </w:rPr>
            </w:pPr>
            <w:r>
              <w:rPr>
                <w:sz w:val="21"/>
              </w:rPr>
              <w:t>工作现场严禁吸烟。保持良好的卫生习惯。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2341" w:type="dxa"/>
            <w:gridSpan w:val="2"/>
          </w:tcPr>
          <w:p>
            <w:pPr>
              <w:pStyle w:val="20"/>
              <w:spacing w:before="77"/>
              <w:ind w:left="1182"/>
              <w:rPr>
                <w:sz w:val="21"/>
              </w:rPr>
            </w:pPr>
            <w:r>
              <w:rPr>
                <w:sz w:val="21"/>
              </w:rPr>
              <w:t>泄漏处置：</w:t>
            </w:r>
          </w:p>
        </w:tc>
        <w:tc>
          <w:tcPr>
            <w:tcW w:w="6172" w:type="dxa"/>
          </w:tcPr>
          <w:p>
            <w:pPr>
              <w:pStyle w:val="20"/>
              <w:spacing w:before="77" w:line="376" w:lineRule="auto"/>
              <w:ind w:left="106" w:right="98"/>
              <w:jc w:val="both"/>
              <w:rPr>
                <w:sz w:val="21"/>
              </w:rPr>
            </w:pPr>
            <w:r>
              <w:rPr>
                <w:sz w:val="21"/>
              </w:rPr>
              <w:t>切断火源。戴好防毒面具和手套。如是固体，收集回收。如是液体，在确保安全情况下堵漏。用干燥的砂土或类似物质吸收，然后在专用废弃场所深层掩埋。如大量泄漏，收集回收或无害处理</w:t>
            </w:r>
          </w:p>
          <w:p>
            <w:pPr>
              <w:pStyle w:val="20"/>
              <w:ind w:left="106"/>
              <w:rPr>
                <w:sz w:val="21"/>
              </w:rPr>
            </w:pPr>
            <w:r>
              <w:rPr>
                <w:sz w:val="21"/>
              </w:rPr>
              <w:t>后废弃。</w:t>
            </w:r>
          </w:p>
        </w:tc>
      </w:tr>
    </w:tbl>
    <w:p>
      <w:pPr>
        <w:pStyle w:val="7"/>
        <w:rPr>
          <w:b/>
          <w:sz w:val="20"/>
        </w:rPr>
      </w:pPr>
    </w:p>
    <w:p>
      <w:pPr>
        <w:pStyle w:val="7"/>
        <w:spacing w:before="3"/>
        <w:rPr>
          <w:b/>
          <w:sz w:val="14"/>
        </w:rPr>
      </w:pPr>
    </w:p>
    <w:p>
      <w:pPr>
        <w:tabs>
          <w:tab w:val="left" w:pos="1347"/>
        </w:tabs>
        <w:spacing w:before="70"/>
        <w:ind w:left="397" w:right="0" w:firstLine="0"/>
        <w:jc w:val="center"/>
        <w:rPr>
          <w:b/>
          <w:sz w:val="21"/>
        </w:rPr>
      </w:pPr>
      <w:r>
        <w:rPr>
          <w:b/>
          <w:sz w:val="21"/>
        </w:rPr>
        <w:t>表3.1-3</w:t>
      </w:r>
      <w:r>
        <w:rPr>
          <w:b/>
          <w:sz w:val="21"/>
        </w:rPr>
        <w:tab/>
      </w:r>
      <w:r>
        <w:rPr>
          <w:b/>
          <w:sz w:val="21"/>
        </w:rPr>
        <w:t>二甲苯理化性质及危险特性表</w:t>
      </w:r>
    </w:p>
    <w:p>
      <w:pPr>
        <w:pStyle w:val="7"/>
        <w:spacing w:before="1"/>
        <w:rPr>
          <w:b/>
          <w:sz w:val="6"/>
        </w:r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49"/>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5"/>
              <w:ind w:left="107"/>
              <w:rPr>
                <w:sz w:val="21"/>
              </w:rPr>
            </w:pPr>
            <w:r>
              <w:rPr>
                <w:w w:val="99"/>
                <w:sz w:val="21"/>
              </w:rPr>
              <w:t>标</w:t>
            </w:r>
          </w:p>
          <w:p>
            <w:pPr>
              <w:pStyle w:val="20"/>
              <w:rPr>
                <w:rFonts w:ascii="宋体"/>
                <w:b/>
                <w:sz w:val="20"/>
              </w:rPr>
            </w:pPr>
          </w:p>
          <w:p>
            <w:pPr>
              <w:pStyle w:val="20"/>
              <w:spacing w:before="1"/>
              <w:rPr>
                <w:rFonts w:ascii="宋体"/>
                <w:b/>
                <w:sz w:val="25"/>
              </w:rPr>
            </w:pPr>
          </w:p>
          <w:p>
            <w:pPr>
              <w:pStyle w:val="20"/>
              <w:ind w:left="107"/>
              <w:rPr>
                <w:sz w:val="21"/>
              </w:rPr>
            </w:pPr>
            <w:r>
              <w:rPr>
                <w:w w:val="99"/>
                <w:sz w:val="21"/>
              </w:rPr>
              <w:t>识</w:t>
            </w:r>
          </w:p>
        </w:tc>
        <w:tc>
          <w:tcPr>
            <w:tcW w:w="1949" w:type="dxa"/>
          </w:tcPr>
          <w:p>
            <w:pPr>
              <w:pStyle w:val="20"/>
              <w:spacing w:before="75"/>
              <w:ind w:right="97"/>
              <w:jc w:val="right"/>
              <w:rPr>
                <w:sz w:val="21"/>
              </w:rPr>
            </w:pPr>
            <w:r>
              <w:rPr>
                <w:w w:val="95"/>
                <w:sz w:val="21"/>
              </w:rPr>
              <w:t>中文名：</w:t>
            </w:r>
          </w:p>
        </w:tc>
        <w:tc>
          <w:tcPr>
            <w:tcW w:w="6138" w:type="dxa"/>
          </w:tcPr>
          <w:p>
            <w:pPr>
              <w:pStyle w:val="20"/>
              <w:spacing w:before="75"/>
              <w:ind w:left="108"/>
              <w:rPr>
                <w:sz w:val="21"/>
              </w:rPr>
            </w:pPr>
            <w:r>
              <w:rPr>
                <w:sz w:val="21"/>
              </w:rPr>
              <w:t>二甲苯异构体混合物；(混合)二甲苯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英文名：</w:t>
            </w:r>
          </w:p>
        </w:tc>
        <w:tc>
          <w:tcPr>
            <w:tcW w:w="6138" w:type="dxa"/>
          </w:tcPr>
          <w:p>
            <w:pPr>
              <w:pStyle w:val="20"/>
              <w:spacing w:before="76"/>
              <w:ind w:left="108"/>
              <w:rPr>
                <w:sz w:val="21"/>
              </w:rPr>
            </w:pPr>
            <w:r>
              <w:rPr>
                <w:sz w:val="21"/>
              </w:rPr>
              <w:t>XYLENES；Xylol；Dimethylbenzene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分子式：</w:t>
            </w:r>
          </w:p>
        </w:tc>
        <w:tc>
          <w:tcPr>
            <w:tcW w:w="6138" w:type="dxa"/>
          </w:tcPr>
          <w:p>
            <w:pPr>
              <w:pStyle w:val="20"/>
              <w:spacing w:before="75"/>
              <w:ind w:left="108"/>
              <w:rPr>
                <w:sz w:val="21"/>
              </w:rPr>
            </w:pPr>
            <w:r>
              <w:rPr>
                <w:spacing w:val="-2"/>
                <w:w w:val="99"/>
                <w:sz w:val="21"/>
              </w:rPr>
              <w:t>C</w:t>
            </w:r>
            <w:r>
              <w:rPr>
                <w:spacing w:val="-1"/>
                <w:w w:val="106"/>
                <w:position w:val="-2"/>
                <w:sz w:val="10"/>
              </w:rPr>
              <w:t>8</w:t>
            </w:r>
            <w:r>
              <w:rPr>
                <w:spacing w:val="1"/>
                <w:w w:val="99"/>
                <w:sz w:val="21"/>
              </w:rPr>
              <w:t>H</w:t>
            </w:r>
            <w:r>
              <w:rPr>
                <w:spacing w:val="-1"/>
                <w:w w:val="106"/>
                <w:position w:val="-2"/>
                <w:sz w:val="10"/>
              </w:rPr>
              <w:t>1</w:t>
            </w:r>
            <w:r>
              <w:rPr>
                <w:spacing w:val="-3"/>
                <w:w w:val="106"/>
                <w:position w:val="-2"/>
                <w:sz w:val="10"/>
              </w:rPr>
              <w:t>0</w:t>
            </w:r>
            <w:r>
              <w:rPr>
                <w:spacing w:val="2"/>
                <w:w w:val="99"/>
                <w:sz w:val="21"/>
              </w:rPr>
              <w:t>；</w:t>
            </w:r>
            <w:r>
              <w:rPr>
                <w:spacing w:val="1"/>
                <w:w w:val="99"/>
                <w:sz w:val="21"/>
              </w:rPr>
              <w:t>C6H</w:t>
            </w:r>
            <w:r>
              <w:rPr>
                <w:spacing w:val="-2"/>
                <w:w w:val="99"/>
                <w:sz w:val="21"/>
              </w:rPr>
              <w:t>4</w:t>
            </w:r>
            <w:r>
              <w:rPr>
                <w:spacing w:val="1"/>
                <w:w w:val="99"/>
                <w:sz w:val="21"/>
              </w:rPr>
              <w:t>(CH</w:t>
            </w:r>
            <w:r>
              <w:rPr>
                <w:spacing w:val="-2"/>
                <w:w w:val="99"/>
                <w:sz w:val="21"/>
              </w:rPr>
              <w:t>3</w:t>
            </w:r>
            <w:r>
              <w:rPr>
                <w:spacing w:val="1"/>
                <w:w w:val="99"/>
                <w:sz w:val="21"/>
              </w:rPr>
              <w:t>)</w:t>
            </w:r>
            <w:r>
              <w:rPr>
                <w:w w:val="99"/>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分子量：</w:t>
            </w:r>
          </w:p>
        </w:tc>
        <w:tc>
          <w:tcPr>
            <w:tcW w:w="6138" w:type="dxa"/>
          </w:tcPr>
          <w:p>
            <w:pPr>
              <w:pStyle w:val="20"/>
              <w:spacing w:before="76"/>
              <w:ind w:left="108"/>
              <w:rPr>
                <w:sz w:val="21"/>
              </w:rPr>
            </w:pPr>
            <w:r>
              <w:rPr>
                <w:sz w:val="21"/>
              </w:rPr>
              <w:t>106.17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sz w:val="21"/>
              </w:rPr>
              <w:t>CAS 号：</w:t>
            </w:r>
          </w:p>
        </w:tc>
        <w:tc>
          <w:tcPr>
            <w:tcW w:w="6138" w:type="dxa"/>
          </w:tcPr>
          <w:p>
            <w:pPr>
              <w:pStyle w:val="20"/>
              <w:spacing w:before="76"/>
              <w:ind w:left="108"/>
              <w:rPr>
                <w:sz w:val="21"/>
              </w:rPr>
            </w:pPr>
            <w:r>
              <w:rPr>
                <w:sz w:val="21"/>
              </w:rPr>
              <w:t>1330—20—7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7"/>
              <w:ind w:right="97"/>
              <w:jc w:val="right"/>
              <w:rPr>
                <w:sz w:val="21"/>
              </w:rPr>
            </w:pPr>
            <w:r>
              <w:rPr>
                <w:sz w:val="21"/>
              </w:rPr>
              <w:t>RTECS 号：</w:t>
            </w:r>
          </w:p>
        </w:tc>
        <w:tc>
          <w:tcPr>
            <w:tcW w:w="6138" w:type="dxa"/>
          </w:tcPr>
          <w:p>
            <w:pPr>
              <w:pStyle w:val="20"/>
              <w:spacing w:before="77"/>
              <w:ind w:left="108"/>
              <w:rPr>
                <w:sz w:val="21"/>
              </w:rPr>
            </w:pPr>
            <w:r>
              <w:rPr>
                <w:sz w:val="21"/>
              </w:rPr>
              <w:t>ZE2450000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sz w:val="21"/>
              </w:rPr>
              <w:t>UN 编号：</w:t>
            </w:r>
          </w:p>
        </w:tc>
        <w:tc>
          <w:tcPr>
            <w:tcW w:w="6138" w:type="dxa"/>
          </w:tcPr>
          <w:p>
            <w:pPr>
              <w:pStyle w:val="20"/>
              <w:spacing w:before="76"/>
              <w:ind w:left="108"/>
              <w:rPr>
                <w:sz w:val="21"/>
              </w:rPr>
            </w:pPr>
            <w:r>
              <w:rPr>
                <w:sz w:val="21"/>
              </w:rPr>
              <w:t>1307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5"/>
              <w:ind w:left="370"/>
              <w:rPr>
                <w:sz w:val="21"/>
              </w:rPr>
            </w:pPr>
            <w:r>
              <w:rPr>
                <w:sz w:val="21"/>
              </w:rPr>
              <w:t>危险货物编号：</w:t>
            </w:r>
          </w:p>
        </w:tc>
        <w:tc>
          <w:tcPr>
            <w:tcW w:w="6138" w:type="dxa"/>
          </w:tcPr>
          <w:p>
            <w:pPr>
              <w:pStyle w:val="20"/>
              <w:spacing w:before="75"/>
              <w:ind w:left="108"/>
              <w:rPr>
                <w:sz w:val="21"/>
              </w:rPr>
            </w:pPr>
            <w:r>
              <w:rPr>
                <w:sz w:val="21"/>
              </w:rPr>
              <w:t>33535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left="317"/>
              <w:rPr>
                <w:sz w:val="21"/>
              </w:rPr>
            </w:pPr>
            <w:r>
              <w:rPr>
                <w:sz w:val="21"/>
              </w:rPr>
              <w:t>IMDG 规则页码：</w:t>
            </w:r>
          </w:p>
        </w:tc>
        <w:tc>
          <w:tcPr>
            <w:tcW w:w="6138" w:type="dxa"/>
          </w:tcPr>
          <w:p>
            <w:pPr>
              <w:pStyle w:val="20"/>
              <w:spacing w:before="76"/>
              <w:ind w:left="108"/>
              <w:rPr>
                <w:sz w:val="21"/>
              </w:rPr>
            </w:pPr>
            <w:r>
              <w:rPr>
                <w:sz w:val="21"/>
              </w:rPr>
              <w:t>3292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5" w:line="626" w:lineRule="auto"/>
              <w:ind w:left="107" w:right="97"/>
              <w:jc w:val="both"/>
              <w:rPr>
                <w:sz w:val="21"/>
              </w:rPr>
            </w:pPr>
            <w:r>
              <w:rPr>
                <w:sz w:val="21"/>
              </w:rPr>
              <w:t>理化性质</w:t>
            </w:r>
          </w:p>
        </w:tc>
        <w:tc>
          <w:tcPr>
            <w:tcW w:w="1949" w:type="dxa"/>
          </w:tcPr>
          <w:p>
            <w:pPr>
              <w:pStyle w:val="20"/>
              <w:spacing w:before="75"/>
              <w:ind w:right="97"/>
              <w:jc w:val="right"/>
              <w:rPr>
                <w:sz w:val="21"/>
              </w:rPr>
            </w:pPr>
            <w:r>
              <w:rPr>
                <w:w w:val="95"/>
                <w:sz w:val="21"/>
              </w:rPr>
              <w:t>外观与性状：</w:t>
            </w:r>
          </w:p>
        </w:tc>
        <w:tc>
          <w:tcPr>
            <w:tcW w:w="6138" w:type="dxa"/>
          </w:tcPr>
          <w:p>
            <w:pPr>
              <w:pStyle w:val="20"/>
              <w:spacing w:before="75"/>
              <w:ind w:left="108"/>
              <w:rPr>
                <w:sz w:val="21"/>
              </w:rPr>
            </w:pPr>
            <w:r>
              <w:rPr>
                <w:sz w:val="21"/>
              </w:rPr>
              <w:t>液体有邻、间、对位三种异构体，本品是其混合物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7"/>
              <w:ind w:right="97"/>
              <w:jc w:val="right"/>
              <w:rPr>
                <w:sz w:val="21"/>
              </w:rPr>
            </w:pPr>
            <w:r>
              <w:rPr>
                <w:w w:val="95"/>
                <w:sz w:val="21"/>
              </w:rPr>
              <w:t>主要用途：</w:t>
            </w:r>
          </w:p>
        </w:tc>
        <w:tc>
          <w:tcPr>
            <w:tcW w:w="6138"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熔点：</w:t>
            </w:r>
          </w:p>
        </w:tc>
        <w:tc>
          <w:tcPr>
            <w:tcW w:w="6138" w:type="dxa"/>
          </w:tcPr>
          <w:p>
            <w:pPr>
              <w:pStyle w:val="20"/>
              <w:spacing w:before="76"/>
              <w:ind w:left="108"/>
              <w:rPr>
                <w:sz w:val="21"/>
              </w:rPr>
            </w:pPr>
            <w:r>
              <w:rPr>
                <w:sz w:val="21"/>
              </w:rPr>
              <w:t>—25(0)；—48(m)；13(p)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沸点：</w:t>
            </w:r>
          </w:p>
        </w:tc>
        <w:tc>
          <w:tcPr>
            <w:tcW w:w="6138" w:type="dxa"/>
          </w:tcPr>
          <w:p>
            <w:pPr>
              <w:pStyle w:val="20"/>
              <w:spacing w:before="75"/>
              <w:ind w:left="108"/>
              <w:rPr>
                <w:sz w:val="21"/>
              </w:rPr>
            </w:pPr>
            <w:r>
              <w:rPr>
                <w:sz w:val="21"/>
              </w:rPr>
              <w:t>144(o)；139(m)；138(p)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left="161"/>
              <w:rPr>
                <w:sz w:val="21"/>
              </w:rPr>
            </w:pPr>
            <w:r>
              <w:rPr>
                <w:sz w:val="21"/>
              </w:rPr>
              <w:t>相对密度(水=1)：</w:t>
            </w:r>
          </w:p>
        </w:tc>
        <w:tc>
          <w:tcPr>
            <w:tcW w:w="6138" w:type="dxa"/>
          </w:tcPr>
          <w:p>
            <w:pPr>
              <w:pStyle w:val="20"/>
              <w:spacing w:before="76"/>
              <w:ind w:left="108"/>
              <w:rPr>
                <w:sz w:val="21"/>
              </w:rPr>
            </w:pPr>
            <w:r>
              <w:rPr>
                <w:sz w:val="21"/>
              </w:rPr>
              <w:t>0．876(o)；0．86(m，p)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相对密度(空气</w:t>
            </w:r>
          </w:p>
          <w:p>
            <w:pPr>
              <w:pStyle w:val="20"/>
              <w:spacing w:before="156"/>
              <w:ind w:right="96"/>
              <w:jc w:val="right"/>
              <w:rPr>
                <w:sz w:val="21"/>
              </w:rPr>
            </w:pPr>
            <w:r>
              <w:rPr>
                <w:spacing w:val="-1"/>
                <w:sz w:val="21"/>
              </w:rPr>
              <w:t>=1):</w:t>
            </w:r>
          </w:p>
        </w:tc>
        <w:tc>
          <w:tcPr>
            <w:tcW w:w="6138" w:type="dxa"/>
          </w:tcPr>
          <w:p>
            <w:pPr>
              <w:pStyle w:val="20"/>
              <w:spacing w:before="75"/>
              <w:ind w:left="108"/>
              <w:rPr>
                <w:sz w:val="21"/>
              </w:rPr>
            </w:pPr>
            <w:r>
              <w:rPr>
                <w:sz w:val="21"/>
              </w:rPr>
              <w:t>3．66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26" w:type="dxa"/>
            <w:vMerge w:val="continue"/>
            <w:tcBorders>
              <w:top w:val="nil"/>
            </w:tcBorders>
          </w:tcPr>
          <w:p>
            <w:pPr>
              <w:rPr>
                <w:sz w:val="2"/>
                <w:szCs w:val="2"/>
              </w:rPr>
            </w:pPr>
          </w:p>
        </w:tc>
        <w:tc>
          <w:tcPr>
            <w:tcW w:w="1949" w:type="dxa"/>
          </w:tcPr>
          <w:p>
            <w:pPr>
              <w:pStyle w:val="20"/>
              <w:spacing w:before="76"/>
              <w:ind w:right="44"/>
              <w:jc w:val="right"/>
              <w:rPr>
                <w:sz w:val="21"/>
              </w:rPr>
            </w:pPr>
            <w:r>
              <w:rPr>
                <w:w w:val="95"/>
                <w:sz w:val="21"/>
              </w:rPr>
              <w:t>饱和蒸汽压(kPa)：</w:t>
            </w:r>
          </w:p>
        </w:tc>
        <w:tc>
          <w:tcPr>
            <w:tcW w:w="6138" w:type="dxa"/>
          </w:tcPr>
          <w:p>
            <w:pPr>
              <w:pStyle w:val="20"/>
              <w:spacing w:before="76"/>
              <w:ind w:left="108"/>
              <w:rPr>
                <w:sz w:val="21"/>
              </w:rPr>
            </w:pPr>
            <w:r>
              <w:rPr>
                <w:sz w:val="21"/>
              </w:rPr>
              <w:t>1．33／32℃</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49"/>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rPr>
                <w:rFonts w:ascii="Times New Roman"/>
                <w:sz w:val="20"/>
              </w:rPr>
            </w:pPr>
          </w:p>
        </w:tc>
        <w:tc>
          <w:tcPr>
            <w:tcW w:w="1949" w:type="dxa"/>
          </w:tcPr>
          <w:p>
            <w:pPr>
              <w:pStyle w:val="20"/>
              <w:spacing w:before="76"/>
              <w:ind w:right="97"/>
              <w:jc w:val="right"/>
              <w:rPr>
                <w:sz w:val="21"/>
              </w:rPr>
            </w:pPr>
            <w:r>
              <w:rPr>
                <w:w w:val="95"/>
                <w:sz w:val="21"/>
              </w:rPr>
              <w:t>溶解性：</w:t>
            </w:r>
          </w:p>
        </w:tc>
        <w:tc>
          <w:tcPr>
            <w:tcW w:w="6138" w:type="dxa"/>
          </w:tcPr>
          <w:p>
            <w:pPr>
              <w:pStyle w:val="20"/>
              <w:spacing w:before="76"/>
              <w:ind w:left="108"/>
              <w:rPr>
                <w:sz w:val="21"/>
              </w:rPr>
            </w:pPr>
            <w:r>
              <w:rPr>
                <w:sz w:val="21"/>
              </w:rPr>
              <w:t>不溶于水，可混溶于乙醇、乙醚、氯仿等多数有机溶剂。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临界温度(℃)：</w:t>
            </w:r>
          </w:p>
        </w:tc>
        <w:tc>
          <w:tcPr>
            <w:tcW w:w="6138" w:type="dxa"/>
          </w:tcPr>
          <w:p>
            <w:pPr>
              <w:pStyle w:val="20"/>
              <w:spacing w:before="75"/>
              <w:ind w:left="108"/>
              <w:rPr>
                <w:sz w:val="21"/>
              </w:rPr>
            </w:pPr>
            <w:r>
              <w:rPr>
                <w:sz w:val="21"/>
              </w:rPr>
              <w:t>≈357．2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7"/>
              <w:ind w:right="97"/>
              <w:jc w:val="right"/>
              <w:rPr>
                <w:sz w:val="21"/>
              </w:rPr>
            </w:pPr>
            <w:r>
              <w:rPr>
                <w:w w:val="95"/>
                <w:sz w:val="21"/>
              </w:rPr>
              <w:t>临界压力(MPa)：</w:t>
            </w:r>
          </w:p>
        </w:tc>
        <w:tc>
          <w:tcPr>
            <w:tcW w:w="6138" w:type="dxa"/>
          </w:tcPr>
          <w:p>
            <w:pPr>
              <w:pStyle w:val="20"/>
              <w:spacing w:before="77"/>
              <w:ind w:left="108"/>
              <w:rPr>
                <w:sz w:val="21"/>
              </w:rPr>
            </w:pPr>
            <w:r>
              <w:rPr>
                <w:sz w:val="21"/>
              </w:rPr>
              <w:t>3．70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燃烧热(kj/mol)：</w:t>
            </w:r>
          </w:p>
        </w:tc>
        <w:tc>
          <w:tcPr>
            <w:tcW w:w="6138" w:type="dxa"/>
          </w:tcPr>
          <w:p>
            <w:pPr>
              <w:pStyle w:val="20"/>
              <w:spacing w:before="75"/>
              <w:ind w:left="108"/>
              <w:rPr>
                <w:sz w:val="21"/>
              </w:rPr>
            </w:pPr>
            <w:r>
              <w:rPr>
                <w:sz w:val="21"/>
              </w:rPr>
              <w:t>≈4563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7"/>
              <w:ind w:left="107"/>
              <w:rPr>
                <w:sz w:val="21"/>
              </w:rPr>
            </w:pPr>
            <w:r>
              <w:rPr>
                <w:w w:val="99"/>
                <w:sz w:val="21"/>
              </w:rPr>
              <w:t>燃</w:t>
            </w:r>
          </w:p>
          <w:p>
            <w:pPr>
              <w:pStyle w:val="20"/>
              <w:rPr>
                <w:rFonts w:ascii="宋体"/>
                <w:b/>
                <w:sz w:val="20"/>
              </w:rPr>
            </w:pPr>
          </w:p>
          <w:p>
            <w:pPr>
              <w:pStyle w:val="20"/>
              <w:spacing w:before="12"/>
              <w:rPr>
                <w:rFonts w:ascii="宋体"/>
                <w:b/>
                <w:sz w:val="24"/>
              </w:rPr>
            </w:pPr>
          </w:p>
          <w:p>
            <w:pPr>
              <w:pStyle w:val="20"/>
              <w:ind w:left="107"/>
              <w:rPr>
                <w:sz w:val="21"/>
              </w:rPr>
            </w:pPr>
            <w:r>
              <w:rPr>
                <w:w w:val="99"/>
                <w:sz w:val="21"/>
              </w:rPr>
              <w:t>烧</w:t>
            </w:r>
          </w:p>
          <w:p>
            <w:pPr>
              <w:pStyle w:val="20"/>
              <w:rPr>
                <w:rFonts w:ascii="宋体"/>
                <w:b/>
                <w:sz w:val="20"/>
              </w:rPr>
            </w:pPr>
          </w:p>
          <w:p>
            <w:pPr>
              <w:pStyle w:val="20"/>
              <w:spacing w:before="1"/>
              <w:rPr>
                <w:rFonts w:ascii="宋体"/>
                <w:b/>
                <w:sz w:val="25"/>
              </w:rPr>
            </w:pPr>
          </w:p>
          <w:p>
            <w:pPr>
              <w:pStyle w:val="20"/>
              <w:ind w:left="107"/>
              <w:rPr>
                <w:sz w:val="21"/>
              </w:rPr>
            </w:pPr>
            <w:r>
              <w:rPr>
                <w:w w:val="99"/>
                <w:sz w:val="21"/>
              </w:rPr>
              <w:t>爆</w:t>
            </w:r>
          </w:p>
          <w:p>
            <w:pPr>
              <w:pStyle w:val="20"/>
              <w:rPr>
                <w:rFonts w:ascii="宋体"/>
                <w:b/>
                <w:sz w:val="20"/>
              </w:rPr>
            </w:pPr>
          </w:p>
          <w:p>
            <w:pPr>
              <w:pStyle w:val="20"/>
              <w:spacing w:before="12"/>
              <w:rPr>
                <w:rFonts w:ascii="宋体"/>
                <w:b/>
                <w:sz w:val="24"/>
              </w:rPr>
            </w:pPr>
          </w:p>
          <w:p>
            <w:pPr>
              <w:pStyle w:val="20"/>
              <w:ind w:left="107"/>
              <w:rPr>
                <w:sz w:val="21"/>
              </w:rPr>
            </w:pPr>
            <w:r>
              <w:rPr>
                <w:w w:val="99"/>
                <w:sz w:val="21"/>
              </w:rPr>
              <w:t>炸</w:t>
            </w:r>
          </w:p>
          <w:p>
            <w:pPr>
              <w:pStyle w:val="20"/>
              <w:rPr>
                <w:rFonts w:ascii="宋体"/>
                <w:b/>
                <w:sz w:val="20"/>
              </w:rPr>
            </w:pPr>
          </w:p>
          <w:p>
            <w:pPr>
              <w:pStyle w:val="20"/>
              <w:spacing w:before="2"/>
              <w:rPr>
                <w:rFonts w:ascii="宋体"/>
                <w:b/>
                <w:sz w:val="25"/>
              </w:rPr>
            </w:pPr>
          </w:p>
          <w:p>
            <w:pPr>
              <w:pStyle w:val="20"/>
              <w:ind w:left="107"/>
              <w:rPr>
                <w:sz w:val="21"/>
              </w:rPr>
            </w:pPr>
            <w:r>
              <w:rPr>
                <w:w w:val="99"/>
                <w:sz w:val="21"/>
              </w:rPr>
              <w:t>危</w:t>
            </w:r>
          </w:p>
          <w:p>
            <w:pPr>
              <w:pStyle w:val="20"/>
              <w:rPr>
                <w:rFonts w:ascii="宋体"/>
                <w:b/>
                <w:sz w:val="20"/>
              </w:rPr>
            </w:pPr>
          </w:p>
          <w:p>
            <w:pPr>
              <w:pStyle w:val="20"/>
              <w:spacing w:before="12"/>
              <w:rPr>
                <w:rFonts w:ascii="宋体"/>
                <w:b/>
                <w:sz w:val="24"/>
              </w:rPr>
            </w:pPr>
          </w:p>
          <w:p>
            <w:pPr>
              <w:pStyle w:val="20"/>
              <w:ind w:left="107"/>
              <w:rPr>
                <w:sz w:val="21"/>
              </w:rPr>
            </w:pPr>
            <w:r>
              <w:rPr>
                <w:w w:val="99"/>
                <w:sz w:val="21"/>
              </w:rPr>
              <w:t>险</w:t>
            </w:r>
          </w:p>
          <w:p>
            <w:pPr>
              <w:pStyle w:val="20"/>
              <w:rPr>
                <w:rFonts w:ascii="宋体"/>
                <w:b/>
                <w:sz w:val="20"/>
              </w:rPr>
            </w:pPr>
          </w:p>
          <w:p>
            <w:pPr>
              <w:pStyle w:val="20"/>
              <w:spacing w:before="1"/>
              <w:rPr>
                <w:rFonts w:ascii="宋体"/>
                <w:b/>
                <w:sz w:val="25"/>
              </w:rPr>
            </w:pPr>
          </w:p>
          <w:p>
            <w:pPr>
              <w:pStyle w:val="20"/>
              <w:spacing w:before="1"/>
              <w:ind w:left="107"/>
              <w:rPr>
                <w:sz w:val="21"/>
              </w:rPr>
            </w:pPr>
            <w:r>
              <w:rPr>
                <w:w w:val="99"/>
                <w:sz w:val="21"/>
              </w:rPr>
              <w:t>性</w:t>
            </w:r>
          </w:p>
        </w:tc>
        <w:tc>
          <w:tcPr>
            <w:tcW w:w="1949" w:type="dxa"/>
          </w:tcPr>
          <w:p>
            <w:pPr>
              <w:pStyle w:val="20"/>
              <w:spacing w:before="77"/>
              <w:ind w:right="97"/>
              <w:jc w:val="right"/>
              <w:rPr>
                <w:sz w:val="21"/>
              </w:rPr>
            </w:pPr>
            <w:r>
              <w:rPr>
                <w:w w:val="95"/>
                <w:sz w:val="21"/>
              </w:rPr>
              <w:t>避免接触的条件：</w:t>
            </w:r>
          </w:p>
        </w:tc>
        <w:tc>
          <w:tcPr>
            <w:tcW w:w="6138"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燃烧性：</w:t>
            </w:r>
          </w:p>
        </w:tc>
        <w:tc>
          <w:tcPr>
            <w:tcW w:w="6138" w:type="dxa"/>
          </w:tcPr>
          <w:p>
            <w:pPr>
              <w:pStyle w:val="20"/>
              <w:spacing w:before="76"/>
              <w:ind w:left="108"/>
              <w:rPr>
                <w:sz w:val="21"/>
              </w:rPr>
            </w:pPr>
            <w:r>
              <w:rPr>
                <w:sz w:val="21"/>
              </w:rPr>
              <w:t>易燃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建规火险分级：</w:t>
            </w:r>
          </w:p>
        </w:tc>
        <w:tc>
          <w:tcPr>
            <w:tcW w:w="6138" w:type="dxa"/>
          </w:tcPr>
          <w:p>
            <w:pPr>
              <w:pStyle w:val="20"/>
              <w:spacing w:before="75"/>
              <w:ind w:left="108"/>
              <w:rPr>
                <w:sz w:val="21"/>
              </w:rPr>
            </w:pPr>
            <w:r>
              <w:rPr>
                <w:w w:val="99"/>
                <w:sz w:val="21"/>
              </w:rPr>
              <w:t>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闪点(℃)：</w:t>
            </w:r>
          </w:p>
        </w:tc>
        <w:tc>
          <w:tcPr>
            <w:tcW w:w="6138" w:type="dxa"/>
          </w:tcPr>
          <w:p>
            <w:pPr>
              <w:pStyle w:val="20"/>
              <w:spacing w:before="76"/>
              <w:ind w:left="108"/>
              <w:rPr>
                <w:sz w:val="21"/>
              </w:rPr>
            </w:pPr>
            <w:r>
              <w:rPr>
                <w:sz w:val="21"/>
              </w:rPr>
              <w:t>32(o)；27(m)；27(p)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自燃温度(℃)：</w:t>
            </w:r>
          </w:p>
        </w:tc>
        <w:tc>
          <w:tcPr>
            <w:tcW w:w="6138" w:type="dxa"/>
          </w:tcPr>
          <w:p>
            <w:pPr>
              <w:pStyle w:val="20"/>
              <w:spacing w:before="75"/>
              <w:ind w:left="108"/>
              <w:rPr>
                <w:sz w:val="21"/>
              </w:rPr>
            </w:pPr>
            <w:r>
              <w:rPr>
                <w:sz w:val="21"/>
              </w:rPr>
              <w:t>463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7"/>
              <w:ind w:right="97"/>
              <w:jc w:val="right"/>
              <w:rPr>
                <w:sz w:val="21"/>
              </w:rPr>
            </w:pPr>
            <w:r>
              <w:rPr>
                <w:w w:val="95"/>
                <w:sz w:val="21"/>
              </w:rPr>
              <w:t>爆炸下限(V%)：</w:t>
            </w:r>
          </w:p>
        </w:tc>
        <w:tc>
          <w:tcPr>
            <w:tcW w:w="6138" w:type="dxa"/>
          </w:tcPr>
          <w:p>
            <w:pPr>
              <w:pStyle w:val="20"/>
              <w:spacing w:before="77"/>
              <w:ind w:left="108"/>
              <w:rPr>
                <w:sz w:val="21"/>
              </w:rPr>
            </w:pPr>
            <w:r>
              <w:rPr>
                <w:sz w:val="21"/>
              </w:rPr>
              <w:t>1．0％(o)；1．1％(m，p)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爆炸上限(V%)：</w:t>
            </w:r>
          </w:p>
        </w:tc>
        <w:tc>
          <w:tcPr>
            <w:tcW w:w="6138" w:type="dxa"/>
          </w:tcPr>
          <w:p>
            <w:pPr>
              <w:pStyle w:val="20"/>
              <w:spacing w:before="76"/>
              <w:ind w:left="108"/>
              <w:rPr>
                <w:sz w:val="21"/>
              </w:rPr>
            </w:pPr>
            <w:r>
              <w:rPr>
                <w:sz w:val="21"/>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危险特性：</w:t>
            </w:r>
          </w:p>
        </w:tc>
        <w:tc>
          <w:tcPr>
            <w:tcW w:w="6138" w:type="dxa"/>
          </w:tcPr>
          <w:p>
            <w:pPr>
              <w:pStyle w:val="20"/>
              <w:spacing w:before="75" w:line="376" w:lineRule="auto"/>
              <w:ind w:left="108" w:right="-15"/>
              <w:rPr>
                <w:sz w:val="21"/>
              </w:rPr>
            </w:pPr>
            <w:r>
              <w:rPr>
                <w:spacing w:val="-5"/>
                <w:sz w:val="21"/>
              </w:rPr>
              <w:t>其蒸气与空气形成爆炸性混合物，遇明火、高热能引起燃烧爆炸。</w:t>
            </w:r>
            <w:r>
              <w:rPr>
                <w:spacing w:val="-3"/>
                <w:sz w:val="21"/>
              </w:rPr>
              <w:t>与氧化剂能发生强烈反应。其蒸气比空气重，能在较低处扩散到</w:t>
            </w:r>
            <w:r>
              <w:rPr>
                <w:spacing w:val="-2"/>
                <w:sz w:val="21"/>
              </w:rPr>
              <w:t>相当远的地方，遇火源引着回燃。若遇高热，容器内压增大，有</w:t>
            </w:r>
          </w:p>
          <w:p>
            <w:pPr>
              <w:pStyle w:val="20"/>
              <w:spacing w:before="2"/>
              <w:ind w:left="108"/>
              <w:rPr>
                <w:sz w:val="21"/>
              </w:rPr>
            </w:pPr>
            <w:r>
              <w:rPr>
                <w:sz w:val="21"/>
              </w:rPr>
              <w:t>开裂和爆炸的危险。流速过快，容易产生和积聚静电。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7"/>
              <w:ind w:right="97"/>
              <w:jc w:val="right"/>
              <w:rPr>
                <w:sz w:val="21"/>
              </w:rPr>
            </w:pPr>
            <w:r>
              <w:rPr>
                <w:w w:val="95"/>
                <w:sz w:val="21"/>
              </w:rPr>
              <w:t>燃烧(分解)产物：</w:t>
            </w:r>
          </w:p>
        </w:tc>
        <w:tc>
          <w:tcPr>
            <w:tcW w:w="6138" w:type="dxa"/>
          </w:tcPr>
          <w:p>
            <w:pPr>
              <w:pStyle w:val="20"/>
              <w:spacing w:before="77"/>
              <w:ind w:left="108"/>
              <w:rPr>
                <w:sz w:val="21"/>
              </w:rPr>
            </w:pPr>
            <w:r>
              <w:rPr>
                <w:sz w:val="21"/>
              </w:rPr>
              <w:t>一氧化碳、二氧化碳。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稳定性：</w:t>
            </w:r>
          </w:p>
        </w:tc>
        <w:tc>
          <w:tcPr>
            <w:tcW w:w="6138" w:type="dxa"/>
          </w:tcPr>
          <w:p>
            <w:pPr>
              <w:pStyle w:val="20"/>
              <w:spacing w:before="76"/>
              <w:ind w:left="108"/>
              <w:rPr>
                <w:sz w:val="21"/>
              </w:rPr>
            </w:pPr>
            <w:r>
              <w:rPr>
                <w:sz w:val="21"/>
              </w:rPr>
              <w:t>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聚合危害：</w:t>
            </w:r>
          </w:p>
        </w:tc>
        <w:tc>
          <w:tcPr>
            <w:tcW w:w="6138" w:type="dxa"/>
          </w:tcPr>
          <w:p>
            <w:pPr>
              <w:pStyle w:val="20"/>
              <w:spacing w:before="75"/>
              <w:ind w:left="108"/>
              <w:rPr>
                <w:sz w:val="21"/>
              </w:rPr>
            </w:pPr>
            <w:r>
              <w:rPr>
                <w:sz w:val="21"/>
              </w:rPr>
              <w:t>不能出现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禁忌物：</w:t>
            </w:r>
          </w:p>
        </w:tc>
        <w:tc>
          <w:tcPr>
            <w:tcW w:w="6138" w:type="dxa"/>
          </w:tcPr>
          <w:p>
            <w:pPr>
              <w:pStyle w:val="20"/>
              <w:spacing w:before="76"/>
              <w:ind w:left="108"/>
              <w:rPr>
                <w:sz w:val="21"/>
              </w:rPr>
            </w:pPr>
            <w:r>
              <w:rPr>
                <w:sz w:val="21"/>
              </w:rPr>
              <w:t>强氧化剂。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灭火方法：</w:t>
            </w:r>
          </w:p>
        </w:tc>
        <w:tc>
          <w:tcPr>
            <w:tcW w:w="6138" w:type="dxa"/>
          </w:tcPr>
          <w:p>
            <w:pPr>
              <w:pStyle w:val="20"/>
              <w:spacing w:before="75"/>
              <w:ind w:left="108"/>
              <w:rPr>
                <w:sz w:val="21"/>
              </w:rPr>
            </w:pPr>
            <w:r>
              <w:rPr>
                <w:sz w:val="21"/>
              </w:rPr>
              <w:t>泡沫、二氧化碳、干粉、砂土。用水灭火无效。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6" w:line="376" w:lineRule="auto"/>
              <w:ind w:left="107" w:right="97"/>
              <w:jc w:val="both"/>
              <w:rPr>
                <w:sz w:val="21"/>
              </w:rPr>
            </w:pPr>
            <w:r>
              <w:rPr>
                <w:sz w:val="21"/>
              </w:rPr>
              <w:t>包装与储运</w:t>
            </w:r>
          </w:p>
        </w:tc>
        <w:tc>
          <w:tcPr>
            <w:tcW w:w="1949" w:type="dxa"/>
          </w:tcPr>
          <w:p>
            <w:pPr>
              <w:pStyle w:val="20"/>
              <w:spacing w:before="76"/>
              <w:ind w:right="97"/>
              <w:jc w:val="right"/>
              <w:rPr>
                <w:sz w:val="21"/>
              </w:rPr>
            </w:pPr>
            <w:r>
              <w:rPr>
                <w:w w:val="95"/>
                <w:sz w:val="21"/>
              </w:rPr>
              <w:t>危险性类别：</w:t>
            </w:r>
          </w:p>
        </w:tc>
        <w:tc>
          <w:tcPr>
            <w:tcW w:w="6138" w:type="dxa"/>
          </w:tcPr>
          <w:p>
            <w:pPr>
              <w:pStyle w:val="20"/>
              <w:tabs>
                <w:tab w:val="left" w:pos="1157"/>
              </w:tabs>
              <w:spacing w:before="76"/>
              <w:ind w:left="108"/>
              <w:rPr>
                <w:sz w:val="21"/>
              </w:rPr>
            </w:pPr>
            <w:r>
              <w:rPr>
                <w:sz w:val="21"/>
              </w:rPr>
              <w:t>第</w:t>
            </w:r>
            <w:r>
              <w:rPr>
                <w:spacing w:val="-54"/>
                <w:sz w:val="21"/>
              </w:rPr>
              <w:t xml:space="preserve"> </w:t>
            </w:r>
            <w:r>
              <w:rPr>
                <w:sz w:val="21"/>
              </w:rPr>
              <w:t>3</w:t>
            </w:r>
            <w:r>
              <w:rPr>
                <w:spacing w:val="-53"/>
                <w:sz w:val="21"/>
              </w:rPr>
              <w:t xml:space="preserve"> </w:t>
            </w:r>
            <w:r>
              <w:rPr>
                <w:sz w:val="21"/>
              </w:rPr>
              <w:t>类</w:t>
            </w:r>
            <w:r>
              <w:rPr>
                <w:sz w:val="21"/>
              </w:rPr>
              <w:tab/>
            </w:r>
            <w:r>
              <w:rPr>
                <w:sz w:val="21"/>
              </w:rPr>
              <w:t>易燃液体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危险货物包装标</w:t>
            </w:r>
          </w:p>
          <w:p>
            <w:pPr>
              <w:pStyle w:val="20"/>
              <w:spacing w:before="154"/>
              <w:ind w:right="97"/>
              <w:jc w:val="right"/>
              <w:rPr>
                <w:sz w:val="21"/>
              </w:rPr>
            </w:pPr>
            <w:r>
              <w:rPr>
                <w:spacing w:val="-1"/>
                <w:w w:val="95"/>
                <w:sz w:val="21"/>
              </w:rPr>
              <w:t>志：</w:t>
            </w:r>
          </w:p>
        </w:tc>
        <w:tc>
          <w:tcPr>
            <w:tcW w:w="6138" w:type="dxa"/>
          </w:tcPr>
          <w:p>
            <w:pPr>
              <w:pStyle w:val="20"/>
              <w:spacing w:before="75"/>
              <w:ind w:left="108"/>
              <w:rPr>
                <w:sz w:val="21"/>
              </w:rPr>
            </w:pPr>
            <w:r>
              <w:rPr>
                <w:w w:val="99"/>
                <w:sz w:val="21"/>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包装类别：</w:t>
            </w:r>
          </w:p>
        </w:tc>
        <w:tc>
          <w:tcPr>
            <w:tcW w:w="6138" w:type="dxa"/>
          </w:tcPr>
          <w:p>
            <w:pPr>
              <w:pStyle w:val="20"/>
              <w:spacing w:before="76"/>
              <w:ind w:left="108"/>
              <w:rPr>
                <w:sz w:val="21"/>
              </w:rPr>
            </w:pPr>
            <w:r>
              <w:rPr>
                <w:w w:val="99"/>
                <w:sz w:val="21"/>
              </w:rPr>
              <w:t>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0"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储运注意事项：</w:t>
            </w:r>
          </w:p>
        </w:tc>
        <w:tc>
          <w:tcPr>
            <w:tcW w:w="6138" w:type="dxa"/>
          </w:tcPr>
          <w:p>
            <w:pPr>
              <w:pStyle w:val="20"/>
              <w:spacing w:before="75" w:line="376" w:lineRule="auto"/>
              <w:ind w:left="108" w:right="-15"/>
              <w:rPr>
                <w:sz w:val="21"/>
              </w:rPr>
            </w:pPr>
            <w:r>
              <w:rPr>
                <w:spacing w:val="-13"/>
                <w:sz w:val="21"/>
              </w:rPr>
              <w:t xml:space="preserve">储存于阴凉、通风仓间内。远离火种、热源。仓温不宜超过 </w:t>
            </w:r>
            <w:r>
              <w:rPr>
                <w:sz w:val="21"/>
              </w:rPr>
              <w:t>30℃。防止阳光直射。保持容器密封。应与氧化剂分开存放。储存间内的照明、通风等设施应采用防爆型，开关设在仓外。配备相应品种和数量的消防器材。罐储时要有防火防爆技术措施。露天贮罐夏季要有降温措施。禁止使用易产生火花的机械设备和工具。灌</w:t>
            </w:r>
            <w:r>
              <w:rPr>
                <w:spacing w:val="-6"/>
                <w:sz w:val="21"/>
              </w:rPr>
              <w:t xml:space="preserve">装时应注意流速(不超过 </w:t>
            </w:r>
            <w:r>
              <w:rPr>
                <w:sz w:val="21"/>
              </w:rPr>
              <w:t>3m／s)</w:t>
            </w:r>
            <w:r>
              <w:rPr>
                <w:spacing w:val="-1"/>
                <w:sz w:val="21"/>
              </w:rPr>
              <w:t>，且有接地装置，防止静电积聚。</w:t>
            </w:r>
          </w:p>
          <w:p>
            <w:pPr>
              <w:pStyle w:val="20"/>
              <w:spacing w:before="5"/>
              <w:ind w:left="108"/>
              <w:rPr>
                <w:sz w:val="21"/>
              </w:rPr>
            </w:pPr>
            <w:r>
              <w:rPr>
                <w:sz w:val="21"/>
              </w:rPr>
              <w:t>搬运时要轻装轻卸，防止包装及容器损坏。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26" w:type="dxa"/>
          </w:tcPr>
          <w:p>
            <w:pPr>
              <w:pStyle w:val="20"/>
              <w:spacing w:before="76"/>
              <w:ind w:left="107"/>
              <w:rPr>
                <w:sz w:val="21"/>
              </w:rPr>
            </w:pPr>
            <w:r>
              <w:rPr>
                <w:w w:val="99"/>
                <w:sz w:val="21"/>
              </w:rPr>
              <w:t>毒</w:t>
            </w:r>
          </w:p>
        </w:tc>
        <w:tc>
          <w:tcPr>
            <w:tcW w:w="1949" w:type="dxa"/>
          </w:tcPr>
          <w:p>
            <w:pPr>
              <w:pStyle w:val="20"/>
              <w:spacing w:before="76"/>
              <w:ind w:right="97"/>
              <w:jc w:val="right"/>
              <w:rPr>
                <w:sz w:val="21"/>
              </w:rPr>
            </w:pPr>
            <w:r>
              <w:rPr>
                <w:w w:val="95"/>
                <w:sz w:val="21"/>
              </w:rPr>
              <w:t>接触限值：</w:t>
            </w:r>
          </w:p>
        </w:tc>
        <w:tc>
          <w:tcPr>
            <w:tcW w:w="6138" w:type="dxa"/>
          </w:tcPr>
          <w:p>
            <w:pPr>
              <w:pStyle w:val="20"/>
              <w:spacing w:before="76"/>
              <w:ind w:left="108"/>
              <w:rPr>
                <w:sz w:val="10"/>
              </w:rPr>
            </w:pPr>
            <w:r>
              <w:rPr>
                <w:spacing w:val="-1"/>
                <w:w w:val="99"/>
                <w:sz w:val="21"/>
              </w:rPr>
              <w:t>中国</w:t>
            </w:r>
            <w:r>
              <w:rPr>
                <w:spacing w:val="-53"/>
                <w:sz w:val="21"/>
              </w:rPr>
              <w:t xml:space="preserve"> </w:t>
            </w:r>
            <w:r>
              <w:rPr>
                <w:spacing w:val="1"/>
                <w:w w:val="99"/>
                <w:sz w:val="21"/>
              </w:rPr>
              <w:t>MA</w:t>
            </w:r>
            <w:r>
              <w:rPr>
                <w:spacing w:val="-2"/>
                <w:w w:val="99"/>
                <w:sz w:val="21"/>
              </w:rPr>
              <w:t>C</w:t>
            </w:r>
            <w:r>
              <w:rPr>
                <w:spacing w:val="2"/>
                <w:w w:val="99"/>
                <w:sz w:val="21"/>
              </w:rPr>
              <w:t>：</w:t>
            </w:r>
            <w:r>
              <w:rPr>
                <w:spacing w:val="1"/>
                <w:w w:val="99"/>
                <w:sz w:val="21"/>
              </w:rPr>
              <w:t>100</w:t>
            </w:r>
            <w:r>
              <w:rPr>
                <w:spacing w:val="-2"/>
                <w:w w:val="99"/>
                <w:sz w:val="21"/>
              </w:rPr>
              <w:t>m</w:t>
            </w:r>
            <w:r>
              <w:rPr>
                <w:spacing w:val="1"/>
                <w:w w:val="99"/>
                <w:sz w:val="21"/>
              </w:rPr>
              <w:t>g</w:t>
            </w:r>
            <w:r>
              <w:rPr>
                <w:spacing w:val="-1"/>
                <w:w w:val="99"/>
                <w:sz w:val="21"/>
              </w:rPr>
              <w:t>／</w:t>
            </w:r>
            <w:r>
              <w:rPr>
                <w:spacing w:val="1"/>
                <w:w w:val="99"/>
                <w:sz w:val="21"/>
              </w:rPr>
              <w:t>m</w:t>
            </w:r>
            <w:r>
              <w:rPr>
                <w:w w:val="106"/>
                <w:position w:val="11"/>
                <w:sz w:val="10"/>
              </w:rPr>
              <w:t>3</w:t>
            </w:r>
          </w:p>
        </w:tc>
      </w:tr>
    </w:tbl>
    <w:p>
      <w:pPr>
        <w:spacing w:after="0"/>
        <w:rPr>
          <w:sz w:val="10"/>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49"/>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426" w:type="dxa"/>
            <w:vMerge w:val="restart"/>
          </w:tcPr>
          <w:p>
            <w:pPr>
              <w:pStyle w:val="20"/>
              <w:spacing w:before="76" w:line="376" w:lineRule="auto"/>
              <w:ind w:left="107" w:right="97"/>
              <w:jc w:val="both"/>
              <w:rPr>
                <w:sz w:val="21"/>
              </w:rPr>
            </w:pPr>
            <w:r>
              <w:rPr>
                <w:sz w:val="21"/>
              </w:rPr>
              <w:t>性危害</w:t>
            </w:r>
          </w:p>
        </w:tc>
        <w:tc>
          <w:tcPr>
            <w:tcW w:w="1949" w:type="dxa"/>
          </w:tcPr>
          <w:p>
            <w:pPr>
              <w:pStyle w:val="20"/>
              <w:rPr>
                <w:rFonts w:ascii="Times New Roman"/>
                <w:sz w:val="20"/>
              </w:rPr>
            </w:pPr>
          </w:p>
        </w:tc>
        <w:tc>
          <w:tcPr>
            <w:tcW w:w="6138" w:type="dxa"/>
          </w:tcPr>
          <w:p>
            <w:pPr>
              <w:pStyle w:val="20"/>
              <w:spacing w:before="76"/>
              <w:ind w:left="108"/>
              <w:rPr>
                <w:sz w:val="10"/>
              </w:rPr>
            </w:pPr>
            <w:r>
              <w:rPr>
                <w:spacing w:val="-1"/>
                <w:w w:val="99"/>
                <w:sz w:val="21"/>
              </w:rPr>
              <w:t>苏联</w:t>
            </w:r>
            <w:r>
              <w:rPr>
                <w:spacing w:val="-53"/>
                <w:sz w:val="21"/>
              </w:rPr>
              <w:t xml:space="preserve"> </w:t>
            </w:r>
            <w:r>
              <w:rPr>
                <w:spacing w:val="1"/>
                <w:w w:val="99"/>
                <w:sz w:val="21"/>
              </w:rPr>
              <w:t>MA</w:t>
            </w:r>
            <w:r>
              <w:rPr>
                <w:spacing w:val="-2"/>
                <w:w w:val="99"/>
                <w:sz w:val="21"/>
              </w:rPr>
              <w:t>C</w:t>
            </w:r>
            <w:r>
              <w:rPr>
                <w:spacing w:val="2"/>
                <w:w w:val="99"/>
                <w:sz w:val="21"/>
              </w:rPr>
              <w:t>：</w:t>
            </w:r>
            <w:r>
              <w:rPr>
                <w:spacing w:val="1"/>
                <w:w w:val="99"/>
                <w:sz w:val="21"/>
              </w:rPr>
              <w:t>50m</w:t>
            </w:r>
            <w:r>
              <w:rPr>
                <w:spacing w:val="-2"/>
                <w:w w:val="99"/>
                <w:sz w:val="21"/>
              </w:rPr>
              <w:t>g</w:t>
            </w:r>
            <w:r>
              <w:rPr>
                <w:spacing w:val="-1"/>
                <w:w w:val="99"/>
                <w:sz w:val="21"/>
              </w:rPr>
              <w:t>／</w:t>
            </w:r>
            <w:r>
              <w:rPr>
                <w:spacing w:val="1"/>
                <w:w w:val="99"/>
                <w:sz w:val="21"/>
              </w:rPr>
              <w:t>m</w:t>
            </w:r>
            <w:r>
              <w:rPr>
                <w:w w:val="106"/>
                <w:position w:val="11"/>
                <w:sz w:val="10"/>
              </w:rPr>
              <w:t>3</w:t>
            </w:r>
          </w:p>
          <w:p>
            <w:pPr>
              <w:pStyle w:val="20"/>
              <w:spacing w:before="2" w:line="420" w:lineRule="atLeast"/>
              <w:ind w:left="108" w:right="138"/>
              <w:rPr>
                <w:sz w:val="10"/>
              </w:rPr>
            </w:pPr>
            <w:r>
              <w:rPr>
                <w:spacing w:val="-1"/>
                <w:w w:val="99"/>
                <w:sz w:val="21"/>
              </w:rPr>
              <w:t>美国</w:t>
            </w:r>
            <w:r>
              <w:rPr>
                <w:spacing w:val="-53"/>
                <w:sz w:val="21"/>
              </w:rPr>
              <w:t xml:space="preserve"> </w:t>
            </w:r>
            <w:r>
              <w:rPr>
                <w:spacing w:val="1"/>
                <w:w w:val="99"/>
                <w:sz w:val="21"/>
              </w:rPr>
              <w:t>TW</w:t>
            </w:r>
            <w:r>
              <w:rPr>
                <w:spacing w:val="-2"/>
                <w:w w:val="99"/>
                <w:sz w:val="21"/>
              </w:rPr>
              <w:t>A</w:t>
            </w:r>
            <w:r>
              <w:rPr>
                <w:spacing w:val="2"/>
                <w:w w:val="99"/>
                <w:sz w:val="21"/>
              </w:rPr>
              <w:t>：</w:t>
            </w:r>
            <w:r>
              <w:rPr>
                <w:spacing w:val="1"/>
                <w:w w:val="99"/>
                <w:sz w:val="21"/>
              </w:rPr>
              <w:t>OSH</w:t>
            </w:r>
            <w:r>
              <w:rPr>
                <w:w w:val="99"/>
                <w:sz w:val="21"/>
              </w:rPr>
              <w:t>A</w:t>
            </w:r>
            <w:r>
              <w:rPr>
                <w:spacing w:val="-1"/>
                <w:sz w:val="21"/>
              </w:rPr>
              <w:t xml:space="preserve"> </w:t>
            </w:r>
            <w:r>
              <w:rPr>
                <w:spacing w:val="1"/>
                <w:w w:val="99"/>
                <w:sz w:val="21"/>
              </w:rPr>
              <w:t>10</w:t>
            </w:r>
            <w:r>
              <w:rPr>
                <w:spacing w:val="-2"/>
                <w:w w:val="99"/>
                <w:sz w:val="21"/>
              </w:rPr>
              <w:t>0</w:t>
            </w:r>
            <w:r>
              <w:rPr>
                <w:spacing w:val="1"/>
                <w:w w:val="99"/>
                <w:sz w:val="21"/>
              </w:rPr>
              <w:t>pp</w:t>
            </w:r>
            <w:r>
              <w:rPr>
                <w:spacing w:val="-2"/>
                <w:w w:val="99"/>
                <w:sz w:val="21"/>
              </w:rPr>
              <w:t>m</w:t>
            </w:r>
            <w:r>
              <w:rPr>
                <w:spacing w:val="2"/>
                <w:w w:val="99"/>
                <w:sz w:val="21"/>
              </w:rPr>
              <w:t>，</w:t>
            </w:r>
            <w:r>
              <w:rPr>
                <w:spacing w:val="1"/>
                <w:w w:val="99"/>
                <w:sz w:val="21"/>
              </w:rPr>
              <w:t>43</w:t>
            </w:r>
            <w:r>
              <w:rPr>
                <w:spacing w:val="-2"/>
                <w:w w:val="99"/>
                <w:sz w:val="21"/>
              </w:rPr>
              <w:t>4</w:t>
            </w:r>
            <w:r>
              <w:rPr>
                <w:spacing w:val="1"/>
                <w:w w:val="99"/>
                <w:sz w:val="21"/>
              </w:rPr>
              <w:t>m</w:t>
            </w:r>
            <w:r>
              <w:rPr>
                <w:spacing w:val="-2"/>
                <w:w w:val="99"/>
                <w:sz w:val="21"/>
              </w:rPr>
              <w:t>g</w:t>
            </w:r>
            <w:r>
              <w:rPr>
                <w:spacing w:val="2"/>
                <w:w w:val="99"/>
                <w:sz w:val="21"/>
              </w:rPr>
              <w:t>／</w:t>
            </w:r>
            <w:r>
              <w:rPr>
                <w:spacing w:val="1"/>
                <w:w w:val="99"/>
                <w:sz w:val="21"/>
              </w:rPr>
              <w:t>m</w:t>
            </w:r>
            <w:r>
              <w:rPr>
                <w:spacing w:val="-1"/>
                <w:w w:val="106"/>
                <w:position w:val="11"/>
                <w:sz w:val="10"/>
              </w:rPr>
              <w:t>3</w:t>
            </w:r>
            <w:r>
              <w:rPr>
                <w:spacing w:val="-1"/>
                <w:w w:val="99"/>
                <w:sz w:val="21"/>
              </w:rPr>
              <w:t>；</w:t>
            </w:r>
            <w:r>
              <w:rPr>
                <w:spacing w:val="1"/>
                <w:w w:val="99"/>
                <w:sz w:val="21"/>
              </w:rPr>
              <w:t>ACG</w:t>
            </w:r>
            <w:r>
              <w:rPr>
                <w:spacing w:val="-2"/>
                <w:w w:val="99"/>
                <w:sz w:val="21"/>
              </w:rPr>
              <w:t>I</w:t>
            </w:r>
            <w:r>
              <w:rPr>
                <w:w w:val="99"/>
                <w:sz w:val="21"/>
              </w:rPr>
              <w:t>H</w:t>
            </w:r>
            <w:r>
              <w:rPr>
                <w:spacing w:val="1"/>
                <w:sz w:val="21"/>
              </w:rPr>
              <w:t xml:space="preserve"> </w:t>
            </w:r>
            <w:r>
              <w:rPr>
                <w:spacing w:val="1"/>
                <w:w w:val="99"/>
                <w:sz w:val="21"/>
              </w:rPr>
              <w:t>100</w:t>
            </w:r>
            <w:r>
              <w:rPr>
                <w:spacing w:val="-2"/>
                <w:w w:val="99"/>
                <w:sz w:val="21"/>
              </w:rPr>
              <w:t>p</w:t>
            </w:r>
            <w:r>
              <w:rPr>
                <w:spacing w:val="1"/>
                <w:w w:val="99"/>
                <w:sz w:val="21"/>
              </w:rPr>
              <w:t>p</w:t>
            </w:r>
            <w:r>
              <w:rPr>
                <w:spacing w:val="-2"/>
                <w:w w:val="99"/>
                <w:sz w:val="21"/>
              </w:rPr>
              <w:t>m</w:t>
            </w:r>
            <w:r>
              <w:rPr>
                <w:spacing w:val="2"/>
                <w:w w:val="99"/>
                <w:sz w:val="21"/>
              </w:rPr>
              <w:t>，</w:t>
            </w:r>
            <w:r>
              <w:rPr>
                <w:spacing w:val="1"/>
                <w:w w:val="99"/>
                <w:sz w:val="21"/>
              </w:rPr>
              <w:t>434</w:t>
            </w:r>
            <w:r>
              <w:rPr>
                <w:spacing w:val="-2"/>
                <w:w w:val="99"/>
                <w:sz w:val="21"/>
              </w:rPr>
              <w:t>m</w:t>
            </w:r>
            <w:r>
              <w:rPr>
                <w:spacing w:val="1"/>
                <w:w w:val="99"/>
                <w:sz w:val="21"/>
              </w:rPr>
              <w:t>g</w:t>
            </w:r>
            <w:r>
              <w:rPr>
                <w:spacing w:val="-1"/>
                <w:w w:val="99"/>
                <w:sz w:val="21"/>
              </w:rPr>
              <w:t>／</w:t>
            </w:r>
            <w:r>
              <w:rPr>
                <w:spacing w:val="1"/>
                <w:w w:val="99"/>
                <w:sz w:val="21"/>
              </w:rPr>
              <w:t>m</w:t>
            </w:r>
            <w:r>
              <w:rPr>
                <w:w w:val="99"/>
                <w:sz w:val="21"/>
              </w:rPr>
              <w:t>3</w:t>
            </w:r>
            <w:r>
              <w:rPr>
                <w:spacing w:val="-1"/>
                <w:w w:val="99"/>
                <w:sz w:val="21"/>
              </w:rPr>
              <w:t>美国</w:t>
            </w:r>
            <w:r>
              <w:rPr>
                <w:spacing w:val="-53"/>
                <w:sz w:val="21"/>
              </w:rPr>
              <w:t xml:space="preserve"> </w:t>
            </w:r>
            <w:r>
              <w:rPr>
                <w:spacing w:val="1"/>
                <w:w w:val="99"/>
                <w:sz w:val="21"/>
              </w:rPr>
              <w:t>STE</w:t>
            </w:r>
            <w:r>
              <w:rPr>
                <w:spacing w:val="-2"/>
                <w:w w:val="99"/>
                <w:sz w:val="21"/>
              </w:rPr>
              <w:t>L</w:t>
            </w:r>
            <w:r>
              <w:rPr>
                <w:spacing w:val="2"/>
                <w:w w:val="99"/>
                <w:sz w:val="21"/>
              </w:rPr>
              <w:t>：</w:t>
            </w:r>
            <w:r>
              <w:rPr>
                <w:spacing w:val="1"/>
                <w:w w:val="99"/>
                <w:sz w:val="21"/>
              </w:rPr>
              <w:t>AC</w:t>
            </w:r>
            <w:r>
              <w:rPr>
                <w:spacing w:val="-2"/>
                <w:w w:val="99"/>
                <w:sz w:val="21"/>
              </w:rPr>
              <w:t>G</w:t>
            </w:r>
            <w:r>
              <w:rPr>
                <w:spacing w:val="1"/>
                <w:w w:val="99"/>
                <w:sz w:val="21"/>
              </w:rPr>
              <w:t>I</w:t>
            </w:r>
            <w:r>
              <w:rPr>
                <w:w w:val="99"/>
                <w:sz w:val="21"/>
              </w:rPr>
              <w:t>H</w:t>
            </w:r>
            <w:r>
              <w:rPr>
                <w:spacing w:val="-1"/>
                <w:sz w:val="21"/>
              </w:rPr>
              <w:t xml:space="preserve"> </w:t>
            </w:r>
            <w:r>
              <w:rPr>
                <w:spacing w:val="1"/>
                <w:w w:val="99"/>
                <w:sz w:val="21"/>
              </w:rPr>
              <w:t>150</w:t>
            </w:r>
            <w:r>
              <w:rPr>
                <w:spacing w:val="-2"/>
                <w:w w:val="99"/>
                <w:sz w:val="21"/>
              </w:rPr>
              <w:t>p</w:t>
            </w:r>
            <w:r>
              <w:rPr>
                <w:spacing w:val="1"/>
                <w:w w:val="99"/>
                <w:sz w:val="21"/>
              </w:rPr>
              <w:t>pm</w:t>
            </w:r>
            <w:r>
              <w:rPr>
                <w:spacing w:val="-1"/>
                <w:w w:val="99"/>
                <w:sz w:val="21"/>
              </w:rPr>
              <w:t>，</w:t>
            </w:r>
            <w:r>
              <w:rPr>
                <w:spacing w:val="1"/>
                <w:w w:val="99"/>
                <w:sz w:val="21"/>
              </w:rPr>
              <w:t>651</w:t>
            </w:r>
            <w:r>
              <w:rPr>
                <w:spacing w:val="-2"/>
                <w:w w:val="99"/>
                <w:sz w:val="21"/>
              </w:rPr>
              <w:t>m</w:t>
            </w:r>
            <w:r>
              <w:rPr>
                <w:spacing w:val="1"/>
                <w:w w:val="99"/>
                <w:sz w:val="21"/>
              </w:rPr>
              <w:t>g</w:t>
            </w:r>
            <w:r>
              <w:rPr>
                <w:spacing w:val="-1"/>
                <w:w w:val="99"/>
                <w:sz w:val="21"/>
              </w:rPr>
              <w:t>／</w:t>
            </w:r>
            <w:r>
              <w:rPr>
                <w:spacing w:val="1"/>
                <w:w w:val="99"/>
                <w:sz w:val="21"/>
              </w:rPr>
              <w:t>m</w:t>
            </w:r>
            <w:r>
              <w:rPr>
                <w:w w:val="106"/>
                <w:position w:val="10"/>
                <w:sz w:val="1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侵入途径：</w:t>
            </w:r>
          </w:p>
        </w:tc>
        <w:tc>
          <w:tcPr>
            <w:tcW w:w="6138" w:type="dxa"/>
          </w:tcPr>
          <w:p>
            <w:pPr>
              <w:pStyle w:val="20"/>
              <w:tabs>
                <w:tab w:val="left" w:pos="948"/>
                <w:tab w:val="left" w:pos="1788"/>
              </w:tabs>
              <w:spacing w:before="76"/>
              <w:ind w:left="108"/>
              <w:rPr>
                <w:sz w:val="21"/>
              </w:rPr>
            </w:pPr>
            <w:r>
              <w:rPr>
                <w:sz w:val="21"/>
              </w:rPr>
              <w:t>吸入</w:t>
            </w:r>
            <w:r>
              <w:rPr>
                <w:sz w:val="21"/>
              </w:rPr>
              <w:tab/>
            </w:r>
            <w:r>
              <w:rPr>
                <w:sz w:val="21"/>
              </w:rPr>
              <w:t>食入</w:t>
            </w:r>
            <w:r>
              <w:rPr>
                <w:sz w:val="21"/>
              </w:rPr>
              <w:tab/>
            </w:r>
            <w:r>
              <w:rPr>
                <w:sz w:val="21"/>
              </w:rPr>
              <w:t>经皮吸收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8"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毒性：</w:t>
            </w:r>
          </w:p>
        </w:tc>
        <w:tc>
          <w:tcPr>
            <w:tcW w:w="6138" w:type="dxa"/>
          </w:tcPr>
          <w:p>
            <w:pPr>
              <w:pStyle w:val="20"/>
              <w:spacing w:before="75"/>
              <w:ind w:left="108"/>
              <w:rPr>
                <w:sz w:val="21"/>
              </w:rPr>
            </w:pPr>
            <w:r>
              <w:rPr>
                <w:sz w:val="21"/>
              </w:rPr>
              <w:t>属低毒类</w:t>
            </w:r>
          </w:p>
          <w:p>
            <w:pPr>
              <w:pStyle w:val="20"/>
              <w:spacing w:before="24" w:line="424" w:lineRule="exact"/>
              <w:ind w:left="108" w:right="3270"/>
              <w:rPr>
                <w:sz w:val="21"/>
              </w:rPr>
            </w:pPr>
            <w:r>
              <w:rPr>
                <w:sz w:val="21"/>
              </w:rPr>
              <w:t>LD50：1364mg／kg(小鼠静注) LC50：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5"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健康危害：</w:t>
            </w:r>
          </w:p>
        </w:tc>
        <w:tc>
          <w:tcPr>
            <w:tcW w:w="6138" w:type="dxa"/>
          </w:tcPr>
          <w:p>
            <w:pPr>
              <w:pStyle w:val="20"/>
              <w:spacing w:before="76" w:line="376" w:lineRule="auto"/>
              <w:ind w:left="108" w:right="96"/>
              <w:jc w:val="both"/>
              <w:rPr>
                <w:sz w:val="21"/>
              </w:rPr>
            </w:pPr>
            <w:r>
              <w:rPr>
                <w:sz w:val="21"/>
              </w:rPr>
              <w:t>对皮肤、粘膜有刺激作用，对中枢神经系统有麻醉作用；长期作用可影响肝、肾功能。急性中毒：病人有咳嗽、流沮、结膜充血等重症者有幻觉、谵妄、神志不清等，有的有癔病样发作。慢性中毒：病人有神经衰弱综合征的表现，女工有月经异常，工人常</w:t>
            </w:r>
          </w:p>
          <w:p>
            <w:pPr>
              <w:pStyle w:val="20"/>
              <w:spacing w:before="2"/>
              <w:ind w:left="108"/>
              <w:rPr>
                <w:sz w:val="21"/>
              </w:rPr>
            </w:pPr>
            <w:r>
              <w:rPr>
                <w:sz w:val="21"/>
              </w:rPr>
              <w:t>发生皮肤干燥、皲裂、皮炎。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restart"/>
          </w:tcPr>
          <w:p>
            <w:pPr>
              <w:pStyle w:val="20"/>
              <w:spacing w:before="77" w:line="624" w:lineRule="auto"/>
              <w:ind w:left="107" w:right="97"/>
              <w:rPr>
                <w:sz w:val="21"/>
              </w:rPr>
            </w:pPr>
            <w:r>
              <w:rPr>
                <w:sz w:val="21"/>
              </w:rPr>
              <w:t>急救</w:t>
            </w:r>
          </w:p>
        </w:tc>
        <w:tc>
          <w:tcPr>
            <w:tcW w:w="1949" w:type="dxa"/>
          </w:tcPr>
          <w:p>
            <w:pPr>
              <w:pStyle w:val="20"/>
              <w:spacing w:before="77"/>
              <w:ind w:right="97"/>
              <w:jc w:val="right"/>
              <w:rPr>
                <w:sz w:val="21"/>
              </w:rPr>
            </w:pPr>
            <w:r>
              <w:rPr>
                <w:w w:val="95"/>
                <w:sz w:val="21"/>
              </w:rPr>
              <w:t>皮肤接触：</w:t>
            </w:r>
          </w:p>
        </w:tc>
        <w:tc>
          <w:tcPr>
            <w:tcW w:w="6138" w:type="dxa"/>
          </w:tcPr>
          <w:p>
            <w:pPr>
              <w:pStyle w:val="20"/>
              <w:spacing w:before="77"/>
              <w:ind w:left="108"/>
              <w:rPr>
                <w:sz w:val="21"/>
              </w:rPr>
            </w:pPr>
            <w:r>
              <w:rPr>
                <w:sz w:val="21"/>
              </w:rPr>
              <w:t>脱去污染的衣着，用肥皂水及清水彻底冲洗。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眼睛接触：</w:t>
            </w:r>
          </w:p>
        </w:tc>
        <w:tc>
          <w:tcPr>
            <w:tcW w:w="6138" w:type="dxa"/>
          </w:tcPr>
          <w:p>
            <w:pPr>
              <w:pStyle w:val="20"/>
              <w:spacing w:before="76"/>
              <w:ind w:left="108"/>
              <w:rPr>
                <w:sz w:val="21"/>
              </w:rPr>
            </w:pPr>
            <w:r>
              <w:rPr>
                <w:sz w:val="21"/>
              </w:rPr>
              <w:t>立即提起眼睑，用大量流动清水彻底冲洗。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吸入：</w:t>
            </w:r>
          </w:p>
        </w:tc>
        <w:tc>
          <w:tcPr>
            <w:tcW w:w="6138" w:type="dxa"/>
          </w:tcPr>
          <w:p>
            <w:pPr>
              <w:pStyle w:val="20"/>
              <w:spacing w:before="75"/>
              <w:ind w:left="108"/>
              <w:rPr>
                <w:sz w:val="21"/>
              </w:rPr>
            </w:pPr>
            <w:r>
              <w:rPr>
                <w:sz w:val="21"/>
              </w:rPr>
              <w:t>迅速脱离现场至空气新鲜处。保持呼吸道通畅。呼吸困难时给输</w:t>
            </w:r>
          </w:p>
          <w:p>
            <w:pPr>
              <w:pStyle w:val="20"/>
              <w:spacing w:before="156"/>
              <w:ind w:left="108"/>
              <w:rPr>
                <w:sz w:val="21"/>
              </w:rPr>
            </w:pPr>
            <w:r>
              <w:rPr>
                <w:sz w:val="21"/>
              </w:rPr>
              <w:t>氧。呼吸及心跳停止者立即进行人工呼吸和心脏按压术。就医。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食入：</w:t>
            </w:r>
          </w:p>
        </w:tc>
        <w:tc>
          <w:tcPr>
            <w:tcW w:w="6138" w:type="dxa"/>
          </w:tcPr>
          <w:p>
            <w:pPr>
              <w:pStyle w:val="20"/>
              <w:spacing w:before="76"/>
              <w:ind w:left="108"/>
              <w:rPr>
                <w:sz w:val="21"/>
              </w:rPr>
            </w:pPr>
            <w:r>
              <w:rPr>
                <w:sz w:val="21"/>
              </w:rPr>
              <w:t>误服者给充分漱口、饮水，尽快洗胃。就医。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5"/>
              <w:ind w:left="107"/>
              <w:rPr>
                <w:sz w:val="21"/>
              </w:rPr>
            </w:pPr>
            <w:r>
              <w:rPr>
                <w:w w:val="99"/>
                <w:sz w:val="21"/>
              </w:rPr>
              <w:t>防</w:t>
            </w:r>
          </w:p>
          <w:p>
            <w:pPr>
              <w:pStyle w:val="20"/>
              <w:rPr>
                <w:rFonts w:ascii="宋体"/>
                <w:b/>
                <w:sz w:val="20"/>
              </w:rPr>
            </w:pPr>
          </w:p>
          <w:p>
            <w:pPr>
              <w:pStyle w:val="20"/>
              <w:spacing w:before="1"/>
              <w:rPr>
                <w:rFonts w:ascii="宋体"/>
                <w:b/>
                <w:sz w:val="25"/>
              </w:rPr>
            </w:pPr>
          </w:p>
          <w:p>
            <w:pPr>
              <w:pStyle w:val="20"/>
              <w:ind w:left="107"/>
              <w:rPr>
                <w:sz w:val="21"/>
              </w:rPr>
            </w:pPr>
            <w:r>
              <w:rPr>
                <w:w w:val="99"/>
                <w:sz w:val="21"/>
              </w:rPr>
              <w:t>护</w:t>
            </w:r>
          </w:p>
          <w:p>
            <w:pPr>
              <w:pStyle w:val="20"/>
              <w:rPr>
                <w:rFonts w:ascii="宋体"/>
                <w:b/>
                <w:sz w:val="20"/>
              </w:rPr>
            </w:pPr>
          </w:p>
          <w:p>
            <w:pPr>
              <w:pStyle w:val="20"/>
              <w:spacing w:before="12"/>
              <w:rPr>
                <w:rFonts w:ascii="宋体"/>
                <w:b/>
                <w:sz w:val="24"/>
              </w:rPr>
            </w:pPr>
          </w:p>
          <w:p>
            <w:pPr>
              <w:pStyle w:val="20"/>
              <w:ind w:left="107"/>
              <w:rPr>
                <w:sz w:val="21"/>
              </w:rPr>
            </w:pPr>
            <w:r>
              <w:rPr>
                <w:w w:val="99"/>
                <w:sz w:val="21"/>
              </w:rPr>
              <w:t>措</w:t>
            </w:r>
          </w:p>
          <w:p>
            <w:pPr>
              <w:pStyle w:val="20"/>
              <w:rPr>
                <w:rFonts w:ascii="宋体"/>
                <w:b/>
                <w:sz w:val="20"/>
              </w:rPr>
            </w:pPr>
          </w:p>
          <w:p>
            <w:pPr>
              <w:pStyle w:val="20"/>
              <w:spacing w:before="2"/>
              <w:rPr>
                <w:rFonts w:ascii="宋体"/>
                <w:b/>
                <w:sz w:val="25"/>
              </w:rPr>
            </w:pPr>
          </w:p>
          <w:p>
            <w:pPr>
              <w:pStyle w:val="20"/>
              <w:ind w:left="107"/>
              <w:rPr>
                <w:sz w:val="21"/>
              </w:rPr>
            </w:pPr>
            <w:r>
              <w:rPr>
                <w:w w:val="99"/>
                <w:sz w:val="21"/>
              </w:rPr>
              <w:t>施</w:t>
            </w:r>
          </w:p>
        </w:tc>
        <w:tc>
          <w:tcPr>
            <w:tcW w:w="1949" w:type="dxa"/>
          </w:tcPr>
          <w:p>
            <w:pPr>
              <w:pStyle w:val="20"/>
              <w:spacing w:before="75"/>
              <w:ind w:right="97"/>
              <w:jc w:val="right"/>
              <w:rPr>
                <w:sz w:val="21"/>
              </w:rPr>
            </w:pPr>
            <w:r>
              <w:rPr>
                <w:w w:val="95"/>
                <w:sz w:val="21"/>
              </w:rPr>
              <w:t>工程控制：</w:t>
            </w:r>
          </w:p>
        </w:tc>
        <w:tc>
          <w:tcPr>
            <w:tcW w:w="6138" w:type="dxa"/>
          </w:tcPr>
          <w:p>
            <w:pPr>
              <w:pStyle w:val="20"/>
              <w:spacing w:before="75"/>
              <w:ind w:left="108"/>
              <w:rPr>
                <w:sz w:val="21"/>
              </w:rPr>
            </w:pPr>
            <w:r>
              <w:rPr>
                <w:sz w:val="21"/>
              </w:rPr>
              <w:t>生产过程密闭，加强通风。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呼吸系统防护：</w:t>
            </w:r>
          </w:p>
        </w:tc>
        <w:tc>
          <w:tcPr>
            <w:tcW w:w="6138" w:type="dxa"/>
          </w:tcPr>
          <w:p>
            <w:pPr>
              <w:pStyle w:val="20"/>
              <w:spacing w:before="76"/>
              <w:ind w:left="108"/>
              <w:rPr>
                <w:sz w:val="21"/>
              </w:rPr>
            </w:pPr>
            <w:r>
              <w:rPr>
                <w:sz w:val="21"/>
              </w:rPr>
              <w:t>空气中浓度超标时，佩带防毒面具。紧急事态抢救或逃生时，建</w:t>
            </w:r>
          </w:p>
          <w:p>
            <w:pPr>
              <w:pStyle w:val="20"/>
              <w:spacing w:before="153"/>
              <w:ind w:left="108"/>
              <w:rPr>
                <w:sz w:val="21"/>
              </w:rPr>
            </w:pPr>
            <w:r>
              <w:rPr>
                <w:sz w:val="21"/>
              </w:rPr>
              <w:t>议佩带自给式呼吸器。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7"/>
              <w:ind w:right="97"/>
              <w:jc w:val="right"/>
              <w:rPr>
                <w:sz w:val="21"/>
              </w:rPr>
            </w:pPr>
            <w:r>
              <w:rPr>
                <w:w w:val="95"/>
                <w:sz w:val="21"/>
              </w:rPr>
              <w:t>眼睛防护：</w:t>
            </w:r>
          </w:p>
        </w:tc>
        <w:tc>
          <w:tcPr>
            <w:tcW w:w="6138" w:type="dxa"/>
          </w:tcPr>
          <w:p>
            <w:pPr>
              <w:pStyle w:val="20"/>
              <w:spacing w:before="77"/>
              <w:ind w:left="108"/>
              <w:rPr>
                <w:sz w:val="21"/>
              </w:rPr>
            </w:pPr>
            <w:r>
              <w:rPr>
                <w:sz w:val="21"/>
              </w:rPr>
              <w:t>高浓度蒸气接触可戴化学安全防护眼镜。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防护服：</w:t>
            </w:r>
          </w:p>
        </w:tc>
        <w:tc>
          <w:tcPr>
            <w:tcW w:w="6138" w:type="dxa"/>
          </w:tcPr>
          <w:p>
            <w:pPr>
              <w:pStyle w:val="20"/>
              <w:spacing w:before="76"/>
              <w:ind w:left="108"/>
              <w:rPr>
                <w:sz w:val="21"/>
              </w:rPr>
            </w:pPr>
            <w:r>
              <w:rPr>
                <w:sz w:val="21"/>
              </w:rPr>
              <w:t>穿相应的防护服。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49" w:type="dxa"/>
          </w:tcPr>
          <w:p>
            <w:pPr>
              <w:pStyle w:val="20"/>
              <w:spacing w:before="75"/>
              <w:ind w:right="97"/>
              <w:jc w:val="right"/>
              <w:rPr>
                <w:sz w:val="21"/>
              </w:rPr>
            </w:pPr>
            <w:r>
              <w:rPr>
                <w:w w:val="95"/>
                <w:sz w:val="21"/>
              </w:rPr>
              <w:t>手防护：</w:t>
            </w:r>
          </w:p>
        </w:tc>
        <w:tc>
          <w:tcPr>
            <w:tcW w:w="6138" w:type="dxa"/>
          </w:tcPr>
          <w:p>
            <w:pPr>
              <w:pStyle w:val="20"/>
              <w:spacing w:before="75"/>
              <w:ind w:left="108"/>
              <w:rPr>
                <w:sz w:val="21"/>
              </w:rPr>
            </w:pPr>
            <w:r>
              <w:rPr>
                <w:sz w:val="21"/>
              </w:rPr>
              <w:t>戴防化学品手套。也可使用皮肤防护膜。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vMerge w:val="continue"/>
            <w:tcBorders>
              <w:top w:val="nil"/>
            </w:tcBorders>
          </w:tcPr>
          <w:p>
            <w:pPr>
              <w:rPr>
                <w:sz w:val="2"/>
                <w:szCs w:val="2"/>
              </w:rPr>
            </w:pPr>
          </w:p>
        </w:tc>
        <w:tc>
          <w:tcPr>
            <w:tcW w:w="1949" w:type="dxa"/>
          </w:tcPr>
          <w:p>
            <w:pPr>
              <w:pStyle w:val="20"/>
              <w:spacing w:before="76"/>
              <w:ind w:right="97"/>
              <w:jc w:val="right"/>
              <w:rPr>
                <w:sz w:val="21"/>
              </w:rPr>
            </w:pPr>
            <w:r>
              <w:rPr>
                <w:w w:val="95"/>
                <w:sz w:val="21"/>
              </w:rPr>
              <w:t>其他：</w:t>
            </w:r>
          </w:p>
        </w:tc>
        <w:tc>
          <w:tcPr>
            <w:tcW w:w="6138" w:type="dxa"/>
          </w:tcPr>
          <w:p>
            <w:pPr>
              <w:pStyle w:val="20"/>
              <w:spacing w:before="76"/>
              <w:ind w:left="108"/>
              <w:rPr>
                <w:sz w:val="21"/>
              </w:rPr>
            </w:pPr>
            <w:r>
              <w:rPr>
                <w:sz w:val="21"/>
              </w:rPr>
              <w:t>工作现场禁止吸烟、进食和饮水。工作后，淋浴更衣。保持良好</w:t>
            </w:r>
          </w:p>
          <w:p>
            <w:pPr>
              <w:pStyle w:val="20"/>
              <w:spacing w:before="154"/>
              <w:ind w:left="108"/>
              <w:rPr>
                <w:sz w:val="21"/>
              </w:rPr>
            </w:pPr>
            <w:r>
              <w:rPr>
                <w:sz w:val="21"/>
              </w:rPr>
              <w:t>的卫生习惯。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0" w:hRule="atLeast"/>
        </w:trPr>
        <w:tc>
          <w:tcPr>
            <w:tcW w:w="2375" w:type="dxa"/>
            <w:gridSpan w:val="2"/>
          </w:tcPr>
          <w:p>
            <w:pPr>
              <w:pStyle w:val="20"/>
              <w:spacing w:before="75"/>
              <w:ind w:left="1216"/>
              <w:rPr>
                <w:sz w:val="21"/>
              </w:rPr>
            </w:pPr>
            <w:r>
              <w:rPr>
                <w:sz w:val="21"/>
              </w:rPr>
              <w:t>泄漏处置：</w:t>
            </w:r>
          </w:p>
        </w:tc>
        <w:tc>
          <w:tcPr>
            <w:tcW w:w="6138" w:type="dxa"/>
          </w:tcPr>
          <w:p>
            <w:pPr>
              <w:pStyle w:val="20"/>
              <w:spacing w:before="75" w:line="376" w:lineRule="auto"/>
              <w:ind w:left="108" w:right="96"/>
              <w:jc w:val="both"/>
              <w:rPr>
                <w:sz w:val="21"/>
              </w:rPr>
            </w:pPr>
            <w:r>
              <w:rPr>
                <w:sz w:val="21"/>
              </w:rPr>
              <w:t>疏散泄漏污染区人员至安全区，禁止无关人员进入污染区，切断火源。建议应急处理人员戴好防毒面具，穿一般消防防护服。在确保安全情况下堵漏。喷水雾会减少蒸发，但不能降低泄漏物在受限制空间内的易燃性。用活性炭或其它惰性材料吸收，然后使用无火花工具收集运至废物处理场所处置。也可以用不燃性分散剂制成的乳液刷洗，经稀释的洗水放入废水系统。如大量泄漏，</w:t>
            </w:r>
          </w:p>
          <w:p>
            <w:pPr>
              <w:pStyle w:val="20"/>
              <w:spacing w:before="4"/>
              <w:ind w:left="108"/>
              <w:rPr>
                <w:sz w:val="21"/>
              </w:rPr>
            </w:pPr>
            <w:r>
              <w:rPr>
                <w:sz w:val="21"/>
              </w:rPr>
              <w:t>利用围堤收容，然后收集、转移、回收或无害处理后废弃。</w:t>
            </w:r>
          </w:p>
        </w:tc>
      </w:tr>
    </w:tbl>
    <w:p>
      <w:pPr>
        <w:spacing w:after="0"/>
        <w:rPr>
          <w:sz w:val="21"/>
        </w:rPr>
        <w:sectPr>
          <w:pgSz w:w="11900" w:h="16840"/>
          <w:pgMar w:top="1420" w:right="80" w:bottom="1200" w:left="260" w:header="882" w:footer="1004" w:gutter="0"/>
          <w:cols w:space="720" w:num="1"/>
        </w:sectPr>
      </w:pPr>
    </w:p>
    <w:p>
      <w:pPr>
        <w:tabs>
          <w:tab w:val="left" w:pos="1453"/>
        </w:tabs>
        <w:spacing w:before="86"/>
        <w:ind w:left="397" w:right="0" w:firstLine="0"/>
        <w:jc w:val="center"/>
        <w:rPr>
          <w:b/>
          <w:sz w:val="21"/>
        </w:rPr>
      </w:pPr>
      <w:r>
        <w:rPr>
          <w:b/>
          <w:sz w:val="21"/>
        </w:rPr>
        <w:t>表3.1-4</w:t>
      </w:r>
      <w:r>
        <w:rPr>
          <w:b/>
          <w:sz w:val="21"/>
        </w:rPr>
        <w:tab/>
      </w:r>
      <w:r>
        <w:rPr>
          <w:b/>
          <w:sz w:val="21"/>
        </w:rPr>
        <w:t>醋酸丁酯理化性质及危险特性表</w:t>
      </w:r>
    </w:p>
    <w:p>
      <w:pPr>
        <w:pStyle w:val="7"/>
        <w:spacing w:before="1"/>
        <w:rPr>
          <w:b/>
          <w:sz w:val="6"/>
        </w:r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1947"/>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restart"/>
          </w:tcPr>
          <w:p>
            <w:pPr>
              <w:pStyle w:val="20"/>
              <w:spacing w:before="75"/>
              <w:ind w:left="107"/>
              <w:rPr>
                <w:sz w:val="21"/>
              </w:rPr>
            </w:pPr>
            <w:r>
              <w:rPr>
                <w:w w:val="99"/>
                <w:sz w:val="21"/>
              </w:rPr>
              <w:t>标</w:t>
            </w:r>
          </w:p>
          <w:p>
            <w:pPr>
              <w:pStyle w:val="20"/>
              <w:rPr>
                <w:rFonts w:ascii="宋体"/>
                <w:b/>
                <w:sz w:val="20"/>
              </w:rPr>
            </w:pPr>
          </w:p>
          <w:p>
            <w:pPr>
              <w:pStyle w:val="20"/>
              <w:rPr>
                <w:rFonts w:ascii="宋体"/>
                <w:b/>
                <w:sz w:val="20"/>
              </w:rPr>
            </w:pPr>
          </w:p>
          <w:p>
            <w:pPr>
              <w:pStyle w:val="20"/>
              <w:rPr>
                <w:rFonts w:ascii="宋体"/>
                <w:b/>
                <w:sz w:val="20"/>
              </w:rPr>
            </w:pPr>
          </w:p>
          <w:p>
            <w:pPr>
              <w:pStyle w:val="20"/>
              <w:spacing w:before="10"/>
              <w:rPr>
                <w:rFonts w:ascii="宋体"/>
                <w:b/>
                <w:sz w:val="28"/>
              </w:rPr>
            </w:pPr>
          </w:p>
          <w:p>
            <w:pPr>
              <w:pStyle w:val="20"/>
              <w:ind w:left="107"/>
              <w:rPr>
                <w:sz w:val="21"/>
              </w:rPr>
            </w:pPr>
            <w:r>
              <w:rPr>
                <w:w w:val="99"/>
                <w:sz w:val="21"/>
              </w:rPr>
              <w:t>识</w:t>
            </w:r>
          </w:p>
        </w:tc>
        <w:tc>
          <w:tcPr>
            <w:tcW w:w="1947" w:type="dxa"/>
          </w:tcPr>
          <w:p>
            <w:pPr>
              <w:pStyle w:val="20"/>
              <w:spacing w:before="75"/>
              <w:ind w:right="97"/>
              <w:jc w:val="right"/>
              <w:rPr>
                <w:sz w:val="21"/>
              </w:rPr>
            </w:pPr>
            <w:r>
              <w:rPr>
                <w:w w:val="95"/>
                <w:sz w:val="21"/>
              </w:rPr>
              <w:t>中文名：</w:t>
            </w:r>
          </w:p>
        </w:tc>
        <w:tc>
          <w:tcPr>
            <w:tcW w:w="6138" w:type="dxa"/>
          </w:tcPr>
          <w:p>
            <w:pPr>
              <w:pStyle w:val="20"/>
              <w:spacing w:before="75"/>
              <w:ind w:left="108"/>
              <w:rPr>
                <w:sz w:val="21"/>
              </w:rPr>
            </w:pPr>
            <w:r>
              <w:rPr>
                <w:sz w:val="21"/>
              </w:rPr>
              <w:t>乙酸丁酯；醋酸正丁酯；乙酸正丁酯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英文名：</w:t>
            </w:r>
          </w:p>
        </w:tc>
        <w:tc>
          <w:tcPr>
            <w:tcW w:w="6138" w:type="dxa"/>
          </w:tcPr>
          <w:p>
            <w:pPr>
              <w:pStyle w:val="20"/>
              <w:spacing w:before="77"/>
              <w:ind w:left="108"/>
              <w:rPr>
                <w:sz w:val="21"/>
              </w:rPr>
            </w:pPr>
            <w:r>
              <w:rPr>
                <w:sz w:val="21"/>
              </w:rPr>
              <w:t>Butyl acetate；Butyl ethanoate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分子式：</w:t>
            </w:r>
          </w:p>
        </w:tc>
        <w:tc>
          <w:tcPr>
            <w:tcW w:w="6138" w:type="dxa"/>
          </w:tcPr>
          <w:p>
            <w:pPr>
              <w:pStyle w:val="20"/>
              <w:spacing w:before="75"/>
              <w:ind w:left="108"/>
              <w:rPr>
                <w:sz w:val="10"/>
              </w:rPr>
            </w:pPr>
            <w:r>
              <w:rPr>
                <w:spacing w:val="-2"/>
                <w:w w:val="99"/>
                <w:position w:val="3"/>
                <w:sz w:val="21"/>
              </w:rPr>
              <w:t>C</w:t>
            </w:r>
            <w:r>
              <w:rPr>
                <w:spacing w:val="-1"/>
                <w:w w:val="106"/>
                <w:sz w:val="10"/>
              </w:rPr>
              <w:t>6</w:t>
            </w:r>
            <w:r>
              <w:rPr>
                <w:spacing w:val="1"/>
                <w:w w:val="99"/>
                <w:position w:val="3"/>
                <w:sz w:val="21"/>
              </w:rPr>
              <w:t>H</w:t>
            </w:r>
            <w:r>
              <w:rPr>
                <w:spacing w:val="-1"/>
                <w:w w:val="106"/>
                <w:sz w:val="10"/>
              </w:rPr>
              <w:t>1</w:t>
            </w:r>
            <w:r>
              <w:rPr>
                <w:spacing w:val="-3"/>
                <w:w w:val="106"/>
                <w:sz w:val="10"/>
              </w:rPr>
              <w:t>2</w:t>
            </w:r>
            <w:r>
              <w:rPr>
                <w:spacing w:val="1"/>
                <w:w w:val="99"/>
                <w:position w:val="3"/>
                <w:sz w:val="21"/>
              </w:rPr>
              <w:t>O</w:t>
            </w:r>
            <w:r>
              <w:rPr>
                <w:w w:val="106"/>
                <w:sz w:val="10"/>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分子量：</w:t>
            </w:r>
          </w:p>
        </w:tc>
        <w:tc>
          <w:tcPr>
            <w:tcW w:w="6138" w:type="dxa"/>
          </w:tcPr>
          <w:p>
            <w:pPr>
              <w:pStyle w:val="20"/>
              <w:spacing w:before="75"/>
              <w:ind w:left="108"/>
              <w:rPr>
                <w:sz w:val="21"/>
              </w:rPr>
            </w:pPr>
            <w:r>
              <w:rPr>
                <w:sz w:val="21"/>
              </w:rPr>
              <w:t>116.16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sz w:val="21"/>
              </w:rPr>
              <w:t>CAS 号：</w:t>
            </w:r>
          </w:p>
        </w:tc>
        <w:tc>
          <w:tcPr>
            <w:tcW w:w="6138" w:type="dxa"/>
          </w:tcPr>
          <w:p>
            <w:pPr>
              <w:pStyle w:val="20"/>
              <w:spacing w:before="76"/>
              <w:ind w:left="108"/>
              <w:rPr>
                <w:sz w:val="21"/>
              </w:rPr>
            </w:pPr>
            <w:r>
              <w:rPr>
                <w:sz w:val="21"/>
              </w:rPr>
              <w:t>123-86-4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sz w:val="21"/>
              </w:rPr>
              <w:t>RTECS 号：</w:t>
            </w:r>
          </w:p>
        </w:tc>
        <w:tc>
          <w:tcPr>
            <w:tcW w:w="6138" w:type="dxa"/>
          </w:tcPr>
          <w:p>
            <w:pPr>
              <w:pStyle w:val="20"/>
              <w:spacing w:before="75"/>
              <w:ind w:left="108"/>
              <w:rPr>
                <w:sz w:val="21"/>
              </w:rPr>
            </w:pPr>
            <w:r>
              <w:rPr>
                <w:sz w:val="21"/>
              </w:rPr>
              <w:t>AF7350000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sz w:val="21"/>
              </w:rPr>
              <w:t>UN 编号：</w:t>
            </w:r>
          </w:p>
        </w:tc>
        <w:tc>
          <w:tcPr>
            <w:tcW w:w="6138" w:type="dxa"/>
          </w:tcPr>
          <w:p>
            <w:pPr>
              <w:pStyle w:val="20"/>
              <w:spacing w:before="77"/>
              <w:ind w:left="108"/>
              <w:rPr>
                <w:sz w:val="21"/>
              </w:rPr>
            </w:pPr>
            <w:r>
              <w:rPr>
                <w:sz w:val="21"/>
              </w:rPr>
              <w:t>1123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left="368"/>
              <w:rPr>
                <w:sz w:val="21"/>
              </w:rPr>
            </w:pPr>
            <w:r>
              <w:rPr>
                <w:sz w:val="21"/>
              </w:rPr>
              <w:t>危险货物编号：</w:t>
            </w:r>
          </w:p>
        </w:tc>
        <w:tc>
          <w:tcPr>
            <w:tcW w:w="6138" w:type="dxa"/>
          </w:tcPr>
          <w:p>
            <w:pPr>
              <w:pStyle w:val="20"/>
              <w:spacing w:before="76"/>
              <w:ind w:left="108"/>
              <w:rPr>
                <w:sz w:val="21"/>
              </w:rPr>
            </w:pPr>
            <w:r>
              <w:rPr>
                <w:sz w:val="21"/>
              </w:rPr>
              <w:t>32130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5"/>
              <w:ind w:left="315"/>
              <w:rPr>
                <w:sz w:val="21"/>
              </w:rPr>
            </w:pPr>
            <w:r>
              <w:rPr>
                <w:sz w:val="21"/>
              </w:rPr>
              <w:t>IMDG 规则页码：</w:t>
            </w:r>
          </w:p>
        </w:tc>
        <w:tc>
          <w:tcPr>
            <w:tcW w:w="6138" w:type="dxa"/>
          </w:tcPr>
          <w:p>
            <w:pPr>
              <w:pStyle w:val="20"/>
              <w:spacing w:before="75"/>
              <w:ind w:left="108"/>
              <w:rPr>
                <w:sz w:val="21"/>
              </w:rPr>
            </w:pPr>
            <w:r>
              <w:rPr>
                <w:sz w:val="21"/>
              </w:rPr>
              <w:t>3191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restart"/>
          </w:tcPr>
          <w:p>
            <w:pPr>
              <w:pStyle w:val="20"/>
              <w:spacing w:before="76" w:line="626" w:lineRule="auto"/>
              <w:ind w:left="107" w:right="99"/>
              <w:jc w:val="both"/>
              <w:rPr>
                <w:sz w:val="21"/>
              </w:rPr>
            </w:pPr>
            <w:r>
              <w:rPr>
                <w:sz w:val="21"/>
              </w:rPr>
              <w:t>理化性质</w:t>
            </w:r>
          </w:p>
        </w:tc>
        <w:tc>
          <w:tcPr>
            <w:tcW w:w="1947" w:type="dxa"/>
          </w:tcPr>
          <w:p>
            <w:pPr>
              <w:pStyle w:val="20"/>
              <w:spacing w:before="76"/>
              <w:ind w:right="97"/>
              <w:jc w:val="right"/>
              <w:rPr>
                <w:sz w:val="21"/>
              </w:rPr>
            </w:pPr>
            <w:r>
              <w:rPr>
                <w:w w:val="95"/>
                <w:sz w:val="21"/>
              </w:rPr>
              <w:t>外观与性状：</w:t>
            </w:r>
          </w:p>
        </w:tc>
        <w:tc>
          <w:tcPr>
            <w:tcW w:w="6138" w:type="dxa"/>
          </w:tcPr>
          <w:p>
            <w:pPr>
              <w:pStyle w:val="20"/>
              <w:spacing w:before="76"/>
              <w:ind w:left="108"/>
              <w:rPr>
                <w:sz w:val="21"/>
              </w:rPr>
            </w:pPr>
            <w:r>
              <w:rPr>
                <w:sz w:val="21"/>
              </w:rPr>
              <w:t>无色透明液体，有果子香味。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主要用途：</w:t>
            </w:r>
          </w:p>
        </w:tc>
        <w:tc>
          <w:tcPr>
            <w:tcW w:w="6138" w:type="dxa"/>
          </w:tcPr>
          <w:p>
            <w:pPr>
              <w:pStyle w:val="20"/>
              <w:spacing w:before="75"/>
              <w:ind w:left="108"/>
              <w:rPr>
                <w:sz w:val="21"/>
              </w:rPr>
            </w:pPr>
            <w:r>
              <w:rPr>
                <w:sz w:val="21"/>
              </w:rPr>
              <w:t>用作喷漆、人造革、胶片、硝化棉、树胶等溶剂及用于调制香料</w:t>
            </w:r>
          </w:p>
          <w:p>
            <w:pPr>
              <w:pStyle w:val="20"/>
              <w:spacing w:before="156"/>
              <w:ind w:left="108"/>
              <w:rPr>
                <w:sz w:val="21"/>
              </w:rPr>
            </w:pPr>
            <w:r>
              <w:rPr>
                <w:sz w:val="21"/>
              </w:rPr>
              <w:t>和药物。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熔点：</w:t>
            </w:r>
          </w:p>
        </w:tc>
        <w:tc>
          <w:tcPr>
            <w:tcW w:w="6138" w:type="dxa"/>
          </w:tcPr>
          <w:p>
            <w:pPr>
              <w:pStyle w:val="20"/>
              <w:spacing w:before="76"/>
              <w:ind w:left="108"/>
              <w:rPr>
                <w:sz w:val="21"/>
              </w:rPr>
            </w:pPr>
            <w:r>
              <w:rPr>
                <w:sz w:val="21"/>
              </w:rPr>
              <w:t>-73．5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沸点：</w:t>
            </w:r>
          </w:p>
        </w:tc>
        <w:tc>
          <w:tcPr>
            <w:tcW w:w="6138" w:type="dxa"/>
          </w:tcPr>
          <w:p>
            <w:pPr>
              <w:pStyle w:val="20"/>
              <w:spacing w:before="75"/>
              <w:ind w:left="108"/>
              <w:rPr>
                <w:sz w:val="21"/>
              </w:rPr>
            </w:pPr>
            <w:r>
              <w:rPr>
                <w:sz w:val="21"/>
              </w:rPr>
              <w:t>126．1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left="159"/>
              <w:rPr>
                <w:sz w:val="21"/>
              </w:rPr>
            </w:pPr>
            <w:r>
              <w:rPr>
                <w:sz w:val="21"/>
              </w:rPr>
              <w:t>相对密度(水=1)：</w:t>
            </w:r>
          </w:p>
        </w:tc>
        <w:tc>
          <w:tcPr>
            <w:tcW w:w="6138" w:type="dxa"/>
          </w:tcPr>
          <w:p>
            <w:pPr>
              <w:pStyle w:val="20"/>
              <w:spacing w:before="76"/>
              <w:ind w:left="108"/>
              <w:rPr>
                <w:sz w:val="21"/>
              </w:rPr>
            </w:pPr>
            <w:r>
              <w:rPr>
                <w:sz w:val="21"/>
              </w:rPr>
              <w:t>0．88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相对密度(空气</w:t>
            </w:r>
          </w:p>
          <w:p>
            <w:pPr>
              <w:pStyle w:val="20"/>
              <w:spacing w:before="154"/>
              <w:ind w:right="96"/>
              <w:jc w:val="right"/>
              <w:rPr>
                <w:sz w:val="21"/>
              </w:rPr>
            </w:pPr>
            <w:r>
              <w:rPr>
                <w:spacing w:val="-1"/>
                <w:sz w:val="21"/>
              </w:rPr>
              <w:t>=1):</w:t>
            </w:r>
          </w:p>
        </w:tc>
        <w:tc>
          <w:tcPr>
            <w:tcW w:w="6138" w:type="dxa"/>
          </w:tcPr>
          <w:p>
            <w:pPr>
              <w:pStyle w:val="20"/>
              <w:spacing w:before="75"/>
              <w:ind w:left="108"/>
              <w:rPr>
                <w:sz w:val="21"/>
              </w:rPr>
            </w:pPr>
            <w:r>
              <w:rPr>
                <w:sz w:val="21"/>
              </w:rPr>
              <w:t>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42"/>
              <w:jc w:val="right"/>
              <w:rPr>
                <w:sz w:val="21"/>
              </w:rPr>
            </w:pPr>
            <w:r>
              <w:rPr>
                <w:w w:val="95"/>
                <w:sz w:val="21"/>
              </w:rPr>
              <w:t>饱和蒸汽压(kPa)：</w:t>
            </w:r>
          </w:p>
        </w:tc>
        <w:tc>
          <w:tcPr>
            <w:tcW w:w="6138" w:type="dxa"/>
          </w:tcPr>
          <w:p>
            <w:pPr>
              <w:pStyle w:val="20"/>
              <w:spacing w:before="76"/>
              <w:ind w:left="108"/>
              <w:rPr>
                <w:sz w:val="21"/>
              </w:rPr>
            </w:pPr>
            <w:r>
              <w:rPr>
                <w:sz w:val="21"/>
              </w:rPr>
              <w:t>2．00／25℃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溶解性：</w:t>
            </w:r>
          </w:p>
        </w:tc>
        <w:tc>
          <w:tcPr>
            <w:tcW w:w="6138" w:type="dxa"/>
          </w:tcPr>
          <w:p>
            <w:pPr>
              <w:pStyle w:val="20"/>
              <w:spacing w:before="75"/>
              <w:ind w:left="108"/>
              <w:rPr>
                <w:sz w:val="21"/>
              </w:rPr>
            </w:pPr>
            <w:r>
              <w:rPr>
                <w:sz w:val="21"/>
              </w:rPr>
              <w:t>微溶于水，溶于醇、醚等多数有机溶剂。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left="368"/>
              <w:rPr>
                <w:sz w:val="21"/>
              </w:rPr>
            </w:pPr>
            <w:r>
              <w:rPr>
                <w:sz w:val="21"/>
              </w:rPr>
              <w:t>临界温度(℃)：</w:t>
            </w:r>
          </w:p>
        </w:tc>
        <w:tc>
          <w:tcPr>
            <w:tcW w:w="6138" w:type="dxa"/>
          </w:tcPr>
          <w:p>
            <w:pPr>
              <w:pStyle w:val="20"/>
              <w:spacing w:before="76"/>
              <w:ind w:left="108"/>
              <w:rPr>
                <w:sz w:val="21"/>
              </w:rPr>
            </w:pPr>
            <w:r>
              <w:rPr>
                <w:sz w:val="21"/>
              </w:rPr>
              <w:t>305．9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left="262"/>
              <w:rPr>
                <w:sz w:val="21"/>
              </w:rPr>
            </w:pPr>
            <w:r>
              <w:rPr>
                <w:sz w:val="21"/>
              </w:rPr>
              <w:t>临界压力(MPa)：</w:t>
            </w:r>
          </w:p>
        </w:tc>
        <w:tc>
          <w:tcPr>
            <w:tcW w:w="6138"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left="159"/>
              <w:rPr>
                <w:sz w:val="21"/>
              </w:rPr>
            </w:pPr>
            <w:r>
              <w:rPr>
                <w:sz w:val="21"/>
              </w:rPr>
              <w:t>燃烧热(kj/mol)：</w:t>
            </w:r>
          </w:p>
        </w:tc>
        <w:tc>
          <w:tcPr>
            <w:tcW w:w="6138" w:type="dxa"/>
          </w:tcPr>
          <w:p>
            <w:pPr>
              <w:pStyle w:val="20"/>
              <w:spacing w:before="77"/>
              <w:ind w:left="108"/>
              <w:rPr>
                <w:sz w:val="21"/>
              </w:rPr>
            </w:pPr>
            <w:r>
              <w:rPr>
                <w:sz w:val="21"/>
              </w:rPr>
              <w:t>3463．5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restart"/>
          </w:tcPr>
          <w:p>
            <w:pPr>
              <w:pStyle w:val="20"/>
              <w:spacing w:before="76"/>
              <w:ind w:left="107"/>
              <w:rPr>
                <w:sz w:val="21"/>
              </w:rPr>
            </w:pPr>
            <w:r>
              <w:rPr>
                <w:w w:val="99"/>
                <w:sz w:val="21"/>
              </w:rPr>
              <w:t>燃</w:t>
            </w:r>
          </w:p>
          <w:p>
            <w:pPr>
              <w:pStyle w:val="20"/>
              <w:rPr>
                <w:rFonts w:ascii="宋体"/>
                <w:b/>
                <w:sz w:val="20"/>
              </w:rPr>
            </w:pPr>
          </w:p>
          <w:p>
            <w:pPr>
              <w:pStyle w:val="20"/>
              <w:spacing w:before="12"/>
              <w:rPr>
                <w:rFonts w:ascii="宋体"/>
                <w:b/>
                <w:sz w:val="24"/>
              </w:rPr>
            </w:pPr>
          </w:p>
          <w:p>
            <w:pPr>
              <w:pStyle w:val="20"/>
              <w:ind w:left="107"/>
              <w:rPr>
                <w:sz w:val="21"/>
              </w:rPr>
            </w:pPr>
            <w:r>
              <w:rPr>
                <w:w w:val="99"/>
                <w:sz w:val="21"/>
              </w:rPr>
              <w:t>烧</w:t>
            </w:r>
          </w:p>
          <w:p>
            <w:pPr>
              <w:pStyle w:val="20"/>
              <w:rPr>
                <w:rFonts w:ascii="宋体"/>
                <w:b/>
                <w:sz w:val="20"/>
              </w:rPr>
            </w:pPr>
          </w:p>
          <w:p>
            <w:pPr>
              <w:pStyle w:val="20"/>
              <w:spacing w:before="1"/>
              <w:rPr>
                <w:rFonts w:ascii="宋体"/>
                <w:b/>
                <w:sz w:val="25"/>
              </w:rPr>
            </w:pPr>
          </w:p>
          <w:p>
            <w:pPr>
              <w:pStyle w:val="20"/>
              <w:ind w:left="107"/>
              <w:rPr>
                <w:sz w:val="21"/>
              </w:rPr>
            </w:pPr>
            <w:r>
              <w:rPr>
                <w:w w:val="99"/>
                <w:sz w:val="21"/>
              </w:rPr>
              <w:t>爆</w:t>
            </w:r>
          </w:p>
          <w:p>
            <w:pPr>
              <w:pStyle w:val="20"/>
              <w:rPr>
                <w:rFonts w:ascii="宋体"/>
                <w:b/>
                <w:sz w:val="20"/>
              </w:rPr>
            </w:pPr>
          </w:p>
          <w:p>
            <w:pPr>
              <w:pStyle w:val="20"/>
              <w:spacing w:before="12"/>
              <w:rPr>
                <w:rFonts w:ascii="宋体"/>
                <w:b/>
                <w:sz w:val="24"/>
              </w:rPr>
            </w:pPr>
          </w:p>
          <w:p>
            <w:pPr>
              <w:pStyle w:val="20"/>
              <w:ind w:left="107"/>
              <w:rPr>
                <w:sz w:val="21"/>
              </w:rPr>
            </w:pPr>
            <w:r>
              <w:rPr>
                <w:w w:val="99"/>
                <w:sz w:val="21"/>
              </w:rPr>
              <w:t>炸</w:t>
            </w:r>
          </w:p>
          <w:p>
            <w:pPr>
              <w:pStyle w:val="20"/>
              <w:rPr>
                <w:rFonts w:ascii="宋体"/>
                <w:b/>
                <w:sz w:val="20"/>
              </w:rPr>
            </w:pPr>
          </w:p>
          <w:p>
            <w:pPr>
              <w:pStyle w:val="20"/>
              <w:spacing w:before="2"/>
              <w:rPr>
                <w:rFonts w:ascii="宋体"/>
                <w:b/>
                <w:sz w:val="25"/>
              </w:rPr>
            </w:pPr>
          </w:p>
          <w:p>
            <w:pPr>
              <w:pStyle w:val="20"/>
              <w:ind w:left="107"/>
              <w:rPr>
                <w:sz w:val="21"/>
              </w:rPr>
            </w:pPr>
            <w:r>
              <w:rPr>
                <w:w w:val="99"/>
                <w:sz w:val="21"/>
              </w:rPr>
              <w:t>危</w:t>
            </w:r>
          </w:p>
        </w:tc>
        <w:tc>
          <w:tcPr>
            <w:tcW w:w="1947" w:type="dxa"/>
          </w:tcPr>
          <w:p>
            <w:pPr>
              <w:pStyle w:val="20"/>
              <w:spacing w:before="76"/>
              <w:ind w:left="159"/>
              <w:rPr>
                <w:sz w:val="21"/>
              </w:rPr>
            </w:pPr>
            <w:r>
              <w:rPr>
                <w:sz w:val="21"/>
              </w:rPr>
              <w:t>避免接触的条件：</w:t>
            </w:r>
          </w:p>
        </w:tc>
        <w:tc>
          <w:tcPr>
            <w:tcW w:w="6138"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燃烧性：</w:t>
            </w:r>
          </w:p>
        </w:tc>
        <w:tc>
          <w:tcPr>
            <w:tcW w:w="6138" w:type="dxa"/>
          </w:tcPr>
          <w:p>
            <w:pPr>
              <w:pStyle w:val="20"/>
              <w:tabs>
                <w:tab w:val="left" w:pos="948"/>
              </w:tabs>
              <w:spacing w:before="75"/>
              <w:ind w:left="108"/>
              <w:rPr>
                <w:sz w:val="21"/>
              </w:rPr>
            </w:pPr>
            <w:r>
              <w:rPr>
                <w:sz w:val="21"/>
              </w:rPr>
              <w:t>易燃</w:t>
            </w:r>
            <w:r>
              <w:rPr>
                <w:sz w:val="21"/>
              </w:rPr>
              <w:tab/>
            </w:r>
            <w:r>
              <w:rPr>
                <w:sz w:val="21"/>
              </w:rPr>
              <w:t>易燃性(红色)：3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left="368"/>
              <w:rPr>
                <w:sz w:val="21"/>
              </w:rPr>
            </w:pPr>
            <w:r>
              <w:rPr>
                <w:sz w:val="21"/>
              </w:rPr>
              <w:t>建规火险分级：</w:t>
            </w:r>
          </w:p>
        </w:tc>
        <w:tc>
          <w:tcPr>
            <w:tcW w:w="6138" w:type="dxa"/>
          </w:tcPr>
          <w:p>
            <w:pPr>
              <w:pStyle w:val="20"/>
              <w:spacing w:before="76"/>
              <w:ind w:left="108"/>
              <w:rPr>
                <w:sz w:val="21"/>
              </w:rPr>
            </w:pPr>
            <w:r>
              <w:rPr>
                <w:w w:val="99"/>
                <w:sz w:val="21"/>
              </w:rPr>
              <w:t>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闪点(℃)：</w:t>
            </w:r>
          </w:p>
        </w:tc>
        <w:tc>
          <w:tcPr>
            <w:tcW w:w="6138" w:type="dxa"/>
          </w:tcPr>
          <w:p>
            <w:pPr>
              <w:pStyle w:val="20"/>
              <w:spacing w:before="75"/>
              <w:ind w:left="108"/>
              <w:rPr>
                <w:sz w:val="21"/>
              </w:rPr>
            </w:pPr>
            <w:r>
              <w:rPr>
                <w:sz w:val="21"/>
              </w:rPr>
              <w:t>22℃闭杯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left="368"/>
              <w:rPr>
                <w:sz w:val="21"/>
              </w:rPr>
            </w:pPr>
            <w:r>
              <w:rPr>
                <w:sz w:val="21"/>
              </w:rPr>
              <w:t>自燃温度(℃)：</w:t>
            </w:r>
          </w:p>
        </w:tc>
        <w:tc>
          <w:tcPr>
            <w:tcW w:w="6138" w:type="dxa"/>
          </w:tcPr>
          <w:p>
            <w:pPr>
              <w:pStyle w:val="20"/>
              <w:spacing w:before="77"/>
              <w:ind w:left="108"/>
              <w:rPr>
                <w:sz w:val="21"/>
              </w:rPr>
            </w:pPr>
            <w:r>
              <w:rPr>
                <w:sz w:val="21"/>
              </w:rPr>
              <w:t>370℃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left="368"/>
              <w:rPr>
                <w:sz w:val="21"/>
              </w:rPr>
            </w:pPr>
            <w:r>
              <w:rPr>
                <w:sz w:val="21"/>
              </w:rPr>
              <w:t>爆炸下限(V%)：</w:t>
            </w:r>
          </w:p>
        </w:tc>
        <w:tc>
          <w:tcPr>
            <w:tcW w:w="6138" w:type="dxa"/>
          </w:tcPr>
          <w:p>
            <w:pPr>
              <w:pStyle w:val="20"/>
              <w:spacing w:before="76"/>
              <w:ind w:left="108"/>
              <w:rPr>
                <w:sz w:val="21"/>
              </w:rPr>
            </w:pPr>
            <w:r>
              <w:rPr>
                <w:sz w:val="21"/>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left="368"/>
              <w:rPr>
                <w:sz w:val="21"/>
              </w:rPr>
            </w:pPr>
            <w:r>
              <w:rPr>
                <w:sz w:val="21"/>
              </w:rPr>
              <w:t>爆炸上限(V%)：</w:t>
            </w:r>
          </w:p>
        </w:tc>
        <w:tc>
          <w:tcPr>
            <w:tcW w:w="6138" w:type="dxa"/>
          </w:tcPr>
          <w:p>
            <w:pPr>
              <w:pStyle w:val="20"/>
              <w:spacing w:before="75"/>
              <w:ind w:left="10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危险特性：</w:t>
            </w:r>
          </w:p>
        </w:tc>
        <w:tc>
          <w:tcPr>
            <w:tcW w:w="6138" w:type="dxa"/>
          </w:tcPr>
          <w:p>
            <w:pPr>
              <w:pStyle w:val="20"/>
              <w:spacing w:before="76"/>
              <w:ind w:left="108" w:right="-15"/>
              <w:rPr>
                <w:sz w:val="21"/>
              </w:rPr>
            </w:pPr>
            <w:r>
              <w:rPr>
                <w:spacing w:val="-5"/>
                <w:sz w:val="21"/>
              </w:rPr>
              <w:t>其蒸气与空气形成爆炸性混合物，遇明火、高热能引起燃烧爆炸。</w:t>
            </w:r>
          </w:p>
          <w:p>
            <w:pPr>
              <w:pStyle w:val="20"/>
              <w:spacing w:before="153"/>
              <w:ind w:left="108"/>
              <w:rPr>
                <w:sz w:val="21"/>
              </w:rPr>
            </w:pPr>
            <w:r>
              <w:rPr>
                <w:sz w:val="21"/>
              </w:rPr>
              <w:t>与氧化剂能发生强烈反应。其蒸气比空气重，能在较低处扩散到</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1947"/>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428" w:type="dxa"/>
            <w:vMerge w:val="restart"/>
          </w:tcPr>
          <w:p>
            <w:pPr>
              <w:pStyle w:val="20"/>
              <w:rPr>
                <w:rFonts w:ascii="宋体"/>
                <w:b/>
                <w:sz w:val="20"/>
              </w:rPr>
            </w:pPr>
          </w:p>
          <w:p>
            <w:pPr>
              <w:pStyle w:val="20"/>
              <w:spacing w:before="11"/>
              <w:rPr>
                <w:rFonts w:ascii="宋体"/>
                <w:b/>
                <w:sz w:val="18"/>
              </w:rPr>
            </w:pPr>
          </w:p>
          <w:p>
            <w:pPr>
              <w:pStyle w:val="20"/>
              <w:spacing w:before="1"/>
              <w:ind w:left="107"/>
              <w:rPr>
                <w:sz w:val="21"/>
              </w:rPr>
            </w:pPr>
            <w:r>
              <w:rPr>
                <w:w w:val="99"/>
                <w:sz w:val="21"/>
              </w:rPr>
              <w:t>险</w:t>
            </w:r>
          </w:p>
          <w:p>
            <w:pPr>
              <w:pStyle w:val="20"/>
              <w:rPr>
                <w:rFonts w:ascii="宋体"/>
                <w:b/>
                <w:sz w:val="20"/>
              </w:rPr>
            </w:pPr>
          </w:p>
          <w:p>
            <w:pPr>
              <w:pStyle w:val="20"/>
              <w:spacing w:before="1"/>
              <w:rPr>
                <w:rFonts w:ascii="宋体"/>
                <w:b/>
                <w:sz w:val="25"/>
              </w:rPr>
            </w:pPr>
          </w:p>
          <w:p>
            <w:pPr>
              <w:pStyle w:val="20"/>
              <w:ind w:left="107"/>
              <w:rPr>
                <w:sz w:val="21"/>
              </w:rPr>
            </w:pPr>
            <w:r>
              <w:rPr>
                <w:w w:val="99"/>
                <w:sz w:val="21"/>
              </w:rPr>
              <w:t>性</w:t>
            </w:r>
          </w:p>
        </w:tc>
        <w:tc>
          <w:tcPr>
            <w:tcW w:w="1947" w:type="dxa"/>
          </w:tcPr>
          <w:p>
            <w:pPr>
              <w:pStyle w:val="20"/>
              <w:rPr>
                <w:rFonts w:ascii="Times New Roman"/>
                <w:sz w:val="20"/>
              </w:rPr>
            </w:pPr>
          </w:p>
        </w:tc>
        <w:tc>
          <w:tcPr>
            <w:tcW w:w="6138" w:type="dxa"/>
          </w:tcPr>
          <w:p>
            <w:pPr>
              <w:pStyle w:val="20"/>
              <w:spacing w:before="76" w:line="376" w:lineRule="auto"/>
              <w:ind w:left="108" w:right="96"/>
              <w:rPr>
                <w:sz w:val="21"/>
              </w:rPr>
            </w:pPr>
            <w:r>
              <w:rPr>
                <w:sz w:val="21"/>
              </w:rPr>
              <w:t>相当远的地方，遇火源引着回燃。若遇高热，容器内压增大，有开裂和爆炸的危险。</w:t>
            </w:r>
          </w:p>
          <w:p>
            <w:pPr>
              <w:pStyle w:val="20"/>
              <w:ind w:left="108"/>
              <w:rPr>
                <w:sz w:val="21"/>
              </w:rPr>
            </w:pPr>
            <w:r>
              <w:rPr>
                <w:sz w:val="21"/>
              </w:rPr>
              <w:t>反应活性(黄色)：0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燃烧(分解)产物：</w:t>
            </w:r>
          </w:p>
        </w:tc>
        <w:tc>
          <w:tcPr>
            <w:tcW w:w="6138" w:type="dxa"/>
          </w:tcPr>
          <w:p>
            <w:pPr>
              <w:pStyle w:val="20"/>
              <w:spacing w:before="76"/>
              <w:ind w:left="108"/>
              <w:rPr>
                <w:sz w:val="21"/>
              </w:rPr>
            </w:pPr>
            <w:r>
              <w:rPr>
                <w:sz w:val="21"/>
              </w:rPr>
              <w:t>一氧化碳、二氧化碳。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稳定性：</w:t>
            </w:r>
          </w:p>
        </w:tc>
        <w:tc>
          <w:tcPr>
            <w:tcW w:w="6138" w:type="dxa"/>
          </w:tcPr>
          <w:p>
            <w:pPr>
              <w:pStyle w:val="20"/>
              <w:spacing w:before="75"/>
              <w:ind w:left="108"/>
              <w:rPr>
                <w:sz w:val="21"/>
              </w:rPr>
            </w:pPr>
            <w:r>
              <w:rPr>
                <w:sz w:val="21"/>
              </w:rPr>
              <w:t>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聚合危害：</w:t>
            </w:r>
          </w:p>
        </w:tc>
        <w:tc>
          <w:tcPr>
            <w:tcW w:w="6138" w:type="dxa"/>
          </w:tcPr>
          <w:p>
            <w:pPr>
              <w:pStyle w:val="20"/>
              <w:spacing w:before="77"/>
              <w:ind w:left="108"/>
              <w:rPr>
                <w:sz w:val="21"/>
              </w:rPr>
            </w:pPr>
            <w:r>
              <w:rPr>
                <w:sz w:val="21"/>
              </w:rPr>
              <w:t>不能出现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禁忌物：</w:t>
            </w:r>
          </w:p>
        </w:tc>
        <w:tc>
          <w:tcPr>
            <w:tcW w:w="6138" w:type="dxa"/>
          </w:tcPr>
          <w:p>
            <w:pPr>
              <w:pStyle w:val="20"/>
              <w:spacing w:before="76"/>
              <w:ind w:left="108"/>
              <w:rPr>
                <w:sz w:val="21"/>
              </w:rPr>
            </w:pPr>
            <w:r>
              <w:rPr>
                <w:sz w:val="21"/>
              </w:rPr>
              <w:t>强氧化剂、碱类、酸类。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5"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灭火方法：</w:t>
            </w:r>
          </w:p>
        </w:tc>
        <w:tc>
          <w:tcPr>
            <w:tcW w:w="6138" w:type="dxa"/>
          </w:tcPr>
          <w:p>
            <w:pPr>
              <w:pStyle w:val="20"/>
              <w:spacing w:before="75" w:line="376" w:lineRule="auto"/>
              <w:ind w:left="108" w:right="96"/>
              <w:jc w:val="both"/>
              <w:rPr>
                <w:sz w:val="21"/>
              </w:rPr>
            </w:pPr>
            <w:r>
              <w:rPr>
                <w:sz w:val="21"/>
              </w:rPr>
              <w:t>泡沫、二氧化碳、干粉、砂土。用水灭火无效。如果该物质或被污染的流体进入水路，通知有潜在水体污染的下游用户，通知地方卫生、消防官员和污染控制部门。在安全防爆距离以外，使用</w:t>
            </w:r>
            <w:r>
              <w:rPr>
                <w:w w:val="95"/>
                <w:sz w:val="21"/>
              </w:rPr>
              <w:t>雾状水冷却暴露的容器。若冷却水流不起作用(排放音量、音调升</w:t>
            </w:r>
          </w:p>
          <w:p>
            <w:pPr>
              <w:pStyle w:val="20"/>
              <w:spacing w:before="2"/>
              <w:ind w:left="108"/>
              <w:rPr>
                <w:sz w:val="21"/>
              </w:rPr>
            </w:pPr>
            <w:r>
              <w:rPr>
                <w:sz w:val="21"/>
              </w:rPr>
              <w:t>高，罐体变色或有任何变形的迹象)，立即撤离到安全区域。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restart"/>
          </w:tcPr>
          <w:p>
            <w:pPr>
              <w:pStyle w:val="20"/>
              <w:spacing w:before="76" w:line="376" w:lineRule="auto"/>
              <w:ind w:left="107" w:right="99"/>
              <w:jc w:val="both"/>
              <w:rPr>
                <w:sz w:val="21"/>
              </w:rPr>
            </w:pPr>
            <w:r>
              <w:rPr>
                <w:sz w:val="21"/>
              </w:rPr>
              <w:t>包装与储运</w:t>
            </w:r>
          </w:p>
        </w:tc>
        <w:tc>
          <w:tcPr>
            <w:tcW w:w="1947" w:type="dxa"/>
          </w:tcPr>
          <w:p>
            <w:pPr>
              <w:pStyle w:val="20"/>
              <w:spacing w:before="76"/>
              <w:ind w:right="97"/>
              <w:jc w:val="right"/>
              <w:rPr>
                <w:sz w:val="21"/>
              </w:rPr>
            </w:pPr>
            <w:r>
              <w:rPr>
                <w:w w:val="95"/>
                <w:sz w:val="21"/>
              </w:rPr>
              <w:t>危险性类别：</w:t>
            </w:r>
          </w:p>
        </w:tc>
        <w:tc>
          <w:tcPr>
            <w:tcW w:w="6138" w:type="dxa"/>
          </w:tcPr>
          <w:p>
            <w:pPr>
              <w:pStyle w:val="20"/>
              <w:tabs>
                <w:tab w:val="left" w:pos="1157"/>
              </w:tabs>
              <w:spacing w:before="76"/>
              <w:ind w:left="108"/>
              <w:rPr>
                <w:sz w:val="21"/>
              </w:rPr>
            </w:pPr>
            <w:r>
              <w:rPr>
                <w:sz w:val="21"/>
              </w:rPr>
              <w:t>第</w:t>
            </w:r>
            <w:r>
              <w:rPr>
                <w:spacing w:val="-54"/>
                <w:sz w:val="21"/>
              </w:rPr>
              <w:t xml:space="preserve"> </w:t>
            </w:r>
            <w:r>
              <w:rPr>
                <w:sz w:val="21"/>
              </w:rPr>
              <w:t>3</w:t>
            </w:r>
            <w:r>
              <w:rPr>
                <w:spacing w:val="-53"/>
                <w:sz w:val="21"/>
              </w:rPr>
              <w:t xml:space="preserve"> </w:t>
            </w:r>
            <w:r>
              <w:rPr>
                <w:sz w:val="21"/>
              </w:rPr>
              <w:t>类</w:t>
            </w:r>
            <w:r>
              <w:rPr>
                <w:sz w:val="21"/>
              </w:rPr>
              <w:tab/>
            </w:r>
            <w:r>
              <w:rPr>
                <w:sz w:val="21"/>
              </w:rPr>
              <w:t>易燃液体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危险货物包装标</w:t>
            </w:r>
          </w:p>
          <w:p>
            <w:pPr>
              <w:pStyle w:val="20"/>
              <w:spacing w:before="156"/>
              <w:ind w:right="97"/>
              <w:jc w:val="right"/>
              <w:rPr>
                <w:sz w:val="21"/>
              </w:rPr>
            </w:pPr>
            <w:r>
              <w:rPr>
                <w:spacing w:val="-1"/>
                <w:w w:val="95"/>
                <w:sz w:val="21"/>
              </w:rPr>
              <w:t>志：</w:t>
            </w:r>
          </w:p>
        </w:tc>
        <w:tc>
          <w:tcPr>
            <w:tcW w:w="6138" w:type="dxa"/>
          </w:tcPr>
          <w:p>
            <w:pPr>
              <w:pStyle w:val="20"/>
              <w:spacing w:before="75"/>
              <w:ind w:left="108"/>
              <w:rPr>
                <w:sz w:val="21"/>
              </w:rPr>
            </w:pPr>
            <w:r>
              <w:rPr>
                <w:w w:val="99"/>
                <w:sz w:val="21"/>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包装类别：</w:t>
            </w:r>
          </w:p>
        </w:tc>
        <w:tc>
          <w:tcPr>
            <w:tcW w:w="6138" w:type="dxa"/>
          </w:tcPr>
          <w:p>
            <w:pPr>
              <w:pStyle w:val="20"/>
              <w:spacing w:before="76"/>
              <w:ind w:left="108"/>
              <w:rPr>
                <w:sz w:val="21"/>
              </w:rPr>
            </w:pPr>
            <w:r>
              <w:rPr>
                <w:w w:val="99"/>
                <w:sz w:val="21"/>
              </w:rPr>
              <w:t>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9"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储运注意事项：</w:t>
            </w:r>
          </w:p>
        </w:tc>
        <w:tc>
          <w:tcPr>
            <w:tcW w:w="6138" w:type="dxa"/>
          </w:tcPr>
          <w:p>
            <w:pPr>
              <w:pStyle w:val="20"/>
              <w:spacing w:before="75" w:line="376" w:lineRule="auto"/>
              <w:ind w:left="108" w:right="-15"/>
              <w:rPr>
                <w:sz w:val="21"/>
              </w:rPr>
            </w:pPr>
            <w:r>
              <w:rPr>
                <w:spacing w:val="-13"/>
                <w:sz w:val="21"/>
              </w:rPr>
              <w:t xml:space="preserve">储存于阴凉、通风仓间内。远离火种、热源。仓温不宜超过 </w:t>
            </w:r>
            <w:r>
              <w:rPr>
                <w:sz w:val="21"/>
              </w:rPr>
              <w:t>30℃。防止阳光直射。保持容器密封。应与氧化剂分开存放。储存间内的照明、通风等设施应采用防爆型，开关设在仓外。配备相应品种和数量的消防器材。禁止使用易产生火花的机械设备和工具。</w:t>
            </w:r>
            <w:r>
              <w:rPr>
                <w:spacing w:val="-1"/>
                <w:sz w:val="21"/>
              </w:rPr>
              <w:t xml:space="preserve">定期检查是否有泄漏现象。灌装时应注意流速(不超过 </w:t>
            </w:r>
            <w:r>
              <w:rPr>
                <w:spacing w:val="2"/>
                <w:sz w:val="21"/>
              </w:rPr>
              <w:t xml:space="preserve">3m／s)， </w:t>
            </w:r>
            <w:r>
              <w:rPr>
                <w:sz w:val="21"/>
              </w:rPr>
              <w:t>且有接地装置，防止静电积聚。搬运时要轻装轻卸，防止包装及容器损坏。</w:t>
            </w:r>
          </w:p>
          <w:p>
            <w:pPr>
              <w:pStyle w:val="20"/>
              <w:spacing w:before="5" w:line="376" w:lineRule="auto"/>
              <w:ind w:left="108" w:right="98"/>
              <w:rPr>
                <w:sz w:val="21"/>
              </w:rPr>
            </w:pPr>
            <w:r>
              <w:rPr>
                <w:sz w:val="21"/>
              </w:rPr>
              <w:t>废弃：处置前参阅国家和地方有关法规。废物储存参见“储运注意事项”。用控制焚烧法处置。</w:t>
            </w:r>
          </w:p>
          <w:p>
            <w:pPr>
              <w:pStyle w:val="20"/>
              <w:spacing w:before="2" w:line="376" w:lineRule="auto"/>
              <w:ind w:left="108" w:right="96"/>
              <w:rPr>
                <w:sz w:val="21"/>
              </w:rPr>
            </w:pPr>
            <w:r>
              <w:rPr>
                <w:sz w:val="21"/>
              </w:rPr>
              <w:t>包装方法：小开口钢桶；螺纹口玻璃瓶、铁盖压口玻璃瓶、塑料瓶或金属桶（罐）外木板箱。</w:t>
            </w:r>
          </w:p>
          <w:p>
            <w:pPr>
              <w:pStyle w:val="20"/>
              <w:ind w:left="108"/>
              <w:rPr>
                <w:sz w:val="21"/>
              </w:rPr>
            </w:pPr>
            <w:r>
              <w:rPr>
                <w:sz w:val="21"/>
              </w:rPr>
              <w:t>ERG 指南：129</w:t>
            </w:r>
          </w:p>
          <w:p>
            <w:pPr>
              <w:pStyle w:val="20"/>
              <w:spacing w:before="153"/>
              <w:ind w:left="108"/>
              <w:rPr>
                <w:sz w:val="21"/>
              </w:rPr>
            </w:pPr>
            <w:r>
              <w:rPr>
                <w:sz w:val="21"/>
              </w:rPr>
              <w:t>ERG 指南分类：易燃液体(极性的／与水混溶的／有毒的)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7" w:hRule="atLeast"/>
        </w:trPr>
        <w:tc>
          <w:tcPr>
            <w:tcW w:w="428" w:type="dxa"/>
          </w:tcPr>
          <w:p>
            <w:pPr>
              <w:pStyle w:val="20"/>
              <w:spacing w:before="76"/>
              <w:ind w:left="107"/>
              <w:rPr>
                <w:sz w:val="21"/>
              </w:rPr>
            </w:pPr>
            <w:r>
              <w:rPr>
                <w:w w:val="99"/>
                <w:sz w:val="21"/>
              </w:rPr>
              <w:t>毒</w:t>
            </w:r>
          </w:p>
          <w:p>
            <w:pPr>
              <w:pStyle w:val="20"/>
              <w:spacing w:before="3" w:line="420" w:lineRule="atLeast"/>
              <w:ind w:left="107" w:right="99"/>
              <w:rPr>
                <w:sz w:val="21"/>
              </w:rPr>
            </w:pPr>
            <w:r>
              <w:rPr>
                <w:sz w:val="21"/>
              </w:rPr>
              <w:t>性危</w:t>
            </w:r>
          </w:p>
        </w:tc>
        <w:tc>
          <w:tcPr>
            <w:tcW w:w="1947" w:type="dxa"/>
          </w:tcPr>
          <w:p>
            <w:pPr>
              <w:pStyle w:val="20"/>
              <w:spacing w:before="76"/>
              <w:ind w:right="97"/>
              <w:jc w:val="right"/>
              <w:rPr>
                <w:sz w:val="21"/>
              </w:rPr>
            </w:pPr>
            <w:r>
              <w:rPr>
                <w:w w:val="95"/>
                <w:sz w:val="21"/>
              </w:rPr>
              <w:t>接触限值：</w:t>
            </w:r>
          </w:p>
        </w:tc>
        <w:tc>
          <w:tcPr>
            <w:tcW w:w="6138" w:type="dxa"/>
          </w:tcPr>
          <w:p>
            <w:pPr>
              <w:pStyle w:val="20"/>
              <w:spacing w:before="76" w:line="376" w:lineRule="auto"/>
              <w:ind w:left="108" w:right="4128"/>
              <w:rPr>
                <w:sz w:val="10"/>
              </w:rPr>
            </w:pPr>
            <w:r>
              <w:rPr>
                <w:spacing w:val="-1"/>
                <w:w w:val="99"/>
                <w:sz w:val="21"/>
              </w:rPr>
              <w:t>中国</w:t>
            </w:r>
            <w:r>
              <w:rPr>
                <w:spacing w:val="-53"/>
                <w:sz w:val="21"/>
              </w:rPr>
              <w:t xml:space="preserve"> </w:t>
            </w:r>
            <w:r>
              <w:rPr>
                <w:spacing w:val="-1"/>
                <w:w w:val="99"/>
                <w:sz w:val="21"/>
              </w:rPr>
              <w:t>MA</w:t>
            </w:r>
            <w:r>
              <w:rPr>
                <w:spacing w:val="-4"/>
                <w:w w:val="99"/>
                <w:sz w:val="21"/>
              </w:rPr>
              <w:t>C</w:t>
            </w:r>
            <w:r>
              <w:rPr>
                <w:spacing w:val="0"/>
                <w:w w:val="99"/>
                <w:sz w:val="21"/>
              </w:rPr>
              <w:t>：</w:t>
            </w:r>
            <w:r>
              <w:rPr>
                <w:spacing w:val="-1"/>
                <w:w w:val="99"/>
                <w:sz w:val="21"/>
              </w:rPr>
              <w:t>300</w:t>
            </w:r>
            <w:r>
              <w:rPr>
                <w:spacing w:val="-4"/>
                <w:w w:val="99"/>
                <w:sz w:val="21"/>
              </w:rPr>
              <w:t>m</w:t>
            </w:r>
            <w:r>
              <w:rPr>
                <w:spacing w:val="-1"/>
                <w:w w:val="99"/>
                <w:sz w:val="21"/>
              </w:rPr>
              <w:t>g</w:t>
            </w:r>
            <w:r>
              <w:rPr>
                <w:spacing w:val="-3"/>
                <w:w w:val="99"/>
                <w:sz w:val="21"/>
              </w:rPr>
              <w:t>／</w:t>
            </w:r>
            <w:r>
              <w:rPr>
                <w:spacing w:val="-1"/>
                <w:w w:val="99"/>
                <w:sz w:val="21"/>
              </w:rPr>
              <w:t>m</w:t>
            </w:r>
            <w:r>
              <w:rPr>
                <w:spacing w:val="-2"/>
                <w:w w:val="106"/>
                <w:position w:val="11"/>
                <w:sz w:val="10"/>
              </w:rPr>
              <w:t>3</w:t>
            </w:r>
            <w:r>
              <w:rPr>
                <w:spacing w:val="-1"/>
                <w:w w:val="99"/>
                <w:sz w:val="21"/>
              </w:rPr>
              <w:t>苏联</w:t>
            </w:r>
            <w:r>
              <w:rPr>
                <w:spacing w:val="-53"/>
                <w:sz w:val="21"/>
              </w:rPr>
              <w:t xml:space="preserve"> </w:t>
            </w:r>
            <w:r>
              <w:rPr>
                <w:spacing w:val="-1"/>
                <w:w w:val="99"/>
                <w:sz w:val="21"/>
              </w:rPr>
              <w:t>MA</w:t>
            </w:r>
            <w:r>
              <w:rPr>
                <w:spacing w:val="-4"/>
                <w:w w:val="99"/>
                <w:sz w:val="21"/>
              </w:rPr>
              <w:t>C</w:t>
            </w:r>
            <w:r>
              <w:rPr>
                <w:spacing w:val="0"/>
                <w:w w:val="99"/>
                <w:sz w:val="21"/>
              </w:rPr>
              <w:t>：</w:t>
            </w:r>
            <w:r>
              <w:rPr>
                <w:spacing w:val="-1"/>
                <w:w w:val="99"/>
                <w:sz w:val="21"/>
              </w:rPr>
              <w:t>200</w:t>
            </w:r>
            <w:r>
              <w:rPr>
                <w:spacing w:val="-4"/>
                <w:w w:val="99"/>
                <w:sz w:val="21"/>
              </w:rPr>
              <w:t>m</w:t>
            </w:r>
            <w:r>
              <w:rPr>
                <w:spacing w:val="-1"/>
                <w:w w:val="99"/>
                <w:sz w:val="21"/>
              </w:rPr>
              <w:t>g</w:t>
            </w:r>
            <w:r>
              <w:rPr>
                <w:spacing w:val="-3"/>
                <w:w w:val="99"/>
                <w:sz w:val="21"/>
              </w:rPr>
              <w:t>／</w:t>
            </w:r>
            <w:r>
              <w:rPr>
                <w:spacing w:val="-1"/>
                <w:w w:val="99"/>
                <w:sz w:val="21"/>
              </w:rPr>
              <w:t>m</w:t>
            </w:r>
            <w:r>
              <w:rPr>
                <w:spacing w:val="-2"/>
                <w:w w:val="106"/>
                <w:position w:val="11"/>
                <w:sz w:val="10"/>
              </w:rPr>
              <w:t>3</w:t>
            </w:r>
          </w:p>
          <w:p>
            <w:pPr>
              <w:pStyle w:val="20"/>
              <w:ind w:left="108"/>
              <w:rPr>
                <w:sz w:val="10"/>
              </w:rPr>
            </w:pPr>
            <w:r>
              <w:rPr>
                <w:spacing w:val="-1"/>
                <w:w w:val="99"/>
                <w:sz w:val="21"/>
              </w:rPr>
              <w:t>美国</w:t>
            </w:r>
            <w:r>
              <w:rPr>
                <w:spacing w:val="-53"/>
                <w:sz w:val="21"/>
              </w:rPr>
              <w:t xml:space="preserve"> </w:t>
            </w:r>
            <w:r>
              <w:rPr>
                <w:spacing w:val="1"/>
                <w:w w:val="99"/>
                <w:sz w:val="21"/>
              </w:rPr>
              <w:t>TW</w:t>
            </w:r>
            <w:r>
              <w:rPr>
                <w:spacing w:val="-2"/>
                <w:w w:val="99"/>
                <w:sz w:val="21"/>
              </w:rPr>
              <w:t>A</w:t>
            </w:r>
            <w:r>
              <w:rPr>
                <w:spacing w:val="2"/>
                <w:w w:val="99"/>
                <w:sz w:val="21"/>
              </w:rPr>
              <w:t>：</w:t>
            </w:r>
            <w:r>
              <w:rPr>
                <w:spacing w:val="1"/>
                <w:w w:val="99"/>
                <w:sz w:val="21"/>
              </w:rPr>
              <w:t>OSH</w:t>
            </w:r>
            <w:r>
              <w:rPr>
                <w:w w:val="99"/>
                <w:sz w:val="21"/>
              </w:rPr>
              <w:t>A</w:t>
            </w:r>
            <w:r>
              <w:rPr>
                <w:spacing w:val="-1"/>
                <w:sz w:val="21"/>
              </w:rPr>
              <w:t xml:space="preserve"> </w:t>
            </w:r>
            <w:r>
              <w:rPr>
                <w:spacing w:val="1"/>
                <w:w w:val="99"/>
                <w:sz w:val="21"/>
              </w:rPr>
              <w:t>15</w:t>
            </w:r>
            <w:r>
              <w:rPr>
                <w:spacing w:val="-2"/>
                <w:w w:val="99"/>
                <w:sz w:val="21"/>
              </w:rPr>
              <w:t>0</w:t>
            </w:r>
            <w:r>
              <w:rPr>
                <w:spacing w:val="1"/>
                <w:w w:val="99"/>
                <w:sz w:val="21"/>
              </w:rPr>
              <w:t>pp</w:t>
            </w:r>
            <w:r>
              <w:rPr>
                <w:spacing w:val="-2"/>
                <w:w w:val="99"/>
                <w:sz w:val="21"/>
              </w:rPr>
              <w:t>m</w:t>
            </w:r>
            <w:r>
              <w:rPr>
                <w:spacing w:val="2"/>
                <w:w w:val="99"/>
                <w:sz w:val="21"/>
              </w:rPr>
              <w:t>，</w:t>
            </w:r>
            <w:r>
              <w:rPr>
                <w:spacing w:val="1"/>
                <w:w w:val="99"/>
                <w:sz w:val="21"/>
              </w:rPr>
              <w:t>71</w:t>
            </w:r>
            <w:r>
              <w:rPr>
                <w:spacing w:val="-2"/>
                <w:w w:val="99"/>
                <w:sz w:val="21"/>
              </w:rPr>
              <w:t>3</w:t>
            </w:r>
            <w:r>
              <w:rPr>
                <w:spacing w:val="1"/>
                <w:w w:val="99"/>
                <w:sz w:val="21"/>
              </w:rPr>
              <w:t>m</w:t>
            </w:r>
            <w:r>
              <w:rPr>
                <w:spacing w:val="-2"/>
                <w:w w:val="99"/>
                <w:sz w:val="21"/>
              </w:rPr>
              <w:t>g</w:t>
            </w:r>
            <w:r>
              <w:rPr>
                <w:spacing w:val="2"/>
                <w:w w:val="99"/>
                <w:sz w:val="21"/>
              </w:rPr>
              <w:t>／</w:t>
            </w:r>
            <w:r>
              <w:rPr>
                <w:spacing w:val="1"/>
                <w:w w:val="99"/>
                <w:sz w:val="21"/>
              </w:rPr>
              <w:t>m</w:t>
            </w:r>
            <w:r>
              <w:rPr>
                <w:spacing w:val="-1"/>
                <w:w w:val="106"/>
                <w:position w:val="10"/>
                <w:sz w:val="10"/>
              </w:rPr>
              <w:t>3</w:t>
            </w:r>
            <w:r>
              <w:rPr>
                <w:spacing w:val="-1"/>
                <w:w w:val="99"/>
                <w:sz w:val="21"/>
              </w:rPr>
              <w:t>；</w:t>
            </w:r>
            <w:r>
              <w:rPr>
                <w:spacing w:val="1"/>
                <w:w w:val="99"/>
                <w:sz w:val="21"/>
              </w:rPr>
              <w:t>ACG</w:t>
            </w:r>
            <w:r>
              <w:rPr>
                <w:spacing w:val="-2"/>
                <w:w w:val="99"/>
                <w:sz w:val="21"/>
              </w:rPr>
              <w:t>I</w:t>
            </w:r>
            <w:r>
              <w:rPr>
                <w:w w:val="99"/>
                <w:sz w:val="21"/>
              </w:rPr>
              <w:t>H</w:t>
            </w:r>
            <w:r>
              <w:rPr>
                <w:spacing w:val="1"/>
                <w:sz w:val="21"/>
              </w:rPr>
              <w:t xml:space="preserve"> </w:t>
            </w:r>
            <w:r>
              <w:rPr>
                <w:spacing w:val="1"/>
                <w:w w:val="99"/>
                <w:sz w:val="21"/>
              </w:rPr>
              <w:t>150</w:t>
            </w:r>
            <w:r>
              <w:rPr>
                <w:spacing w:val="-2"/>
                <w:w w:val="99"/>
                <w:sz w:val="21"/>
              </w:rPr>
              <w:t>p</w:t>
            </w:r>
            <w:r>
              <w:rPr>
                <w:spacing w:val="1"/>
                <w:w w:val="99"/>
                <w:sz w:val="21"/>
              </w:rPr>
              <w:t>p</w:t>
            </w:r>
            <w:r>
              <w:rPr>
                <w:spacing w:val="-2"/>
                <w:w w:val="99"/>
                <w:sz w:val="21"/>
              </w:rPr>
              <w:t>m</w:t>
            </w:r>
            <w:r>
              <w:rPr>
                <w:spacing w:val="2"/>
                <w:w w:val="99"/>
                <w:sz w:val="21"/>
              </w:rPr>
              <w:t>，</w:t>
            </w:r>
            <w:r>
              <w:rPr>
                <w:spacing w:val="1"/>
                <w:w w:val="99"/>
                <w:sz w:val="21"/>
              </w:rPr>
              <w:t>713</w:t>
            </w:r>
            <w:r>
              <w:rPr>
                <w:spacing w:val="-2"/>
                <w:w w:val="99"/>
                <w:sz w:val="21"/>
              </w:rPr>
              <w:t>m</w:t>
            </w:r>
            <w:r>
              <w:rPr>
                <w:spacing w:val="1"/>
                <w:w w:val="99"/>
                <w:sz w:val="21"/>
              </w:rPr>
              <w:t>g</w:t>
            </w:r>
            <w:r>
              <w:rPr>
                <w:spacing w:val="-1"/>
                <w:w w:val="99"/>
                <w:sz w:val="21"/>
              </w:rPr>
              <w:t>／</w:t>
            </w:r>
            <w:r>
              <w:rPr>
                <w:spacing w:val="1"/>
                <w:w w:val="99"/>
                <w:sz w:val="21"/>
              </w:rPr>
              <w:t>m</w:t>
            </w:r>
            <w:r>
              <w:rPr>
                <w:w w:val="106"/>
                <w:position w:val="10"/>
                <w:sz w:val="10"/>
              </w:rPr>
              <w:t>3</w:t>
            </w:r>
          </w:p>
        </w:tc>
      </w:tr>
    </w:tbl>
    <w:p>
      <w:pPr>
        <w:spacing w:after="0"/>
        <w:rPr>
          <w:sz w:val="10"/>
        </w:rPr>
        <w:sectPr>
          <w:footerReference r:id="rId10" w:type="default"/>
          <w:pgSz w:w="11900" w:h="16840"/>
          <w:pgMar w:top="1420" w:right="80" w:bottom="1200" w:left="260" w:header="882" w:footer="1004" w:gutter="0"/>
          <w:pgNumType w:start="3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1947"/>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8" w:type="dxa"/>
            <w:vMerge w:val="restart"/>
          </w:tcPr>
          <w:p>
            <w:pPr>
              <w:pStyle w:val="20"/>
              <w:spacing w:before="76"/>
              <w:ind w:left="107"/>
              <w:rPr>
                <w:sz w:val="21"/>
              </w:rPr>
            </w:pPr>
            <w:r>
              <w:rPr>
                <w:w w:val="99"/>
                <w:sz w:val="21"/>
              </w:rPr>
              <w:t>害</w:t>
            </w:r>
          </w:p>
        </w:tc>
        <w:tc>
          <w:tcPr>
            <w:tcW w:w="1947" w:type="dxa"/>
          </w:tcPr>
          <w:p>
            <w:pPr>
              <w:pStyle w:val="20"/>
              <w:rPr>
                <w:rFonts w:ascii="Times New Roman"/>
                <w:sz w:val="20"/>
              </w:rPr>
            </w:pPr>
          </w:p>
        </w:tc>
        <w:tc>
          <w:tcPr>
            <w:tcW w:w="6138" w:type="dxa"/>
          </w:tcPr>
          <w:p>
            <w:pPr>
              <w:pStyle w:val="20"/>
              <w:spacing w:before="76"/>
              <w:ind w:left="108"/>
              <w:rPr>
                <w:sz w:val="10"/>
              </w:rPr>
            </w:pPr>
            <w:r>
              <w:rPr>
                <w:spacing w:val="-1"/>
                <w:w w:val="99"/>
                <w:sz w:val="21"/>
              </w:rPr>
              <w:t>美国</w:t>
            </w:r>
            <w:r>
              <w:rPr>
                <w:spacing w:val="-53"/>
                <w:sz w:val="21"/>
              </w:rPr>
              <w:t xml:space="preserve"> </w:t>
            </w:r>
            <w:r>
              <w:rPr>
                <w:spacing w:val="1"/>
                <w:w w:val="99"/>
                <w:sz w:val="21"/>
              </w:rPr>
              <w:t>STE</w:t>
            </w:r>
            <w:r>
              <w:rPr>
                <w:spacing w:val="-2"/>
                <w:w w:val="99"/>
                <w:sz w:val="21"/>
              </w:rPr>
              <w:t>L</w:t>
            </w:r>
            <w:r>
              <w:rPr>
                <w:spacing w:val="2"/>
                <w:w w:val="99"/>
                <w:sz w:val="21"/>
              </w:rPr>
              <w:t>：</w:t>
            </w:r>
            <w:r>
              <w:rPr>
                <w:spacing w:val="1"/>
                <w:w w:val="99"/>
                <w:sz w:val="21"/>
              </w:rPr>
              <w:t>AC</w:t>
            </w:r>
            <w:r>
              <w:rPr>
                <w:spacing w:val="-2"/>
                <w:w w:val="99"/>
                <w:sz w:val="21"/>
              </w:rPr>
              <w:t>G</w:t>
            </w:r>
            <w:r>
              <w:rPr>
                <w:spacing w:val="1"/>
                <w:w w:val="99"/>
                <w:sz w:val="21"/>
              </w:rPr>
              <w:t>I</w:t>
            </w:r>
            <w:r>
              <w:rPr>
                <w:w w:val="99"/>
                <w:sz w:val="21"/>
              </w:rPr>
              <w:t>H</w:t>
            </w:r>
            <w:r>
              <w:rPr>
                <w:spacing w:val="-1"/>
                <w:sz w:val="21"/>
              </w:rPr>
              <w:t xml:space="preserve"> </w:t>
            </w:r>
            <w:r>
              <w:rPr>
                <w:spacing w:val="1"/>
                <w:w w:val="99"/>
                <w:sz w:val="21"/>
              </w:rPr>
              <w:t>200</w:t>
            </w:r>
            <w:r>
              <w:rPr>
                <w:spacing w:val="-2"/>
                <w:w w:val="99"/>
                <w:sz w:val="21"/>
              </w:rPr>
              <w:t>p</w:t>
            </w:r>
            <w:r>
              <w:rPr>
                <w:spacing w:val="1"/>
                <w:w w:val="99"/>
                <w:sz w:val="21"/>
              </w:rPr>
              <w:t>pm</w:t>
            </w:r>
            <w:r>
              <w:rPr>
                <w:spacing w:val="-1"/>
                <w:w w:val="99"/>
                <w:sz w:val="21"/>
              </w:rPr>
              <w:t>，</w:t>
            </w:r>
            <w:r>
              <w:rPr>
                <w:spacing w:val="1"/>
                <w:w w:val="99"/>
                <w:sz w:val="21"/>
              </w:rPr>
              <w:t>950</w:t>
            </w:r>
            <w:r>
              <w:rPr>
                <w:spacing w:val="-2"/>
                <w:w w:val="99"/>
                <w:sz w:val="21"/>
              </w:rPr>
              <w:t>m</w:t>
            </w:r>
            <w:r>
              <w:rPr>
                <w:spacing w:val="1"/>
                <w:w w:val="99"/>
                <w:sz w:val="21"/>
              </w:rPr>
              <w:t>g</w:t>
            </w:r>
            <w:r>
              <w:rPr>
                <w:spacing w:val="-1"/>
                <w:w w:val="99"/>
                <w:sz w:val="21"/>
              </w:rPr>
              <w:t>／</w:t>
            </w:r>
            <w:r>
              <w:rPr>
                <w:spacing w:val="1"/>
                <w:w w:val="99"/>
                <w:sz w:val="21"/>
              </w:rPr>
              <w:t>m</w:t>
            </w:r>
            <w:r>
              <w:rPr>
                <w:w w:val="106"/>
                <w:position w:val="11"/>
                <w:sz w:val="10"/>
              </w:rPr>
              <w:t>3</w:t>
            </w:r>
          </w:p>
          <w:p>
            <w:pPr>
              <w:pStyle w:val="20"/>
              <w:spacing w:before="153"/>
              <w:ind w:left="108"/>
              <w:rPr>
                <w:sz w:val="21"/>
              </w:rPr>
            </w:pPr>
            <w:r>
              <w:rPr>
                <w:sz w:val="21"/>
              </w:rPr>
              <w:t>检测方法：气相色谱法；羟胺－氯化铁分光度法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侵入途径：</w:t>
            </w:r>
          </w:p>
        </w:tc>
        <w:tc>
          <w:tcPr>
            <w:tcW w:w="6138" w:type="dxa"/>
          </w:tcPr>
          <w:p>
            <w:pPr>
              <w:pStyle w:val="20"/>
              <w:tabs>
                <w:tab w:val="left" w:pos="948"/>
                <w:tab w:val="left" w:pos="1788"/>
              </w:tabs>
              <w:spacing w:before="77"/>
              <w:ind w:left="108"/>
              <w:rPr>
                <w:sz w:val="21"/>
              </w:rPr>
            </w:pPr>
            <w:r>
              <w:rPr>
                <w:sz w:val="21"/>
              </w:rPr>
              <w:t>吸入</w:t>
            </w:r>
            <w:r>
              <w:rPr>
                <w:sz w:val="21"/>
              </w:rPr>
              <w:tab/>
            </w:r>
            <w:r>
              <w:rPr>
                <w:sz w:val="21"/>
              </w:rPr>
              <w:t>食入</w:t>
            </w:r>
            <w:r>
              <w:rPr>
                <w:sz w:val="21"/>
              </w:rPr>
              <w:tab/>
            </w:r>
            <w:r>
              <w:rPr>
                <w:sz w:val="21"/>
              </w:rPr>
              <w:t>经皮吸收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7"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毒性：</w:t>
            </w:r>
          </w:p>
        </w:tc>
        <w:tc>
          <w:tcPr>
            <w:tcW w:w="6138" w:type="dxa"/>
          </w:tcPr>
          <w:p>
            <w:pPr>
              <w:pStyle w:val="20"/>
              <w:spacing w:before="76" w:line="376" w:lineRule="auto"/>
              <w:ind w:left="108" w:right="2850"/>
              <w:rPr>
                <w:sz w:val="21"/>
              </w:rPr>
            </w:pPr>
            <w:r>
              <w:rPr>
                <w:sz w:val="21"/>
              </w:rPr>
              <w:t>LD50：13100mg／kg(大鼠经口) LC50：2000ppm 4 小时(大鼠吸入)</w:t>
            </w:r>
          </w:p>
          <w:p>
            <w:pPr>
              <w:pStyle w:val="20"/>
              <w:tabs>
                <w:tab w:val="left" w:pos="1157"/>
              </w:tabs>
              <w:ind w:left="108"/>
              <w:rPr>
                <w:sz w:val="21"/>
              </w:rPr>
            </w:pPr>
            <w:r>
              <w:rPr>
                <w:sz w:val="21"/>
              </w:rPr>
              <w:t>刺激性</w:t>
            </w:r>
            <w:r>
              <w:rPr>
                <w:sz w:val="21"/>
              </w:rPr>
              <w:tab/>
            </w:r>
            <w:r>
              <w:rPr>
                <w:sz w:val="21"/>
              </w:rPr>
              <w:t>家兔经皮开放性刺激试验：500mg，轻度刺激。</w:t>
            </w:r>
          </w:p>
          <w:p>
            <w:pPr>
              <w:pStyle w:val="20"/>
              <w:tabs>
                <w:tab w:val="left" w:pos="2208"/>
              </w:tabs>
              <w:spacing w:before="156" w:line="376" w:lineRule="auto"/>
              <w:ind w:left="108" w:right="-15"/>
              <w:rPr>
                <w:sz w:val="21"/>
              </w:rPr>
            </w:pPr>
            <w:r>
              <w:rPr>
                <w:sz w:val="21"/>
              </w:rPr>
              <w:t>亚急性和慢性毒性</w:t>
            </w:r>
            <w:r>
              <w:rPr>
                <w:sz w:val="21"/>
              </w:rPr>
              <w:tab/>
            </w:r>
            <w:r>
              <w:rPr>
                <w:sz w:val="21"/>
              </w:rPr>
              <w:t>猫吸入</w:t>
            </w:r>
            <w:r>
              <w:rPr>
                <w:spacing w:val="-58"/>
                <w:sz w:val="21"/>
              </w:rPr>
              <w:t xml:space="preserve"> </w:t>
            </w:r>
            <w:r>
              <w:rPr>
                <w:sz w:val="21"/>
              </w:rPr>
              <w:t>4200ppm，6</w:t>
            </w:r>
            <w:r>
              <w:rPr>
                <w:spacing w:val="-58"/>
                <w:sz w:val="21"/>
              </w:rPr>
              <w:t xml:space="preserve"> </w:t>
            </w:r>
            <w:r>
              <w:rPr>
                <w:sz w:val="21"/>
              </w:rPr>
              <w:t>小时/天，6</w:t>
            </w:r>
            <w:r>
              <w:rPr>
                <w:spacing w:val="-57"/>
                <w:sz w:val="21"/>
              </w:rPr>
              <w:t xml:space="preserve"> </w:t>
            </w:r>
            <w:r>
              <w:rPr>
                <w:sz w:val="21"/>
              </w:rPr>
              <w:t>天</w:t>
            </w:r>
            <w:r>
              <w:rPr>
                <w:spacing w:val="-3"/>
                <w:sz w:val="21"/>
              </w:rPr>
              <w:t>，</w:t>
            </w:r>
            <w:r>
              <w:rPr>
                <w:sz w:val="21"/>
              </w:rPr>
              <w:t>衰弱， 体重减轻，轻度血液变化。</w:t>
            </w:r>
          </w:p>
          <w:p>
            <w:pPr>
              <w:pStyle w:val="20"/>
              <w:ind w:left="108"/>
              <w:rPr>
                <w:sz w:val="21"/>
              </w:rPr>
            </w:pPr>
            <w:r>
              <w:rPr>
                <w:sz w:val="21"/>
              </w:rPr>
              <w:t>该物质对环境可能有危害，对水体应给予特别注意。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5"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健康危害：</w:t>
            </w:r>
          </w:p>
        </w:tc>
        <w:tc>
          <w:tcPr>
            <w:tcW w:w="6138" w:type="dxa"/>
          </w:tcPr>
          <w:p>
            <w:pPr>
              <w:pStyle w:val="20"/>
              <w:spacing w:before="77" w:line="376" w:lineRule="auto"/>
              <w:ind w:left="108" w:right="96"/>
              <w:rPr>
                <w:sz w:val="21"/>
              </w:rPr>
            </w:pPr>
            <w:r>
              <w:rPr>
                <w:spacing w:val="-1"/>
                <w:sz w:val="21"/>
              </w:rPr>
              <w:t>对眼及上呼吸道均有强烈的刺激作用，角膜上皮可有空泡形成。</w:t>
            </w:r>
            <w:r>
              <w:rPr>
                <w:sz w:val="21"/>
              </w:rPr>
              <w:t>高浓度时可有麻醉作用。可引起皮肤干燥。 IDLH：1700ppm(LEL)</w:t>
            </w:r>
          </w:p>
          <w:p>
            <w:pPr>
              <w:pStyle w:val="20"/>
              <w:ind w:left="108"/>
              <w:rPr>
                <w:sz w:val="21"/>
              </w:rPr>
            </w:pPr>
            <w:r>
              <w:rPr>
                <w:sz w:val="21"/>
              </w:rPr>
              <w:t>嗅阈：0．007ppm</w:t>
            </w:r>
          </w:p>
          <w:p>
            <w:pPr>
              <w:pStyle w:val="20"/>
              <w:spacing w:before="155"/>
              <w:ind w:left="108"/>
              <w:rPr>
                <w:sz w:val="21"/>
              </w:rPr>
            </w:pPr>
            <w:r>
              <w:rPr>
                <w:sz w:val="21"/>
              </w:rPr>
              <w:t>健康危害(蓝色)：1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8" w:type="dxa"/>
            <w:vMerge w:val="restart"/>
          </w:tcPr>
          <w:p>
            <w:pPr>
              <w:pStyle w:val="20"/>
              <w:spacing w:before="76" w:line="626" w:lineRule="auto"/>
              <w:ind w:left="107" w:right="99"/>
              <w:rPr>
                <w:sz w:val="21"/>
              </w:rPr>
            </w:pPr>
            <w:r>
              <w:rPr>
                <w:sz w:val="21"/>
              </w:rPr>
              <w:t>急救</w:t>
            </w:r>
          </w:p>
        </w:tc>
        <w:tc>
          <w:tcPr>
            <w:tcW w:w="1947" w:type="dxa"/>
          </w:tcPr>
          <w:p>
            <w:pPr>
              <w:pStyle w:val="20"/>
              <w:spacing w:before="76"/>
              <w:ind w:right="97"/>
              <w:jc w:val="right"/>
              <w:rPr>
                <w:sz w:val="21"/>
              </w:rPr>
            </w:pPr>
            <w:r>
              <w:rPr>
                <w:w w:val="95"/>
                <w:sz w:val="21"/>
              </w:rPr>
              <w:t>皮肤接触：</w:t>
            </w:r>
          </w:p>
        </w:tc>
        <w:tc>
          <w:tcPr>
            <w:tcW w:w="6138" w:type="dxa"/>
          </w:tcPr>
          <w:p>
            <w:pPr>
              <w:pStyle w:val="20"/>
              <w:spacing w:before="76"/>
              <w:ind w:left="108"/>
              <w:rPr>
                <w:sz w:val="21"/>
              </w:rPr>
            </w:pPr>
            <w:r>
              <w:rPr>
                <w:sz w:val="21"/>
              </w:rPr>
              <w:t>脱去污染的衣着，用流动清水冲洗。脱去并隔离被污染的衣服和</w:t>
            </w:r>
          </w:p>
          <w:p>
            <w:pPr>
              <w:pStyle w:val="20"/>
              <w:spacing w:before="153"/>
              <w:ind w:left="108"/>
              <w:rPr>
                <w:sz w:val="21"/>
              </w:rPr>
            </w:pPr>
            <w:r>
              <w:rPr>
                <w:sz w:val="21"/>
              </w:rPr>
              <w:t>鞋。注意患者保暖并且保持安静。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眼睛接触：</w:t>
            </w:r>
          </w:p>
        </w:tc>
        <w:tc>
          <w:tcPr>
            <w:tcW w:w="6138" w:type="dxa"/>
          </w:tcPr>
          <w:p>
            <w:pPr>
              <w:pStyle w:val="20"/>
              <w:spacing w:before="77"/>
              <w:ind w:left="108"/>
              <w:rPr>
                <w:sz w:val="21"/>
              </w:rPr>
            </w:pPr>
            <w:r>
              <w:rPr>
                <w:sz w:val="21"/>
              </w:rPr>
              <w:t>立即提起眼睑，用大量流动清水彻底冲洗。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吸入：</w:t>
            </w:r>
          </w:p>
        </w:tc>
        <w:tc>
          <w:tcPr>
            <w:tcW w:w="6138" w:type="dxa"/>
          </w:tcPr>
          <w:p>
            <w:pPr>
              <w:pStyle w:val="20"/>
              <w:spacing w:before="75"/>
              <w:ind w:left="108"/>
              <w:rPr>
                <w:sz w:val="21"/>
              </w:rPr>
            </w:pPr>
            <w:r>
              <w:rPr>
                <w:sz w:val="21"/>
              </w:rPr>
              <w:t>脱离现场至空气新鲜处。呼吸困难时给输氧。呼吸停止时，立即</w:t>
            </w:r>
          </w:p>
          <w:p>
            <w:pPr>
              <w:pStyle w:val="20"/>
              <w:spacing w:before="154"/>
              <w:ind w:left="108"/>
              <w:rPr>
                <w:sz w:val="21"/>
              </w:rPr>
            </w:pPr>
            <w:r>
              <w:rPr>
                <w:sz w:val="21"/>
              </w:rPr>
              <w:t>进行人工呼吸。就医。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8"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食入：</w:t>
            </w:r>
          </w:p>
        </w:tc>
        <w:tc>
          <w:tcPr>
            <w:tcW w:w="6138" w:type="dxa"/>
          </w:tcPr>
          <w:p>
            <w:pPr>
              <w:pStyle w:val="20"/>
              <w:spacing w:before="76"/>
              <w:ind w:left="108"/>
              <w:rPr>
                <w:sz w:val="21"/>
              </w:rPr>
            </w:pPr>
            <w:r>
              <w:rPr>
                <w:sz w:val="21"/>
              </w:rPr>
              <w:t>误服者给饮大量温水，催吐，就医。吸入、食入或皮肤接触该物</w:t>
            </w:r>
          </w:p>
          <w:p>
            <w:pPr>
              <w:pStyle w:val="20"/>
              <w:spacing w:before="3" w:line="420" w:lineRule="atLeast"/>
              <w:ind w:left="108" w:right="96"/>
              <w:rPr>
                <w:sz w:val="21"/>
              </w:rPr>
            </w:pPr>
            <w:r>
              <w:rPr>
                <w:sz w:val="21"/>
              </w:rPr>
              <w:t>质可引起迟发反应。确保医务人员了解该物质相关的个体防护知识，注意自身防护。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restart"/>
          </w:tcPr>
          <w:p>
            <w:pPr>
              <w:pStyle w:val="20"/>
              <w:spacing w:before="77"/>
              <w:ind w:left="107"/>
              <w:rPr>
                <w:sz w:val="21"/>
              </w:rPr>
            </w:pPr>
            <w:r>
              <w:rPr>
                <w:w w:val="99"/>
                <w:sz w:val="21"/>
              </w:rPr>
              <w:t>防</w:t>
            </w:r>
          </w:p>
          <w:p>
            <w:pPr>
              <w:pStyle w:val="20"/>
              <w:rPr>
                <w:rFonts w:ascii="宋体"/>
                <w:b/>
                <w:sz w:val="20"/>
              </w:rPr>
            </w:pPr>
          </w:p>
          <w:p>
            <w:pPr>
              <w:pStyle w:val="20"/>
              <w:spacing w:before="11"/>
              <w:rPr>
                <w:rFonts w:ascii="宋体"/>
                <w:b/>
                <w:sz w:val="24"/>
              </w:rPr>
            </w:pPr>
          </w:p>
          <w:p>
            <w:pPr>
              <w:pStyle w:val="20"/>
              <w:ind w:left="107"/>
              <w:rPr>
                <w:sz w:val="21"/>
              </w:rPr>
            </w:pPr>
            <w:r>
              <w:rPr>
                <w:w w:val="99"/>
                <w:sz w:val="21"/>
              </w:rPr>
              <w:t>护</w:t>
            </w:r>
          </w:p>
          <w:p>
            <w:pPr>
              <w:pStyle w:val="20"/>
              <w:rPr>
                <w:rFonts w:ascii="宋体"/>
                <w:b/>
                <w:sz w:val="20"/>
              </w:rPr>
            </w:pPr>
          </w:p>
          <w:p>
            <w:pPr>
              <w:pStyle w:val="20"/>
              <w:spacing w:before="2"/>
              <w:rPr>
                <w:rFonts w:ascii="宋体"/>
                <w:b/>
                <w:sz w:val="25"/>
              </w:rPr>
            </w:pPr>
          </w:p>
          <w:p>
            <w:pPr>
              <w:pStyle w:val="20"/>
              <w:ind w:left="107"/>
              <w:rPr>
                <w:sz w:val="21"/>
              </w:rPr>
            </w:pPr>
            <w:r>
              <w:rPr>
                <w:w w:val="99"/>
                <w:sz w:val="21"/>
              </w:rPr>
              <w:t>措</w:t>
            </w:r>
          </w:p>
          <w:p>
            <w:pPr>
              <w:pStyle w:val="20"/>
              <w:rPr>
                <w:rFonts w:ascii="宋体"/>
                <w:b/>
                <w:sz w:val="20"/>
              </w:rPr>
            </w:pPr>
          </w:p>
          <w:p>
            <w:pPr>
              <w:pStyle w:val="20"/>
              <w:spacing w:before="12"/>
              <w:rPr>
                <w:rFonts w:ascii="宋体"/>
                <w:b/>
                <w:sz w:val="24"/>
              </w:rPr>
            </w:pPr>
          </w:p>
          <w:p>
            <w:pPr>
              <w:pStyle w:val="20"/>
              <w:ind w:left="107"/>
              <w:rPr>
                <w:sz w:val="21"/>
              </w:rPr>
            </w:pPr>
            <w:r>
              <w:rPr>
                <w:w w:val="99"/>
                <w:sz w:val="21"/>
              </w:rPr>
              <w:t>施</w:t>
            </w:r>
          </w:p>
        </w:tc>
        <w:tc>
          <w:tcPr>
            <w:tcW w:w="1947" w:type="dxa"/>
          </w:tcPr>
          <w:p>
            <w:pPr>
              <w:pStyle w:val="20"/>
              <w:spacing w:before="77"/>
              <w:ind w:right="97"/>
              <w:jc w:val="right"/>
              <w:rPr>
                <w:sz w:val="21"/>
              </w:rPr>
            </w:pPr>
            <w:r>
              <w:rPr>
                <w:w w:val="95"/>
                <w:sz w:val="21"/>
              </w:rPr>
              <w:t>工程控制：</w:t>
            </w:r>
          </w:p>
        </w:tc>
        <w:tc>
          <w:tcPr>
            <w:tcW w:w="6138" w:type="dxa"/>
          </w:tcPr>
          <w:p>
            <w:pPr>
              <w:pStyle w:val="20"/>
              <w:spacing w:before="77"/>
              <w:ind w:left="108"/>
              <w:rPr>
                <w:sz w:val="21"/>
              </w:rPr>
            </w:pPr>
            <w:r>
              <w:rPr>
                <w:sz w:val="21"/>
              </w:rPr>
              <w:t>生产过程密闭，全面通风。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5" w:hRule="atLeast"/>
        </w:trPr>
        <w:tc>
          <w:tcPr>
            <w:tcW w:w="428" w:type="dxa"/>
            <w:vMerge w:val="continue"/>
            <w:tcBorders>
              <w:top w:val="nil"/>
            </w:tcBorders>
          </w:tcPr>
          <w:p>
            <w:pPr>
              <w:rPr>
                <w:sz w:val="2"/>
                <w:szCs w:val="2"/>
              </w:rPr>
            </w:pPr>
          </w:p>
        </w:tc>
        <w:tc>
          <w:tcPr>
            <w:tcW w:w="1947" w:type="dxa"/>
          </w:tcPr>
          <w:p>
            <w:pPr>
              <w:pStyle w:val="20"/>
              <w:spacing w:before="76"/>
              <w:ind w:right="97"/>
              <w:jc w:val="right"/>
              <w:rPr>
                <w:sz w:val="21"/>
              </w:rPr>
            </w:pPr>
            <w:r>
              <w:rPr>
                <w:w w:val="95"/>
                <w:sz w:val="21"/>
              </w:rPr>
              <w:t>呼吸系统防护：</w:t>
            </w:r>
          </w:p>
        </w:tc>
        <w:tc>
          <w:tcPr>
            <w:tcW w:w="6138" w:type="dxa"/>
          </w:tcPr>
          <w:p>
            <w:pPr>
              <w:pStyle w:val="20"/>
              <w:spacing w:before="76" w:line="376" w:lineRule="auto"/>
              <w:ind w:left="108" w:right="96"/>
              <w:jc w:val="both"/>
              <w:rPr>
                <w:sz w:val="21"/>
              </w:rPr>
            </w:pPr>
            <w:r>
              <w:rPr>
                <w:spacing w:val="-1"/>
                <w:sz w:val="21"/>
              </w:rPr>
              <w:t>空气中浓度超标时，应该佩带防毒口罩。必要时佩带自给式呼吸</w:t>
            </w:r>
            <w:r>
              <w:rPr>
                <w:spacing w:val="7"/>
                <w:w w:val="95"/>
                <w:sz w:val="21"/>
              </w:rPr>
              <w:t>器。</w:t>
            </w:r>
            <w:r>
              <w:rPr>
                <w:w w:val="95"/>
                <w:sz w:val="21"/>
              </w:rPr>
              <w:t>1500ppm</w:t>
            </w:r>
            <w:r>
              <w:rPr>
                <w:spacing w:val="3"/>
                <w:w w:val="95"/>
                <w:sz w:val="21"/>
              </w:rPr>
              <w:t>：装药剂盒防有机蒸气的呼吸器、供气式呼吸器。</w:t>
            </w:r>
            <w:r>
              <w:rPr>
                <w:spacing w:val="-4"/>
                <w:w w:val="95"/>
                <w:sz w:val="21"/>
              </w:rPr>
              <w:t>1700ppm</w:t>
            </w:r>
            <w:r>
              <w:rPr>
                <w:spacing w:val="-5"/>
                <w:w w:val="95"/>
                <w:sz w:val="21"/>
              </w:rPr>
              <w:t xml:space="preserve">：连续供气式呼吸器、动力驱动装有机蒸气滤毒盒的空气 </w:t>
            </w:r>
            <w:r>
              <w:rPr>
                <w:spacing w:val="-4"/>
                <w:sz w:val="21"/>
              </w:rPr>
              <w:t>净化呼吸器、装药剂盒防有机蒸气的全面罩呼吸器、装有机蒸气</w:t>
            </w:r>
            <w:r>
              <w:rPr>
                <w:sz w:val="21"/>
              </w:rPr>
              <w:t>滤毒盒的空气净化式全面罩呼吸器(防毒面具)、自携式呼吸器、</w:t>
            </w:r>
            <w:r>
              <w:rPr>
                <w:spacing w:val="-1"/>
                <w:sz w:val="21"/>
              </w:rPr>
              <w:t>全面罩呼吸器。应急或有计划进入浓度未知区域，或处于立即危及生命或健康的状况：自携式正压全面罩呼吸器、供气式正压全面罩呼吸器辅之以辅助自携式正压呼吸器。逃生：装有机蒸气滤</w:t>
            </w:r>
          </w:p>
          <w:p>
            <w:pPr>
              <w:pStyle w:val="20"/>
              <w:spacing w:before="4"/>
              <w:ind w:left="108"/>
              <w:rPr>
                <w:sz w:val="21"/>
              </w:rPr>
            </w:pPr>
            <w:r>
              <w:rPr>
                <w:spacing w:val="8"/>
                <w:w w:val="95"/>
                <w:sz w:val="21"/>
              </w:rPr>
              <w:t>毒盒的空气净化式全面罩呼吸器(防毒面具)、自携式逃生呼吸</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1947"/>
        <w:gridCol w:w="6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restart"/>
          </w:tcPr>
          <w:p>
            <w:pPr>
              <w:pStyle w:val="20"/>
              <w:rPr>
                <w:rFonts w:ascii="Times New Roman"/>
                <w:sz w:val="20"/>
              </w:rPr>
            </w:pPr>
          </w:p>
        </w:tc>
        <w:tc>
          <w:tcPr>
            <w:tcW w:w="1947" w:type="dxa"/>
          </w:tcPr>
          <w:p>
            <w:pPr>
              <w:pStyle w:val="20"/>
              <w:rPr>
                <w:rFonts w:ascii="Times New Roman"/>
                <w:sz w:val="20"/>
              </w:rPr>
            </w:pPr>
          </w:p>
        </w:tc>
        <w:tc>
          <w:tcPr>
            <w:tcW w:w="6138" w:type="dxa"/>
          </w:tcPr>
          <w:p>
            <w:pPr>
              <w:pStyle w:val="20"/>
              <w:spacing w:before="76"/>
              <w:ind w:left="108"/>
              <w:rPr>
                <w:sz w:val="21"/>
              </w:rPr>
            </w:pPr>
            <w:r>
              <w:rPr>
                <w:sz w:val="21"/>
              </w:rPr>
              <w:t>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眼睛防护：</w:t>
            </w:r>
          </w:p>
        </w:tc>
        <w:tc>
          <w:tcPr>
            <w:tcW w:w="6138" w:type="dxa"/>
          </w:tcPr>
          <w:p>
            <w:pPr>
              <w:pStyle w:val="20"/>
              <w:spacing w:before="75"/>
              <w:ind w:left="108"/>
              <w:rPr>
                <w:sz w:val="21"/>
              </w:rPr>
            </w:pPr>
            <w:r>
              <w:rPr>
                <w:sz w:val="21"/>
              </w:rPr>
              <w:t>戴化学安全防护眼镜。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防护服：</w:t>
            </w:r>
          </w:p>
        </w:tc>
        <w:tc>
          <w:tcPr>
            <w:tcW w:w="6138" w:type="dxa"/>
          </w:tcPr>
          <w:p>
            <w:pPr>
              <w:pStyle w:val="20"/>
              <w:spacing w:before="77"/>
              <w:ind w:left="108"/>
              <w:rPr>
                <w:sz w:val="21"/>
              </w:rPr>
            </w:pPr>
            <w:r>
              <w:rPr>
                <w:sz w:val="21"/>
              </w:rPr>
              <w:t>穿相应的防护服。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5"/>
              <w:ind w:right="97"/>
              <w:jc w:val="right"/>
              <w:rPr>
                <w:sz w:val="21"/>
              </w:rPr>
            </w:pPr>
            <w:r>
              <w:rPr>
                <w:w w:val="95"/>
                <w:sz w:val="21"/>
              </w:rPr>
              <w:t>手防护：</w:t>
            </w:r>
          </w:p>
        </w:tc>
        <w:tc>
          <w:tcPr>
            <w:tcW w:w="6138" w:type="dxa"/>
          </w:tcPr>
          <w:p>
            <w:pPr>
              <w:pStyle w:val="20"/>
              <w:spacing w:before="75"/>
              <w:ind w:left="108"/>
              <w:rPr>
                <w:sz w:val="21"/>
              </w:rPr>
            </w:pPr>
            <w:r>
              <w:rPr>
                <w:sz w:val="21"/>
              </w:rPr>
              <w:t>戴防护手套。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8" w:type="dxa"/>
            <w:vMerge w:val="continue"/>
            <w:tcBorders>
              <w:top w:val="nil"/>
            </w:tcBorders>
          </w:tcPr>
          <w:p>
            <w:pPr>
              <w:rPr>
                <w:sz w:val="2"/>
                <w:szCs w:val="2"/>
              </w:rPr>
            </w:pPr>
          </w:p>
        </w:tc>
        <w:tc>
          <w:tcPr>
            <w:tcW w:w="1947" w:type="dxa"/>
          </w:tcPr>
          <w:p>
            <w:pPr>
              <w:pStyle w:val="20"/>
              <w:spacing w:before="77"/>
              <w:ind w:right="97"/>
              <w:jc w:val="right"/>
              <w:rPr>
                <w:sz w:val="21"/>
              </w:rPr>
            </w:pPr>
            <w:r>
              <w:rPr>
                <w:w w:val="95"/>
                <w:sz w:val="21"/>
              </w:rPr>
              <w:t>其他：</w:t>
            </w:r>
          </w:p>
        </w:tc>
        <w:tc>
          <w:tcPr>
            <w:tcW w:w="6138" w:type="dxa"/>
          </w:tcPr>
          <w:p>
            <w:pPr>
              <w:pStyle w:val="20"/>
              <w:spacing w:before="77"/>
              <w:ind w:left="108"/>
              <w:rPr>
                <w:sz w:val="21"/>
              </w:rPr>
            </w:pPr>
            <w:r>
              <w:rPr>
                <w:sz w:val="21"/>
              </w:rPr>
              <w:t>工作现场严禁吸烟。工作后，淋浴更衣。注意个人清洁卫生。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0" w:hRule="atLeast"/>
        </w:trPr>
        <w:tc>
          <w:tcPr>
            <w:tcW w:w="2375" w:type="dxa"/>
            <w:gridSpan w:val="2"/>
          </w:tcPr>
          <w:p>
            <w:pPr>
              <w:pStyle w:val="20"/>
              <w:spacing w:before="76"/>
              <w:ind w:left="1216"/>
              <w:rPr>
                <w:sz w:val="21"/>
              </w:rPr>
            </w:pPr>
            <w:r>
              <w:rPr>
                <w:sz w:val="21"/>
              </w:rPr>
              <w:t>泄漏处置：</w:t>
            </w:r>
          </w:p>
        </w:tc>
        <w:tc>
          <w:tcPr>
            <w:tcW w:w="6138" w:type="dxa"/>
          </w:tcPr>
          <w:p>
            <w:pPr>
              <w:pStyle w:val="20"/>
              <w:spacing w:before="76" w:line="376" w:lineRule="auto"/>
              <w:ind w:left="108" w:right="96"/>
              <w:jc w:val="both"/>
              <w:rPr>
                <w:sz w:val="21"/>
              </w:rPr>
            </w:pPr>
            <w:r>
              <w:rPr>
                <w:sz w:val="21"/>
              </w:rPr>
              <w:t>疏散泄漏污染区人员至安全区，禁止无关人员进入污染区，切断火源。建议应急处理人员戴自给式呼吸器，穿一般消防防护服。在确保安全情况下堵漏。喷水雾会减少蒸发，但不能降低泄漏物在受限制空间内的易燃性。用活性炭或其它惰性材料吸收，收集运至废物处理场所处置。也可以用大量水冲洗，经稀释的洗水放入废水系统。如大量泄漏，利用围堤收容，然后收集、转移、回收或无害处理后废弃。</w:t>
            </w:r>
          </w:p>
          <w:p>
            <w:pPr>
              <w:pStyle w:val="20"/>
              <w:spacing w:before="5" w:line="376" w:lineRule="auto"/>
              <w:ind w:left="108" w:right="95"/>
              <w:jc w:val="both"/>
              <w:rPr>
                <w:sz w:val="21"/>
              </w:rPr>
            </w:pPr>
            <w:r>
              <w:rPr>
                <w:spacing w:val="4"/>
                <w:sz w:val="21"/>
              </w:rPr>
              <w:t>法规信息：化学危险品安全管理条例</w:t>
            </w:r>
            <w:r>
              <w:rPr>
                <w:sz w:val="21"/>
              </w:rPr>
              <w:t>（1987</w:t>
            </w:r>
            <w:r>
              <w:rPr>
                <w:spacing w:val="-36"/>
                <w:sz w:val="21"/>
              </w:rPr>
              <w:t xml:space="preserve"> 年 </w:t>
            </w:r>
            <w:r>
              <w:rPr>
                <w:sz w:val="21"/>
              </w:rPr>
              <w:t>2</w:t>
            </w:r>
            <w:r>
              <w:rPr>
                <w:spacing w:val="-36"/>
                <w:sz w:val="21"/>
              </w:rPr>
              <w:t xml:space="preserve"> 月 </w:t>
            </w:r>
            <w:r>
              <w:rPr>
                <w:sz w:val="21"/>
              </w:rPr>
              <w:t>17</w:t>
            </w:r>
            <w:r>
              <w:rPr>
                <w:spacing w:val="-9"/>
                <w:sz w:val="21"/>
              </w:rPr>
              <w:t xml:space="preserve"> 日国务院</w:t>
            </w:r>
            <w:r>
              <w:rPr>
                <w:spacing w:val="7"/>
                <w:w w:val="95"/>
                <w:sz w:val="21"/>
              </w:rPr>
              <w:t>发布</w:t>
            </w:r>
            <w:r>
              <w:rPr>
                <w:spacing w:val="8"/>
                <w:w w:val="95"/>
                <w:sz w:val="21"/>
              </w:rPr>
              <w:t>）</w:t>
            </w:r>
            <w:r>
              <w:rPr>
                <w:spacing w:val="7"/>
                <w:w w:val="95"/>
                <w:sz w:val="21"/>
              </w:rPr>
              <w:t>，化学危险品安全管理条例实施细则（</w:t>
            </w:r>
            <w:r>
              <w:rPr>
                <w:spacing w:val="6"/>
                <w:w w:val="95"/>
                <w:sz w:val="21"/>
              </w:rPr>
              <w:t>化劳发</w:t>
            </w:r>
            <w:r>
              <w:rPr>
                <w:w w:val="95"/>
                <w:sz w:val="21"/>
              </w:rPr>
              <w:t xml:space="preserve">[1992]677 </w:t>
            </w:r>
            <w:r>
              <w:rPr>
                <w:sz w:val="21"/>
              </w:rPr>
              <w:t>号</w:t>
            </w:r>
            <w:r>
              <w:rPr>
                <w:spacing w:val="3"/>
                <w:sz w:val="21"/>
              </w:rPr>
              <w:t>）</w:t>
            </w:r>
            <w:r>
              <w:rPr>
                <w:sz w:val="21"/>
              </w:rPr>
              <w:t>，工作场所安全使用化学危险品规定[1996]</w:t>
            </w:r>
            <w:r>
              <w:rPr>
                <w:spacing w:val="-12"/>
                <w:sz w:val="21"/>
              </w:rPr>
              <w:t xml:space="preserve">劳部发 </w:t>
            </w:r>
            <w:r>
              <w:rPr>
                <w:sz w:val="21"/>
              </w:rPr>
              <w:t>423</w:t>
            </w:r>
            <w:r>
              <w:rPr>
                <w:spacing w:val="-23"/>
                <w:sz w:val="21"/>
              </w:rPr>
              <w:t xml:space="preserve"> 号</w:t>
            </w:r>
            <w:r>
              <w:rPr>
                <w:sz w:val="21"/>
              </w:rPr>
              <w:t>） 法规，针对化学危险品的安全使用、生产、储存、运输、装卸等</w:t>
            </w:r>
            <w:r>
              <w:rPr>
                <w:spacing w:val="7"/>
                <w:w w:val="95"/>
                <w:sz w:val="21"/>
              </w:rPr>
              <w:t>方面均作了相应规定；常用危险化学品的分类及标志</w:t>
            </w:r>
            <w:r>
              <w:rPr>
                <w:w w:val="95"/>
                <w:sz w:val="21"/>
              </w:rPr>
              <w:t>（GB13690</w:t>
            </w:r>
          </w:p>
          <w:p>
            <w:pPr>
              <w:pStyle w:val="20"/>
              <w:spacing w:before="2" w:line="376" w:lineRule="auto"/>
              <w:ind w:left="108" w:right="1608"/>
              <w:rPr>
                <w:sz w:val="21"/>
              </w:rPr>
            </w:pPr>
            <w:r>
              <w:rPr>
                <w:sz w:val="21"/>
              </w:rPr>
              <w:t>－92）</w:t>
            </w:r>
            <w:r>
              <w:rPr>
                <w:spacing w:val="-8"/>
                <w:sz w:val="21"/>
              </w:rPr>
              <w:t xml:space="preserve">将该物质划为第 </w:t>
            </w:r>
            <w:r>
              <w:rPr>
                <w:sz w:val="21"/>
              </w:rPr>
              <w:t>3.2</w:t>
            </w:r>
            <w:r>
              <w:rPr>
                <w:spacing w:val="-8"/>
                <w:sz w:val="21"/>
              </w:rPr>
              <w:t xml:space="preserve"> 类中闪点易燃液体。环境信息：</w:t>
            </w:r>
          </w:p>
          <w:p>
            <w:pPr>
              <w:pStyle w:val="20"/>
              <w:tabs>
                <w:tab w:val="left" w:pos="4579"/>
              </w:tabs>
              <w:spacing w:line="379" w:lineRule="auto"/>
              <w:ind w:left="108" w:right="96"/>
              <w:rPr>
                <w:sz w:val="21"/>
              </w:rPr>
            </w:pPr>
            <w:r>
              <w:rPr>
                <w:spacing w:val="14"/>
                <w:sz w:val="21"/>
              </w:rPr>
              <w:t>防</w:t>
            </w:r>
            <w:r>
              <w:rPr>
                <w:spacing w:val="16"/>
                <w:sz w:val="21"/>
              </w:rPr>
              <w:t>止</w:t>
            </w:r>
            <w:r>
              <w:rPr>
                <w:spacing w:val="14"/>
                <w:sz w:val="21"/>
              </w:rPr>
              <w:t>水</w:t>
            </w:r>
            <w:r>
              <w:rPr>
                <w:spacing w:val="16"/>
                <w:sz w:val="21"/>
              </w:rPr>
              <w:t>污</w:t>
            </w:r>
            <w:r>
              <w:rPr>
                <w:spacing w:val="14"/>
                <w:sz w:val="21"/>
              </w:rPr>
              <w:t>染</w:t>
            </w:r>
            <w:r>
              <w:rPr>
                <w:spacing w:val="16"/>
                <w:sz w:val="21"/>
              </w:rPr>
              <w:t>法</w:t>
            </w:r>
            <w:r>
              <w:rPr>
                <w:spacing w:val="14"/>
                <w:sz w:val="21"/>
              </w:rPr>
              <w:t>：</w:t>
            </w:r>
            <w:r>
              <w:rPr>
                <w:sz w:val="21"/>
              </w:rPr>
              <w:t>款</w:t>
            </w:r>
            <w:r>
              <w:rPr>
                <w:spacing w:val="-42"/>
                <w:sz w:val="21"/>
              </w:rPr>
              <w:t xml:space="preserve"> </w:t>
            </w:r>
            <w:r>
              <w:rPr>
                <w:sz w:val="21"/>
              </w:rPr>
              <w:t>311</w:t>
            </w:r>
            <w:r>
              <w:rPr>
                <w:spacing w:val="-44"/>
                <w:sz w:val="21"/>
              </w:rPr>
              <w:t xml:space="preserve"> </w:t>
            </w:r>
            <w:r>
              <w:rPr>
                <w:spacing w:val="14"/>
                <w:sz w:val="21"/>
              </w:rPr>
              <w:t>有</w:t>
            </w:r>
            <w:r>
              <w:rPr>
                <w:spacing w:val="16"/>
                <w:sz w:val="21"/>
              </w:rPr>
              <w:t>害</w:t>
            </w:r>
            <w:r>
              <w:rPr>
                <w:spacing w:val="14"/>
                <w:sz w:val="21"/>
              </w:rPr>
              <w:t>物</w:t>
            </w:r>
            <w:r>
              <w:rPr>
                <w:spacing w:val="16"/>
                <w:sz w:val="21"/>
              </w:rPr>
              <w:t>质</w:t>
            </w:r>
            <w:r>
              <w:rPr>
                <w:spacing w:val="14"/>
                <w:sz w:val="21"/>
              </w:rPr>
              <w:t>应</w:t>
            </w:r>
            <w:r>
              <w:rPr>
                <w:spacing w:val="16"/>
                <w:sz w:val="21"/>
              </w:rPr>
              <w:t>报</w:t>
            </w:r>
            <w:r>
              <w:rPr>
                <w:spacing w:val="14"/>
                <w:sz w:val="21"/>
              </w:rPr>
              <w:t>告</w:t>
            </w:r>
            <w:r>
              <w:rPr>
                <w:sz w:val="21"/>
              </w:rPr>
              <w:t>量</w:t>
            </w:r>
            <w:r>
              <w:rPr>
                <w:sz w:val="21"/>
              </w:rPr>
              <w:tab/>
            </w:r>
            <w:r>
              <w:rPr>
                <w:spacing w:val="14"/>
                <w:sz w:val="21"/>
              </w:rPr>
              <w:t>主</w:t>
            </w:r>
            <w:r>
              <w:rPr>
                <w:spacing w:val="16"/>
                <w:sz w:val="21"/>
              </w:rPr>
              <w:t>要</w:t>
            </w:r>
            <w:r>
              <w:rPr>
                <w:spacing w:val="14"/>
                <w:sz w:val="21"/>
              </w:rPr>
              <w:t>化</w:t>
            </w:r>
            <w:r>
              <w:rPr>
                <w:spacing w:val="16"/>
                <w:sz w:val="21"/>
              </w:rPr>
              <w:t>学</w:t>
            </w:r>
            <w:r>
              <w:rPr>
                <w:spacing w:val="14"/>
                <w:sz w:val="21"/>
              </w:rPr>
              <w:t>物</w:t>
            </w:r>
            <w:r>
              <w:rPr>
                <w:spacing w:val="15"/>
                <w:sz w:val="21"/>
              </w:rPr>
              <w:t>(</w:t>
            </w:r>
            <w:r>
              <w:rPr>
                <w:spacing w:val="-15"/>
                <w:sz w:val="21"/>
              </w:rPr>
              <w:t>同</w:t>
            </w:r>
            <w:r>
              <w:rPr>
                <w:sz w:val="21"/>
              </w:rPr>
              <w:t>CERCLA)。</w:t>
            </w:r>
          </w:p>
          <w:p>
            <w:pPr>
              <w:pStyle w:val="20"/>
              <w:spacing w:line="266" w:lineRule="exact"/>
              <w:ind w:left="108"/>
              <w:jc w:val="both"/>
              <w:rPr>
                <w:sz w:val="21"/>
              </w:rPr>
            </w:pPr>
            <w:r>
              <w:rPr>
                <w:sz w:val="21"/>
              </w:rPr>
              <w:t>应急计划和社区知情权法：款 304 应报告量 2270kg。</w:t>
            </w:r>
          </w:p>
        </w:tc>
      </w:tr>
    </w:tbl>
    <w:p>
      <w:pPr>
        <w:pStyle w:val="7"/>
        <w:rPr>
          <w:b/>
          <w:sz w:val="20"/>
        </w:rPr>
      </w:pPr>
    </w:p>
    <w:p>
      <w:pPr>
        <w:pStyle w:val="7"/>
        <w:spacing w:before="4"/>
        <w:rPr>
          <w:b/>
          <w:sz w:val="14"/>
        </w:rPr>
      </w:pPr>
    </w:p>
    <w:p>
      <w:pPr>
        <w:tabs>
          <w:tab w:val="left" w:pos="1453"/>
        </w:tabs>
        <w:spacing w:before="70"/>
        <w:ind w:left="397" w:right="0" w:firstLine="0"/>
        <w:jc w:val="center"/>
        <w:rPr>
          <w:b/>
          <w:sz w:val="21"/>
        </w:rPr>
      </w:pPr>
      <w:r>
        <w:rPr>
          <w:b/>
          <w:sz w:val="21"/>
        </w:rPr>
        <w:t>表3.1-5</w:t>
      </w:r>
      <w:r>
        <w:rPr>
          <w:b/>
          <w:sz w:val="21"/>
        </w:rPr>
        <w:tab/>
      </w:r>
      <w:r>
        <w:rPr>
          <w:b/>
          <w:sz w:val="21"/>
        </w:rPr>
        <w:t>正丁醇理化性质及危险特性表</w:t>
      </w:r>
    </w:p>
    <w:p>
      <w:pPr>
        <w:pStyle w:val="7"/>
        <w:rPr>
          <w:b/>
          <w:sz w:val="6"/>
        </w:r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65"/>
        <w:gridCol w:w="6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6"/>
              <w:ind w:left="107"/>
              <w:rPr>
                <w:sz w:val="21"/>
              </w:rPr>
            </w:pPr>
            <w:r>
              <w:rPr>
                <w:w w:val="99"/>
                <w:sz w:val="21"/>
              </w:rPr>
              <w:t>标</w:t>
            </w:r>
          </w:p>
          <w:p>
            <w:pPr>
              <w:pStyle w:val="20"/>
              <w:rPr>
                <w:rFonts w:ascii="宋体"/>
                <w:b/>
                <w:sz w:val="20"/>
              </w:rPr>
            </w:pPr>
          </w:p>
          <w:p>
            <w:pPr>
              <w:pStyle w:val="20"/>
              <w:rPr>
                <w:rFonts w:ascii="宋体"/>
                <w:b/>
                <w:sz w:val="20"/>
              </w:rPr>
            </w:pPr>
          </w:p>
          <w:p>
            <w:pPr>
              <w:pStyle w:val="20"/>
              <w:rPr>
                <w:rFonts w:ascii="宋体"/>
                <w:b/>
                <w:sz w:val="20"/>
              </w:rPr>
            </w:pPr>
          </w:p>
          <w:p>
            <w:pPr>
              <w:pStyle w:val="20"/>
              <w:spacing w:before="9"/>
              <w:rPr>
                <w:rFonts w:ascii="宋体"/>
                <w:b/>
                <w:sz w:val="28"/>
              </w:rPr>
            </w:pPr>
          </w:p>
          <w:p>
            <w:pPr>
              <w:pStyle w:val="20"/>
              <w:spacing w:before="1"/>
              <w:ind w:left="107"/>
              <w:rPr>
                <w:sz w:val="21"/>
              </w:rPr>
            </w:pPr>
            <w:r>
              <w:rPr>
                <w:w w:val="99"/>
                <w:sz w:val="21"/>
              </w:rPr>
              <w:t>识</w:t>
            </w:r>
          </w:p>
        </w:tc>
        <w:tc>
          <w:tcPr>
            <w:tcW w:w="1965" w:type="dxa"/>
          </w:tcPr>
          <w:p>
            <w:pPr>
              <w:pStyle w:val="20"/>
              <w:spacing w:before="76"/>
              <w:ind w:right="99"/>
              <w:jc w:val="right"/>
              <w:rPr>
                <w:sz w:val="21"/>
              </w:rPr>
            </w:pPr>
            <w:r>
              <w:rPr>
                <w:w w:val="95"/>
                <w:sz w:val="21"/>
              </w:rPr>
              <w:t>中文名：</w:t>
            </w:r>
          </w:p>
        </w:tc>
        <w:tc>
          <w:tcPr>
            <w:tcW w:w="6122" w:type="dxa"/>
          </w:tcPr>
          <w:p>
            <w:pPr>
              <w:pStyle w:val="20"/>
              <w:spacing w:before="76"/>
              <w:ind w:left="107"/>
              <w:rPr>
                <w:sz w:val="21"/>
              </w:rPr>
            </w:pPr>
            <w:r>
              <w:rPr>
                <w:sz w:val="21"/>
              </w:rPr>
              <w:t>丁醇；正丁醇；丙原醇；酪醇；第一丁醇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5"/>
              <w:ind w:right="99"/>
              <w:jc w:val="right"/>
              <w:rPr>
                <w:sz w:val="21"/>
              </w:rPr>
            </w:pPr>
            <w:r>
              <w:rPr>
                <w:w w:val="95"/>
                <w:sz w:val="21"/>
              </w:rPr>
              <w:t>英文名：</w:t>
            </w:r>
          </w:p>
        </w:tc>
        <w:tc>
          <w:tcPr>
            <w:tcW w:w="6122" w:type="dxa"/>
          </w:tcPr>
          <w:p>
            <w:pPr>
              <w:pStyle w:val="20"/>
              <w:spacing w:before="75"/>
              <w:ind w:left="107"/>
              <w:rPr>
                <w:sz w:val="21"/>
              </w:rPr>
            </w:pPr>
            <w:r>
              <w:rPr>
                <w:sz w:val="21"/>
              </w:rPr>
              <w:t>Butyl alcohol；1-Butanol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9"/>
              <w:jc w:val="right"/>
              <w:rPr>
                <w:sz w:val="21"/>
              </w:rPr>
            </w:pPr>
            <w:r>
              <w:rPr>
                <w:w w:val="95"/>
                <w:sz w:val="21"/>
              </w:rPr>
              <w:t>分子式：</w:t>
            </w:r>
          </w:p>
        </w:tc>
        <w:tc>
          <w:tcPr>
            <w:tcW w:w="6122" w:type="dxa"/>
          </w:tcPr>
          <w:p>
            <w:pPr>
              <w:pStyle w:val="20"/>
              <w:spacing w:before="76"/>
              <w:ind w:left="107"/>
              <w:rPr>
                <w:sz w:val="21"/>
              </w:rPr>
            </w:pPr>
            <w:r>
              <w:rPr>
                <w:sz w:val="21"/>
              </w:rPr>
              <w:t>C4H10O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5"/>
              <w:ind w:right="99"/>
              <w:jc w:val="right"/>
              <w:rPr>
                <w:sz w:val="21"/>
              </w:rPr>
            </w:pPr>
            <w:r>
              <w:rPr>
                <w:w w:val="95"/>
                <w:sz w:val="21"/>
              </w:rPr>
              <w:t>分子量：</w:t>
            </w:r>
          </w:p>
        </w:tc>
        <w:tc>
          <w:tcPr>
            <w:tcW w:w="6122" w:type="dxa"/>
          </w:tcPr>
          <w:p>
            <w:pPr>
              <w:pStyle w:val="20"/>
              <w:spacing w:before="75"/>
              <w:ind w:left="107"/>
              <w:rPr>
                <w:sz w:val="21"/>
              </w:rPr>
            </w:pPr>
            <w:r>
              <w:rPr>
                <w:sz w:val="21"/>
              </w:rPr>
              <w:t>74.12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9"/>
              <w:jc w:val="right"/>
              <w:rPr>
                <w:sz w:val="21"/>
              </w:rPr>
            </w:pPr>
            <w:r>
              <w:rPr>
                <w:sz w:val="21"/>
              </w:rPr>
              <w:t>CAS 号：</w:t>
            </w:r>
          </w:p>
        </w:tc>
        <w:tc>
          <w:tcPr>
            <w:tcW w:w="6122" w:type="dxa"/>
          </w:tcPr>
          <w:p>
            <w:pPr>
              <w:pStyle w:val="20"/>
              <w:spacing w:before="76"/>
              <w:ind w:left="107"/>
              <w:rPr>
                <w:sz w:val="21"/>
              </w:rPr>
            </w:pPr>
            <w:r>
              <w:rPr>
                <w:sz w:val="21"/>
              </w:rPr>
              <w:t>71-36-3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9"/>
              <w:jc w:val="right"/>
              <w:rPr>
                <w:sz w:val="21"/>
              </w:rPr>
            </w:pPr>
            <w:r>
              <w:rPr>
                <w:sz w:val="21"/>
              </w:rPr>
              <w:t>RTECS 号：</w:t>
            </w:r>
          </w:p>
        </w:tc>
        <w:tc>
          <w:tcPr>
            <w:tcW w:w="6122" w:type="dxa"/>
          </w:tcPr>
          <w:p>
            <w:pPr>
              <w:pStyle w:val="20"/>
              <w:spacing w:before="76"/>
              <w:ind w:left="107"/>
              <w:rPr>
                <w:sz w:val="21"/>
              </w:rPr>
            </w:pPr>
            <w:r>
              <w:rPr>
                <w:sz w:val="21"/>
              </w:rPr>
              <w:t>EO1400000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sz w:val="21"/>
              </w:rPr>
              <w:t>UN 编号：</w:t>
            </w:r>
          </w:p>
        </w:tc>
        <w:tc>
          <w:tcPr>
            <w:tcW w:w="6122" w:type="dxa"/>
          </w:tcPr>
          <w:p>
            <w:pPr>
              <w:pStyle w:val="20"/>
              <w:spacing w:before="77"/>
              <w:ind w:left="107"/>
              <w:rPr>
                <w:sz w:val="21"/>
              </w:rPr>
            </w:pPr>
            <w:r>
              <w:rPr>
                <w:sz w:val="21"/>
              </w:rPr>
              <w:t>1120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危险货物编号：</w:t>
            </w:r>
          </w:p>
        </w:tc>
        <w:tc>
          <w:tcPr>
            <w:tcW w:w="6122" w:type="dxa"/>
          </w:tcPr>
          <w:p>
            <w:pPr>
              <w:pStyle w:val="20"/>
              <w:spacing w:before="76"/>
              <w:ind w:left="107"/>
              <w:rPr>
                <w:sz w:val="21"/>
              </w:rPr>
            </w:pPr>
            <w:r>
              <w:rPr>
                <w:sz w:val="21"/>
              </w:rPr>
              <w:t>33552</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65"/>
        <w:gridCol w:w="6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tcPr>
          <w:p>
            <w:pPr>
              <w:pStyle w:val="20"/>
              <w:rPr>
                <w:rFonts w:ascii="Times New Roman"/>
                <w:sz w:val="20"/>
              </w:rPr>
            </w:pPr>
          </w:p>
        </w:tc>
        <w:tc>
          <w:tcPr>
            <w:tcW w:w="1965" w:type="dxa"/>
          </w:tcPr>
          <w:p>
            <w:pPr>
              <w:pStyle w:val="20"/>
              <w:spacing w:before="76"/>
              <w:ind w:right="96"/>
              <w:jc w:val="right"/>
              <w:rPr>
                <w:sz w:val="21"/>
              </w:rPr>
            </w:pPr>
            <w:r>
              <w:rPr>
                <w:sz w:val="21"/>
              </w:rPr>
              <w:t>IMDG 规则页码：</w:t>
            </w:r>
          </w:p>
        </w:tc>
        <w:tc>
          <w:tcPr>
            <w:tcW w:w="6122" w:type="dxa"/>
          </w:tcPr>
          <w:p>
            <w:pPr>
              <w:pStyle w:val="20"/>
              <w:spacing w:before="76"/>
              <w:ind w:left="107"/>
              <w:rPr>
                <w:sz w:val="21"/>
              </w:rPr>
            </w:pPr>
            <w:r>
              <w:rPr>
                <w:sz w:val="21"/>
              </w:rPr>
              <w:t>3313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5" w:line="626" w:lineRule="auto"/>
              <w:ind w:left="107" w:right="97"/>
              <w:jc w:val="both"/>
              <w:rPr>
                <w:sz w:val="21"/>
              </w:rPr>
            </w:pPr>
            <w:r>
              <w:rPr>
                <w:sz w:val="21"/>
              </w:rPr>
              <w:t>理化性质</w:t>
            </w:r>
          </w:p>
        </w:tc>
        <w:tc>
          <w:tcPr>
            <w:tcW w:w="1965" w:type="dxa"/>
          </w:tcPr>
          <w:p>
            <w:pPr>
              <w:pStyle w:val="20"/>
              <w:spacing w:before="75"/>
              <w:ind w:right="99"/>
              <w:jc w:val="right"/>
              <w:rPr>
                <w:sz w:val="21"/>
              </w:rPr>
            </w:pPr>
            <w:r>
              <w:rPr>
                <w:w w:val="95"/>
                <w:sz w:val="21"/>
              </w:rPr>
              <w:t>外观与性状：</w:t>
            </w:r>
          </w:p>
        </w:tc>
        <w:tc>
          <w:tcPr>
            <w:tcW w:w="6122" w:type="dxa"/>
          </w:tcPr>
          <w:p>
            <w:pPr>
              <w:pStyle w:val="20"/>
              <w:spacing w:before="75"/>
              <w:ind w:left="107"/>
              <w:rPr>
                <w:sz w:val="21"/>
              </w:rPr>
            </w:pPr>
            <w:r>
              <w:rPr>
                <w:sz w:val="21"/>
              </w:rPr>
              <w:t>无色透明液体，具有特殊气味。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主要用途：</w:t>
            </w:r>
          </w:p>
        </w:tc>
        <w:tc>
          <w:tcPr>
            <w:tcW w:w="6122" w:type="dxa"/>
          </w:tcPr>
          <w:p>
            <w:pPr>
              <w:pStyle w:val="20"/>
              <w:spacing w:before="77"/>
              <w:ind w:left="107"/>
              <w:rPr>
                <w:sz w:val="21"/>
              </w:rPr>
            </w:pPr>
            <w:r>
              <w:rPr>
                <w:sz w:val="21"/>
              </w:rPr>
              <w:t>用于制取酯类、塑料增塑剂、医药、喷漆，以及用作溶剂。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熔点：</w:t>
            </w:r>
          </w:p>
        </w:tc>
        <w:tc>
          <w:tcPr>
            <w:tcW w:w="6122" w:type="dxa"/>
          </w:tcPr>
          <w:p>
            <w:pPr>
              <w:pStyle w:val="20"/>
              <w:spacing w:before="75"/>
              <w:ind w:left="107"/>
              <w:rPr>
                <w:sz w:val="21"/>
              </w:rPr>
            </w:pPr>
            <w:r>
              <w:rPr>
                <w:sz w:val="21"/>
              </w:rPr>
              <w:t>-88．9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沸点：</w:t>
            </w:r>
          </w:p>
        </w:tc>
        <w:tc>
          <w:tcPr>
            <w:tcW w:w="6122" w:type="dxa"/>
          </w:tcPr>
          <w:p>
            <w:pPr>
              <w:pStyle w:val="20"/>
              <w:spacing w:before="77"/>
              <w:ind w:left="107"/>
              <w:rPr>
                <w:sz w:val="21"/>
              </w:rPr>
            </w:pPr>
            <w:r>
              <w:rPr>
                <w:sz w:val="21"/>
              </w:rPr>
              <w:t>117．5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相对密度(水=1)：</w:t>
            </w:r>
          </w:p>
        </w:tc>
        <w:tc>
          <w:tcPr>
            <w:tcW w:w="6122" w:type="dxa"/>
          </w:tcPr>
          <w:p>
            <w:pPr>
              <w:pStyle w:val="20"/>
              <w:spacing w:before="76"/>
              <w:ind w:left="107"/>
              <w:rPr>
                <w:sz w:val="21"/>
              </w:rPr>
            </w:pPr>
            <w:r>
              <w:rPr>
                <w:sz w:val="21"/>
              </w:rPr>
              <w:t>0．81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continue"/>
            <w:tcBorders>
              <w:top w:val="nil"/>
            </w:tcBorders>
          </w:tcPr>
          <w:p>
            <w:pPr>
              <w:rPr>
                <w:sz w:val="2"/>
                <w:szCs w:val="2"/>
              </w:rPr>
            </w:pPr>
          </w:p>
        </w:tc>
        <w:tc>
          <w:tcPr>
            <w:tcW w:w="1965" w:type="dxa"/>
          </w:tcPr>
          <w:p>
            <w:pPr>
              <w:pStyle w:val="20"/>
              <w:spacing w:before="75"/>
              <w:ind w:right="99"/>
              <w:jc w:val="right"/>
              <w:rPr>
                <w:sz w:val="21"/>
              </w:rPr>
            </w:pPr>
            <w:r>
              <w:rPr>
                <w:w w:val="95"/>
                <w:sz w:val="21"/>
              </w:rPr>
              <w:t>相对密度(空气</w:t>
            </w:r>
          </w:p>
          <w:p>
            <w:pPr>
              <w:pStyle w:val="20"/>
              <w:spacing w:before="156"/>
              <w:ind w:right="95"/>
              <w:jc w:val="right"/>
              <w:rPr>
                <w:sz w:val="21"/>
              </w:rPr>
            </w:pPr>
            <w:r>
              <w:rPr>
                <w:sz w:val="21"/>
              </w:rPr>
              <w:t>=1):</w:t>
            </w:r>
          </w:p>
        </w:tc>
        <w:tc>
          <w:tcPr>
            <w:tcW w:w="6122" w:type="dxa"/>
          </w:tcPr>
          <w:p>
            <w:pPr>
              <w:pStyle w:val="20"/>
              <w:spacing w:before="75"/>
              <w:ind w:left="107"/>
              <w:rPr>
                <w:sz w:val="21"/>
              </w:rPr>
            </w:pPr>
            <w:r>
              <w:rPr>
                <w:sz w:val="21"/>
              </w:rPr>
              <w:t>2．55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60"/>
              <w:jc w:val="right"/>
              <w:rPr>
                <w:sz w:val="21"/>
              </w:rPr>
            </w:pPr>
            <w:r>
              <w:rPr>
                <w:w w:val="95"/>
                <w:sz w:val="21"/>
              </w:rPr>
              <w:t>饱和蒸汽压(kPa)：</w:t>
            </w:r>
          </w:p>
        </w:tc>
        <w:tc>
          <w:tcPr>
            <w:tcW w:w="6122" w:type="dxa"/>
          </w:tcPr>
          <w:p>
            <w:pPr>
              <w:pStyle w:val="20"/>
              <w:spacing w:before="76"/>
              <w:ind w:left="107"/>
              <w:rPr>
                <w:sz w:val="21"/>
              </w:rPr>
            </w:pPr>
            <w:r>
              <w:rPr>
                <w:sz w:val="21"/>
              </w:rPr>
              <w:t>0．82／25℃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5"/>
              <w:ind w:right="99"/>
              <w:jc w:val="right"/>
              <w:rPr>
                <w:sz w:val="21"/>
              </w:rPr>
            </w:pPr>
            <w:r>
              <w:rPr>
                <w:w w:val="95"/>
                <w:sz w:val="21"/>
              </w:rPr>
              <w:t>溶解性：</w:t>
            </w:r>
          </w:p>
        </w:tc>
        <w:tc>
          <w:tcPr>
            <w:tcW w:w="6122" w:type="dxa"/>
          </w:tcPr>
          <w:p>
            <w:pPr>
              <w:pStyle w:val="20"/>
              <w:spacing w:before="75"/>
              <w:ind w:left="107"/>
              <w:rPr>
                <w:sz w:val="21"/>
              </w:rPr>
            </w:pPr>
            <w:r>
              <w:rPr>
                <w:sz w:val="21"/>
              </w:rPr>
              <w:t>微溶于水，溶于乙醇、醚、多数有机溶剂。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临界温度(℃)：</w:t>
            </w:r>
          </w:p>
        </w:tc>
        <w:tc>
          <w:tcPr>
            <w:tcW w:w="6122" w:type="dxa"/>
          </w:tcPr>
          <w:p>
            <w:pPr>
              <w:pStyle w:val="20"/>
              <w:spacing w:before="76"/>
              <w:ind w:left="107"/>
              <w:rPr>
                <w:sz w:val="21"/>
              </w:rPr>
            </w:pPr>
            <w:r>
              <w:rPr>
                <w:sz w:val="21"/>
              </w:rPr>
              <w:t>287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临界压力(MPa)：</w:t>
            </w:r>
          </w:p>
        </w:tc>
        <w:tc>
          <w:tcPr>
            <w:tcW w:w="6122" w:type="dxa"/>
          </w:tcPr>
          <w:p>
            <w:pPr>
              <w:pStyle w:val="20"/>
              <w:spacing w:before="75"/>
              <w:ind w:left="107"/>
              <w:rPr>
                <w:sz w:val="21"/>
              </w:rPr>
            </w:pPr>
            <w:r>
              <w:rPr>
                <w:sz w:val="21"/>
              </w:rPr>
              <w:t>4．90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2"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燃烧热(kj/mol)：</w:t>
            </w:r>
          </w:p>
        </w:tc>
        <w:tc>
          <w:tcPr>
            <w:tcW w:w="6122" w:type="dxa"/>
          </w:tcPr>
          <w:p>
            <w:pPr>
              <w:pStyle w:val="20"/>
              <w:spacing w:before="77"/>
              <w:ind w:left="107"/>
              <w:rPr>
                <w:sz w:val="21"/>
              </w:rPr>
            </w:pPr>
            <w:r>
              <w:rPr>
                <w:sz w:val="21"/>
              </w:rPr>
              <w:t>2673．2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6"/>
              <w:ind w:left="107"/>
              <w:rPr>
                <w:sz w:val="21"/>
              </w:rPr>
            </w:pPr>
            <w:r>
              <w:rPr>
                <w:w w:val="99"/>
                <w:sz w:val="21"/>
              </w:rPr>
              <w:t>燃</w:t>
            </w:r>
          </w:p>
          <w:p>
            <w:pPr>
              <w:pStyle w:val="20"/>
              <w:rPr>
                <w:rFonts w:ascii="宋体"/>
                <w:b/>
                <w:sz w:val="20"/>
              </w:rPr>
            </w:pPr>
          </w:p>
          <w:p>
            <w:pPr>
              <w:pStyle w:val="20"/>
              <w:spacing w:before="1"/>
              <w:rPr>
                <w:rFonts w:ascii="宋体"/>
                <w:b/>
                <w:sz w:val="25"/>
              </w:rPr>
            </w:pPr>
          </w:p>
          <w:p>
            <w:pPr>
              <w:pStyle w:val="20"/>
              <w:ind w:left="107"/>
              <w:rPr>
                <w:sz w:val="21"/>
              </w:rPr>
            </w:pPr>
            <w:r>
              <w:rPr>
                <w:w w:val="99"/>
                <w:sz w:val="21"/>
              </w:rPr>
              <w:t>烧</w:t>
            </w:r>
          </w:p>
          <w:p>
            <w:pPr>
              <w:pStyle w:val="20"/>
              <w:rPr>
                <w:rFonts w:ascii="宋体"/>
                <w:b/>
                <w:sz w:val="20"/>
              </w:rPr>
            </w:pPr>
          </w:p>
          <w:p>
            <w:pPr>
              <w:pStyle w:val="20"/>
              <w:spacing w:before="12"/>
              <w:rPr>
                <w:rFonts w:ascii="宋体"/>
                <w:b/>
                <w:sz w:val="24"/>
              </w:rPr>
            </w:pPr>
          </w:p>
          <w:p>
            <w:pPr>
              <w:pStyle w:val="20"/>
              <w:ind w:left="107"/>
              <w:rPr>
                <w:sz w:val="21"/>
              </w:rPr>
            </w:pPr>
            <w:r>
              <w:rPr>
                <w:w w:val="99"/>
                <w:sz w:val="21"/>
              </w:rPr>
              <w:t>爆</w:t>
            </w:r>
          </w:p>
          <w:p>
            <w:pPr>
              <w:pStyle w:val="20"/>
              <w:rPr>
                <w:rFonts w:ascii="宋体"/>
                <w:b/>
                <w:sz w:val="20"/>
              </w:rPr>
            </w:pPr>
          </w:p>
          <w:p>
            <w:pPr>
              <w:pStyle w:val="20"/>
              <w:spacing w:before="1"/>
              <w:rPr>
                <w:rFonts w:ascii="宋体"/>
                <w:b/>
                <w:sz w:val="25"/>
              </w:rPr>
            </w:pPr>
          </w:p>
          <w:p>
            <w:pPr>
              <w:pStyle w:val="20"/>
              <w:spacing w:before="1"/>
              <w:ind w:left="107"/>
              <w:rPr>
                <w:sz w:val="21"/>
              </w:rPr>
            </w:pPr>
            <w:r>
              <w:rPr>
                <w:w w:val="99"/>
                <w:sz w:val="21"/>
              </w:rPr>
              <w:t>炸</w:t>
            </w:r>
          </w:p>
          <w:p>
            <w:pPr>
              <w:pStyle w:val="20"/>
              <w:rPr>
                <w:rFonts w:ascii="宋体"/>
                <w:b/>
                <w:sz w:val="20"/>
              </w:rPr>
            </w:pPr>
          </w:p>
          <w:p>
            <w:pPr>
              <w:pStyle w:val="20"/>
              <w:spacing w:before="11"/>
              <w:rPr>
                <w:rFonts w:ascii="宋体"/>
                <w:b/>
                <w:sz w:val="24"/>
              </w:rPr>
            </w:pPr>
          </w:p>
          <w:p>
            <w:pPr>
              <w:pStyle w:val="20"/>
              <w:spacing w:before="1"/>
              <w:ind w:left="107"/>
              <w:rPr>
                <w:sz w:val="21"/>
              </w:rPr>
            </w:pPr>
            <w:r>
              <w:rPr>
                <w:w w:val="99"/>
                <w:sz w:val="21"/>
              </w:rPr>
              <w:t>危</w:t>
            </w:r>
          </w:p>
          <w:p>
            <w:pPr>
              <w:pStyle w:val="20"/>
              <w:rPr>
                <w:rFonts w:ascii="宋体"/>
                <w:b/>
                <w:sz w:val="20"/>
              </w:rPr>
            </w:pPr>
          </w:p>
          <w:p>
            <w:pPr>
              <w:pStyle w:val="20"/>
              <w:spacing w:before="1"/>
              <w:rPr>
                <w:rFonts w:ascii="宋体"/>
                <w:b/>
                <w:sz w:val="25"/>
              </w:rPr>
            </w:pPr>
          </w:p>
          <w:p>
            <w:pPr>
              <w:pStyle w:val="20"/>
              <w:ind w:left="107"/>
              <w:rPr>
                <w:sz w:val="21"/>
              </w:rPr>
            </w:pPr>
            <w:r>
              <w:rPr>
                <w:w w:val="99"/>
                <w:sz w:val="21"/>
              </w:rPr>
              <w:t>险</w:t>
            </w:r>
          </w:p>
          <w:p>
            <w:pPr>
              <w:pStyle w:val="20"/>
              <w:rPr>
                <w:rFonts w:ascii="宋体"/>
                <w:b/>
                <w:sz w:val="20"/>
              </w:rPr>
            </w:pPr>
          </w:p>
          <w:p>
            <w:pPr>
              <w:pStyle w:val="20"/>
              <w:spacing w:before="12"/>
              <w:rPr>
                <w:rFonts w:ascii="宋体"/>
                <w:b/>
                <w:sz w:val="24"/>
              </w:rPr>
            </w:pPr>
          </w:p>
          <w:p>
            <w:pPr>
              <w:pStyle w:val="20"/>
              <w:ind w:left="107"/>
              <w:rPr>
                <w:sz w:val="21"/>
              </w:rPr>
            </w:pPr>
            <w:r>
              <w:rPr>
                <w:w w:val="99"/>
                <w:sz w:val="21"/>
              </w:rPr>
              <w:t>性</w:t>
            </w:r>
          </w:p>
        </w:tc>
        <w:tc>
          <w:tcPr>
            <w:tcW w:w="1965" w:type="dxa"/>
          </w:tcPr>
          <w:p>
            <w:pPr>
              <w:pStyle w:val="20"/>
              <w:spacing w:before="76"/>
              <w:ind w:right="99"/>
              <w:jc w:val="right"/>
              <w:rPr>
                <w:sz w:val="21"/>
              </w:rPr>
            </w:pPr>
            <w:r>
              <w:rPr>
                <w:w w:val="95"/>
                <w:sz w:val="21"/>
              </w:rPr>
              <w:t>避免接触的条件：</w:t>
            </w:r>
          </w:p>
        </w:tc>
        <w:tc>
          <w:tcPr>
            <w:tcW w:w="612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7"/>
              <w:ind w:right="99"/>
              <w:jc w:val="right"/>
              <w:rPr>
                <w:sz w:val="21"/>
              </w:rPr>
            </w:pPr>
            <w:r>
              <w:rPr>
                <w:w w:val="95"/>
                <w:sz w:val="21"/>
              </w:rPr>
              <w:t>燃烧性：</w:t>
            </w:r>
          </w:p>
        </w:tc>
        <w:tc>
          <w:tcPr>
            <w:tcW w:w="6122" w:type="dxa"/>
          </w:tcPr>
          <w:p>
            <w:pPr>
              <w:pStyle w:val="20"/>
              <w:tabs>
                <w:tab w:val="left" w:pos="947"/>
              </w:tabs>
              <w:spacing w:before="77"/>
              <w:ind w:left="107"/>
              <w:rPr>
                <w:sz w:val="21"/>
              </w:rPr>
            </w:pPr>
            <w:r>
              <w:rPr>
                <w:sz w:val="21"/>
              </w:rPr>
              <w:t>易燃</w:t>
            </w:r>
            <w:r>
              <w:rPr>
                <w:sz w:val="21"/>
              </w:rPr>
              <w:tab/>
            </w:r>
            <w:r>
              <w:rPr>
                <w:sz w:val="21"/>
              </w:rPr>
              <w:t>易燃性(红色)：3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建规火险分级：</w:t>
            </w:r>
          </w:p>
        </w:tc>
        <w:tc>
          <w:tcPr>
            <w:tcW w:w="6122" w:type="dxa"/>
          </w:tcPr>
          <w:p>
            <w:pPr>
              <w:pStyle w:val="20"/>
              <w:spacing w:before="76"/>
              <w:ind w:left="107"/>
              <w:rPr>
                <w:sz w:val="21"/>
              </w:rPr>
            </w:pPr>
            <w:r>
              <w:rPr>
                <w:w w:val="99"/>
                <w:sz w:val="21"/>
              </w:rPr>
              <w:t>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闪点(℃)：</w:t>
            </w:r>
          </w:p>
        </w:tc>
        <w:tc>
          <w:tcPr>
            <w:tcW w:w="6122" w:type="dxa"/>
          </w:tcPr>
          <w:p>
            <w:pPr>
              <w:pStyle w:val="20"/>
              <w:spacing w:before="75"/>
              <w:ind w:left="107"/>
              <w:rPr>
                <w:sz w:val="21"/>
              </w:rPr>
            </w:pPr>
            <w:r>
              <w:rPr>
                <w:sz w:val="21"/>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自燃温度(℃)：</w:t>
            </w:r>
          </w:p>
        </w:tc>
        <w:tc>
          <w:tcPr>
            <w:tcW w:w="6122" w:type="dxa"/>
          </w:tcPr>
          <w:p>
            <w:pPr>
              <w:pStyle w:val="20"/>
              <w:spacing w:before="76"/>
              <w:ind w:left="107"/>
              <w:rPr>
                <w:sz w:val="21"/>
              </w:rPr>
            </w:pPr>
            <w:r>
              <w:rPr>
                <w:sz w:val="21"/>
              </w:rPr>
              <w:t>340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爆炸下限(V%)：</w:t>
            </w:r>
          </w:p>
        </w:tc>
        <w:tc>
          <w:tcPr>
            <w:tcW w:w="6122" w:type="dxa"/>
          </w:tcPr>
          <w:p>
            <w:pPr>
              <w:pStyle w:val="20"/>
              <w:spacing w:before="75"/>
              <w:ind w:left="107"/>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爆炸上限(V%)：</w:t>
            </w:r>
          </w:p>
        </w:tc>
        <w:tc>
          <w:tcPr>
            <w:tcW w:w="6122" w:type="dxa"/>
          </w:tcPr>
          <w:p>
            <w:pPr>
              <w:pStyle w:val="20"/>
              <w:spacing w:before="77"/>
              <w:ind w:left="107"/>
              <w:rPr>
                <w:sz w:val="21"/>
              </w:rPr>
            </w:pPr>
            <w:r>
              <w:rPr>
                <w:sz w:val="21"/>
              </w:rPr>
              <w:t>11．2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危险特性：</w:t>
            </w:r>
          </w:p>
        </w:tc>
        <w:tc>
          <w:tcPr>
            <w:tcW w:w="6122" w:type="dxa"/>
          </w:tcPr>
          <w:p>
            <w:pPr>
              <w:pStyle w:val="20"/>
              <w:spacing w:before="76" w:line="376" w:lineRule="auto"/>
              <w:ind w:left="107" w:right="-15"/>
              <w:rPr>
                <w:sz w:val="21"/>
              </w:rPr>
            </w:pPr>
            <w:r>
              <w:rPr>
                <w:spacing w:val="-5"/>
                <w:sz w:val="21"/>
              </w:rPr>
              <w:t>其蒸气与空气形成爆炸性混合物，遇明火、高热能引起燃烧爆炸。与氧化剂能发生强烈反应。若遇高热，容器内压增大，有开裂和爆炸的危险。</w:t>
            </w:r>
          </w:p>
          <w:p>
            <w:pPr>
              <w:pStyle w:val="20"/>
              <w:spacing w:before="2"/>
              <w:ind w:left="107"/>
              <w:rPr>
                <w:sz w:val="21"/>
              </w:rPr>
            </w:pPr>
            <w:r>
              <w:rPr>
                <w:sz w:val="21"/>
              </w:rPr>
              <w:t>反应活性(黄色)：0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燃烧(分解)产物：</w:t>
            </w:r>
          </w:p>
        </w:tc>
        <w:tc>
          <w:tcPr>
            <w:tcW w:w="6122" w:type="dxa"/>
          </w:tcPr>
          <w:p>
            <w:pPr>
              <w:pStyle w:val="20"/>
              <w:spacing w:before="75"/>
              <w:ind w:left="107"/>
              <w:rPr>
                <w:sz w:val="21"/>
              </w:rPr>
            </w:pPr>
            <w:r>
              <w:rPr>
                <w:sz w:val="21"/>
              </w:rPr>
              <w:t>一氧化碳、二氧化碳。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7"/>
              <w:ind w:right="99"/>
              <w:jc w:val="right"/>
              <w:rPr>
                <w:sz w:val="21"/>
              </w:rPr>
            </w:pPr>
            <w:r>
              <w:rPr>
                <w:w w:val="95"/>
                <w:sz w:val="21"/>
              </w:rPr>
              <w:t>稳定性：</w:t>
            </w:r>
          </w:p>
        </w:tc>
        <w:tc>
          <w:tcPr>
            <w:tcW w:w="6122" w:type="dxa"/>
          </w:tcPr>
          <w:p>
            <w:pPr>
              <w:pStyle w:val="20"/>
              <w:spacing w:before="77"/>
              <w:ind w:left="107"/>
              <w:rPr>
                <w:sz w:val="21"/>
              </w:rPr>
            </w:pPr>
            <w:r>
              <w:rPr>
                <w:sz w:val="21"/>
              </w:rPr>
              <w:t>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聚合危害：</w:t>
            </w:r>
          </w:p>
        </w:tc>
        <w:tc>
          <w:tcPr>
            <w:tcW w:w="6122" w:type="dxa"/>
          </w:tcPr>
          <w:p>
            <w:pPr>
              <w:pStyle w:val="20"/>
              <w:spacing w:before="76"/>
              <w:ind w:left="107"/>
              <w:rPr>
                <w:sz w:val="21"/>
              </w:rPr>
            </w:pPr>
            <w:r>
              <w:rPr>
                <w:sz w:val="21"/>
              </w:rPr>
              <w:t>不能出现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5"/>
              <w:ind w:right="99"/>
              <w:jc w:val="right"/>
              <w:rPr>
                <w:sz w:val="21"/>
              </w:rPr>
            </w:pPr>
            <w:r>
              <w:rPr>
                <w:w w:val="95"/>
                <w:sz w:val="21"/>
              </w:rPr>
              <w:t>禁忌物：</w:t>
            </w:r>
          </w:p>
        </w:tc>
        <w:tc>
          <w:tcPr>
            <w:tcW w:w="6122" w:type="dxa"/>
          </w:tcPr>
          <w:p>
            <w:pPr>
              <w:pStyle w:val="20"/>
              <w:spacing w:before="75"/>
              <w:ind w:left="107"/>
              <w:rPr>
                <w:sz w:val="21"/>
              </w:rPr>
            </w:pPr>
            <w:r>
              <w:rPr>
                <w:sz w:val="21"/>
              </w:rPr>
              <w:t>强酸、酰基氯、酸酐、强氧化剂。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0"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灭火方法：</w:t>
            </w:r>
          </w:p>
        </w:tc>
        <w:tc>
          <w:tcPr>
            <w:tcW w:w="6122" w:type="dxa"/>
          </w:tcPr>
          <w:p>
            <w:pPr>
              <w:pStyle w:val="20"/>
              <w:spacing w:before="76" w:line="376" w:lineRule="auto"/>
              <w:ind w:left="107" w:right="93"/>
              <w:jc w:val="both"/>
              <w:rPr>
                <w:sz w:val="21"/>
              </w:rPr>
            </w:pPr>
            <w:r>
              <w:rPr>
                <w:spacing w:val="-3"/>
                <w:sz w:val="21"/>
              </w:rPr>
              <w:t>泡沫、二氧化碳、干粉、</w:t>
            </w:r>
            <w:r>
              <w:rPr>
                <w:sz w:val="21"/>
              </w:rPr>
              <w:t>1211</w:t>
            </w:r>
            <w:r>
              <w:rPr>
                <w:spacing w:val="-9"/>
                <w:sz w:val="21"/>
              </w:rPr>
              <w:t xml:space="preserve"> 灭火剂、砂土。用水灭火无效。蒸气比空气重，易在低处聚集。封闭区域内的蒸气遇火能爆炸。蒸气能扩散到远处，遇点火源着火，并引起回燃。储存容器及其部</w:t>
            </w:r>
          </w:p>
          <w:p>
            <w:pPr>
              <w:pStyle w:val="20"/>
              <w:spacing w:before="2"/>
              <w:ind w:left="107"/>
              <w:rPr>
                <w:sz w:val="21"/>
              </w:rPr>
            </w:pPr>
            <w:r>
              <w:rPr>
                <w:sz w:val="21"/>
              </w:rPr>
              <w:t>件可能向四面八方飞射很远。如果该物质或被污染的流体进入水</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65"/>
        <w:gridCol w:w="6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426" w:type="dxa"/>
          </w:tcPr>
          <w:p>
            <w:pPr>
              <w:pStyle w:val="20"/>
              <w:rPr>
                <w:rFonts w:ascii="Times New Roman"/>
                <w:sz w:val="20"/>
              </w:rPr>
            </w:pPr>
          </w:p>
        </w:tc>
        <w:tc>
          <w:tcPr>
            <w:tcW w:w="1965" w:type="dxa"/>
          </w:tcPr>
          <w:p>
            <w:pPr>
              <w:pStyle w:val="20"/>
              <w:rPr>
                <w:rFonts w:ascii="Times New Roman"/>
                <w:sz w:val="20"/>
              </w:rPr>
            </w:pPr>
          </w:p>
        </w:tc>
        <w:tc>
          <w:tcPr>
            <w:tcW w:w="6122" w:type="dxa"/>
          </w:tcPr>
          <w:p>
            <w:pPr>
              <w:pStyle w:val="20"/>
              <w:spacing w:before="76" w:line="376" w:lineRule="auto"/>
              <w:ind w:left="107" w:right="96"/>
              <w:jc w:val="both"/>
              <w:rPr>
                <w:sz w:val="21"/>
              </w:rPr>
            </w:pPr>
            <w:r>
              <w:rPr>
                <w:sz w:val="21"/>
              </w:rPr>
              <w:t>路，通知有潜在水体污染的下游用户，通知地方卫生、消防官员和污染控制部门。在安全防爆距离以外，使用雾状水冷却暴露的</w:t>
            </w:r>
            <w:r>
              <w:rPr>
                <w:w w:val="95"/>
                <w:sz w:val="21"/>
              </w:rPr>
              <w:t>容器。若冷却水流不起作用(排放音量、音调升高，罐体变色或有</w:t>
            </w:r>
          </w:p>
          <w:p>
            <w:pPr>
              <w:pStyle w:val="20"/>
              <w:spacing w:before="2"/>
              <w:ind w:left="107"/>
              <w:rPr>
                <w:sz w:val="21"/>
              </w:rPr>
            </w:pPr>
            <w:r>
              <w:rPr>
                <w:sz w:val="21"/>
              </w:rPr>
              <w:t>任何变形的迹象)，立即撤离到安全区域。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6" w:line="376" w:lineRule="auto"/>
              <w:ind w:left="107" w:right="97"/>
              <w:jc w:val="both"/>
              <w:rPr>
                <w:sz w:val="21"/>
              </w:rPr>
            </w:pPr>
            <w:r>
              <w:rPr>
                <w:sz w:val="21"/>
              </w:rPr>
              <w:t>包装与储运</w:t>
            </w:r>
          </w:p>
        </w:tc>
        <w:tc>
          <w:tcPr>
            <w:tcW w:w="1965" w:type="dxa"/>
          </w:tcPr>
          <w:p>
            <w:pPr>
              <w:pStyle w:val="20"/>
              <w:spacing w:before="76"/>
              <w:ind w:right="99"/>
              <w:jc w:val="right"/>
              <w:rPr>
                <w:sz w:val="21"/>
              </w:rPr>
            </w:pPr>
            <w:r>
              <w:rPr>
                <w:w w:val="95"/>
                <w:sz w:val="21"/>
              </w:rPr>
              <w:t>危险性类别：</w:t>
            </w:r>
          </w:p>
        </w:tc>
        <w:tc>
          <w:tcPr>
            <w:tcW w:w="6122" w:type="dxa"/>
          </w:tcPr>
          <w:p>
            <w:pPr>
              <w:pStyle w:val="20"/>
              <w:tabs>
                <w:tab w:val="left" w:pos="1158"/>
              </w:tabs>
              <w:spacing w:before="76"/>
              <w:ind w:left="107"/>
              <w:rPr>
                <w:sz w:val="21"/>
              </w:rPr>
            </w:pPr>
            <w:r>
              <w:rPr>
                <w:sz w:val="21"/>
              </w:rPr>
              <w:t>第</w:t>
            </w:r>
            <w:r>
              <w:rPr>
                <w:spacing w:val="-54"/>
                <w:sz w:val="21"/>
              </w:rPr>
              <w:t xml:space="preserve"> </w:t>
            </w:r>
            <w:r>
              <w:rPr>
                <w:sz w:val="21"/>
              </w:rPr>
              <w:t>3</w:t>
            </w:r>
            <w:r>
              <w:rPr>
                <w:spacing w:val="-53"/>
                <w:sz w:val="21"/>
              </w:rPr>
              <w:t xml:space="preserve"> </w:t>
            </w:r>
            <w:r>
              <w:rPr>
                <w:sz w:val="21"/>
              </w:rPr>
              <w:t>类</w:t>
            </w:r>
            <w:r>
              <w:rPr>
                <w:sz w:val="21"/>
              </w:rPr>
              <w:tab/>
            </w:r>
            <w:r>
              <w:rPr>
                <w:sz w:val="21"/>
              </w:rPr>
              <w:t>易燃液体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危险货物包装标</w:t>
            </w:r>
          </w:p>
          <w:p>
            <w:pPr>
              <w:pStyle w:val="20"/>
              <w:spacing w:before="155"/>
              <w:ind w:right="99"/>
              <w:jc w:val="right"/>
              <w:rPr>
                <w:sz w:val="21"/>
              </w:rPr>
            </w:pPr>
            <w:r>
              <w:rPr>
                <w:spacing w:val="-1"/>
                <w:w w:val="95"/>
                <w:sz w:val="21"/>
              </w:rPr>
              <w:t>志：</w:t>
            </w:r>
          </w:p>
        </w:tc>
        <w:tc>
          <w:tcPr>
            <w:tcW w:w="6122" w:type="dxa"/>
          </w:tcPr>
          <w:p>
            <w:pPr>
              <w:pStyle w:val="20"/>
              <w:spacing w:before="75"/>
              <w:ind w:left="107"/>
              <w:rPr>
                <w:sz w:val="21"/>
              </w:rPr>
            </w:pPr>
            <w:r>
              <w:rPr>
                <w:w w:val="99"/>
                <w:sz w:val="21"/>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包装类别：</w:t>
            </w:r>
          </w:p>
        </w:tc>
        <w:tc>
          <w:tcPr>
            <w:tcW w:w="6122" w:type="dxa"/>
          </w:tcPr>
          <w:p>
            <w:pPr>
              <w:pStyle w:val="20"/>
              <w:spacing w:before="76"/>
              <w:ind w:left="107"/>
              <w:rPr>
                <w:sz w:val="21"/>
              </w:rPr>
            </w:pPr>
            <w:r>
              <w:rPr>
                <w:w w:val="99"/>
                <w:sz w:val="21"/>
              </w:rPr>
              <w:t>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3"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储运注意事项：</w:t>
            </w:r>
          </w:p>
        </w:tc>
        <w:tc>
          <w:tcPr>
            <w:tcW w:w="6122" w:type="dxa"/>
          </w:tcPr>
          <w:p>
            <w:pPr>
              <w:pStyle w:val="20"/>
              <w:spacing w:before="77" w:line="376" w:lineRule="auto"/>
              <w:ind w:left="107" w:right="-15"/>
              <w:rPr>
                <w:sz w:val="21"/>
              </w:rPr>
            </w:pPr>
            <w:r>
              <w:rPr>
                <w:spacing w:val="-15"/>
                <w:sz w:val="21"/>
              </w:rPr>
              <w:t xml:space="preserve">储存于阴凉、通风仓间内。远离火种、热源。仓温不宜超过 </w:t>
            </w:r>
            <w:r>
              <w:rPr>
                <w:sz w:val="21"/>
              </w:rPr>
              <w:t>30℃。防止阳光直射。保持容器密封。应与氧化剂分开存放。储存间内的照明、通风等设施应采用防爆型，开关设在仓外。配备相应品种和数量的消防器材。罐储时要有防火防爆技术措施。禁止使用易产生火花的机械设备和工具。充装要控制流速，注意防止静电积聚。搬运时要轻装轻卸，防止包装及容器损坏。</w:t>
            </w:r>
          </w:p>
          <w:p>
            <w:pPr>
              <w:pStyle w:val="20"/>
              <w:spacing w:before="2"/>
              <w:ind w:left="107"/>
              <w:rPr>
                <w:sz w:val="21"/>
              </w:rPr>
            </w:pPr>
            <w:r>
              <w:rPr>
                <w:sz w:val="21"/>
              </w:rPr>
              <w:t>ERG 指南：129</w:t>
            </w:r>
          </w:p>
          <w:p>
            <w:pPr>
              <w:pStyle w:val="20"/>
              <w:spacing w:before="153"/>
              <w:ind w:left="107"/>
              <w:rPr>
                <w:sz w:val="21"/>
              </w:rPr>
            </w:pPr>
            <w:r>
              <w:rPr>
                <w:sz w:val="21"/>
              </w:rPr>
              <w:t>ERG 指南分类：易燃液体(极性的／与水混溶的／有毒的)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426" w:type="dxa"/>
            <w:vMerge w:val="restart"/>
          </w:tcPr>
          <w:p>
            <w:pPr>
              <w:pStyle w:val="20"/>
              <w:spacing w:before="77" w:line="376" w:lineRule="auto"/>
              <w:ind w:left="107" w:right="97"/>
              <w:jc w:val="both"/>
              <w:rPr>
                <w:sz w:val="21"/>
              </w:rPr>
            </w:pPr>
            <w:r>
              <w:rPr>
                <w:sz w:val="21"/>
              </w:rPr>
              <w:t>毒性危害</w:t>
            </w:r>
          </w:p>
        </w:tc>
        <w:tc>
          <w:tcPr>
            <w:tcW w:w="1965" w:type="dxa"/>
          </w:tcPr>
          <w:p>
            <w:pPr>
              <w:pStyle w:val="20"/>
              <w:spacing w:before="77"/>
              <w:ind w:right="96"/>
              <w:jc w:val="right"/>
              <w:rPr>
                <w:sz w:val="21"/>
              </w:rPr>
            </w:pPr>
            <w:r>
              <w:rPr>
                <w:w w:val="95"/>
                <w:sz w:val="21"/>
              </w:rPr>
              <w:t>接触限值：</w:t>
            </w:r>
          </w:p>
        </w:tc>
        <w:tc>
          <w:tcPr>
            <w:tcW w:w="6122" w:type="dxa"/>
          </w:tcPr>
          <w:p>
            <w:pPr>
              <w:pStyle w:val="20"/>
              <w:spacing w:before="77" w:line="376" w:lineRule="auto"/>
              <w:ind w:left="107" w:right="4111"/>
              <w:rPr>
                <w:sz w:val="10"/>
              </w:rPr>
            </w:pPr>
            <w:r>
              <w:rPr>
                <w:spacing w:val="-1"/>
                <w:w w:val="99"/>
                <w:sz w:val="21"/>
              </w:rPr>
              <w:t>中国</w:t>
            </w:r>
            <w:r>
              <w:rPr>
                <w:spacing w:val="-51"/>
                <w:sz w:val="21"/>
              </w:rPr>
              <w:t xml:space="preserve"> </w:t>
            </w:r>
            <w:r>
              <w:rPr>
                <w:spacing w:val="-1"/>
                <w:w w:val="99"/>
                <w:sz w:val="21"/>
              </w:rPr>
              <w:t>MA</w:t>
            </w:r>
            <w:r>
              <w:rPr>
                <w:spacing w:val="-4"/>
                <w:w w:val="99"/>
                <w:sz w:val="21"/>
              </w:rPr>
              <w:t>C</w:t>
            </w:r>
            <w:r>
              <w:rPr>
                <w:spacing w:val="0"/>
                <w:w w:val="99"/>
                <w:sz w:val="21"/>
              </w:rPr>
              <w:t>：</w:t>
            </w:r>
            <w:r>
              <w:rPr>
                <w:spacing w:val="-1"/>
                <w:w w:val="99"/>
                <w:sz w:val="21"/>
              </w:rPr>
              <w:t>20</w:t>
            </w:r>
            <w:r>
              <w:rPr>
                <w:spacing w:val="-4"/>
                <w:w w:val="99"/>
                <w:sz w:val="21"/>
              </w:rPr>
              <w:t>0</w:t>
            </w:r>
            <w:r>
              <w:rPr>
                <w:spacing w:val="-1"/>
                <w:w w:val="99"/>
                <w:sz w:val="21"/>
              </w:rPr>
              <w:t>m</w:t>
            </w:r>
            <w:r>
              <w:rPr>
                <w:spacing w:val="-4"/>
                <w:w w:val="99"/>
                <w:sz w:val="21"/>
              </w:rPr>
              <w:t>g</w:t>
            </w:r>
            <w:r>
              <w:rPr>
                <w:spacing w:val="0"/>
                <w:w w:val="99"/>
                <w:sz w:val="21"/>
              </w:rPr>
              <w:t>／</w:t>
            </w:r>
            <w:r>
              <w:rPr>
                <w:spacing w:val="-1"/>
                <w:w w:val="99"/>
                <w:sz w:val="21"/>
              </w:rPr>
              <w:t>m</w:t>
            </w:r>
            <w:r>
              <w:rPr>
                <w:spacing w:val="-2"/>
                <w:w w:val="106"/>
                <w:position w:val="11"/>
                <w:sz w:val="10"/>
              </w:rPr>
              <w:t>3</w:t>
            </w:r>
            <w:r>
              <w:rPr>
                <w:spacing w:val="-1"/>
                <w:w w:val="99"/>
                <w:sz w:val="21"/>
              </w:rPr>
              <w:t>苏联</w:t>
            </w:r>
            <w:r>
              <w:rPr>
                <w:spacing w:val="-51"/>
                <w:sz w:val="21"/>
              </w:rPr>
              <w:t xml:space="preserve"> </w:t>
            </w:r>
            <w:r>
              <w:rPr>
                <w:spacing w:val="1"/>
                <w:w w:val="99"/>
                <w:sz w:val="21"/>
              </w:rPr>
              <w:t>MA</w:t>
            </w:r>
            <w:r>
              <w:rPr>
                <w:spacing w:val="-2"/>
                <w:w w:val="99"/>
                <w:sz w:val="21"/>
              </w:rPr>
              <w:t>C</w:t>
            </w:r>
            <w:r>
              <w:rPr>
                <w:spacing w:val="2"/>
                <w:w w:val="99"/>
                <w:sz w:val="21"/>
              </w:rPr>
              <w:t>：</w:t>
            </w:r>
            <w:r>
              <w:rPr>
                <w:spacing w:val="1"/>
                <w:w w:val="99"/>
                <w:sz w:val="21"/>
              </w:rPr>
              <w:t>10</w:t>
            </w:r>
            <w:r>
              <w:rPr>
                <w:spacing w:val="-2"/>
                <w:w w:val="99"/>
                <w:sz w:val="21"/>
              </w:rPr>
              <w:t>m</w:t>
            </w:r>
            <w:r>
              <w:rPr>
                <w:spacing w:val="1"/>
                <w:w w:val="99"/>
                <w:sz w:val="21"/>
              </w:rPr>
              <w:t>g</w:t>
            </w:r>
            <w:r>
              <w:rPr>
                <w:spacing w:val="-1"/>
                <w:w w:val="99"/>
                <w:sz w:val="21"/>
              </w:rPr>
              <w:t>／</w:t>
            </w:r>
            <w:r>
              <w:rPr>
                <w:spacing w:val="1"/>
                <w:w w:val="99"/>
                <w:sz w:val="21"/>
              </w:rPr>
              <w:t>m</w:t>
            </w:r>
            <w:r>
              <w:rPr>
                <w:w w:val="106"/>
                <w:position w:val="11"/>
                <w:sz w:val="10"/>
              </w:rPr>
              <w:t>3</w:t>
            </w:r>
          </w:p>
          <w:p>
            <w:pPr>
              <w:pStyle w:val="20"/>
              <w:ind w:left="107"/>
              <w:rPr>
                <w:sz w:val="21"/>
              </w:rPr>
            </w:pPr>
            <w:r>
              <w:rPr>
                <w:spacing w:val="-1"/>
                <w:w w:val="99"/>
                <w:sz w:val="21"/>
              </w:rPr>
              <w:t>美国</w:t>
            </w:r>
            <w:r>
              <w:rPr>
                <w:spacing w:val="-51"/>
                <w:sz w:val="21"/>
              </w:rPr>
              <w:t xml:space="preserve"> </w:t>
            </w:r>
            <w:r>
              <w:rPr>
                <w:spacing w:val="1"/>
                <w:w w:val="99"/>
                <w:sz w:val="21"/>
              </w:rPr>
              <w:t>TW</w:t>
            </w:r>
            <w:r>
              <w:rPr>
                <w:spacing w:val="-2"/>
                <w:w w:val="99"/>
                <w:sz w:val="21"/>
              </w:rPr>
              <w:t>A</w:t>
            </w:r>
            <w:r>
              <w:rPr>
                <w:spacing w:val="2"/>
                <w:w w:val="99"/>
                <w:sz w:val="21"/>
              </w:rPr>
              <w:t>：</w:t>
            </w:r>
            <w:r>
              <w:rPr>
                <w:spacing w:val="1"/>
                <w:w w:val="99"/>
                <w:sz w:val="21"/>
              </w:rPr>
              <w:t>OS</w:t>
            </w:r>
            <w:r>
              <w:rPr>
                <w:spacing w:val="-2"/>
                <w:w w:val="99"/>
                <w:sz w:val="21"/>
              </w:rPr>
              <w:t>H</w:t>
            </w:r>
            <w:r>
              <w:rPr>
                <w:w w:val="99"/>
                <w:sz w:val="21"/>
              </w:rPr>
              <w:t>A</w:t>
            </w:r>
            <w:r>
              <w:rPr>
                <w:spacing w:val="-1"/>
                <w:sz w:val="21"/>
              </w:rPr>
              <w:t xml:space="preserve"> </w:t>
            </w:r>
            <w:r>
              <w:rPr>
                <w:spacing w:val="1"/>
                <w:w w:val="99"/>
                <w:sz w:val="21"/>
              </w:rPr>
              <w:t>100</w:t>
            </w:r>
            <w:r>
              <w:rPr>
                <w:spacing w:val="-2"/>
                <w:w w:val="99"/>
                <w:sz w:val="21"/>
              </w:rPr>
              <w:t>p</w:t>
            </w:r>
            <w:r>
              <w:rPr>
                <w:spacing w:val="1"/>
                <w:w w:val="99"/>
                <w:sz w:val="21"/>
              </w:rPr>
              <w:t>pm</w:t>
            </w:r>
            <w:r>
              <w:rPr>
                <w:spacing w:val="-1"/>
                <w:w w:val="99"/>
                <w:sz w:val="21"/>
              </w:rPr>
              <w:t>，</w:t>
            </w:r>
            <w:r>
              <w:rPr>
                <w:spacing w:val="1"/>
                <w:w w:val="99"/>
                <w:sz w:val="21"/>
              </w:rPr>
              <w:t>304</w:t>
            </w:r>
            <w:r>
              <w:rPr>
                <w:spacing w:val="-2"/>
                <w:w w:val="99"/>
                <w:sz w:val="21"/>
              </w:rPr>
              <w:t>m</w:t>
            </w:r>
            <w:r>
              <w:rPr>
                <w:spacing w:val="1"/>
                <w:w w:val="99"/>
                <w:sz w:val="21"/>
              </w:rPr>
              <w:t>g</w:t>
            </w:r>
            <w:r>
              <w:rPr>
                <w:spacing w:val="2"/>
                <w:w w:val="99"/>
                <w:sz w:val="21"/>
              </w:rPr>
              <w:t>／</w:t>
            </w:r>
            <w:r>
              <w:rPr>
                <w:spacing w:val="-2"/>
                <w:w w:val="99"/>
                <w:sz w:val="21"/>
              </w:rPr>
              <w:t>m</w:t>
            </w:r>
            <w:r>
              <w:rPr>
                <w:spacing w:val="-1"/>
                <w:w w:val="106"/>
                <w:position w:val="11"/>
                <w:sz w:val="10"/>
              </w:rPr>
              <w:t>3</w:t>
            </w:r>
            <w:r>
              <w:rPr>
                <w:spacing w:val="2"/>
                <w:w w:val="99"/>
                <w:sz w:val="21"/>
              </w:rPr>
              <w:t>；</w:t>
            </w:r>
            <w:r>
              <w:rPr>
                <w:spacing w:val="1"/>
                <w:w w:val="99"/>
                <w:sz w:val="21"/>
              </w:rPr>
              <w:t>ACG</w:t>
            </w:r>
            <w:r>
              <w:rPr>
                <w:spacing w:val="-2"/>
                <w:w w:val="99"/>
                <w:sz w:val="21"/>
              </w:rPr>
              <w:t>I</w:t>
            </w:r>
            <w:r>
              <w:rPr>
                <w:w w:val="99"/>
                <w:sz w:val="21"/>
              </w:rPr>
              <w:t>H</w:t>
            </w:r>
            <w:r>
              <w:rPr>
                <w:spacing w:val="-1"/>
                <w:sz w:val="21"/>
              </w:rPr>
              <w:t xml:space="preserve"> </w:t>
            </w:r>
            <w:r>
              <w:rPr>
                <w:spacing w:val="1"/>
                <w:w w:val="99"/>
                <w:sz w:val="21"/>
              </w:rPr>
              <w:t>50p</w:t>
            </w:r>
            <w:r>
              <w:rPr>
                <w:spacing w:val="-2"/>
                <w:w w:val="99"/>
                <w:sz w:val="21"/>
              </w:rPr>
              <w:t>p</w:t>
            </w:r>
            <w:r>
              <w:rPr>
                <w:spacing w:val="1"/>
                <w:w w:val="99"/>
                <w:sz w:val="21"/>
              </w:rPr>
              <w:t>m[</w:t>
            </w:r>
            <w:r>
              <w:rPr>
                <w:spacing w:val="-1"/>
                <w:w w:val="99"/>
                <w:sz w:val="21"/>
              </w:rPr>
              <w:t>皮][上限值]</w:t>
            </w:r>
          </w:p>
          <w:p>
            <w:pPr>
              <w:pStyle w:val="20"/>
              <w:spacing w:before="153"/>
              <w:ind w:left="107"/>
              <w:rPr>
                <w:sz w:val="21"/>
              </w:rPr>
            </w:pPr>
            <w:r>
              <w:rPr>
                <w:sz w:val="21"/>
              </w:rPr>
              <w:t>美国 STEL：未制定标准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6"/>
              <w:jc w:val="right"/>
              <w:rPr>
                <w:sz w:val="21"/>
              </w:rPr>
            </w:pPr>
            <w:r>
              <w:rPr>
                <w:w w:val="95"/>
                <w:sz w:val="21"/>
              </w:rPr>
              <w:t>侵入途径：</w:t>
            </w:r>
          </w:p>
        </w:tc>
        <w:tc>
          <w:tcPr>
            <w:tcW w:w="6122" w:type="dxa"/>
          </w:tcPr>
          <w:p>
            <w:pPr>
              <w:pStyle w:val="20"/>
              <w:tabs>
                <w:tab w:val="left" w:pos="947"/>
                <w:tab w:val="left" w:pos="1787"/>
              </w:tabs>
              <w:spacing w:before="76"/>
              <w:ind w:left="107"/>
              <w:rPr>
                <w:sz w:val="21"/>
              </w:rPr>
            </w:pPr>
            <w:r>
              <w:rPr>
                <w:sz w:val="21"/>
              </w:rPr>
              <w:t>吸入</w:t>
            </w:r>
            <w:r>
              <w:rPr>
                <w:sz w:val="21"/>
              </w:rPr>
              <w:tab/>
            </w:r>
            <w:r>
              <w:rPr>
                <w:sz w:val="21"/>
              </w:rPr>
              <w:t>食入</w:t>
            </w:r>
            <w:r>
              <w:rPr>
                <w:sz w:val="21"/>
              </w:rPr>
              <w:tab/>
            </w:r>
            <w:r>
              <w:rPr>
                <w:sz w:val="21"/>
              </w:rPr>
              <w:t>经皮吸收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毒性：</w:t>
            </w:r>
          </w:p>
        </w:tc>
        <w:tc>
          <w:tcPr>
            <w:tcW w:w="6122" w:type="dxa"/>
          </w:tcPr>
          <w:p>
            <w:pPr>
              <w:pStyle w:val="20"/>
              <w:spacing w:before="75"/>
              <w:ind w:left="107"/>
              <w:rPr>
                <w:sz w:val="21"/>
              </w:rPr>
            </w:pPr>
            <w:r>
              <w:rPr>
                <w:sz w:val="21"/>
              </w:rPr>
              <w:t>属低毒类</w:t>
            </w:r>
          </w:p>
          <w:p>
            <w:pPr>
              <w:pStyle w:val="20"/>
              <w:spacing w:before="5" w:line="420" w:lineRule="atLeast"/>
              <w:ind w:left="107" w:right="98"/>
              <w:rPr>
                <w:sz w:val="21"/>
              </w:rPr>
            </w:pPr>
            <w:r>
              <w:rPr>
                <w:w w:val="95"/>
                <w:sz w:val="21"/>
              </w:rPr>
              <w:t xml:space="preserve">LD50：4360mg／kg(大鼠经口)；3400mg／kg(兔经皮) </w:t>
            </w:r>
            <w:r>
              <w:rPr>
                <w:sz w:val="21"/>
              </w:rPr>
              <w:t>LC50：8000ppm 4 小时(大鼠吸入)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2"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健康危害：</w:t>
            </w:r>
          </w:p>
        </w:tc>
        <w:tc>
          <w:tcPr>
            <w:tcW w:w="6122" w:type="dxa"/>
          </w:tcPr>
          <w:p>
            <w:pPr>
              <w:pStyle w:val="20"/>
              <w:spacing w:before="75" w:line="376" w:lineRule="auto"/>
              <w:ind w:left="107" w:right="-15"/>
              <w:rPr>
                <w:sz w:val="21"/>
              </w:rPr>
            </w:pPr>
            <w:r>
              <w:rPr>
                <w:spacing w:val="-9"/>
                <w:sz w:val="21"/>
              </w:rPr>
              <w:t>对眼睛、皮肤、粘膜和上呼吸道有刺激作用。主要症状为眼、鼻、喉部刺激，头痛、眩晕、嗜睡和胃肠功能紊乱。长时间或反复接触可引起视觉障碍和其他眼部疾患，皮肤干燥、皲裂，中枢神经系统改变，肝、肾损伤，眩晕，听力障碍，感觉平衡失调，以及新生儿缺陷。溶剂和石油产品能引起神经和脑损伤，记忆丧失， 个性改变，衰竭，睡眠紊乱，共济失调，手、脚有针扎样感觉。IDLH：1400ppm(LEL)</w:t>
            </w:r>
          </w:p>
          <w:p>
            <w:pPr>
              <w:pStyle w:val="20"/>
              <w:spacing w:before="5"/>
              <w:ind w:left="107"/>
              <w:rPr>
                <w:sz w:val="21"/>
              </w:rPr>
            </w:pPr>
            <w:r>
              <w:rPr>
                <w:sz w:val="21"/>
              </w:rPr>
              <w:t>嗅阈：0．03ppm</w:t>
            </w:r>
          </w:p>
        </w:tc>
      </w:tr>
    </w:tbl>
    <w:p>
      <w:pPr>
        <w:spacing w:after="0"/>
        <w:rPr>
          <w:sz w:val="21"/>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65"/>
        <w:gridCol w:w="6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tcPr>
          <w:p>
            <w:pPr>
              <w:pStyle w:val="20"/>
              <w:rPr>
                <w:rFonts w:ascii="Times New Roman"/>
                <w:sz w:val="20"/>
              </w:rPr>
            </w:pPr>
          </w:p>
        </w:tc>
        <w:tc>
          <w:tcPr>
            <w:tcW w:w="1965" w:type="dxa"/>
          </w:tcPr>
          <w:p>
            <w:pPr>
              <w:pStyle w:val="20"/>
              <w:rPr>
                <w:rFonts w:ascii="Times New Roman"/>
                <w:sz w:val="20"/>
              </w:rPr>
            </w:pPr>
          </w:p>
        </w:tc>
        <w:tc>
          <w:tcPr>
            <w:tcW w:w="6122" w:type="dxa"/>
          </w:tcPr>
          <w:p>
            <w:pPr>
              <w:pStyle w:val="20"/>
              <w:spacing w:before="76"/>
              <w:ind w:left="107"/>
              <w:rPr>
                <w:sz w:val="21"/>
              </w:rPr>
            </w:pPr>
            <w:r>
              <w:rPr>
                <w:sz w:val="21"/>
              </w:rPr>
              <w:t>OSHA：表 Z—1 空气污染物</w:t>
            </w:r>
          </w:p>
          <w:p>
            <w:pPr>
              <w:pStyle w:val="20"/>
              <w:spacing w:before="153"/>
              <w:ind w:left="107"/>
              <w:rPr>
                <w:sz w:val="21"/>
              </w:rPr>
            </w:pPr>
            <w:r>
              <w:rPr>
                <w:sz w:val="21"/>
              </w:rPr>
              <w:t>健康危害(蓝色)：1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426" w:type="dxa"/>
            <w:vMerge w:val="restart"/>
          </w:tcPr>
          <w:p>
            <w:pPr>
              <w:pStyle w:val="20"/>
              <w:spacing w:before="77" w:line="624" w:lineRule="auto"/>
              <w:ind w:left="107" w:right="97"/>
              <w:rPr>
                <w:sz w:val="21"/>
              </w:rPr>
            </w:pPr>
            <w:r>
              <w:rPr>
                <w:sz w:val="21"/>
              </w:rPr>
              <w:t>急救</w:t>
            </w:r>
          </w:p>
        </w:tc>
        <w:tc>
          <w:tcPr>
            <w:tcW w:w="1965" w:type="dxa"/>
          </w:tcPr>
          <w:p>
            <w:pPr>
              <w:pStyle w:val="20"/>
              <w:spacing w:before="77"/>
              <w:ind w:right="96"/>
              <w:jc w:val="right"/>
              <w:rPr>
                <w:sz w:val="21"/>
              </w:rPr>
            </w:pPr>
            <w:r>
              <w:rPr>
                <w:w w:val="95"/>
                <w:sz w:val="21"/>
              </w:rPr>
              <w:t>皮肤接触：</w:t>
            </w:r>
          </w:p>
        </w:tc>
        <w:tc>
          <w:tcPr>
            <w:tcW w:w="6122" w:type="dxa"/>
          </w:tcPr>
          <w:p>
            <w:pPr>
              <w:pStyle w:val="20"/>
              <w:spacing w:before="77"/>
              <w:ind w:left="107"/>
              <w:rPr>
                <w:sz w:val="21"/>
              </w:rPr>
            </w:pPr>
            <w:r>
              <w:rPr>
                <w:sz w:val="21"/>
              </w:rPr>
              <w:t>脱去污染的衣着，用流动清水冲洗。脱去并隔离被污染的衣服和</w:t>
            </w:r>
          </w:p>
          <w:p>
            <w:pPr>
              <w:pStyle w:val="20"/>
              <w:spacing w:before="153"/>
              <w:ind w:left="107"/>
              <w:rPr>
                <w:sz w:val="21"/>
              </w:rPr>
            </w:pPr>
            <w:r>
              <w:rPr>
                <w:sz w:val="21"/>
              </w:rPr>
              <w:t>鞋。注意患者保暖并且保持安静。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眼睛接触：</w:t>
            </w:r>
          </w:p>
        </w:tc>
        <w:tc>
          <w:tcPr>
            <w:tcW w:w="6122" w:type="dxa"/>
          </w:tcPr>
          <w:p>
            <w:pPr>
              <w:pStyle w:val="20"/>
              <w:spacing w:before="75"/>
              <w:ind w:left="107"/>
              <w:rPr>
                <w:sz w:val="21"/>
              </w:rPr>
            </w:pPr>
            <w:r>
              <w:rPr>
                <w:sz w:val="21"/>
              </w:rPr>
              <w:t>立即提起眼睑，用大量流动清水彻底冲洗。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吸入：</w:t>
            </w:r>
          </w:p>
        </w:tc>
        <w:tc>
          <w:tcPr>
            <w:tcW w:w="6122" w:type="dxa"/>
          </w:tcPr>
          <w:p>
            <w:pPr>
              <w:pStyle w:val="20"/>
              <w:spacing w:before="77"/>
              <w:ind w:left="107"/>
              <w:rPr>
                <w:sz w:val="21"/>
              </w:rPr>
            </w:pPr>
            <w:r>
              <w:rPr>
                <w:sz w:val="21"/>
              </w:rPr>
              <w:t>脱离现场至空气新鲜处。必要时进行人工呼吸。如果呼吸困难，</w:t>
            </w:r>
          </w:p>
          <w:p>
            <w:pPr>
              <w:pStyle w:val="20"/>
              <w:spacing w:before="153"/>
              <w:ind w:left="107"/>
              <w:rPr>
                <w:sz w:val="21"/>
              </w:rPr>
            </w:pPr>
            <w:r>
              <w:rPr>
                <w:sz w:val="21"/>
              </w:rPr>
              <w:t>给予吸氧。就医。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食入：</w:t>
            </w:r>
          </w:p>
        </w:tc>
        <w:tc>
          <w:tcPr>
            <w:tcW w:w="6122" w:type="dxa"/>
          </w:tcPr>
          <w:p>
            <w:pPr>
              <w:pStyle w:val="20"/>
              <w:spacing w:before="75"/>
              <w:ind w:left="107"/>
              <w:rPr>
                <w:sz w:val="21"/>
              </w:rPr>
            </w:pPr>
            <w:r>
              <w:rPr>
                <w:sz w:val="21"/>
              </w:rPr>
              <w:t>误服者给饮大量温水，催吐，就医。吸入、食入或皮肤接触该物</w:t>
            </w:r>
          </w:p>
          <w:p>
            <w:pPr>
              <w:pStyle w:val="20"/>
              <w:spacing w:before="5" w:line="420" w:lineRule="atLeast"/>
              <w:ind w:left="107" w:right="98"/>
              <w:rPr>
                <w:sz w:val="21"/>
              </w:rPr>
            </w:pPr>
            <w:r>
              <w:rPr>
                <w:sz w:val="21"/>
              </w:rPr>
              <w:t>质可引起迟发反应。确保医务人员了解该物质相关的个体防护知识，注意自身防护。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restart"/>
          </w:tcPr>
          <w:p>
            <w:pPr>
              <w:pStyle w:val="20"/>
              <w:spacing w:before="75"/>
              <w:ind w:left="107"/>
              <w:rPr>
                <w:sz w:val="21"/>
              </w:rPr>
            </w:pPr>
            <w:r>
              <w:rPr>
                <w:w w:val="99"/>
                <w:sz w:val="21"/>
              </w:rPr>
              <w:t>防</w:t>
            </w:r>
          </w:p>
          <w:p>
            <w:pPr>
              <w:pStyle w:val="20"/>
              <w:rPr>
                <w:rFonts w:ascii="宋体"/>
                <w:b/>
                <w:sz w:val="20"/>
              </w:rPr>
            </w:pPr>
          </w:p>
          <w:p>
            <w:pPr>
              <w:pStyle w:val="20"/>
              <w:spacing w:before="2"/>
              <w:rPr>
                <w:rFonts w:ascii="宋体"/>
                <w:b/>
                <w:sz w:val="25"/>
              </w:rPr>
            </w:pPr>
          </w:p>
          <w:p>
            <w:pPr>
              <w:pStyle w:val="20"/>
              <w:ind w:left="107"/>
              <w:rPr>
                <w:sz w:val="21"/>
              </w:rPr>
            </w:pPr>
            <w:r>
              <w:rPr>
                <w:w w:val="99"/>
                <w:sz w:val="21"/>
              </w:rPr>
              <w:t>护</w:t>
            </w:r>
          </w:p>
          <w:p>
            <w:pPr>
              <w:pStyle w:val="20"/>
              <w:rPr>
                <w:rFonts w:ascii="宋体"/>
                <w:b/>
                <w:sz w:val="20"/>
              </w:rPr>
            </w:pPr>
          </w:p>
          <w:p>
            <w:pPr>
              <w:pStyle w:val="20"/>
              <w:spacing w:before="12"/>
              <w:rPr>
                <w:rFonts w:ascii="宋体"/>
                <w:b/>
                <w:sz w:val="24"/>
              </w:rPr>
            </w:pPr>
          </w:p>
          <w:p>
            <w:pPr>
              <w:pStyle w:val="20"/>
              <w:ind w:left="107"/>
              <w:rPr>
                <w:sz w:val="21"/>
              </w:rPr>
            </w:pPr>
            <w:r>
              <w:rPr>
                <w:w w:val="99"/>
                <w:sz w:val="21"/>
              </w:rPr>
              <w:t>措</w:t>
            </w:r>
          </w:p>
          <w:p>
            <w:pPr>
              <w:pStyle w:val="20"/>
              <w:rPr>
                <w:rFonts w:ascii="宋体"/>
                <w:b/>
                <w:sz w:val="20"/>
              </w:rPr>
            </w:pPr>
          </w:p>
          <w:p>
            <w:pPr>
              <w:pStyle w:val="20"/>
              <w:spacing w:before="1"/>
              <w:rPr>
                <w:rFonts w:ascii="宋体"/>
                <w:b/>
                <w:sz w:val="25"/>
              </w:rPr>
            </w:pPr>
          </w:p>
          <w:p>
            <w:pPr>
              <w:pStyle w:val="20"/>
              <w:ind w:left="107"/>
              <w:rPr>
                <w:sz w:val="21"/>
              </w:rPr>
            </w:pPr>
            <w:r>
              <w:rPr>
                <w:w w:val="99"/>
                <w:sz w:val="21"/>
              </w:rPr>
              <w:t>施</w:t>
            </w:r>
          </w:p>
        </w:tc>
        <w:tc>
          <w:tcPr>
            <w:tcW w:w="1965" w:type="dxa"/>
          </w:tcPr>
          <w:p>
            <w:pPr>
              <w:pStyle w:val="20"/>
              <w:spacing w:before="75"/>
              <w:ind w:right="96"/>
              <w:jc w:val="right"/>
              <w:rPr>
                <w:sz w:val="21"/>
              </w:rPr>
            </w:pPr>
            <w:r>
              <w:rPr>
                <w:w w:val="95"/>
                <w:sz w:val="21"/>
              </w:rPr>
              <w:t>工程控制：</w:t>
            </w:r>
          </w:p>
        </w:tc>
        <w:tc>
          <w:tcPr>
            <w:tcW w:w="6122" w:type="dxa"/>
          </w:tcPr>
          <w:p>
            <w:pPr>
              <w:pStyle w:val="20"/>
              <w:spacing w:before="75"/>
              <w:ind w:left="107"/>
              <w:rPr>
                <w:sz w:val="21"/>
              </w:rPr>
            </w:pPr>
            <w:r>
              <w:rPr>
                <w:sz w:val="21"/>
              </w:rPr>
              <w:t>生产过程密闭，全面通风。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0"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呼吸系统防护：</w:t>
            </w:r>
          </w:p>
        </w:tc>
        <w:tc>
          <w:tcPr>
            <w:tcW w:w="6122" w:type="dxa"/>
          </w:tcPr>
          <w:p>
            <w:pPr>
              <w:pStyle w:val="20"/>
              <w:tabs>
                <w:tab w:val="left" w:pos="5173"/>
              </w:tabs>
              <w:spacing w:before="77" w:line="376" w:lineRule="auto"/>
              <w:ind w:left="107" w:right="-15"/>
              <w:rPr>
                <w:sz w:val="21"/>
              </w:rPr>
            </w:pPr>
            <w:r>
              <w:rPr>
                <w:sz w:val="21"/>
              </w:rPr>
              <w:t>空气中浓度超标时</w:t>
            </w:r>
            <w:r>
              <w:rPr>
                <w:spacing w:val="-92"/>
                <w:sz w:val="21"/>
              </w:rPr>
              <w:t>，</w:t>
            </w:r>
            <w:r>
              <w:rPr>
                <w:sz w:val="21"/>
              </w:rPr>
              <w:t>应该佩带防毒面具</w:t>
            </w:r>
            <w:r>
              <w:rPr>
                <w:spacing w:val="-89"/>
                <w:sz w:val="21"/>
              </w:rPr>
              <w:t>。</w:t>
            </w:r>
            <w:r>
              <w:rPr>
                <w:sz w:val="21"/>
              </w:rPr>
              <w:t>NIOSH/OSHA</w:t>
            </w:r>
            <w:r>
              <w:rPr>
                <w:sz w:val="21"/>
              </w:rPr>
              <w:tab/>
            </w:r>
            <w:r>
              <w:rPr>
                <w:sz w:val="21"/>
              </w:rPr>
              <w:t>1250ppm： 连续供气式呼吸器、动力驱动装有机蒸气滤毒盒的空气净化呼吸器</w:t>
            </w:r>
            <w:r>
              <w:rPr>
                <w:spacing w:val="-27"/>
                <w:sz w:val="21"/>
              </w:rPr>
              <w:t>。</w:t>
            </w:r>
            <w:r>
              <w:rPr>
                <w:spacing w:val="-3"/>
                <w:sz w:val="21"/>
              </w:rPr>
              <w:t>1400ppm：</w:t>
            </w:r>
            <w:r>
              <w:rPr>
                <w:sz w:val="21"/>
              </w:rPr>
              <w:t>装药剂盒防有机蒸气的全面罩呼吸器</w:t>
            </w:r>
            <w:r>
              <w:rPr>
                <w:spacing w:val="-25"/>
                <w:sz w:val="21"/>
              </w:rPr>
              <w:t>、</w:t>
            </w:r>
            <w:r>
              <w:rPr>
                <w:sz w:val="21"/>
              </w:rPr>
              <w:t>装有机蒸气滤毒盒的空气净化式全面罩呼吸器(防毒面具)、动力驱动装有机蒸气滤毒盒面罩紧贴面部的空气净化呼吸器、自携式呼吸器、全面罩呼吸器。应急或有计划进入浓度未知区域，或处于立即危及生命或健康的状况：自携式正压全面罩呼吸器、供气式正压全面罩呼吸器辅之以辅助自携式正压呼吸器。逃生：装有机蒸气滤毒</w:t>
            </w:r>
            <w:r>
              <w:rPr>
                <w:spacing w:val="19"/>
                <w:sz w:val="21"/>
              </w:rPr>
              <w:t>盒</w:t>
            </w:r>
            <w:r>
              <w:rPr>
                <w:spacing w:val="16"/>
                <w:sz w:val="21"/>
              </w:rPr>
              <w:t>的</w:t>
            </w:r>
            <w:r>
              <w:rPr>
                <w:spacing w:val="19"/>
                <w:sz w:val="21"/>
              </w:rPr>
              <w:t>空气</w:t>
            </w:r>
            <w:r>
              <w:rPr>
                <w:spacing w:val="16"/>
                <w:sz w:val="21"/>
              </w:rPr>
              <w:t>净</w:t>
            </w:r>
            <w:r>
              <w:rPr>
                <w:spacing w:val="19"/>
                <w:sz w:val="21"/>
              </w:rPr>
              <w:t>化式</w:t>
            </w:r>
            <w:r>
              <w:rPr>
                <w:spacing w:val="16"/>
                <w:sz w:val="21"/>
              </w:rPr>
              <w:t>全</w:t>
            </w:r>
            <w:r>
              <w:rPr>
                <w:spacing w:val="19"/>
                <w:sz w:val="21"/>
              </w:rPr>
              <w:t>面</w:t>
            </w:r>
            <w:r>
              <w:rPr>
                <w:spacing w:val="16"/>
                <w:sz w:val="21"/>
              </w:rPr>
              <w:t>罩</w:t>
            </w:r>
            <w:r>
              <w:rPr>
                <w:spacing w:val="19"/>
                <w:sz w:val="21"/>
              </w:rPr>
              <w:t>呼吸</w:t>
            </w:r>
            <w:r>
              <w:rPr>
                <w:spacing w:val="16"/>
                <w:sz w:val="21"/>
              </w:rPr>
              <w:t>器</w:t>
            </w:r>
            <w:r>
              <w:rPr>
                <w:spacing w:val="17"/>
                <w:sz w:val="21"/>
              </w:rPr>
              <w:t>(</w:t>
            </w:r>
            <w:r>
              <w:rPr>
                <w:spacing w:val="19"/>
                <w:sz w:val="21"/>
              </w:rPr>
              <w:t>防</w:t>
            </w:r>
            <w:r>
              <w:rPr>
                <w:spacing w:val="16"/>
                <w:sz w:val="21"/>
              </w:rPr>
              <w:t>毒</w:t>
            </w:r>
            <w:r>
              <w:rPr>
                <w:spacing w:val="19"/>
                <w:sz w:val="21"/>
              </w:rPr>
              <w:t>面具</w:t>
            </w:r>
            <w:r>
              <w:rPr>
                <w:spacing w:val="17"/>
                <w:sz w:val="21"/>
              </w:rPr>
              <w:t>)</w:t>
            </w:r>
            <w:r>
              <w:rPr>
                <w:spacing w:val="19"/>
                <w:sz w:val="21"/>
              </w:rPr>
              <w:t>、</w:t>
            </w:r>
            <w:r>
              <w:rPr>
                <w:spacing w:val="16"/>
                <w:sz w:val="21"/>
              </w:rPr>
              <w:t>自</w:t>
            </w:r>
            <w:r>
              <w:rPr>
                <w:spacing w:val="19"/>
                <w:sz w:val="21"/>
              </w:rPr>
              <w:t>携式</w:t>
            </w:r>
            <w:r>
              <w:rPr>
                <w:spacing w:val="16"/>
                <w:sz w:val="21"/>
              </w:rPr>
              <w:t>逃</w:t>
            </w:r>
            <w:r>
              <w:rPr>
                <w:spacing w:val="19"/>
                <w:sz w:val="21"/>
              </w:rPr>
              <w:t>生呼</w:t>
            </w:r>
            <w:r>
              <w:rPr>
                <w:sz w:val="21"/>
              </w:rPr>
              <w:t>吸</w:t>
            </w:r>
          </w:p>
          <w:p>
            <w:pPr>
              <w:pStyle w:val="20"/>
              <w:spacing w:before="4"/>
              <w:ind w:left="107"/>
              <w:rPr>
                <w:sz w:val="21"/>
              </w:rPr>
            </w:pPr>
            <w:r>
              <w:rPr>
                <w:sz w:val="21"/>
              </w:rPr>
              <w:t>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5"/>
              <w:ind w:right="96"/>
              <w:jc w:val="right"/>
              <w:rPr>
                <w:sz w:val="21"/>
              </w:rPr>
            </w:pPr>
            <w:r>
              <w:rPr>
                <w:w w:val="95"/>
                <w:sz w:val="21"/>
              </w:rPr>
              <w:t>眼睛防护：</w:t>
            </w:r>
          </w:p>
        </w:tc>
        <w:tc>
          <w:tcPr>
            <w:tcW w:w="6122" w:type="dxa"/>
          </w:tcPr>
          <w:p>
            <w:pPr>
              <w:pStyle w:val="20"/>
              <w:spacing w:before="75"/>
              <w:ind w:left="107"/>
              <w:rPr>
                <w:sz w:val="21"/>
              </w:rPr>
            </w:pPr>
            <w:r>
              <w:rPr>
                <w:sz w:val="21"/>
              </w:rPr>
              <w:t>戴安全防护眼镜。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426" w:type="dxa"/>
            <w:vMerge w:val="continue"/>
            <w:tcBorders>
              <w:top w:val="nil"/>
            </w:tcBorders>
          </w:tcPr>
          <w:p>
            <w:pPr>
              <w:rPr>
                <w:sz w:val="2"/>
                <w:szCs w:val="2"/>
              </w:rPr>
            </w:pPr>
          </w:p>
        </w:tc>
        <w:tc>
          <w:tcPr>
            <w:tcW w:w="1965" w:type="dxa"/>
          </w:tcPr>
          <w:p>
            <w:pPr>
              <w:pStyle w:val="20"/>
              <w:spacing w:before="77"/>
              <w:ind w:right="99"/>
              <w:jc w:val="right"/>
              <w:rPr>
                <w:sz w:val="21"/>
              </w:rPr>
            </w:pPr>
            <w:r>
              <w:rPr>
                <w:w w:val="95"/>
                <w:sz w:val="21"/>
              </w:rPr>
              <w:t>防护服：</w:t>
            </w:r>
          </w:p>
        </w:tc>
        <w:tc>
          <w:tcPr>
            <w:tcW w:w="6122" w:type="dxa"/>
          </w:tcPr>
          <w:p>
            <w:pPr>
              <w:pStyle w:val="20"/>
              <w:spacing w:before="77"/>
              <w:ind w:left="107"/>
              <w:rPr>
                <w:sz w:val="21"/>
              </w:rPr>
            </w:pPr>
            <w:r>
              <w:rPr>
                <w:sz w:val="21"/>
              </w:rPr>
              <w:t>穿工作服。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6"/>
              <w:ind w:right="99"/>
              <w:jc w:val="right"/>
              <w:rPr>
                <w:sz w:val="21"/>
              </w:rPr>
            </w:pPr>
            <w:r>
              <w:rPr>
                <w:w w:val="95"/>
                <w:sz w:val="21"/>
              </w:rPr>
              <w:t>手防护：</w:t>
            </w:r>
          </w:p>
        </w:tc>
        <w:tc>
          <w:tcPr>
            <w:tcW w:w="6122" w:type="dxa"/>
          </w:tcPr>
          <w:p>
            <w:pPr>
              <w:pStyle w:val="20"/>
              <w:spacing w:before="76"/>
              <w:ind w:left="107"/>
              <w:rPr>
                <w:sz w:val="21"/>
              </w:rPr>
            </w:pPr>
            <w:r>
              <w:rPr>
                <w:sz w:val="21"/>
              </w:rPr>
              <w:t>必要时戴防护手套。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426" w:type="dxa"/>
            <w:vMerge w:val="continue"/>
            <w:tcBorders>
              <w:top w:val="nil"/>
            </w:tcBorders>
          </w:tcPr>
          <w:p>
            <w:pPr>
              <w:rPr>
                <w:sz w:val="2"/>
                <w:szCs w:val="2"/>
              </w:rPr>
            </w:pPr>
          </w:p>
        </w:tc>
        <w:tc>
          <w:tcPr>
            <w:tcW w:w="1965" w:type="dxa"/>
          </w:tcPr>
          <w:p>
            <w:pPr>
              <w:pStyle w:val="20"/>
              <w:spacing w:before="77"/>
              <w:ind w:right="96"/>
              <w:jc w:val="right"/>
              <w:rPr>
                <w:sz w:val="21"/>
              </w:rPr>
            </w:pPr>
            <w:r>
              <w:rPr>
                <w:w w:val="95"/>
                <w:sz w:val="21"/>
              </w:rPr>
              <w:t>其他：</w:t>
            </w:r>
          </w:p>
        </w:tc>
        <w:tc>
          <w:tcPr>
            <w:tcW w:w="6122" w:type="dxa"/>
          </w:tcPr>
          <w:p>
            <w:pPr>
              <w:pStyle w:val="20"/>
              <w:spacing w:before="77"/>
              <w:ind w:left="107"/>
              <w:rPr>
                <w:sz w:val="21"/>
              </w:rPr>
            </w:pPr>
            <w:r>
              <w:rPr>
                <w:sz w:val="21"/>
              </w:rPr>
              <w:t>工作现场严禁吸烟。保持良好的卫生习惯。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0" w:hRule="atLeast"/>
        </w:trPr>
        <w:tc>
          <w:tcPr>
            <w:tcW w:w="2391" w:type="dxa"/>
            <w:gridSpan w:val="2"/>
          </w:tcPr>
          <w:p>
            <w:pPr>
              <w:pStyle w:val="20"/>
              <w:spacing w:before="76"/>
              <w:ind w:left="1233"/>
              <w:rPr>
                <w:sz w:val="21"/>
              </w:rPr>
            </w:pPr>
            <w:r>
              <w:rPr>
                <w:sz w:val="21"/>
              </w:rPr>
              <w:t>泄漏处置：</w:t>
            </w:r>
          </w:p>
        </w:tc>
        <w:tc>
          <w:tcPr>
            <w:tcW w:w="6122" w:type="dxa"/>
          </w:tcPr>
          <w:p>
            <w:pPr>
              <w:pStyle w:val="20"/>
              <w:spacing w:before="76" w:line="376" w:lineRule="auto"/>
              <w:ind w:left="107" w:right="-15"/>
              <w:jc w:val="both"/>
              <w:rPr>
                <w:sz w:val="21"/>
              </w:rPr>
            </w:pPr>
            <w:r>
              <w:rPr>
                <w:sz w:val="21"/>
              </w:rPr>
              <w:t>疏散泄漏污染区人员至安全区，禁止无关人员进入污染区，切断火源。建议应急处理人员戴好防毒面具，穿一般消防防护服。在确保安全情况下堵漏。喷水雾会减少蒸发·，但不能降低泄漏物在受限制空间内的易燃性。用活性炭或其它惰性材料吸收，然后收集运至废物处理场所处置。也可以用大量水冲洗，经稀释的洗</w:t>
            </w:r>
            <w:r>
              <w:rPr>
                <w:spacing w:val="-6"/>
                <w:sz w:val="21"/>
              </w:rPr>
              <w:t>水放入废水系统。如大量泄漏，利用围堤收容，然后收集、转移、</w:t>
            </w:r>
          </w:p>
          <w:p>
            <w:pPr>
              <w:pStyle w:val="20"/>
              <w:spacing w:before="2"/>
              <w:ind w:left="107"/>
              <w:rPr>
                <w:sz w:val="21"/>
              </w:rPr>
            </w:pPr>
            <w:r>
              <w:rPr>
                <w:sz w:val="21"/>
              </w:rPr>
              <w:t>回收或无害处理后废弃。</w:t>
            </w:r>
          </w:p>
        </w:tc>
      </w:tr>
    </w:tbl>
    <w:p>
      <w:pPr>
        <w:spacing w:after="0"/>
        <w:rPr>
          <w:sz w:val="21"/>
        </w:rPr>
        <w:sectPr>
          <w:pgSz w:w="11900" w:h="16840"/>
          <w:pgMar w:top="1420" w:right="80" w:bottom="1200" w:left="260" w:header="882" w:footer="1004" w:gutter="0"/>
          <w:cols w:space="720" w:num="1"/>
        </w:sectPr>
      </w:pPr>
    </w:p>
    <w:p>
      <w:pPr>
        <w:tabs>
          <w:tab w:val="left" w:pos="1453"/>
        </w:tabs>
        <w:spacing w:before="86"/>
        <w:ind w:left="397" w:right="0" w:firstLine="0"/>
        <w:jc w:val="center"/>
        <w:rPr>
          <w:b/>
          <w:sz w:val="21"/>
        </w:rPr>
      </w:pPr>
      <w:r>
        <w:rPr>
          <w:b/>
          <w:sz w:val="21"/>
        </w:rPr>
        <w:t>表3.1-6</w:t>
      </w:r>
      <w:r>
        <w:rPr>
          <w:b/>
          <w:sz w:val="21"/>
        </w:rPr>
        <w:tab/>
      </w:r>
      <w:r>
        <w:rPr>
          <w:b/>
          <w:sz w:val="21"/>
        </w:rPr>
        <w:t>丙二醇理化性质及危险特性表</w:t>
      </w:r>
    </w:p>
    <w:p>
      <w:pPr>
        <w:pStyle w:val="7"/>
        <w:spacing w:before="1"/>
        <w:rPr>
          <w:b/>
          <w:sz w:val="6"/>
        </w:r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65"/>
        <w:gridCol w:w="6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restart"/>
          </w:tcPr>
          <w:p>
            <w:pPr>
              <w:pStyle w:val="20"/>
              <w:spacing w:before="47" w:line="568" w:lineRule="auto"/>
              <w:ind w:left="107" w:right="97"/>
              <w:rPr>
                <w:sz w:val="21"/>
              </w:rPr>
            </w:pPr>
            <w:r>
              <w:rPr>
                <w:sz w:val="21"/>
              </w:rPr>
              <w:t>标识</w:t>
            </w:r>
          </w:p>
        </w:tc>
        <w:tc>
          <w:tcPr>
            <w:tcW w:w="1965" w:type="dxa"/>
          </w:tcPr>
          <w:p>
            <w:pPr>
              <w:pStyle w:val="20"/>
              <w:spacing w:before="47" w:line="253" w:lineRule="exact"/>
              <w:ind w:right="99"/>
              <w:jc w:val="right"/>
              <w:rPr>
                <w:sz w:val="21"/>
              </w:rPr>
            </w:pPr>
            <w:r>
              <w:rPr>
                <w:w w:val="95"/>
                <w:sz w:val="21"/>
              </w:rPr>
              <w:t>中文名：</w:t>
            </w:r>
          </w:p>
        </w:tc>
        <w:tc>
          <w:tcPr>
            <w:tcW w:w="6122" w:type="dxa"/>
          </w:tcPr>
          <w:p>
            <w:pPr>
              <w:pStyle w:val="20"/>
              <w:spacing w:before="47" w:line="253" w:lineRule="exact"/>
              <w:ind w:left="107"/>
              <w:rPr>
                <w:sz w:val="21"/>
              </w:rPr>
            </w:pPr>
            <w:r>
              <w:rPr>
                <w:sz w:val="21"/>
              </w:rPr>
              <w:t>1、2-丙二醇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4" w:lineRule="exact"/>
              <w:ind w:right="99"/>
              <w:jc w:val="right"/>
              <w:rPr>
                <w:sz w:val="21"/>
              </w:rPr>
            </w:pPr>
            <w:r>
              <w:rPr>
                <w:w w:val="95"/>
                <w:sz w:val="21"/>
              </w:rPr>
              <w:t>英文名：</w:t>
            </w:r>
          </w:p>
        </w:tc>
        <w:tc>
          <w:tcPr>
            <w:tcW w:w="6122" w:type="dxa"/>
          </w:tcPr>
          <w:p>
            <w:pPr>
              <w:pStyle w:val="20"/>
              <w:spacing w:before="45" w:line="254" w:lineRule="exact"/>
              <w:ind w:left="107"/>
              <w:rPr>
                <w:sz w:val="21"/>
              </w:rPr>
            </w:pPr>
            <w:r>
              <w:rPr>
                <w:sz w:val="21"/>
              </w:rPr>
              <w:t>1、2-propanediol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7" w:line="253" w:lineRule="exact"/>
              <w:ind w:right="99"/>
              <w:jc w:val="right"/>
              <w:rPr>
                <w:sz w:val="21"/>
              </w:rPr>
            </w:pPr>
            <w:r>
              <w:rPr>
                <w:w w:val="95"/>
                <w:sz w:val="21"/>
              </w:rPr>
              <w:t>分子式：</w:t>
            </w:r>
          </w:p>
        </w:tc>
        <w:tc>
          <w:tcPr>
            <w:tcW w:w="6122" w:type="dxa"/>
          </w:tcPr>
          <w:p>
            <w:pPr>
              <w:pStyle w:val="20"/>
              <w:spacing w:before="47" w:line="253" w:lineRule="exact"/>
              <w:ind w:left="107"/>
              <w:rPr>
                <w:sz w:val="21"/>
              </w:rPr>
            </w:pPr>
            <w:r>
              <w:rPr>
                <w:sz w:val="21"/>
              </w:rPr>
              <w:t>C3H8O2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4" w:lineRule="exact"/>
              <w:ind w:right="99"/>
              <w:jc w:val="right"/>
              <w:rPr>
                <w:sz w:val="21"/>
              </w:rPr>
            </w:pPr>
            <w:r>
              <w:rPr>
                <w:w w:val="95"/>
                <w:sz w:val="21"/>
              </w:rPr>
              <w:t>分子量：</w:t>
            </w:r>
          </w:p>
        </w:tc>
        <w:tc>
          <w:tcPr>
            <w:tcW w:w="6122" w:type="dxa"/>
          </w:tcPr>
          <w:p>
            <w:pPr>
              <w:pStyle w:val="20"/>
              <w:spacing w:before="45" w:line="254" w:lineRule="exact"/>
              <w:ind w:left="107"/>
              <w:rPr>
                <w:sz w:val="21"/>
              </w:rPr>
            </w:pPr>
            <w:r>
              <w:rPr>
                <w:sz w:val="21"/>
              </w:rPr>
              <w:t>76.10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7" w:line="253" w:lineRule="exact"/>
              <w:ind w:right="99"/>
              <w:jc w:val="right"/>
              <w:rPr>
                <w:sz w:val="21"/>
              </w:rPr>
            </w:pPr>
            <w:r>
              <w:rPr>
                <w:sz w:val="21"/>
              </w:rPr>
              <w:t>CAS 号：</w:t>
            </w:r>
          </w:p>
        </w:tc>
        <w:tc>
          <w:tcPr>
            <w:tcW w:w="6122" w:type="dxa"/>
          </w:tcPr>
          <w:p>
            <w:pPr>
              <w:pStyle w:val="20"/>
              <w:spacing w:before="47" w:line="253" w:lineRule="exact"/>
              <w:ind w:left="107"/>
              <w:rPr>
                <w:sz w:val="21"/>
              </w:rPr>
            </w:pPr>
            <w:r>
              <w:rPr>
                <w:sz w:val="21"/>
              </w:rPr>
              <w:t>57-55-6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restart"/>
          </w:tcPr>
          <w:p>
            <w:pPr>
              <w:pStyle w:val="20"/>
              <w:spacing w:before="45" w:line="285" w:lineRule="auto"/>
              <w:ind w:left="107" w:right="97"/>
              <w:jc w:val="both"/>
              <w:rPr>
                <w:sz w:val="21"/>
              </w:rPr>
            </w:pPr>
            <w:r>
              <w:rPr>
                <w:sz w:val="21"/>
              </w:rPr>
              <w:t>理化性质</w:t>
            </w:r>
          </w:p>
        </w:tc>
        <w:tc>
          <w:tcPr>
            <w:tcW w:w="1965" w:type="dxa"/>
          </w:tcPr>
          <w:p>
            <w:pPr>
              <w:pStyle w:val="20"/>
              <w:spacing w:before="45" w:line="254" w:lineRule="exact"/>
              <w:ind w:right="99"/>
              <w:jc w:val="right"/>
              <w:rPr>
                <w:sz w:val="21"/>
              </w:rPr>
            </w:pPr>
            <w:r>
              <w:rPr>
                <w:w w:val="95"/>
                <w:sz w:val="21"/>
              </w:rPr>
              <w:t>外观与性状：</w:t>
            </w:r>
          </w:p>
        </w:tc>
        <w:tc>
          <w:tcPr>
            <w:tcW w:w="6122" w:type="dxa"/>
          </w:tcPr>
          <w:p>
            <w:pPr>
              <w:pStyle w:val="20"/>
              <w:spacing w:before="45" w:line="254" w:lineRule="exact"/>
              <w:ind w:left="107"/>
              <w:rPr>
                <w:sz w:val="21"/>
              </w:rPr>
            </w:pPr>
            <w:r>
              <w:rPr>
                <w:sz w:val="21"/>
              </w:rPr>
              <w:t>无色、有苦味、略粘稠吸湿的液体。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426" w:type="dxa"/>
            <w:vMerge w:val="continue"/>
            <w:tcBorders>
              <w:top w:val="nil"/>
            </w:tcBorders>
          </w:tcPr>
          <w:p>
            <w:pPr>
              <w:rPr>
                <w:sz w:val="2"/>
                <w:szCs w:val="2"/>
              </w:rPr>
            </w:pPr>
          </w:p>
        </w:tc>
        <w:tc>
          <w:tcPr>
            <w:tcW w:w="1965" w:type="dxa"/>
          </w:tcPr>
          <w:p>
            <w:pPr>
              <w:pStyle w:val="20"/>
              <w:spacing w:before="47"/>
              <w:ind w:right="96"/>
              <w:jc w:val="right"/>
              <w:rPr>
                <w:sz w:val="21"/>
              </w:rPr>
            </w:pPr>
            <w:r>
              <w:rPr>
                <w:w w:val="95"/>
                <w:sz w:val="21"/>
              </w:rPr>
              <w:t>主要用途：</w:t>
            </w:r>
          </w:p>
        </w:tc>
        <w:tc>
          <w:tcPr>
            <w:tcW w:w="6122" w:type="dxa"/>
          </w:tcPr>
          <w:p>
            <w:pPr>
              <w:pStyle w:val="20"/>
              <w:spacing w:before="1" w:line="320" w:lineRule="exact"/>
              <w:ind w:left="107" w:right="96"/>
              <w:rPr>
                <w:sz w:val="21"/>
              </w:rPr>
            </w:pPr>
            <w:r>
              <w:rPr>
                <w:spacing w:val="-8"/>
                <w:sz w:val="21"/>
              </w:rPr>
              <w:t>用于生产防冻剂、热交换剂树脂和二醇衍生物 还用作溶剂、增塑剂和湿润剂等。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26" w:type="dxa"/>
            <w:vMerge w:val="continue"/>
            <w:tcBorders>
              <w:top w:val="nil"/>
            </w:tcBorders>
          </w:tcPr>
          <w:p>
            <w:pPr>
              <w:rPr>
                <w:sz w:val="2"/>
                <w:szCs w:val="2"/>
              </w:rPr>
            </w:pPr>
          </w:p>
        </w:tc>
        <w:tc>
          <w:tcPr>
            <w:tcW w:w="1965" w:type="dxa"/>
          </w:tcPr>
          <w:p>
            <w:pPr>
              <w:pStyle w:val="20"/>
              <w:spacing w:before="44" w:line="255" w:lineRule="exact"/>
              <w:ind w:right="96"/>
              <w:jc w:val="right"/>
              <w:rPr>
                <w:sz w:val="21"/>
              </w:rPr>
            </w:pPr>
            <w:r>
              <w:rPr>
                <w:w w:val="95"/>
                <w:sz w:val="21"/>
              </w:rPr>
              <w:t>熔点：</w:t>
            </w:r>
          </w:p>
        </w:tc>
        <w:tc>
          <w:tcPr>
            <w:tcW w:w="6122" w:type="dxa"/>
          </w:tcPr>
          <w:p>
            <w:pPr>
              <w:pStyle w:val="20"/>
              <w:spacing w:before="44" w:line="255" w:lineRule="exact"/>
              <w:ind w:left="107"/>
              <w:rPr>
                <w:sz w:val="21"/>
              </w:rPr>
            </w:pPr>
            <w:r>
              <w:rPr>
                <w:sz w:val="21"/>
              </w:rPr>
              <w:t>-59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4" w:lineRule="exact"/>
              <w:ind w:right="96"/>
              <w:jc w:val="right"/>
              <w:rPr>
                <w:sz w:val="21"/>
              </w:rPr>
            </w:pPr>
            <w:r>
              <w:rPr>
                <w:w w:val="95"/>
                <w:sz w:val="21"/>
              </w:rPr>
              <w:t>沸点：</w:t>
            </w:r>
          </w:p>
        </w:tc>
        <w:tc>
          <w:tcPr>
            <w:tcW w:w="6122" w:type="dxa"/>
          </w:tcPr>
          <w:p>
            <w:pPr>
              <w:pStyle w:val="20"/>
              <w:spacing w:before="46" w:line="254" w:lineRule="exact"/>
              <w:ind w:left="107"/>
              <w:rPr>
                <w:sz w:val="21"/>
              </w:rPr>
            </w:pPr>
            <w:r>
              <w:rPr>
                <w:sz w:val="21"/>
              </w:rPr>
              <w:t>187.2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相对密度(水=1)：</w:t>
            </w:r>
          </w:p>
        </w:tc>
        <w:tc>
          <w:tcPr>
            <w:tcW w:w="6122" w:type="dxa"/>
          </w:tcPr>
          <w:p>
            <w:pPr>
              <w:pStyle w:val="20"/>
              <w:spacing w:before="45" w:line="255" w:lineRule="exact"/>
              <w:ind w:left="107"/>
              <w:rPr>
                <w:sz w:val="21"/>
              </w:rPr>
            </w:pPr>
            <w:r>
              <w:rPr>
                <w:sz w:val="21"/>
              </w:rPr>
              <w:t>1.04(25℃)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426" w:type="dxa"/>
            <w:vMerge w:val="continue"/>
            <w:tcBorders>
              <w:top w:val="nil"/>
            </w:tcBorders>
          </w:tcPr>
          <w:p>
            <w:pPr>
              <w:rPr>
                <w:sz w:val="2"/>
                <w:szCs w:val="2"/>
              </w:rPr>
            </w:pPr>
          </w:p>
        </w:tc>
        <w:tc>
          <w:tcPr>
            <w:tcW w:w="1965" w:type="dxa"/>
          </w:tcPr>
          <w:p>
            <w:pPr>
              <w:pStyle w:val="20"/>
              <w:spacing w:before="46"/>
              <w:ind w:right="99"/>
              <w:jc w:val="right"/>
              <w:rPr>
                <w:sz w:val="21"/>
              </w:rPr>
            </w:pPr>
            <w:r>
              <w:rPr>
                <w:w w:val="95"/>
                <w:sz w:val="21"/>
              </w:rPr>
              <w:t>相对密度(空气</w:t>
            </w:r>
          </w:p>
          <w:p>
            <w:pPr>
              <w:pStyle w:val="20"/>
              <w:spacing w:before="50" w:line="255" w:lineRule="exact"/>
              <w:ind w:right="95"/>
              <w:jc w:val="right"/>
              <w:rPr>
                <w:sz w:val="21"/>
              </w:rPr>
            </w:pPr>
            <w:r>
              <w:rPr>
                <w:sz w:val="21"/>
              </w:rPr>
              <w:t>=1):</w:t>
            </w:r>
          </w:p>
        </w:tc>
        <w:tc>
          <w:tcPr>
            <w:tcW w:w="6122" w:type="dxa"/>
          </w:tcPr>
          <w:p>
            <w:pPr>
              <w:pStyle w:val="20"/>
              <w:spacing w:before="46"/>
              <w:ind w:left="107"/>
              <w:rPr>
                <w:sz w:val="21"/>
              </w:rPr>
            </w:pPr>
            <w:r>
              <w:rPr>
                <w:sz w:val="21"/>
              </w:rPr>
              <w:t>2.62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60"/>
              <w:jc w:val="right"/>
              <w:rPr>
                <w:sz w:val="21"/>
              </w:rPr>
            </w:pPr>
            <w:r>
              <w:rPr>
                <w:w w:val="95"/>
                <w:sz w:val="21"/>
              </w:rPr>
              <w:t>饱和蒸汽压(kPa)：</w:t>
            </w:r>
          </w:p>
        </w:tc>
        <w:tc>
          <w:tcPr>
            <w:tcW w:w="6122" w:type="dxa"/>
          </w:tcPr>
          <w:p>
            <w:pPr>
              <w:pStyle w:val="20"/>
              <w:spacing w:before="46" w:line="253" w:lineRule="exact"/>
              <w:ind w:left="107"/>
              <w:rPr>
                <w:sz w:val="21"/>
              </w:rPr>
            </w:pPr>
            <w:r>
              <w:rPr>
                <w:sz w:val="21"/>
              </w:rPr>
              <w:t>0.02(25℃)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9"/>
              <w:jc w:val="right"/>
              <w:rPr>
                <w:sz w:val="21"/>
              </w:rPr>
            </w:pPr>
            <w:r>
              <w:rPr>
                <w:w w:val="95"/>
                <w:sz w:val="21"/>
              </w:rPr>
              <w:t>溶解性：</w:t>
            </w:r>
          </w:p>
        </w:tc>
        <w:tc>
          <w:tcPr>
            <w:tcW w:w="6122" w:type="dxa"/>
          </w:tcPr>
          <w:p>
            <w:pPr>
              <w:pStyle w:val="20"/>
              <w:spacing w:before="45" w:line="255" w:lineRule="exact"/>
              <w:ind w:left="107"/>
              <w:rPr>
                <w:sz w:val="21"/>
              </w:rPr>
            </w:pPr>
            <w:r>
              <w:rPr>
                <w:sz w:val="21"/>
              </w:rPr>
              <w:t>与水混溶，可混溶于乙醇、乙醚、多数有机溶剂。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6"/>
              <w:jc w:val="right"/>
              <w:rPr>
                <w:sz w:val="21"/>
              </w:rPr>
            </w:pPr>
            <w:r>
              <w:rPr>
                <w:w w:val="95"/>
                <w:sz w:val="21"/>
              </w:rPr>
              <w:t>临界温度(℃)：</w:t>
            </w:r>
          </w:p>
        </w:tc>
        <w:tc>
          <w:tcPr>
            <w:tcW w:w="612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临界压力(MPa)：</w:t>
            </w:r>
          </w:p>
        </w:tc>
        <w:tc>
          <w:tcPr>
            <w:tcW w:w="612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6"/>
              <w:jc w:val="right"/>
              <w:rPr>
                <w:sz w:val="21"/>
              </w:rPr>
            </w:pPr>
            <w:r>
              <w:rPr>
                <w:w w:val="95"/>
                <w:sz w:val="21"/>
              </w:rPr>
              <w:t>燃烧热(kj/mol)：</w:t>
            </w:r>
          </w:p>
        </w:tc>
        <w:tc>
          <w:tcPr>
            <w:tcW w:w="612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restart"/>
          </w:tcPr>
          <w:p>
            <w:pPr>
              <w:pStyle w:val="20"/>
              <w:spacing w:before="45" w:line="571" w:lineRule="auto"/>
              <w:ind w:left="107" w:right="97"/>
              <w:jc w:val="both"/>
              <w:rPr>
                <w:sz w:val="21"/>
              </w:rPr>
            </w:pPr>
            <w:r>
              <w:rPr>
                <w:sz w:val="21"/>
              </w:rPr>
              <w:t>燃烧爆炸危险性</w:t>
            </w:r>
          </w:p>
        </w:tc>
        <w:tc>
          <w:tcPr>
            <w:tcW w:w="1965" w:type="dxa"/>
          </w:tcPr>
          <w:p>
            <w:pPr>
              <w:pStyle w:val="20"/>
              <w:spacing w:before="45" w:line="255" w:lineRule="exact"/>
              <w:ind w:right="99"/>
              <w:jc w:val="right"/>
              <w:rPr>
                <w:sz w:val="21"/>
              </w:rPr>
            </w:pPr>
            <w:r>
              <w:rPr>
                <w:w w:val="95"/>
                <w:sz w:val="21"/>
              </w:rPr>
              <w:t>避免接触的条件：</w:t>
            </w:r>
          </w:p>
        </w:tc>
        <w:tc>
          <w:tcPr>
            <w:tcW w:w="612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9"/>
              <w:jc w:val="right"/>
              <w:rPr>
                <w:sz w:val="21"/>
              </w:rPr>
            </w:pPr>
            <w:r>
              <w:rPr>
                <w:w w:val="95"/>
                <w:sz w:val="21"/>
              </w:rPr>
              <w:t>燃烧性：</w:t>
            </w:r>
          </w:p>
        </w:tc>
        <w:tc>
          <w:tcPr>
            <w:tcW w:w="6122" w:type="dxa"/>
          </w:tcPr>
          <w:p>
            <w:pPr>
              <w:pStyle w:val="20"/>
              <w:tabs>
                <w:tab w:val="left" w:pos="947"/>
              </w:tabs>
              <w:spacing w:before="46" w:line="253" w:lineRule="exact"/>
              <w:ind w:left="107"/>
              <w:rPr>
                <w:sz w:val="21"/>
              </w:rPr>
            </w:pPr>
            <w:r>
              <w:rPr>
                <w:sz w:val="21"/>
              </w:rPr>
              <w:t>易燃</w:t>
            </w:r>
            <w:r>
              <w:rPr>
                <w:sz w:val="21"/>
              </w:rPr>
              <w:tab/>
            </w:r>
            <w:r>
              <w:rPr>
                <w:sz w:val="21"/>
              </w:rPr>
              <w:t>易燃性(红色)：3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建规火险分级：</w:t>
            </w:r>
          </w:p>
        </w:tc>
        <w:tc>
          <w:tcPr>
            <w:tcW w:w="6122" w:type="dxa"/>
          </w:tcPr>
          <w:p>
            <w:pPr>
              <w:pStyle w:val="20"/>
              <w:spacing w:before="45" w:line="255" w:lineRule="exact"/>
              <w:ind w:left="107"/>
              <w:rPr>
                <w:sz w:val="21"/>
              </w:rPr>
            </w:pPr>
            <w:r>
              <w:rPr>
                <w:w w:val="99"/>
                <w:sz w:val="21"/>
              </w:rPr>
              <w:t>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6"/>
              <w:jc w:val="right"/>
              <w:rPr>
                <w:sz w:val="21"/>
              </w:rPr>
            </w:pPr>
            <w:r>
              <w:rPr>
                <w:w w:val="95"/>
                <w:sz w:val="21"/>
              </w:rPr>
              <w:t>闪点(℃)：</w:t>
            </w:r>
          </w:p>
        </w:tc>
        <w:tc>
          <w:tcPr>
            <w:tcW w:w="6122" w:type="dxa"/>
          </w:tcPr>
          <w:p>
            <w:pPr>
              <w:pStyle w:val="20"/>
              <w:spacing w:before="46" w:line="253" w:lineRule="exact"/>
              <w:ind w:left="107"/>
              <w:rPr>
                <w:sz w:val="21"/>
              </w:rPr>
            </w:pPr>
            <w:r>
              <w:rPr>
                <w:sz w:val="21"/>
              </w:rPr>
              <w:t>79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自燃温度(℃)：</w:t>
            </w:r>
          </w:p>
        </w:tc>
        <w:tc>
          <w:tcPr>
            <w:tcW w:w="6122" w:type="dxa"/>
          </w:tcPr>
          <w:p>
            <w:pPr>
              <w:pStyle w:val="20"/>
              <w:spacing w:before="45" w:line="255" w:lineRule="exact"/>
              <w:ind w:left="107"/>
              <w:rPr>
                <w:sz w:val="21"/>
              </w:rPr>
            </w:pPr>
            <w:r>
              <w:rPr>
                <w:sz w:val="21"/>
              </w:rPr>
              <w:t>371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6"/>
              <w:jc w:val="right"/>
              <w:rPr>
                <w:sz w:val="21"/>
              </w:rPr>
            </w:pPr>
            <w:r>
              <w:rPr>
                <w:w w:val="95"/>
                <w:sz w:val="21"/>
              </w:rPr>
              <w:t>爆炸下限(V%)：</w:t>
            </w:r>
          </w:p>
        </w:tc>
        <w:tc>
          <w:tcPr>
            <w:tcW w:w="6122" w:type="dxa"/>
          </w:tcPr>
          <w:p>
            <w:pPr>
              <w:pStyle w:val="20"/>
              <w:spacing w:before="46" w:line="253" w:lineRule="exact"/>
              <w:ind w:left="107"/>
              <w:rPr>
                <w:sz w:val="21"/>
              </w:rPr>
            </w:pPr>
            <w:r>
              <w:rPr>
                <w:sz w:val="21"/>
              </w:rPr>
              <w:t>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爆炸上限(V%)：</w:t>
            </w:r>
          </w:p>
        </w:tc>
        <w:tc>
          <w:tcPr>
            <w:tcW w:w="6122" w:type="dxa"/>
          </w:tcPr>
          <w:p>
            <w:pPr>
              <w:pStyle w:val="20"/>
              <w:spacing w:before="45" w:line="255" w:lineRule="exact"/>
              <w:ind w:left="107"/>
              <w:rPr>
                <w:sz w:val="21"/>
              </w:rPr>
            </w:pPr>
            <w:r>
              <w:rPr>
                <w:sz w:val="21"/>
              </w:rPr>
              <w:t>12.6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426" w:type="dxa"/>
            <w:vMerge w:val="continue"/>
            <w:tcBorders>
              <w:top w:val="nil"/>
            </w:tcBorders>
          </w:tcPr>
          <w:p>
            <w:pPr>
              <w:rPr>
                <w:sz w:val="2"/>
                <w:szCs w:val="2"/>
              </w:rPr>
            </w:pPr>
          </w:p>
        </w:tc>
        <w:tc>
          <w:tcPr>
            <w:tcW w:w="1965" w:type="dxa"/>
          </w:tcPr>
          <w:p>
            <w:pPr>
              <w:pStyle w:val="20"/>
              <w:spacing w:before="46"/>
              <w:ind w:right="96"/>
              <w:jc w:val="right"/>
              <w:rPr>
                <w:sz w:val="21"/>
              </w:rPr>
            </w:pPr>
            <w:r>
              <w:rPr>
                <w:w w:val="95"/>
                <w:sz w:val="21"/>
              </w:rPr>
              <w:t>危险特性：</w:t>
            </w:r>
          </w:p>
        </w:tc>
        <w:tc>
          <w:tcPr>
            <w:tcW w:w="6122" w:type="dxa"/>
          </w:tcPr>
          <w:p>
            <w:pPr>
              <w:pStyle w:val="20"/>
              <w:spacing w:before="46" w:line="285" w:lineRule="auto"/>
              <w:ind w:left="107" w:right="98"/>
              <w:jc w:val="both"/>
              <w:rPr>
                <w:sz w:val="21"/>
              </w:rPr>
            </w:pPr>
            <w:r>
              <w:rPr>
                <w:sz w:val="21"/>
              </w:rPr>
              <w:t>遇明火、高热可燃。其蒸气与空气形成爆炸性混合物，遇明火、高热能引起燃烧爆炸。与氧化剂能发生强烈反应。若遇高热，容器内压增大，有开裂和爆炸的危险。</w:t>
            </w:r>
          </w:p>
          <w:p>
            <w:pPr>
              <w:pStyle w:val="20"/>
              <w:spacing w:line="253" w:lineRule="exact"/>
              <w:ind w:left="107"/>
              <w:rPr>
                <w:sz w:val="21"/>
              </w:rPr>
            </w:pPr>
            <w:r>
              <w:rPr>
                <w:sz w:val="21"/>
              </w:rPr>
              <w:t>反应活性(黄色)：0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燃烧(分解)产物：</w:t>
            </w:r>
          </w:p>
        </w:tc>
        <w:tc>
          <w:tcPr>
            <w:tcW w:w="6122" w:type="dxa"/>
          </w:tcPr>
          <w:p>
            <w:pPr>
              <w:pStyle w:val="20"/>
              <w:spacing w:before="45" w:line="255" w:lineRule="exact"/>
              <w:ind w:left="107"/>
              <w:rPr>
                <w:sz w:val="21"/>
              </w:rPr>
            </w:pPr>
            <w:r>
              <w:rPr>
                <w:sz w:val="21"/>
              </w:rPr>
              <w:t>一氧化碳、二氧化碳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9"/>
              <w:jc w:val="right"/>
              <w:rPr>
                <w:sz w:val="21"/>
              </w:rPr>
            </w:pPr>
            <w:r>
              <w:rPr>
                <w:w w:val="95"/>
                <w:sz w:val="21"/>
              </w:rPr>
              <w:t>稳定性：</w:t>
            </w:r>
          </w:p>
        </w:tc>
        <w:tc>
          <w:tcPr>
            <w:tcW w:w="6122" w:type="dxa"/>
          </w:tcPr>
          <w:p>
            <w:pPr>
              <w:pStyle w:val="20"/>
              <w:spacing w:before="46" w:line="253" w:lineRule="exact"/>
              <w:ind w:left="107"/>
              <w:rPr>
                <w:sz w:val="21"/>
              </w:rPr>
            </w:pPr>
            <w:r>
              <w:rPr>
                <w:sz w:val="21"/>
              </w:rPr>
              <w:t>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5" w:line="255" w:lineRule="exact"/>
              <w:ind w:right="96"/>
              <w:jc w:val="right"/>
              <w:rPr>
                <w:sz w:val="21"/>
              </w:rPr>
            </w:pPr>
            <w:r>
              <w:rPr>
                <w:w w:val="95"/>
                <w:sz w:val="21"/>
              </w:rPr>
              <w:t>聚合危害：</w:t>
            </w:r>
          </w:p>
        </w:tc>
        <w:tc>
          <w:tcPr>
            <w:tcW w:w="6122" w:type="dxa"/>
          </w:tcPr>
          <w:p>
            <w:pPr>
              <w:pStyle w:val="20"/>
              <w:spacing w:before="45" w:line="255" w:lineRule="exact"/>
              <w:ind w:left="107"/>
              <w:rPr>
                <w:sz w:val="21"/>
              </w:rPr>
            </w:pPr>
            <w:r>
              <w:rPr>
                <w:sz w:val="21"/>
              </w:rPr>
              <w:t>不能出现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3" w:lineRule="exact"/>
              <w:ind w:right="99"/>
              <w:jc w:val="right"/>
              <w:rPr>
                <w:sz w:val="21"/>
              </w:rPr>
            </w:pPr>
            <w:r>
              <w:rPr>
                <w:w w:val="95"/>
                <w:sz w:val="21"/>
              </w:rPr>
              <w:t>禁忌物：</w:t>
            </w:r>
          </w:p>
        </w:tc>
        <w:tc>
          <w:tcPr>
            <w:tcW w:w="6122" w:type="dxa"/>
          </w:tcPr>
          <w:p>
            <w:pPr>
              <w:pStyle w:val="20"/>
              <w:spacing w:before="46" w:line="253" w:lineRule="exact"/>
              <w:ind w:left="107"/>
              <w:rPr>
                <w:sz w:val="21"/>
              </w:rPr>
            </w:pPr>
            <w:r>
              <w:rPr>
                <w:sz w:val="21"/>
              </w:rPr>
              <w:t>酰基氯、酸酐、氧化剂、还原剂。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0" w:hRule="atLeast"/>
        </w:trPr>
        <w:tc>
          <w:tcPr>
            <w:tcW w:w="426" w:type="dxa"/>
            <w:vMerge w:val="continue"/>
            <w:tcBorders>
              <w:top w:val="nil"/>
            </w:tcBorders>
          </w:tcPr>
          <w:p>
            <w:pPr>
              <w:rPr>
                <w:sz w:val="2"/>
                <w:szCs w:val="2"/>
              </w:rPr>
            </w:pPr>
          </w:p>
        </w:tc>
        <w:tc>
          <w:tcPr>
            <w:tcW w:w="1965" w:type="dxa"/>
          </w:tcPr>
          <w:p>
            <w:pPr>
              <w:pStyle w:val="20"/>
              <w:spacing w:before="45"/>
              <w:ind w:right="96"/>
              <w:jc w:val="right"/>
              <w:rPr>
                <w:sz w:val="21"/>
              </w:rPr>
            </w:pPr>
            <w:r>
              <w:rPr>
                <w:w w:val="95"/>
                <w:sz w:val="21"/>
              </w:rPr>
              <w:t>灭火方法：</w:t>
            </w:r>
          </w:p>
        </w:tc>
        <w:tc>
          <w:tcPr>
            <w:tcW w:w="6122" w:type="dxa"/>
          </w:tcPr>
          <w:p>
            <w:pPr>
              <w:pStyle w:val="20"/>
              <w:spacing w:before="45" w:line="285" w:lineRule="auto"/>
              <w:ind w:left="107" w:right="-15"/>
              <w:rPr>
                <w:sz w:val="21"/>
              </w:rPr>
            </w:pPr>
            <w:r>
              <w:rPr>
                <w:sz w:val="21"/>
              </w:rPr>
              <w:t>消防人员须佩戴防毒面具、穿全身消防服，在上风向灭火。尽可能将容器从火场移至空旷处。喷水保持火场容器冷却，直至灭火</w:t>
            </w:r>
            <w:r>
              <w:rPr>
                <w:spacing w:val="-9"/>
                <w:w w:val="95"/>
                <w:sz w:val="21"/>
              </w:rPr>
              <w:t xml:space="preserve">结束。处在火场中的容器若已变色或从安全泄压装置中产生声音，  </w:t>
            </w:r>
            <w:r>
              <w:rPr>
                <w:spacing w:val="-9"/>
                <w:sz w:val="21"/>
              </w:rPr>
              <w:t>必须马上撤离。用水喷射逸出液体，使其稀释成不燃性混合物， 并用雾状水保护消防人员。灭火剂：水、雾状水、抗溶性泡沫、</w:t>
            </w:r>
          </w:p>
          <w:p>
            <w:pPr>
              <w:pStyle w:val="20"/>
              <w:spacing w:line="254" w:lineRule="exact"/>
              <w:ind w:left="107"/>
              <w:rPr>
                <w:sz w:val="21"/>
              </w:rPr>
            </w:pPr>
            <w:r>
              <w:rPr>
                <w:sz w:val="21"/>
              </w:rPr>
              <w:t>干粉、二氧化碳、砂土。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restart"/>
          </w:tcPr>
          <w:p>
            <w:pPr>
              <w:pStyle w:val="20"/>
              <w:spacing w:before="45"/>
              <w:ind w:left="107"/>
              <w:rPr>
                <w:sz w:val="21"/>
              </w:rPr>
            </w:pPr>
            <w:r>
              <w:rPr>
                <w:w w:val="99"/>
                <w:sz w:val="21"/>
              </w:rPr>
              <w:t>包</w:t>
            </w:r>
          </w:p>
          <w:p>
            <w:pPr>
              <w:pStyle w:val="20"/>
              <w:spacing w:before="52" w:line="261" w:lineRule="exact"/>
              <w:ind w:left="107"/>
              <w:rPr>
                <w:sz w:val="21"/>
              </w:rPr>
            </w:pPr>
            <w:r>
              <w:rPr>
                <w:w w:val="99"/>
                <w:sz w:val="21"/>
              </w:rPr>
              <w:t>装</w:t>
            </w:r>
          </w:p>
        </w:tc>
        <w:tc>
          <w:tcPr>
            <w:tcW w:w="1965" w:type="dxa"/>
          </w:tcPr>
          <w:p>
            <w:pPr>
              <w:pStyle w:val="20"/>
              <w:spacing w:before="45" w:line="255" w:lineRule="exact"/>
              <w:ind w:right="99"/>
              <w:jc w:val="right"/>
              <w:rPr>
                <w:sz w:val="21"/>
              </w:rPr>
            </w:pPr>
            <w:r>
              <w:rPr>
                <w:w w:val="95"/>
                <w:sz w:val="21"/>
              </w:rPr>
              <w:t>危险性类别：</w:t>
            </w:r>
          </w:p>
        </w:tc>
        <w:tc>
          <w:tcPr>
            <w:tcW w:w="6122" w:type="dxa"/>
          </w:tcPr>
          <w:p>
            <w:pPr>
              <w:pStyle w:val="20"/>
              <w:tabs>
                <w:tab w:val="left" w:pos="1158"/>
              </w:tabs>
              <w:spacing w:before="45" w:line="255" w:lineRule="exact"/>
              <w:ind w:left="107"/>
              <w:rPr>
                <w:sz w:val="21"/>
              </w:rPr>
            </w:pPr>
            <w:r>
              <w:rPr>
                <w:sz w:val="21"/>
              </w:rPr>
              <w:t>第</w:t>
            </w:r>
            <w:r>
              <w:rPr>
                <w:spacing w:val="-54"/>
                <w:sz w:val="21"/>
              </w:rPr>
              <w:t xml:space="preserve"> </w:t>
            </w:r>
            <w:r>
              <w:rPr>
                <w:sz w:val="21"/>
              </w:rPr>
              <w:t>3</w:t>
            </w:r>
            <w:r>
              <w:rPr>
                <w:spacing w:val="-53"/>
                <w:sz w:val="21"/>
              </w:rPr>
              <w:t xml:space="preserve"> </w:t>
            </w:r>
            <w:r>
              <w:rPr>
                <w:sz w:val="21"/>
              </w:rPr>
              <w:t>类</w:t>
            </w:r>
            <w:r>
              <w:rPr>
                <w:sz w:val="21"/>
              </w:rPr>
              <w:tab/>
            </w:r>
            <w:r>
              <w:rPr>
                <w:sz w:val="21"/>
              </w:rPr>
              <w:t>易燃液体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426" w:type="dxa"/>
            <w:vMerge w:val="continue"/>
            <w:tcBorders>
              <w:top w:val="nil"/>
            </w:tcBorders>
          </w:tcPr>
          <w:p>
            <w:pPr>
              <w:rPr>
                <w:sz w:val="2"/>
                <w:szCs w:val="2"/>
              </w:rPr>
            </w:pPr>
          </w:p>
        </w:tc>
        <w:tc>
          <w:tcPr>
            <w:tcW w:w="1965" w:type="dxa"/>
          </w:tcPr>
          <w:p>
            <w:pPr>
              <w:pStyle w:val="20"/>
              <w:spacing w:before="46" w:line="252" w:lineRule="exact"/>
              <w:ind w:right="96"/>
              <w:jc w:val="right"/>
              <w:rPr>
                <w:sz w:val="21"/>
              </w:rPr>
            </w:pPr>
            <w:r>
              <w:rPr>
                <w:w w:val="95"/>
                <w:sz w:val="21"/>
              </w:rPr>
              <w:t>危险货物包装标</w:t>
            </w:r>
          </w:p>
        </w:tc>
        <w:tc>
          <w:tcPr>
            <w:tcW w:w="6122" w:type="dxa"/>
          </w:tcPr>
          <w:p>
            <w:pPr>
              <w:pStyle w:val="20"/>
              <w:rPr>
                <w:rFonts w:ascii="Times New Roman"/>
                <w:sz w:val="20"/>
              </w:rPr>
            </w:pPr>
          </w:p>
        </w:tc>
      </w:tr>
    </w:tbl>
    <w:p>
      <w:pPr>
        <w:spacing w:after="0"/>
        <w:rPr>
          <w:rFonts w:ascii="Times New Roman"/>
          <w:sz w:val="20"/>
        </w:rPr>
        <w:sectPr>
          <w:pgSz w:w="11900" w:h="16840"/>
          <w:pgMar w:top="1420" w:right="80" w:bottom="1200" w:left="260" w:header="882" w:footer="1004" w:gutter="0"/>
          <w:cols w:space="720" w:num="1"/>
        </w:sectPr>
      </w:pPr>
    </w:p>
    <w:tbl>
      <w:tblPr>
        <w:tblStyle w:val="15"/>
        <w:tblW w:w="0" w:type="auto"/>
        <w:tblInd w:w="1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1965"/>
        <w:gridCol w:w="6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restart"/>
          </w:tcPr>
          <w:p>
            <w:pPr>
              <w:pStyle w:val="20"/>
              <w:spacing w:before="45" w:line="285" w:lineRule="auto"/>
              <w:ind w:left="107" w:right="97"/>
              <w:jc w:val="both"/>
              <w:rPr>
                <w:sz w:val="21"/>
              </w:rPr>
            </w:pPr>
            <w:r>
              <w:rPr>
                <w:sz w:val="21"/>
              </w:rPr>
              <w:t>与储运</w:t>
            </w:r>
          </w:p>
        </w:tc>
        <w:tc>
          <w:tcPr>
            <w:tcW w:w="1965" w:type="dxa"/>
          </w:tcPr>
          <w:p>
            <w:pPr>
              <w:pStyle w:val="20"/>
              <w:spacing w:before="45" w:line="255" w:lineRule="exact"/>
              <w:ind w:right="99"/>
              <w:jc w:val="right"/>
              <w:rPr>
                <w:sz w:val="21"/>
              </w:rPr>
            </w:pPr>
            <w:r>
              <w:rPr>
                <w:w w:val="95"/>
                <w:sz w:val="21"/>
              </w:rPr>
              <w:t>志：</w:t>
            </w:r>
          </w:p>
        </w:tc>
        <w:tc>
          <w:tcPr>
            <w:tcW w:w="6122" w:type="dxa"/>
          </w:tcPr>
          <w:p>
            <w:pPr>
              <w:pStyle w:val="20"/>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4" w:lineRule="exact"/>
              <w:ind w:right="96"/>
              <w:jc w:val="right"/>
              <w:rPr>
                <w:sz w:val="21"/>
              </w:rPr>
            </w:pPr>
            <w:r>
              <w:rPr>
                <w:w w:val="95"/>
                <w:sz w:val="21"/>
              </w:rPr>
              <w:t>包装类别：</w:t>
            </w:r>
          </w:p>
        </w:tc>
        <w:tc>
          <w:tcPr>
            <w:tcW w:w="6122" w:type="dxa"/>
          </w:tcPr>
          <w:p>
            <w:pPr>
              <w:pStyle w:val="20"/>
              <w:spacing w:before="46" w:line="254" w:lineRule="exact"/>
              <w:ind w:left="107"/>
              <w:rPr>
                <w:sz w:val="21"/>
              </w:rPr>
            </w:pPr>
            <w:r>
              <w:rPr>
                <w:w w:val="99"/>
                <w:sz w:val="21"/>
              </w:rPr>
              <w:t>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426" w:type="dxa"/>
            <w:vMerge w:val="continue"/>
            <w:tcBorders>
              <w:top w:val="nil"/>
            </w:tcBorders>
          </w:tcPr>
          <w:p>
            <w:pPr>
              <w:rPr>
                <w:sz w:val="2"/>
                <w:szCs w:val="2"/>
              </w:rPr>
            </w:pPr>
          </w:p>
        </w:tc>
        <w:tc>
          <w:tcPr>
            <w:tcW w:w="1965" w:type="dxa"/>
          </w:tcPr>
          <w:p>
            <w:pPr>
              <w:pStyle w:val="20"/>
              <w:spacing w:before="45"/>
              <w:ind w:right="96"/>
              <w:jc w:val="right"/>
              <w:rPr>
                <w:sz w:val="21"/>
              </w:rPr>
            </w:pPr>
            <w:r>
              <w:rPr>
                <w:w w:val="95"/>
                <w:sz w:val="21"/>
              </w:rPr>
              <w:t>储运注意事项：</w:t>
            </w:r>
          </w:p>
        </w:tc>
        <w:tc>
          <w:tcPr>
            <w:tcW w:w="6122" w:type="dxa"/>
          </w:tcPr>
          <w:p>
            <w:pPr>
              <w:pStyle w:val="20"/>
              <w:spacing w:before="45"/>
              <w:ind w:left="107"/>
              <w:rPr>
                <w:sz w:val="21"/>
              </w:rPr>
            </w:pPr>
            <w:r>
              <w:rPr>
                <w:sz w:val="21"/>
              </w:rPr>
              <w:t>储存于阴凉、通风的库房。远离火种、热源。应与氧化剂、还原</w:t>
            </w:r>
          </w:p>
          <w:p>
            <w:pPr>
              <w:pStyle w:val="20"/>
              <w:spacing w:before="2" w:line="320" w:lineRule="atLeast"/>
              <w:ind w:left="107" w:right="98"/>
              <w:rPr>
                <w:sz w:val="21"/>
              </w:rPr>
            </w:pPr>
            <w:r>
              <w:rPr>
                <w:sz w:val="21"/>
              </w:rPr>
              <w:t>剂等分开存放，切忌混储。配备相应品种和数量的消防器材。储区应备有泄漏应急处理设备和合适的收容材料。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426" w:type="dxa"/>
            <w:vMerge w:val="restart"/>
          </w:tcPr>
          <w:p>
            <w:pPr>
              <w:pStyle w:val="20"/>
              <w:spacing w:before="47" w:line="285" w:lineRule="auto"/>
              <w:ind w:left="107" w:right="97"/>
              <w:jc w:val="both"/>
              <w:rPr>
                <w:sz w:val="21"/>
              </w:rPr>
            </w:pPr>
            <w:r>
              <w:rPr>
                <w:sz w:val="21"/>
              </w:rPr>
              <w:t>毒性危害</w:t>
            </w:r>
          </w:p>
        </w:tc>
        <w:tc>
          <w:tcPr>
            <w:tcW w:w="1965" w:type="dxa"/>
          </w:tcPr>
          <w:p>
            <w:pPr>
              <w:pStyle w:val="20"/>
              <w:spacing w:before="47"/>
              <w:ind w:right="96"/>
              <w:jc w:val="right"/>
              <w:rPr>
                <w:sz w:val="21"/>
              </w:rPr>
            </w:pPr>
            <w:r>
              <w:rPr>
                <w:w w:val="95"/>
                <w:sz w:val="21"/>
              </w:rPr>
              <w:t>接触限值：</w:t>
            </w:r>
          </w:p>
        </w:tc>
        <w:tc>
          <w:tcPr>
            <w:tcW w:w="6122" w:type="dxa"/>
          </w:tcPr>
          <w:p>
            <w:pPr>
              <w:pStyle w:val="20"/>
              <w:spacing w:before="47" w:line="285" w:lineRule="auto"/>
              <w:ind w:left="107" w:right="3115"/>
              <w:rPr>
                <w:sz w:val="21"/>
              </w:rPr>
            </w:pPr>
            <w:r>
              <w:rPr>
                <w:spacing w:val="-19"/>
                <w:sz w:val="21"/>
              </w:rPr>
              <w:t xml:space="preserve">中国 </w:t>
            </w:r>
            <w:r>
              <w:rPr>
                <w:sz w:val="21"/>
              </w:rPr>
              <w:t>MAC(mg/m3</w:t>
            </w:r>
            <w:r>
              <w:rPr>
                <w:spacing w:val="-3"/>
                <w:sz w:val="21"/>
              </w:rPr>
              <w:t>)： 未制定标准</w:t>
            </w:r>
            <w:r>
              <w:rPr>
                <w:sz w:val="21"/>
              </w:rPr>
              <w:t>前 苏 联 MAC(mg/m3)： 7 TLVTN</w:t>
            </w:r>
            <w:r>
              <w:rPr>
                <w:spacing w:val="-1"/>
                <w:sz w:val="21"/>
              </w:rPr>
              <w:t>： 未制订标准</w:t>
            </w:r>
          </w:p>
          <w:p>
            <w:pPr>
              <w:pStyle w:val="20"/>
              <w:spacing w:line="252" w:lineRule="exact"/>
              <w:ind w:left="107"/>
              <w:rPr>
                <w:sz w:val="21"/>
              </w:rPr>
            </w:pPr>
            <w:r>
              <w:rPr>
                <w:sz w:val="21"/>
              </w:rPr>
              <w:t>TLVWN</w:t>
            </w:r>
            <w:r>
              <w:rPr>
                <w:spacing w:val="-2"/>
                <w:sz w:val="21"/>
              </w:rPr>
              <w:t>： 未制订标准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4" w:lineRule="exact"/>
              <w:ind w:right="96"/>
              <w:jc w:val="right"/>
              <w:rPr>
                <w:sz w:val="21"/>
              </w:rPr>
            </w:pPr>
            <w:r>
              <w:rPr>
                <w:w w:val="95"/>
                <w:sz w:val="21"/>
              </w:rPr>
              <w:t>侵入途径：</w:t>
            </w:r>
          </w:p>
        </w:tc>
        <w:tc>
          <w:tcPr>
            <w:tcW w:w="6122" w:type="dxa"/>
          </w:tcPr>
          <w:p>
            <w:pPr>
              <w:pStyle w:val="20"/>
              <w:tabs>
                <w:tab w:val="left" w:pos="947"/>
                <w:tab w:val="left" w:pos="1787"/>
              </w:tabs>
              <w:spacing w:before="46" w:line="254" w:lineRule="exact"/>
              <w:ind w:left="107"/>
              <w:rPr>
                <w:sz w:val="21"/>
              </w:rPr>
            </w:pPr>
            <w:r>
              <w:rPr>
                <w:sz w:val="21"/>
              </w:rPr>
              <w:t>吸入</w:t>
            </w:r>
            <w:r>
              <w:rPr>
                <w:sz w:val="21"/>
              </w:rPr>
              <w:tab/>
            </w:r>
            <w:r>
              <w:rPr>
                <w:sz w:val="21"/>
              </w:rPr>
              <w:t>食入</w:t>
            </w:r>
            <w:r>
              <w:rPr>
                <w:sz w:val="21"/>
              </w:rPr>
              <w:tab/>
            </w:r>
            <w:r>
              <w:rPr>
                <w:sz w:val="21"/>
              </w:rPr>
              <w:t>经皮吸收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0" w:hRule="atLeast"/>
        </w:trPr>
        <w:tc>
          <w:tcPr>
            <w:tcW w:w="426" w:type="dxa"/>
            <w:vMerge w:val="continue"/>
            <w:tcBorders>
              <w:top w:val="nil"/>
            </w:tcBorders>
          </w:tcPr>
          <w:p>
            <w:pPr>
              <w:rPr>
                <w:sz w:val="2"/>
                <w:szCs w:val="2"/>
              </w:rPr>
            </w:pPr>
          </w:p>
        </w:tc>
        <w:tc>
          <w:tcPr>
            <w:tcW w:w="1965" w:type="dxa"/>
          </w:tcPr>
          <w:p>
            <w:pPr>
              <w:pStyle w:val="20"/>
              <w:spacing w:before="47"/>
              <w:ind w:right="96"/>
              <w:jc w:val="right"/>
              <w:rPr>
                <w:sz w:val="21"/>
              </w:rPr>
            </w:pPr>
            <w:r>
              <w:rPr>
                <w:w w:val="95"/>
                <w:sz w:val="21"/>
              </w:rPr>
              <w:t>健康危害：</w:t>
            </w:r>
          </w:p>
        </w:tc>
        <w:tc>
          <w:tcPr>
            <w:tcW w:w="6122" w:type="dxa"/>
          </w:tcPr>
          <w:p>
            <w:pPr>
              <w:pStyle w:val="20"/>
              <w:spacing w:before="47" w:line="285" w:lineRule="auto"/>
              <w:ind w:left="107" w:right="-15"/>
              <w:rPr>
                <w:sz w:val="21"/>
              </w:rPr>
            </w:pPr>
            <w:r>
              <w:rPr>
                <w:spacing w:val="-9"/>
                <w:sz w:val="21"/>
              </w:rPr>
              <w:t>对眼睛、皮肤、粘膜和上呼吸道有刺激作用。主要症状为眼、鼻、喉部刺激，头痛、眩晕、嗜睡和胃肠功能紊乱。长时间或反复接触可引起视觉障碍和其他眼部疾患，皮肤干燥、皲裂，中枢神经系统改变，肝、肾损伤，眩晕，听力障碍，感觉平衡失调，以及新生儿缺陷。溶剂和石油产品能引起神经和脑损伤，记忆丧失， 个性改变，衰竭，睡眠紊乱，共济失调，手、脚有针扎样感觉。IDLH：1400ppm(LEL)</w:t>
            </w:r>
          </w:p>
          <w:p>
            <w:pPr>
              <w:pStyle w:val="20"/>
              <w:spacing w:line="267" w:lineRule="exact"/>
              <w:ind w:left="107"/>
              <w:rPr>
                <w:sz w:val="21"/>
              </w:rPr>
            </w:pPr>
            <w:r>
              <w:rPr>
                <w:sz w:val="21"/>
              </w:rPr>
              <w:t>嗅阈：0．03ppm</w:t>
            </w:r>
          </w:p>
          <w:p>
            <w:pPr>
              <w:pStyle w:val="20"/>
              <w:spacing w:before="2" w:line="322" w:lineRule="exact"/>
              <w:ind w:left="107" w:right="3588"/>
              <w:rPr>
                <w:sz w:val="21"/>
              </w:rPr>
            </w:pPr>
            <w:r>
              <w:rPr>
                <w:sz w:val="21"/>
              </w:rPr>
              <w:t>OSHA</w:t>
            </w:r>
            <w:r>
              <w:rPr>
                <w:spacing w:val="-19"/>
                <w:sz w:val="21"/>
              </w:rPr>
              <w:t xml:space="preserve">：表 </w:t>
            </w:r>
            <w:r>
              <w:rPr>
                <w:sz w:val="21"/>
              </w:rPr>
              <w:t>Z—1</w:t>
            </w:r>
            <w:r>
              <w:rPr>
                <w:spacing w:val="-12"/>
                <w:sz w:val="21"/>
              </w:rPr>
              <w:t xml:space="preserve"> 空气污染物</w:t>
            </w:r>
            <w:r>
              <w:rPr>
                <w:sz w:val="21"/>
              </w:rPr>
              <w:t>健康危害(蓝色)：1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426" w:type="dxa"/>
            <w:vMerge w:val="restart"/>
          </w:tcPr>
          <w:p>
            <w:pPr>
              <w:pStyle w:val="20"/>
              <w:spacing w:before="44" w:line="285" w:lineRule="auto"/>
              <w:ind w:left="107" w:right="97"/>
              <w:rPr>
                <w:sz w:val="21"/>
              </w:rPr>
            </w:pPr>
            <w:r>
              <w:rPr>
                <w:sz w:val="21"/>
              </w:rPr>
              <w:t>急救</w:t>
            </w:r>
          </w:p>
        </w:tc>
        <w:tc>
          <w:tcPr>
            <w:tcW w:w="1965" w:type="dxa"/>
          </w:tcPr>
          <w:p>
            <w:pPr>
              <w:pStyle w:val="20"/>
              <w:spacing w:before="44" w:line="254" w:lineRule="exact"/>
              <w:ind w:right="96"/>
              <w:jc w:val="right"/>
              <w:rPr>
                <w:sz w:val="21"/>
              </w:rPr>
            </w:pPr>
            <w:r>
              <w:rPr>
                <w:w w:val="95"/>
                <w:sz w:val="21"/>
              </w:rPr>
              <w:t>皮肤接触：</w:t>
            </w:r>
          </w:p>
        </w:tc>
        <w:tc>
          <w:tcPr>
            <w:tcW w:w="6122" w:type="dxa"/>
          </w:tcPr>
          <w:p>
            <w:pPr>
              <w:pStyle w:val="20"/>
              <w:spacing w:before="44" w:line="254" w:lineRule="exact"/>
              <w:ind w:left="107"/>
              <w:rPr>
                <w:sz w:val="21"/>
              </w:rPr>
            </w:pPr>
            <w:r>
              <w:rPr>
                <w:sz w:val="21"/>
              </w:rPr>
              <w:t>脱去污染的衣着，用大量流动清水冲洗。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7" w:line="253" w:lineRule="exact"/>
              <w:ind w:right="96"/>
              <w:jc w:val="right"/>
              <w:rPr>
                <w:sz w:val="21"/>
              </w:rPr>
            </w:pPr>
            <w:r>
              <w:rPr>
                <w:w w:val="95"/>
                <w:sz w:val="21"/>
              </w:rPr>
              <w:t>眼睛接触：</w:t>
            </w:r>
          </w:p>
        </w:tc>
        <w:tc>
          <w:tcPr>
            <w:tcW w:w="6122" w:type="dxa"/>
          </w:tcPr>
          <w:p>
            <w:pPr>
              <w:pStyle w:val="20"/>
              <w:spacing w:before="47" w:line="253" w:lineRule="exact"/>
              <w:ind w:left="107"/>
              <w:rPr>
                <w:sz w:val="21"/>
              </w:rPr>
            </w:pPr>
            <w:r>
              <w:rPr>
                <w:sz w:val="21"/>
              </w:rPr>
              <w:t>提起眼睑，用流动清水或生理盐水冲洗。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4" w:lineRule="exact"/>
              <w:ind w:right="96"/>
              <w:jc w:val="right"/>
              <w:rPr>
                <w:sz w:val="21"/>
              </w:rPr>
            </w:pPr>
            <w:r>
              <w:rPr>
                <w:w w:val="95"/>
                <w:sz w:val="21"/>
              </w:rPr>
              <w:t>吸入：</w:t>
            </w:r>
          </w:p>
        </w:tc>
        <w:tc>
          <w:tcPr>
            <w:tcW w:w="6122" w:type="dxa"/>
          </w:tcPr>
          <w:p>
            <w:pPr>
              <w:pStyle w:val="20"/>
              <w:spacing w:before="46" w:line="254" w:lineRule="exact"/>
              <w:ind w:left="107"/>
              <w:rPr>
                <w:sz w:val="21"/>
              </w:rPr>
            </w:pPr>
            <w:r>
              <w:rPr>
                <w:sz w:val="21"/>
              </w:rPr>
              <w:t>脱离现场至空气新鲜处。就医。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7" w:line="253" w:lineRule="exact"/>
              <w:ind w:right="96"/>
              <w:jc w:val="right"/>
              <w:rPr>
                <w:sz w:val="21"/>
              </w:rPr>
            </w:pPr>
            <w:r>
              <w:rPr>
                <w:w w:val="95"/>
                <w:sz w:val="21"/>
              </w:rPr>
              <w:t>食入：</w:t>
            </w:r>
          </w:p>
        </w:tc>
        <w:tc>
          <w:tcPr>
            <w:tcW w:w="6122" w:type="dxa"/>
          </w:tcPr>
          <w:p>
            <w:pPr>
              <w:pStyle w:val="20"/>
              <w:spacing w:before="47" w:line="253" w:lineRule="exact"/>
              <w:ind w:left="107"/>
              <w:rPr>
                <w:sz w:val="21"/>
              </w:rPr>
            </w:pPr>
            <w:r>
              <w:rPr>
                <w:sz w:val="21"/>
              </w:rPr>
              <w:t>饮足量温水，催吐。就医。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restart"/>
          </w:tcPr>
          <w:p>
            <w:pPr>
              <w:pStyle w:val="20"/>
              <w:spacing w:before="46" w:line="571" w:lineRule="auto"/>
              <w:ind w:left="107" w:right="97"/>
              <w:jc w:val="both"/>
              <w:rPr>
                <w:sz w:val="21"/>
              </w:rPr>
            </w:pPr>
            <w:r>
              <w:rPr>
                <w:sz w:val="21"/>
              </w:rPr>
              <w:t>防护措</w:t>
            </w:r>
          </w:p>
          <w:p>
            <w:pPr>
              <w:pStyle w:val="20"/>
              <w:spacing w:line="268" w:lineRule="exact"/>
              <w:ind w:left="107"/>
              <w:rPr>
                <w:sz w:val="21"/>
              </w:rPr>
            </w:pPr>
            <w:r>
              <w:rPr>
                <w:w w:val="99"/>
                <w:sz w:val="21"/>
              </w:rPr>
              <w:t>施</w:t>
            </w:r>
          </w:p>
        </w:tc>
        <w:tc>
          <w:tcPr>
            <w:tcW w:w="1965" w:type="dxa"/>
          </w:tcPr>
          <w:p>
            <w:pPr>
              <w:pStyle w:val="20"/>
              <w:spacing w:before="46" w:line="254" w:lineRule="exact"/>
              <w:ind w:right="96"/>
              <w:jc w:val="right"/>
              <w:rPr>
                <w:sz w:val="21"/>
              </w:rPr>
            </w:pPr>
            <w:r>
              <w:rPr>
                <w:w w:val="95"/>
                <w:sz w:val="21"/>
              </w:rPr>
              <w:t>工程控制：</w:t>
            </w:r>
          </w:p>
        </w:tc>
        <w:tc>
          <w:tcPr>
            <w:tcW w:w="6122" w:type="dxa"/>
          </w:tcPr>
          <w:p>
            <w:pPr>
              <w:pStyle w:val="20"/>
              <w:spacing w:before="46" w:line="254" w:lineRule="exact"/>
              <w:ind w:left="107"/>
              <w:rPr>
                <w:sz w:val="21"/>
              </w:rPr>
            </w:pPr>
            <w:r>
              <w:rPr>
                <w:sz w:val="21"/>
              </w:rPr>
              <w:t>生产过程密闭，全面通风。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7" w:line="253" w:lineRule="exact"/>
              <w:ind w:right="96"/>
              <w:jc w:val="right"/>
              <w:rPr>
                <w:sz w:val="21"/>
              </w:rPr>
            </w:pPr>
            <w:r>
              <w:rPr>
                <w:w w:val="95"/>
                <w:sz w:val="21"/>
              </w:rPr>
              <w:t>呼吸系统防护：</w:t>
            </w:r>
          </w:p>
        </w:tc>
        <w:tc>
          <w:tcPr>
            <w:tcW w:w="6122" w:type="dxa"/>
          </w:tcPr>
          <w:p>
            <w:pPr>
              <w:pStyle w:val="20"/>
              <w:spacing w:before="47" w:line="253" w:lineRule="exact"/>
              <w:ind w:left="107"/>
              <w:rPr>
                <w:sz w:val="21"/>
              </w:rPr>
            </w:pPr>
            <w:r>
              <w:rPr>
                <w:spacing w:val="-12"/>
                <w:sz w:val="21"/>
              </w:rPr>
              <w:t>空气中浓度超标时，必须佩戴自吸过滤式防毒面具</w:t>
            </w:r>
            <w:r>
              <w:rPr>
                <w:sz w:val="21"/>
              </w:rPr>
              <w:t>（半面罩</w:t>
            </w:r>
            <w:r>
              <w:rPr>
                <w:spacing w:val="-73"/>
                <w:sz w:val="21"/>
              </w:rPr>
              <w:t>）</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4" w:lineRule="exact"/>
              <w:ind w:right="96"/>
              <w:jc w:val="right"/>
              <w:rPr>
                <w:sz w:val="21"/>
              </w:rPr>
            </w:pPr>
            <w:r>
              <w:rPr>
                <w:w w:val="95"/>
                <w:sz w:val="21"/>
              </w:rPr>
              <w:t>眼睛防护：</w:t>
            </w:r>
          </w:p>
        </w:tc>
        <w:tc>
          <w:tcPr>
            <w:tcW w:w="6122" w:type="dxa"/>
          </w:tcPr>
          <w:p>
            <w:pPr>
              <w:pStyle w:val="20"/>
              <w:spacing w:before="46" w:line="254" w:lineRule="exact"/>
              <w:ind w:left="107"/>
              <w:rPr>
                <w:sz w:val="21"/>
              </w:rPr>
            </w:pPr>
            <w:r>
              <w:rPr>
                <w:sz w:val="21"/>
              </w:rPr>
              <w:t>戴化学安全防护眼镜。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7" w:line="253" w:lineRule="exact"/>
              <w:ind w:right="96"/>
              <w:jc w:val="right"/>
              <w:rPr>
                <w:sz w:val="21"/>
              </w:rPr>
            </w:pPr>
            <w:r>
              <w:rPr>
                <w:w w:val="95"/>
                <w:sz w:val="21"/>
              </w:rPr>
              <w:t>身体防护：</w:t>
            </w:r>
          </w:p>
        </w:tc>
        <w:tc>
          <w:tcPr>
            <w:tcW w:w="6122" w:type="dxa"/>
          </w:tcPr>
          <w:p>
            <w:pPr>
              <w:pStyle w:val="20"/>
              <w:spacing w:before="47" w:line="253" w:lineRule="exact"/>
              <w:ind w:left="107"/>
              <w:rPr>
                <w:sz w:val="21"/>
              </w:rPr>
            </w:pPr>
            <w:r>
              <w:rPr>
                <w:sz w:val="21"/>
              </w:rPr>
              <w:t>穿防毒物渗透工作服。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26" w:type="dxa"/>
            <w:vMerge w:val="continue"/>
            <w:tcBorders>
              <w:top w:val="nil"/>
            </w:tcBorders>
          </w:tcPr>
          <w:p>
            <w:pPr>
              <w:rPr>
                <w:sz w:val="2"/>
                <w:szCs w:val="2"/>
              </w:rPr>
            </w:pPr>
          </w:p>
        </w:tc>
        <w:tc>
          <w:tcPr>
            <w:tcW w:w="1965" w:type="dxa"/>
          </w:tcPr>
          <w:p>
            <w:pPr>
              <w:pStyle w:val="20"/>
              <w:spacing w:before="46" w:line="254" w:lineRule="exact"/>
              <w:ind w:right="99"/>
              <w:jc w:val="right"/>
              <w:rPr>
                <w:sz w:val="21"/>
              </w:rPr>
            </w:pPr>
            <w:r>
              <w:rPr>
                <w:w w:val="95"/>
                <w:sz w:val="21"/>
              </w:rPr>
              <w:t>手防护：</w:t>
            </w:r>
          </w:p>
        </w:tc>
        <w:tc>
          <w:tcPr>
            <w:tcW w:w="6122" w:type="dxa"/>
          </w:tcPr>
          <w:p>
            <w:pPr>
              <w:pStyle w:val="20"/>
              <w:spacing w:before="46" w:line="254" w:lineRule="exact"/>
              <w:ind w:left="107"/>
              <w:rPr>
                <w:sz w:val="21"/>
              </w:rPr>
            </w:pPr>
            <w:r>
              <w:rPr>
                <w:sz w:val="21"/>
              </w:rPr>
              <w:t>戴防化学品手套。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426" w:type="dxa"/>
            <w:vMerge w:val="continue"/>
            <w:tcBorders>
              <w:top w:val="nil"/>
            </w:tcBorders>
          </w:tcPr>
          <w:p>
            <w:pPr>
              <w:rPr>
                <w:sz w:val="2"/>
                <w:szCs w:val="2"/>
              </w:rPr>
            </w:pPr>
          </w:p>
        </w:tc>
        <w:tc>
          <w:tcPr>
            <w:tcW w:w="1965" w:type="dxa"/>
          </w:tcPr>
          <w:p>
            <w:pPr>
              <w:pStyle w:val="20"/>
              <w:spacing w:before="47"/>
              <w:ind w:right="96"/>
              <w:jc w:val="right"/>
              <w:rPr>
                <w:sz w:val="21"/>
              </w:rPr>
            </w:pPr>
            <w:r>
              <w:rPr>
                <w:w w:val="95"/>
                <w:sz w:val="21"/>
              </w:rPr>
              <w:t>其他：</w:t>
            </w:r>
          </w:p>
        </w:tc>
        <w:tc>
          <w:tcPr>
            <w:tcW w:w="6122" w:type="dxa"/>
          </w:tcPr>
          <w:p>
            <w:pPr>
              <w:pStyle w:val="20"/>
              <w:spacing w:before="1" w:line="320" w:lineRule="exact"/>
              <w:ind w:left="107" w:right="98"/>
              <w:rPr>
                <w:sz w:val="21"/>
              </w:rPr>
            </w:pPr>
            <w:r>
              <w:rPr>
                <w:sz w:val="21"/>
              </w:rPr>
              <w:t>工作现场严禁吸烟。避免长期反复接触。定期体检。注意个人清洁卫生。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9" w:hRule="atLeast"/>
        </w:trPr>
        <w:tc>
          <w:tcPr>
            <w:tcW w:w="2391" w:type="dxa"/>
            <w:gridSpan w:val="2"/>
          </w:tcPr>
          <w:p>
            <w:pPr>
              <w:pStyle w:val="20"/>
              <w:spacing w:before="44"/>
              <w:ind w:left="1233"/>
              <w:rPr>
                <w:sz w:val="21"/>
              </w:rPr>
            </w:pPr>
            <w:r>
              <w:rPr>
                <w:sz w:val="21"/>
              </w:rPr>
              <w:t>泄漏处置：</w:t>
            </w:r>
          </w:p>
        </w:tc>
        <w:tc>
          <w:tcPr>
            <w:tcW w:w="6122" w:type="dxa"/>
          </w:tcPr>
          <w:p>
            <w:pPr>
              <w:pStyle w:val="20"/>
              <w:spacing w:before="44" w:line="285" w:lineRule="auto"/>
              <w:ind w:left="107" w:right="-15"/>
              <w:rPr>
                <w:sz w:val="21"/>
              </w:rPr>
            </w:pPr>
            <w:r>
              <w:rPr>
                <w:spacing w:val="-5"/>
                <w:sz w:val="21"/>
              </w:rPr>
              <w:t>迅速撤离泄漏污染区人员至安全区，并进行隔离，严格限制出入。切断火源。建议应急处理人员戴自给正压式呼吸器，穿防毒服。尽可能切断泄漏源。防止流入下水道、排洪沟等限制性空间。小量泄漏：用砂土、蛭石或其它惰性材料吸收。也可以用大量水冲</w:t>
            </w:r>
            <w:r>
              <w:rPr>
                <w:spacing w:val="-9"/>
                <w:w w:val="95"/>
                <w:sz w:val="21"/>
              </w:rPr>
              <w:t>洗，洗水稀释后放入废水系统。大量泄漏：构筑围堤或挖坑收容。</w:t>
            </w:r>
          </w:p>
          <w:p>
            <w:pPr>
              <w:pStyle w:val="20"/>
              <w:spacing w:line="254" w:lineRule="exact"/>
              <w:ind w:left="107" w:right="-15"/>
              <w:rPr>
                <w:sz w:val="21"/>
              </w:rPr>
            </w:pPr>
            <w:r>
              <w:rPr>
                <w:spacing w:val="-6"/>
                <w:w w:val="95"/>
                <w:sz w:val="21"/>
              </w:rPr>
              <w:t>用泵转移至槽车或专用收集器内，回收或运至废物处理场所处置。</w:t>
            </w:r>
          </w:p>
        </w:tc>
      </w:tr>
    </w:tbl>
    <w:p>
      <w:pPr>
        <w:pStyle w:val="7"/>
        <w:spacing w:before="5"/>
        <w:rPr>
          <w:b/>
          <w:sz w:val="8"/>
        </w:rPr>
      </w:pPr>
    </w:p>
    <w:p>
      <w:pPr>
        <w:pStyle w:val="7"/>
        <w:spacing w:before="66" w:line="494" w:lineRule="auto"/>
        <w:ind w:left="2020" w:right="7979" w:hanging="480"/>
        <w:rPr>
          <w:rFonts w:hint="eastAsia" w:ascii="新宋体" w:eastAsia="新宋体"/>
        </w:rPr>
      </w:pPr>
      <w:r>
        <w:rPr>
          <w:rFonts w:hint="eastAsia" w:ascii="新宋体" w:eastAsia="新宋体"/>
        </w:rPr>
        <w:t>其他物料的危险性 1</w:t>
      </w:r>
      <w:r>
        <w:rPr>
          <w:rFonts w:hint="eastAsia" w:ascii="新宋体" w:eastAsia="新宋体"/>
          <w:spacing w:val="-4"/>
        </w:rPr>
        <w:t>、丙烯酸乳液</w:t>
      </w:r>
    </w:p>
    <w:p>
      <w:pPr>
        <w:pStyle w:val="7"/>
        <w:spacing w:before="3"/>
        <w:ind w:left="2108"/>
        <w:rPr>
          <w:rFonts w:hint="eastAsia" w:ascii="新宋体" w:eastAsia="新宋体"/>
        </w:rPr>
      </w:pPr>
      <w:r>
        <w:rPr>
          <w:rFonts w:hint="eastAsia" w:ascii="新宋体" w:eastAsia="新宋体"/>
        </w:rPr>
        <w:t>【中文名】高分子聚合物纯丙乳液</w:t>
      </w:r>
    </w:p>
    <w:p>
      <w:pPr>
        <w:spacing w:after="0"/>
        <w:rPr>
          <w:rFonts w:hint="eastAsia" w:ascii="新宋体" w:eastAsia="新宋体"/>
        </w:rPr>
        <w:sectPr>
          <w:pgSz w:w="11900" w:h="16840"/>
          <w:pgMar w:top="1420" w:right="80" w:bottom="1200" w:left="260" w:header="882" w:footer="1004" w:gutter="0"/>
          <w:cols w:space="720" w:num="1"/>
        </w:sectPr>
      </w:pPr>
    </w:p>
    <w:p>
      <w:pPr>
        <w:pStyle w:val="7"/>
        <w:spacing w:before="5"/>
        <w:rPr>
          <w:rFonts w:ascii="新宋体"/>
          <w:sz w:val="8"/>
        </w:rPr>
      </w:pPr>
    </w:p>
    <w:p>
      <w:pPr>
        <w:pStyle w:val="7"/>
        <w:spacing w:before="66"/>
        <w:ind w:left="2108"/>
        <w:rPr>
          <w:rFonts w:hint="eastAsia" w:ascii="新宋体" w:eastAsia="新宋体"/>
        </w:rPr>
      </w:pPr>
      <w:r>
        <w:rPr>
          <w:rFonts w:hint="eastAsia" w:ascii="新宋体" w:eastAsia="新宋体"/>
        </w:rPr>
        <w:t>【外观】半透明液体。</w:t>
      </w:r>
    </w:p>
    <w:p>
      <w:pPr>
        <w:pStyle w:val="7"/>
        <w:spacing w:before="6"/>
        <w:rPr>
          <w:rFonts w:ascii="新宋体"/>
          <w:sz w:val="25"/>
        </w:rPr>
      </w:pPr>
    </w:p>
    <w:p>
      <w:pPr>
        <w:pStyle w:val="7"/>
        <w:ind w:left="2108"/>
        <w:rPr>
          <w:rFonts w:hint="eastAsia" w:ascii="新宋体" w:eastAsia="新宋体"/>
        </w:rPr>
      </w:pPr>
      <w:r>
        <w:rPr>
          <w:rFonts w:hint="eastAsia" w:ascii="新宋体" w:eastAsia="新宋体"/>
        </w:rPr>
        <w:t>【物化常数】密度 1.1-1.2g/ml，溶于水。</w:t>
      </w:r>
    </w:p>
    <w:p>
      <w:pPr>
        <w:pStyle w:val="7"/>
        <w:spacing w:before="8"/>
        <w:rPr>
          <w:rFonts w:ascii="新宋体"/>
          <w:sz w:val="25"/>
        </w:rPr>
      </w:pPr>
    </w:p>
    <w:p>
      <w:pPr>
        <w:pStyle w:val="7"/>
        <w:ind w:left="2108"/>
        <w:rPr>
          <w:rFonts w:hint="eastAsia" w:ascii="新宋体" w:eastAsia="新宋体"/>
        </w:rPr>
      </w:pPr>
      <w:r>
        <w:rPr>
          <w:rFonts w:hint="eastAsia" w:ascii="新宋体" w:eastAsia="新宋体"/>
        </w:rPr>
        <w:t>【毒性】无毒</w:t>
      </w:r>
    </w:p>
    <w:p>
      <w:pPr>
        <w:pStyle w:val="7"/>
        <w:spacing w:before="6"/>
        <w:rPr>
          <w:rFonts w:ascii="新宋体"/>
          <w:sz w:val="25"/>
        </w:rPr>
      </w:pPr>
    </w:p>
    <w:p>
      <w:pPr>
        <w:pStyle w:val="7"/>
        <w:spacing w:line="494" w:lineRule="auto"/>
        <w:ind w:left="2140" w:right="5609" w:hanging="32"/>
        <w:rPr>
          <w:rFonts w:hint="eastAsia" w:ascii="新宋体" w:eastAsia="新宋体"/>
        </w:rPr>
      </w:pPr>
      <w:r>
        <w:rPr>
          <w:rFonts w:hint="eastAsia" w:ascii="新宋体" w:eastAsia="新宋体"/>
        </w:rPr>
        <w:t>【安全性质】无闪点，无爆炸极限。2、环氧树脂固化剂</w:t>
      </w:r>
    </w:p>
    <w:p>
      <w:pPr>
        <w:pStyle w:val="7"/>
        <w:spacing w:before="3"/>
        <w:ind w:left="2108"/>
        <w:rPr>
          <w:rFonts w:hint="eastAsia" w:ascii="新宋体" w:eastAsia="新宋体"/>
        </w:rPr>
      </w:pPr>
      <w:r>
        <w:rPr>
          <w:rFonts w:hint="eastAsia" w:ascii="新宋体" w:eastAsia="新宋体"/>
        </w:rPr>
        <w:t>【中文名】环氧树脂固化剂</w:t>
      </w:r>
    </w:p>
    <w:p>
      <w:pPr>
        <w:pStyle w:val="7"/>
        <w:spacing w:before="5"/>
        <w:rPr>
          <w:rFonts w:ascii="新宋体"/>
          <w:sz w:val="25"/>
        </w:rPr>
      </w:pPr>
    </w:p>
    <w:p>
      <w:pPr>
        <w:pStyle w:val="7"/>
        <w:spacing w:before="1"/>
        <w:ind w:left="2108"/>
        <w:rPr>
          <w:rFonts w:hint="eastAsia" w:ascii="新宋体" w:eastAsia="新宋体"/>
        </w:rPr>
      </w:pPr>
      <w:r>
        <w:rPr>
          <w:rFonts w:hint="eastAsia" w:ascii="新宋体" w:eastAsia="新宋体"/>
        </w:rPr>
        <w:t>【英文名】Epoxy Resin Hardener</w:t>
      </w:r>
    </w:p>
    <w:p>
      <w:pPr>
        <w:pStyle w:val="7"/>
        <w:spacing w:before="5"/>
        <w:rPr>
          <w:rFonts w:ascii="新宋体"/>
          <w:sz w:val="25"/>
        </w:rPr>
      </w:pPr>
    </w:p>
    <w:p>
      <w:pPr>
        <w:pStyle w:val="7"/>
        <w:ind w:left="2108"/>
        <w:rPr>
          <w:rFonts w:hint="eastAsia" w:ascii="新宋体" w:eastAsia="新宋体"/>
        </w:rPr>
      </w:pPr>
      <w:r>
        <w:rPr>
          <w:rFonts w:hint="eastAsia" w:ascii="新宋体" w:eastAsia="新宋体"/>
        </w:rPr>
        <w:t>【外观】透明液体。</w:t>
      </w:r>
    </w:p>
    <w:p>
      <w:pPr>
        <w:pStyle w:val="7"/>
        <w:spacing w:before="8"/>
        <w:rPr>
          <w:rFonts w:ascii="新宋体"/>
          <w:sz w:val="25"/>
        </w:rPr>
      </w:pPr>
    </w:p>
    <w:p>
      <w:pPr>
        <w:pStyle w:val="7"/>
        <w:spacing w:before="1"/>
        <w:ind w:left="2108"/>
        <w:rPr>
          <w:rFonts w:hint="eastAsia" w:ascii="新宋体" w:eastAsia="新宋体"/>
        </w:rPr>
      </w:pPr>
      <w:r>
        <w:rPr>
          <w:rFonts w:hint="eastAsia" w:ascii="新宋体" w:eastAsia="新宋体"/>
        </w:rPr>
        <w:t>【物化常数】密度 0.9-1.0g/ml, 可溶于水。</w:t>
      </w:r>
    </w:p>
    <w:p>
      <w:pPr>
        <w:pStyle w:val="7"/>
        <w:spacing w:before="5"/>
        <w:rPr>
          <w:rFonts w:ascii="新宋体"/>
          <w:sz w:val="25"/>
        </w:rPr>
      </w:pPr>
    </w:p>
    <w:p>
      <w:pPr>
        <w:pStyle w:val="7"/>
        <w:ind w:left="2108"/>
        <w:rPr>
          <w:rFonts w:hint="eastAsia" w:ascii="新宋体" w:hAnsi="新宋体" w:eastAsia="新宋体"/>
        </w:rPr>
      </w:pPr>
      <w:r>
        <w:rPr>
          <w:rFonts w:hint="eastAsia" w:ascii="新宋体" w:hAnsi="新宋体" w:eastAsia="新宋体"/>
        </w:rPr>
        <w:t>【安全性质】闪点 60℃，爆炸上限无，爆炸下限无。</w:t>
      </w:r>
    </w:p>
    <w:p>
      <w:pPr>
        <w:pStyle w:val="7"/>
        <w:spacing w:before="8"/>
        <w:rPr>
          <w:rFonts w:ascii="新宋体"/>
          <w:sz w:val="25"/>
        </w:rPr>
      </w:pPr>
    </w:p>
    <w:p>
      <w:pPr>
        <w:pStyle w:val="7"/>
        <w:spacing w:before="1"/>
        <w:ind w:left="2108"/>
        <w:rPr>
          <w:rFonts w:hint="eastAsia" w:ascii="新宋体" w:eastAsia="新宋体"/>
        </w:rPr>
      </w:pPr>
      <w:r>
        <w:rPr>
          <w:rFonts w:hint="eastAsia" w:ascii="新宋体" w:eastAsia="新宋体"/>
        </w:rPr>
        <w:t>【毒性】低毒</w:t>
      </w:r>
    </w:p>
    <w:p>
      <w:pPr>
        <w:pStyle w:val="7"/>
        <w:spacing w:before="5"/>
        <w:rPr>
          <w:rFonts w:ascii="新宋体"/>
          <w:sz w:val="25"/>
        </w:rPr>
      </w:pPr>
    </w:p>
    <w:p>
      <w:pPr>
        <w:pStyle w:val="7"/>
        <w:spacing w:line="494" w:lineRule="auto"/>
        <w:ind w:left="1540" w:right="1598" w:firstLine="568"/>
        <w:rPr>
          <w:rFonts w:hint="eastAsia" w:ascii="新宋体" w:hAnsi="新宋体" w:eastAsia="新宋体"/>
        </w:rPr>
      </w:pPr>
      <w:r>
        <w:rPr>
          <w:rFonts w:hint="eastAsia" w:ascii="新宋体" w:hAnsi="新宋体" w:eastAsia="新宋体"/>
          <w:spacing w:val="-9"/>
        </w:rPr>
        <w:t xml:space="preserve">透明液体，密度 </w:t>
      </w:r>
      <w:r>
        <w:rPr>
          <w:rFonts w:hint="eastAsia" w:ascii="新宋体" w:hAnsi="新宋体" w:eastAsia="新宋体"/>
        </w:rPr>
        <w:t>0.9-1.0g/ml</w:t>
      </w:r>
      <w:r>
        <w:rPr>
          <w:rFonts w:hint="eastAsia" w:ascii="新宋体" w:hAnsi="新宋体" w:eastAsia="新宋体"/>
          <w:spacing w:val="-16"/>
        </w:rPr>
        <w:t xml:space="preserve">，闪点 </w:t>
      </w:r>
      <w:r>
        <w:rPr>
          <w:rFonts w:hint="eastAsia" w:ascii="新宋体" w:hAnsi="新宋体" w:eastAsia="新宋体"/>
        </w:rPr>
        <w:t>40℃</w:t>
      </w:r>
      <w:r>
        <w:rPr>
          <w:rFonts w:hint="eastAsia" w:ascii="新宋体" w:hAnsi="新宋体" w:eastAsia="新宋体"/>
          <w:spacing w:val="-6"/>
        </w:rPr>
        <w:t xml:space="preserve">，爆炸上限无，爆炸下限约 </w:t>
      </w:r>
      <w:r>
        <w:rPr>
          <w:rFonts w:hint="eastAsia" w:ascii="新宋体" w:hAnsi="新宋体" w:eastAsia="新宋体"/>
        </w:rPr>
        <w:t>10%</w:t>
      </w:r>
      <w:r>
        <w:rPr>
          <w:rFonts w:hint="eastAsia" w:ascii="新宋体" w:hAnsi="新宋体" w:eastAsia="新宋体"/>
          <w:spacing w:val="-14"/>
        </w:rPr>
        <w:t>。</w:t>
      </w:r>
      <w:r>
        <w:rPr>
          <w:rFonts w:hint="eastAsia" w:ascii="新宋体" w:hAnsi="新宋体" w:eastAsia="新宋体"/>
        </w:rPr>
        <w:t>不溶于水</w:t>
      </w:r>
    </w:p>
    <w:p>
      <w:pPr>
        <w:pStyle w:val="7"/>
        <w:spacing w:before="3"/>
        <w:ind w:left="2020"/>
        <w:rPr>
          <w:rFonts w:hint="eastAsia" w:ascii="新宋体" w:eastAsia="新宋体"/>
        </w:rPr>
      </w:pPr>
      <w:r>
        <w:rPr>
          <w:rFonts w:hint="eastAsia" w:ascii="新宋体" w:eastAsia="新宋体"/>
        </w:rPr>
        <w:t>3、溶剂型丙烯酸树脂</w:t>
      </w:r>
    </w:p>
    <w:p>
      <w:pPr>
        <w:pStyle w:val="7"/>
        <w:spacing w:before="6"/>
        <w:rPr>
          <w:rFonts w:ascii="新宋体"/>
          <w:sz w:val="25"/>
        </w:rPr>
      </w:pPr>
    </w:p>
    <w:p>
      <w:pPr>
        <w:pStyle w:val="7"/>
        <w:ind w:left="2108"/>
        <w:rPr>
          <w:rFonts w:hint="eastAsia" w:ascii="新宋体" w:eastAsia="新宋体"/>
        </w:rPr>
      </w:pPr>
      <w:r>
        <w:rPr>
          <w:rFonts w:hint="eastAsia" w:ascii="新宋体" w:eastAsia="新宋体"/>
        </w:rPr>
        <w:t>【中文名】高分子聚合物丙烯酸树脂</w:t>
      </w:r>
    </w:p>
    <w:p>
      <w:pPr>
        <w:pStyle w:val="7"/>
        <w:spacing w:before="5"/>
        <w:rPr>
          <w:rFonts w:ascii="新宋体"/>
          <w:sz w:val="25"/>
        </w:rPr>
      </w:pPr>
    </w:p>
    <w:p>
      <w:pPr>
        <w:pStyle w:val="7"/>
        <w:spacing w:before="1"/>
        <w:ind w:left="2108"/>
        <w:rPr>
          <w:rFonts w:hint="eastAsia" w:ascii="新宋体" w:eastAsia="新宋体"/>
        </w:rPr>
      </w:pPr>
      <w:r>
        <w:rPr>
          <w:rFonts w:hint="eastAsia" w:ascii="新宋体" w:eastAsia="新宋体"/>
        </w:rPr>
        <w:t>【外观】透明液体。</w:t>
      </w:r>
    </w:p>
    <w:p>
      <w:pPr>
        <w:pStyle w:val="7"/>
        <w:spacing w:before="8"/>
        <w:rPr>
          <w:rFonts w:ascii="新宋体"/>
          <w:sz w:val="25"/>
        </w:rPr>
      </w:pPr>
    </w:p>
    <w:p>
      <w:pPr>
        <w:pStyle w:val="7"/>
        <w:ind w:left="2108"/>
        <w:rPr>
          <w:rFonts w:hint="eastAsia" w:ascii="新宋体" w:eastAsia="新宋体"/>
        </w:rPr>
      </w:pPr>
      <w:r>
        <w:rPr>
          <w:rFonts w:hint="eastAsia" w:ascii="新宋体" w:eastAsia="新宋体"/>
        </w:rPr>
        <w:t>【物化常数】密度 0.9-1.0g/ml, 不溶于水。</w:t>
      </w:r>
    </w:p>
    <w:p>
      <w:pPr>
        <w:pStyle w:val="7"/>
        <w:spacing w:before="5"/>
        <w:rPr>
          <w:rFonts w:ascii="新宋体"/>
          <w:sz w:val="25"/>
        </w:rPr>
      </w:pPr>
    </w:p>
    <w:p>
      <w:pPr>
        <w:pStyle w:val="7"/>
        <w:spacing w:before="1"/>
        <w:ind w:left="2108"/>
        <w:rPr>
          <w:rFonts w:hint="eastAsia" w:ascii="新宋体" w:hAnsi="新宋体" w:eastAsia="新宋体"/>
        </w:rPr>
      </w:pPr>
      <w:r>
        <w:rPr>
          <w:rFonts w:hint="eastAsia" w:ascii="新宋体" w:hAnsi="新宋体" w:eastAsia="新宋体"/>
        </w:rPr>
        <w:t>【安全性质】闪点 38℃，爆炸上限无，爆炸下限约 10%。</w:t>
      </w:r>
    </w:p>
    <w:p>
      <w:pPr>
        <w:pStyle w:val="7"/>
        <w:spacing w:before="8"/>
        <w:rPr>
          <w:rFonts w:ascii="新宋体"/>
          <w:sz w:val="25"/>
        </w:rPr>
      </w:pPr>
    </w:p>
    <w:p>
      <w:pPr>
        <w:pStyle w:val="7"/>
        <w:ind w:left="2108"/>
        <w:rPr>
          <w:rFonts w:hint="eastAsia" w:ascii="新宋体" w:eastAsia="新宋体"/>
        </w:rPr>
      </w:pPr>
      <w:r>
        <w:rPr>
          <w:rFonts w:hint="eastAsia" w:ascii="新宋体" w:eastAsia="新宋体"/>
        </w:rPr>
        <w:t>【毒性】低毒</w:t>
      </w:r>
    </w:p>
    <w:p>
      <w:pPr>
        <w:pStyle w:val="7"/>
        <w:spacing w:before="5"/>
        <w:rPr>
          <w:rFonts w:ascii="新宋体"/>
          <w:sz w:val="25"/>
        </w:rPr>
      </w:pPr>
    </w:p>
    <w:p>
      <w:pPr>
        <w:pStyle w:val="7"/>
        <w:spacing w:before="1"/>
        <w:ind w:left="2020"/>
        <w:rPr>
          <w:rFonts w:hint="eastAsia" w:ascii="新宋体" w:eastAsia="新宋体"/>
        </w:rPr>
      </w:pPr>
      <w:r>
        <w:rPr>
          <w:rFonts w:hint="eastAsia" w:ascii="新宋体" w:eastAsia="新宋体"/>
        </w:rPr>
        <w:t>4、溶剂型氟碳树脂</w:t>
      </w:r>
    </w:p>
    <w:p>
      <w:pPr>
        <w:pStyle w:val="7"/>
        <w:spacing w:before="5"/>
        <w:rPr>
          <w:rFonts w:ascii="新宋体"/>
          <w:sz w:val="25"/>
        </w:rPr>
      </w:pPr>
    </w:p>
    <w:p>
      <w:pPr>
        <w:pStyle w:val="7"/>
        <w:ind w:left="2108"/>
        <w:rPr>
          <w:rFonts w:hint="eastAsia" w:ascii="新宋体" w:eastAsia="新宋体"/>
        </w:rPr>
      </w:pPr>
      <w:r>
        <w:rPr>
          <w:rFonts w:hint="eastAsia" w:ascii="新宋体" w:eastAsia="新宋体"/>
        </w:rPr>
        <w:t>【中文名】三氟氯乙烯高分子聚合物树脂</w:t>
      </w:r>
    </w:p>
    <w:p>
      <w:pPr>
        <w:pStyle w:val="7"/>
        <w:spacing w:before="8"/>
        <w:rPr>
          <w:rFonts w:ascii="新宋体"/>
          <w:sz w:val="25"/>
        </w:rPr>
      </w:pPr>
    </w:p>
    <w:p>
      <w:pPr>
        <w:pStyle w:val="7"/>
        <w:spacing w:before="1"/>
        <w:ind w:left="2108"/>
        <w:rPr>
          <w:rFonts w:hint="eastAsia" w:ascii="新宋体" w:eastAsia="新宋体"/>
        </w:rPr>
      </w:pPr>
      <w:r>
        <w:rPr>
          <w:rFonts w:hint="eastAsia" w:ascii="新宋体" w:eastAsia="新宋体"/>
        </w:rPr>
        <w:t>【外观】透明液体。</w:t>
      </w:r>
    </w:p>
    <w:p>
      <w:pPr>
        <w:spacing w:after="0"/>
        <w:rPr>
          <w:rFonts w:hint="eastAsia" w:ascii="新宋体" w:eastAsia="新宋体"/>
        </w:rPr>
        <w:sectPr>
          <w:pgSz w:w="11900" w:h="16840"/>
          <w:pgMar w:top="1420" w:right="80" w:bottom="1200" w:left="260" w:header="882" w:footer="1004" w:gutter="0"/>
          <w:cols w:space="720" w:num="1"/>
        </w:sectPr>
      </w:pPr>
    </w:p>
    <w:p>
      <w:pPr>
        <w:pStyle w:val="7"/>
        <w:spacing w:before="5"/>
        <w:rPr>
          <w:rFonts w:ascii="新宋体"/>
          <w:sz w:val="8"/>
        </w:rPr>
      </w:pPr>
    </w:p>
    <w:p>
      <w:pPr>
        <w:pStyle w:val="7"/>
        <w:spacing w:before="66"/>
        <w:ind w:left="2108"/>
        <w:rPr>
          <w:rFonts w:hint="eastAsia" w:ascii="新宋体" w:eastAsia="新宋体"/>
        </w:rPr>
      </w:pPr>
      <w:r>
        <w:rPr>
          <w:rFonts w:hint="eastAsia" w:ascii="新宋体" w:eastAsia="新宋体"/>
        </w:rPr>
        <w:t>【物化常数】密度 0.9-1.0g/ml, 不溶于水。</w:t>
      </w:r>
    </w:p>
    <w:p>
      <w:pPr>
        <w:pStyle w:val="7"/>
        <w:spacing w:before="6"/>
        <w:rPr>
          <w:rFonts w:ascii="新宋体"/>
          <w:sz w:val="25"/>
        </w:rPr>
      </w:pPr>
    </w:p>
    <w:p>
      <w:pPr>
        <w:pStyle w:val="7"/>
        <w:ind w:left="2108"/>
        <w:rPr>
          <w:rFonts w:hint="eastAsia" w:ascii="新宋体" w:hAnsi="新宋体" w:eastAsia="新宋体"/>
        </w:rPr>
      </w:pPr>
      <w:r>
        <w:rPr>
          <w:rFonts w:hint="eastAsia" w:ascii="新宋体" w:hAnsi="新宋体" w:eastAsia="新宋体"/>
        </w:rPr>
        <w:t>【安全性质】闪点 38℃，爆炸上限无，爆炸下限约 10%。</w:t>
      </w:r>
    </w:p>
    <w:p>
      <w:pPr>
        <w:pStyle w:val="7"/>
        <w:spacing w:before="8"/>
        <w:rPr>
          <w:rFonts w:ascii="新宋体"/>
          <w:sz w:val="25"/>
        </w:rPr>
      </w:pPr>
    </w:p>
    <w:p>
      <w:pPr>
        <w:pStyle w:val="7"/>
        <w:ind w:left="2108"/>
        <w:rPr>
          <w:rFonts w:hint="eastAsia" w:ascii="新宋体" w:eastAsia="新宋体"/>
        </w:rPr>
      </w:pPr>
      <w:r>
        <w:rPr>
          <w:rFonts w:hint="eastAsia" w:ascii="新宋体" w:eastAsia="新宋体"/>
        </w:rPr>
        <w:t>【毒性】低毒</w:t>
      </w:r>
    </w:p>
    <w:p>
      <w:pPr>
        <w:pStyle w:val="7"/>
        <w:spacing w:before="6"/>
        <w:rPr>
          <w:rFonts w:ascii="新宋体"/>
          <w:sz w:val="25"/>
        </w:rPr>
      </w:pPr>
    </w:p>
    <w:p>
      <w:pPr>
        <w:pStyle w:val="7"/>
        <w:ind w:left="2020"/>
        <w:rPr>
          <w:rFonts w:hint="eastAsia" w:ascii="新宋体" w:eastAsia="新宋体"/>
        </w:rPr>
      </w:pPr>
      <w:r>
        <w:rPr>
          <w:rFonts w:hint="eastAsia" w:ascii="新宋体" w:eastAsia="新宋体"/>
        </w:rPr>
        <w:t>5、丙二醇单丁醚</w:t>
      </w:r>
    </w:p>
    <w:p>
      <w:pPr>
        <w:pStyle w:val="7"/>
        <w:spacing w:before="6"/>
        <w:rPr>
          <w:rFonts w:ascii="新宋体"/>
          <w:sz w:val="25"/>
        </w:rPr>
      </w:pPr>
    </w:p>
    <w:p>
      <w:pPr>
        <w:pStyle w:val="7"/>
        <w:ind w:left="2108"/>
        <w:rPr>
          <w:rFonts w:hint="eastAsia" w:ascii="新宋体" w:eastAsia="新宋体"/>
        </w:rPr>
      </w:pPr>
      <w:r>
        <w:rPr>
          <w:rFonts w:hint="eastAsia" w:ascii="新宋体" w:eastAsia="新宋体"/>
        </w:rPr>
        <w:t>【中文名】丙二醇单丁醚。</w:t>
      </w:r>
    </w:p>
    <w:p>
      <w:pPr>
        <w:pStyle w:val="7"/>
        <w:spacing w:before="8"/>
        <w:rPr>
          <w:rFonts w:ascii="新宋体"/>
          <w:sz w:val="25"/>
        </w:rPr>
      </w:pPr>
    </w:p>
    <w:p>
      <w:pPr>
        <w:pStyle w:val="7"/>
        <w:ind w:left="2108"/>
        <w:rPr>
          <w:rFonts w:hint="eastAsia" w:ascii="新宋体" w:eastAsia="新宋体"/>
        </w:rPr>
      </w:pPr>
      <w:r>
        <w:rPr>
          <w:rFonts w:hint="eastAsia" w:ascii="新宋体" w:eastAsia="新宋体"/>
        </w:rPr>
        <w:t>【英文名】3-butoxy-1-propanol</w:t>
      </w:r>
    </w:p>
    <w:p>
      <w:pPr>
        <w:pStyle w:val="7"/>
        <w:spacing w:before="6"/>
        <w:rPr>
          <w:rFonts w:ascii="新宋体"/>
          <w:sz w:val="25"/>
        </w:rPr>
      </w:pPr>
    </w:p>
    <w:p>
      <w:pPr>
        <w:pStyle w:val="7"/>
        <w:ind w:left="2108"/>
        <w:rPr>
          <w:rFonts w:hint="eastAsia" w:ascii="新宋体" w:eastAsia="新宋体"/>
        </w:rPr>
      </w:pPr>
      <w:r>
        <w:rPr>
          <w:rFonts w:hint="eastAsia" w:ascii="新宋体" w:eastAsia="新宋体"/>
        </w:rPr>
        <w:t>【CA 登录号】10215-33-5</w:t>
      </w:r>
    </w:p>
    <w:p>
      <w:pPr>
        <w:pStyle w:val="7"/>
        <w:spacing w:before="6"/>
        <w:rPr>
          <w:rFonts w:ascii="新宋体"/>
          <w:sz w:val="25"/>
        </w:rPr>
      </w:pPr>
    </w:p>
    <w:p>
      <w:pPr>
        <w:pStyle w:val="7"/>
        <w:ind w:left="2108"/>
        <w:rPr>
          <w:rFonts w:hint="eastAsia" w:ascii="新宋体" w:eastAsia="新宋体"/>
        </w:rPr>
      </w:pPr>
      <w:r>
        <w:rPr>
          <w:rFonts w:hint="eastAsia" w:ascii="新宋体" w:eastAsia="新宋体"/>
        </w:rPr>
        <w:t>【分子式】C7H16O2</w:t>
      </w:r>
    </w:p>
    <w:p>
      <w:pPr>
        <w:pStyle w:val="7"/>
        <w:spacing w:before="8"/>
        <w:rPr>
          <w:rFonts w:ascii="新宋体"/>
          <w:sz w:val="25"/>
        </w:rPr>
      </w:pPr>
    </w:p>
    <w:p>
      <w:pPr>
        <w:pStyle w:val="7"/>
        <w:ind w:left="2108"/>
        <w:rPr>
          <w:rFonts w:hint="eastAsia" w:ascii="新宋体" w:eastAsia="新宋体"/>
        </w:rPr>
      </w:pPr>
      <w:r>
        <w:rPr>
          <w:rFonts w:hint="eastAsia" w:ascii="新宋体" w:eastAsia="新宋体"/>
        </w:rPr>
        <w:t>【分子量】132.23</w:t>
      </w:r>
    </w:p>
    <w:p>
      <w:pPr>
        <w:pStyle w:val="7"/>
        <w:spacing w:before="5"/>
        <w:rPr>
          <w:rFonts w:ascii="新宋体"/>
          <w:sz w:val="25"/>
        </w:rPr>
      </w:pPr>
    </w:p>
    <w:p>
      <w:pPr>
        <w:pStyle w:val="7"/>
        <w:spacing w:before="1"/>
        <w:ind w:left="2108"/>
        <w:rPr>
          <w:rFonts w:hint="eastAsia" w:ascii="新宋体" w:eastAsia="新宋体"/>
        </w:rPr>
      </w:pPr>
      <w:r>
        <w:rPr>
          <w:rFonts w:hint="eastAsia" w:ascii="新宋体" w:eastAsia="新宋体"/>
        </w:rPr>
        <w:t>【外观】无色吸湿粘稠液体，几乎无味无臭。</w:t>
      </w:r>
    </w:p>
    <w:p>
      <w:pPr>
        <w:pStyle w:val="7"/>
        <w:spacing w:before="8"/>
        <w:rPr>
          <w:rFonts w:ascii="新宋体"/>
          <w:sz w:val="25"/>
        </w:rPr>
      </w:pPr>
    </w:p>
    <w:p>
      <w:pPr>
        <w:pStyle w:val="7"/>
        <w:spacing w:line="494" w:lineRule="auto"/>
        <w:ind w:left="1540" w:right="1601" w:firstLine="568"/>
        <w:rPr>
          <w:rFonts w:hint="eastAsia" w:ascii="新宋体" w:hAnsi="新宋体" w:eastAsia="新宋体"/>
        </w:rPr>
      </w:pPr>
      <w:r>
        <w:rPr>
          <w:rFonts w:hint="eastAsia" w:ascii="新宋体" w:hAnsi="新宋体" w:eastAsia="新宋体"/>
          <w:spacing w:val="2"/>
        </w:rPr>
        <w:t xml:space="preserve">【物化常数】无色低挥发性液体，具轻微气味和苦味。沸点(℃)：169～ </w:t>
      </w:r>
      <w:r>
        <w:rPr>
          <w:rFonts w:hint="eastAsia" w:ascii="新宋体" w:hAnsi="新宋体" w:eastAsia="新宋体"/>
          <w:spacing w:val="-4"/>
        </w:rPr>
        <w:t>172(101.31kPa)</w:t>
      </w:r>
      <w:r>
        <w:rPr>
          <w:rFonts w:hint="eastAsia" w:ascii="新宋体" w:hAnsi="新宋体" w:eastAsia="新宋体"/>
          <w:spacing w:val="-2"/>
        </w:rPr>
        <w:t>，相对密度(水</w:t>
      </w:r>
      <w:r>
        <w:rPr>
          <w:rFonts w:hint="eastAsia" w:ascii="新宋体" w:hAnsi="新宋体" w:eastAsia="新宋体"/>
          <w:spacing w:val="-4"/>
        </w:rPr>
        <w:t>=1)：0.879(25℃)</w:t>
      </w:r>
      <w:r>
        <w:rPr>
          <w:rFonts w:hint="eastAsia" w:ascii="新宋体" w:hAnsi="新宋体" w:eastAsia="新宋体"/>
          <w:spacing w:val="-13"/>
        </w:rPr>
        <w:t>。溶解性： 微溶于水，溶于醇。</w:t>
      </w:r>
    </w:p>
    <w:p>
      <w:pPr>
        <w:pStyle w:val="7"/>
        <w:ind w:left="2108"/>
        <w:rPr>
          <w:rFonts w:hint="eastAsia" w:ascii="新宋体" w:eastAsia="新宋体"/>
        </w:rPr>
      </w:pPr>
      <w:r>
        <w:rPr>
          <w:rFonts w:hint="eastAsia" w:ascii="新宋体" w:eastAsia="新宋体"/>
        </w:rPr>
        <w:t>【毒性】低毒。急性毒性：LD50 5950mg/kg(大鼠经口)。</w:t>
      </w:r>
    </w:p>
    <w:p>
      <w:pPr>
        <w:pStyle w:val="7"/>
        <w:spacing w:before="8"/>
        <w:rPr>
          <w:rFonts w:ascii="新宋体"/>
          <w:sz w:val="25"/>
        </w:rPr>
      </w:pPr>
    </w:p>
    <w:p>
      <w:pPr>
        <w:pStyle w:val="7"/>
        <w:spacing w:line="494" w:lineRule="auto"/>
        <w:ind w:left="1540" w:right="1619" w:firstLine="568"/>
        <w:rPr>
          <w:rFonts w:hint="eastAsia" w:ascii="新宋体" w:eastAsia="新宋体"/>
        </w:rPr>
      </w:pPr>
      <w:r>
        <w:rPr>
          <w:rFonts w:hint="eastAsia" w:ascii="新宋体" w:eastAsia="新宋体"/>
        </w:rPr>
        <w:t>【泄露应急措施】迅速撤离泄漏污染区人员至安全区，并进行隔离，严格</w:t>
      </w:r>
      <w:r>
        <w:rPr>
          <w:rFonts w:hint="eastAsia" w:ascii="新宋体" w:eastAsia="新宋体"/>
          <w:spacing w:val="-1"/>
        </w:rPr>
        <w:t>限制出入。切断火源。建议应急处理人员戴自给式呼吸器，穿一般作业工作服。</w:t>
      </w:r>
      <w:r>
        <w:rPr>
          <w:rFonts w:hint="eastAsia" w:ascii="新宋体" w:eastAsia="新宋体"/>
          <w:spacing w:val="-8"/>
        </w:rPr>
        <w:t>不要直接接触泄漏物。尽可能切断泄漏源。防止流入下水道、排洪沟等限制性空</w:t>
      </w:r>
      <w:r>
        <w:rPr>
          <w:rFonts w:hint="eastAsia" w:ascii="新宋体" w:eastAsia="新宋体"/>
          <w:spacing w:val="-11"/>
        </w:rPr>
        <w:t>间。小量泄漏：用砂土吸收。大量泄漏：构筑围堤或挖坑收容。用泵转移至槽车或专用收集器内，回收或运至废物处理场所处置。</w:t>
      </w:r>
    </w:p>
    <w:p>
      <w:pPr>
        <w:pStyle w:val="7"/>
        <w:spacing w:before="6" w:line="494" w:lineRule="auto"/>
        <w:ind w:left="1540" w:right="1718" w:firstLine="568"/>
        <w:jc w:val="both"/>
        <w:rPr>
          <w:rFonts w:hint="eastAsia" w:ascii="新宋体" w:eastAsia="新宋体"/>
        </w:rPr>
      </w:pPr>
      <w:r>
        <w:rPr>
          <w:rFonts w:hint="eastAsia" w:ascii="新宋体" w:eastAsia="新宋体"/>
        </w:rPr>
        <w:t>【危险特征】遇明火、高热可燃。与氧化剂可发生反应。受热分解产生有</w:t>
      </w:r>
      <w:r>
        <w:rPr>
          <w:rFonts w:hint="eastAsia" w:ascii="新宋体" w:eastAsia="新宋体"/>
          <w:spacing w:val="-15"/>
        </w:rPr>
        <w:t>毒的烟气。若遇高热，容器内压增大，有开裂和爆炸的危险。有害燃烧产物： 一</w:t>
      </w:r>
      <w:r>
        <w:rPr>
          <w:rFonts w:hint="eastAsia" w:ascii="新宋体" w:eastAsia="新宋体"/>
        </w:rPr>
        <w:t>氧化碳、二氧化碳。</w:t>
      </w:r>
    </w:p>
    <w:p>
      <w:pPr>
        <w:spacing w:before="3"/>
        <w:ind w:left="2108" w:right="0" w:firstLine="0"/>
        <w:jc w:val="left"/>
        <w:rPr>
          <w:rFonts w:hint="eastAsia" w:ascii="新宋体" w:eastAsia="新宋体"/>
          <w:b w:val="0"/>
          <w:bCs/>
          <w:sz w:val="24"/>
        </w:rPr>
      </w:pPr>
      <w:r>
        <w:rPr>
          <w:rFonts w:hint="eastAsia" w:ascii="新宋体" w:eastAsia="新宋体"/>
          <w:b w:val="0"/>
          <w:bCs/>
          <w:sz w:val="24"/>
        </w:rPr>
        <w:t>结合《危险化学品目录(2015 年版)》(国家安全生产监督管理总局等十部</w:t>
      </w:r>
    </w:p>
    <w:p>
      <w:pPr>
        <w:spacing w:after="0"/>
        <w:jc w:val="left"/>
        <w:rPr>
          <w:rFonts w:hint="eastAsia" w:ascii="新宋体" w:eastAsia="新宋体"/>
          <w:b w:val="0"/>
          <w:bCs/>
          <w:sz w:val="24"/>
        </w:rPr>
        <w:sectPr>
          <w:pgSz w:w="11900" w:h="16840"/>
          <w:pgMar w:top="1420" w:right="79" w:bottom="1200" w:left="79" w:header="882" w:footer="1004" w:gutter="0"/>
          <w:cols w:space="720" w:num="1"/>
        </w:sectPr>
      </w:pPr>
    </w:p>
    <w:p>
      <w:pPr>
        <w:pStyle w:val="7"/>
        <w:spacing w:before="5"/>
        <w:rPr>
          <w:rFonts w:ascii="新宋体"/>
          <w:b w:val="0"/>
          <w:bCs/>
          <w:sz w:val="8"/>
        </w:rPr>
      </w:pPr>
    </w:p>
    <w:p>
      <w:pPr>
        <w:spacing w:before="0"/>
        <w:ind w:left="1540" w:right="0" w:firstLine="0"/>
        <w:jc w:val="left"/>
        <w:rPr>
          <w:rFonts w:hint="eastAsia" w:ascii="新宋体" w:eastAsia="新宋体"/>
          <w:b w:val="0"/>
          <w:bCs/>
          <w:sz w:val="24"/>
          <w:lang w:eastAsia="zh-CN"/>
        </w:rPr>
      </w:pPr>
      <w:r>
        <w:rPr>
          <w:rFonts w:hint="eastAsia" w:ascii="新宋体" w:eastAsia="新宋体"/>
          <w:b w:val="0"/>
          <w:bCs/>
          <w:sz w:val="24"/>
        </w:rPr>
        <w:t>门公告[2015]第 5 号)，公司主要涉及的危险化学品有</w:t>
      </w:r>
      <w:r>
        <w:rPr>
          <w:rFonts w:hint="eastAsia" w:ascii="新宋体" w:eastAsia="新宋体"/>
          <w:b w:val="0"/>
          <w:bCs/>
          <w:sz w:val="24"/>
          <w:lang w:eastAsia="zh-CN"/>
        </w:rPr>
        <w:t>二甲苯、正丁醇和2-丙醇、</w:t>
      </w:r>
    </w:p>
    <w:p>
      <w:pPr>
        <w:spacing w:before="0"/>
        <w:ind w:left="1540" w:right="0" w:firstLine="0"/>
        <w:jc w:val="left"/>
        <w:rPr>
          <w:rFonts w:hint="eastAsia" w:ascii="新宋体" w:eastAsia="新宋体"/>
          <w:b w:val="0"/>
          <w:bCs/>
          <w:sz w:val="24"/>
        </w:rPr>
      </w:pPr>
      <w:r>
        <w:rPr>
          <w:rFonts w:hint="eastAsia" w:ascii="新宋体" w:eastAsia="新宋体"/>
          <w:b w:val="0"/>
          <w:bCs/>
          <w:sz w:val="24"/>
          <w:lang w:eastAsia="zh-CN"/>
        </w:rPr>
        <w:t>乙酸甲酯、</w:t>
      </w:r>
      <w:r>
        <w:rPr>
          <w:rFonts w:hint="eastAsia" w:ascii="新宋体" w:eastAsia="新宋体"/>
          <w:b w:val="0"/>
          <w:bCs/>
          <w:sz w:val="24"/>
          <w:lang w:val="en-US" w:eastAsia="zh-CN"/>
        </w:rPr>
        <w:t>甲苯</w:t>
      </w:r>
      <w:r>
        <w:rPr>
          <w:rFonts w:hint="eastAsia" w:ascii="新宋体" w:eastAsia="新宋体"/>
          <w:b w:val="0"/>
          <w:bCs/>
          <w:sz w:val="24"/>
          <w:lang w:eastAsia="zh-CN"/>
        </w:rPr>
        <w:t>、环己酮</w:t>
      </w:r>
      <w:r>
        <w:rPr>
          <w:rFonts w:hint="eastAsia" w:ascii="新宋体" w:eastAsia="新宋体"/>
          <w:b w:val="0"/>
          <w:bCs/>
          <w:sz w:val="24"/>
          <w:lang w:val="en-US" w:eastAsia="zh-CN"/>
        </w:rPr>
        <w:t>六</w:t>
      </w:r>
      <w:r>
        <w:rPr>
          <w:rFonts w:hint="eastAsia" w:ascii="新宋体" w:eastAsia="新宋体"/>
          <w:b w:val="0"/>
          <w:bCs/>
          <w:sz w:val="24"/>
        </w:rPr>
        <w:t>种。</w:t>
      </w:r>
    </w:p>
    <w:p>
      <w:pPr>
        <w:pStyle w:val="19"/>
        <w:numPr>
          <w:ilvl w:val="2"/>
          <w:numId w:val="30"/>
        </w:numPr>
        <w:tabs>
          <w:tab w:val="left" w:pos="2505"/>
        </w:tabs>
        <w:spacing w:before="191" w:after="0" w:line="240" w:lineRule="auto"/>
        <w:ind w:left="2504" w:right="0" w:hanging="965"/>
        <w:jc w:val="left"/>
        <w:rPr>
          <w:b/>
          <w:sz w:val="32"/>
        </w:rPr>
      </w:pPr>
      <w:r>
        <w:rPr>
          <w:b/>
          <w:sz w:val="32"/>
        </w:rPr>
        <w:t>过程环境风险识别</w:t>
      </w:r>
    </w:p>
    <w:p>
      <w:pPr>
        <w:pStyle w:val="7"/>
        <w:spacing w:before="167" w:line="494" w:lineRule="auto"/>
        <w:ind w:left="1540" w:right="1596" w:firstLine="566"/>
      </w:pPr>
      <w:r>
        <w:rPr>
          <w:spacing w:val="-13"/>
        </w:rPr>
        <w:t>公司生产使用较多的化学原料，而且有一些有毒有害的化学品，对人体有害。</w:t>
      </w:r>
      <w:r>
        <w:rPr>
          <w:spacing w:val="-14"/>
        </w:rPr>
        <w:t>在正常生产和储存条件下，必须严格管理，按操作规程，防止各个环节中的抛洒和</w:t>
      </w:r>
      <w:r>
        <w:rPr>
          <w:spacing w:val="-16"/>
        </w:rPr>
        <w:t>泄漏，杜绝事故的发生；另外这些化学品有一部分为易燃易爆的危险品，在存贮和</w:t>
      </w:r>
      <w:r>
        <w:rPr>
          <w:spacing w:val="-19"/>
        </w:rPr>
        <w:t xml:space="preserve">使用过程中都存在一定的危险性，一旦发生事故，将对人身、财产产生较大的危害， </w:t>
      </w:r>
      <w:r>
        <w:rPr>
          <w:spacing w:val="-13"/>
        </w:rPr>
        <w:t>将会对周围生态环境及人体健康造成一定的影响，因此存在一定的风险，需要进行</w:t>
      </w:r>
      <w:r>
        <w:rPr>
          <w:spacing w:val="-9"/>
        </w:rPr>
        <w:t>环境风险分析。</w:t>
      </w:r>
    </w:p>
    <w:p>
      <w:pPr>
        <w:pStyle w:val="7"/>
        <w:spacing w:before="6" w:line="494" w:lineRule="auto"/>
        <w:ind w:left="1540" w:right="1711" w:firstLine="566"/>
      </w:pPr>
      <w:r>
        <w:rPr>
          <w:spacing w:val="-183"/>
        </w:rPr>
        <w:t>○</w:t>
      </w:r>
      <w:r>
        <w:t>1</w:t>
      </w:r>
      <w:r>
        <w:rPr>
          <w:spacing w:val="-14"/>
        </w:rPr>
        <w:t xml:space="preserve"> 生产事故。在生产过程中，由于多数原料具有毒性，若因操作不当、闸阀</w:t>
      </w:r>
      <w:r>
        <w:rPr>
          <w:spacing w:val="-10"/>
        </w:rPr>
        <w:t>失灵、管道破裂或一些非人为的因素，可能导致具有原料大量泄漏。</w:t>
      </w:r>
    </w:p>
    <w:p>
      <w:pPr>
        <w:pStyle w:val="7"/>
        <w:spacing w:before="2" w:line="494" w:lineRule="auto"/>
        <w:ind w:left="1540" w:right="1596" w:firstLine="566"/>
      </w:pPr>
      <w:r>
        <w:rPr>
          <w:spacing w:val="-183"/>
        </w:rPr>
        <w:t>○</w:t>
      </w:r>
      <w:r>
        <w:t>2</w:t>
      </w:r>
      <w:r>
        <w:rPr>
          <w:spacing w:val="-18"/>
        </w:rPr>
        <w:t xml:space="preserve"> 运输事故。公司的原料供应主要采用公路运输方式，原料主要来源于外省，</w:t>
      </w:r>
      <w:r>
        <w:rPr>
          <w:spacing w:val="-15"/>
        </w:rPr>
        <w:t>输送路线较长，输送路线主要为高速公路和国道，沿途可能存在各种环境风险影响敏感点。运输事故污染的主要原因是由于交通事故造成原料泄露，或由于运输槽车阀门等部件密封不严、设备老化、工作人员操作失误，造成化学品物料泄漏，致使</w:t>
      </w:r>
      <w:r>
        <w:rPr>
          <w:spacing w:val="-10"/>
        </w:rPr>
        <w:t>沿途环境遭受污染。根据国内同类运输情况的调查，此类事故发生率极低。</w:t>
      </w:r>
    </w:p>
    <w:p>
      <w:pPr>
        <w:pStyle w:val="7"/>
        <w:spacing w:before="6" w:line="494" w:lineRule="auto"/>
        <w:ind w:left="1540" w:right="1658" w:firstLine="566"/>
        <w:jc w:val="both"/>
      </w:pPr>
      <w:r>
        <w:rPr>
          <w:spacing w:val="-183"/>
        </w:rPr>
        <w:t>○</w:t>
      </w:r>
      <w:r>
        <w:t>3</w:t>
      </w:r>
      <w:r>
        <w:rPr>
          <w:spacing w:val="-14"/>
        </w:rPr>
        <w:t xml:space="preserve"> 贮存事故。公司原料在贮存过程造成的泄漏事故主要为贮罐破损或原料装</w:t>
      </w:r>
      <w:r>
        <w:rPr>
          <w:spacing w:val="-10"/>
        </w:rPr>
        <w:t xml:space="preserve">罐过程产生的泄漏。贮存环节的主要是由于管道接口的破损或贮罐破裂所引起的， </w:t>
      </w:r>
      <w:r>
        <w:rPr>
          <w:spacing w:val="-13"/>
        </w:rPr>
        <w:t>在加强管理和定期检查的情况下，贮罐破裂或接口破损事故可基本消除，但装罐过</w:t>
      </w:r>
      <w:r>
        <w:rPr>
          <w:spacing w:val="-9"/>
        </w:rPr>
        <w:t>程泄漏现象不可避免。</w:t>
      </w:r>
    </w:p>
    <w:p>
      <w:pPr>
        <w:pStyle w:val="7"/>
        <w:spacing w:before="3" w:line="496" w:lineRule="auto"/>
        <w:ind w:left="1540" w:right="1596" w:firstLine="566"/>
      </w:pPr>
      <w:r>
        <w:rPr>
          <w:spacing w:val="-14"/>
        </w:rPr>
        <w:t xml:space="preserve">④环境损失：有毒有害化学品泄漏后成为大气污染和水污染，造成环境污染， </w:t>
      </w:r>
      <w:r>
        <w:rPr>
          <w:spacing w:val="-12"/>
        </w:rPr>
        <w:t>在下风向形成浓度超标数倍至几十倍的区域并持续一段时间，对人体及各种生物将</w:t>
      </w:r>
    </w:p>
    <w:p>
      <w:pPr>
        <w:spacing w:after="0" w:line="496" w:lineRule="auto"/>
        <w:sectPr>
          <w:footerReference r:id="rId11" w:type="default"/>
          <w:pgSz w:w="11900" w:h="16840"/>
          <w:pgMar w:top="1420" w:right="80" w:bottom="1200" w:left="260" w:header="882" w:footer="1004" w:gutter="0"/>
          <w:pgNumType w:start="40"/>
          <w:cols w:space="720" w:num="1"/>
        </w:sectPr>
      </w:pPr>
    </w:p>
    <w:p>
      <w:pPr>
        <w:pStyle w:val="7"/>
        <w:spacing w:before="5"/>
        <w:rPr>
          <w:sz w:val="8"/>
        </w:rPr>
      </w:pPr>
    </w:p>
    <w:p>
      <w:pPr>
        <w:pStyle w:val="7"/>
        <w:spacing w:before="66"/>
        <w:ind w:left="1540"/>
      </w:pPr>
      <w:r>
        <w:t>产生危害； 泄漏出的化学物质对流经的土壤产生污染，流入地面水域也将污染地</w:t>
      </w:r>
    </w:p>
    <w:p>
      <w:pPr>
        <w:pStyle w:val="7"/>
        <w:spacing w:before="6"/>
        <w:rPr>
          <w:sz w:val="25"/>
        </w:rPr>
      </w:pPr>
    </w:p>
    <w:p>
      <w:pPr>
        <w:pStyle w:val="7"/>
        <w:ind w:left="1540"/>
      </w:pPr>
      <w:r>
        <w:t>面水质；事故排放的高浓度废水将对纳污水体造成污染影响。</w:t>
      </w:r>
    </w:p>
    <w:p>
      <w:pPr>
        <w:pStyle w:val="19"/>
        <w:numPr>
          <w:ilvl w:val="2"/>
          <w:numId w:val="30"/>
        </w:numPr>
        <w:tabs>
          <w:tab w:val="left" w:pos="2505"/>
        </w:tabs>
        <w:spacing w:before="191" w:after="0" w:line="240" w:lineRule="auto"/>
        <w:ind w:left="2504" w:right="0" w:hanging="965"/>
        <w:jc w:val="left"/>
        <w:rPr>
          <w:b/>
          <w:sz w:val="32"/>
        </w:rPr>
      </w:pPr>
      <w:r>
        <w:rPr>
          <w:b/>
          <w:sz w:val="32"/>
        </w:rPr>
        <w:t>生产设施风险识别</w:t>
      </w:r>
    </w:p>
    <w:p>
      <w:pPr>
        <w:pStyle w:val="7"/>
        <w:spacing w:before="167" w:line="494" w:lineRule="auto"/>
        <w:ind w:left="1540" w:right="1714" w:firstLine="566"/>
      </w:pPr>
      <w:r>
        <w:rPr>
          <w:spacing w:val="-8"/>
        </w:rPr>
        <w:t>生产设施风险识别范围包括：主要生产装置、贮运系统、公用工程系统、工</w:t>
      </w:r>
      <w:r>
        <w:rPr>
          <w:spacing w:val="-10"/>
        </w:rPr>
        <w:t>程环保设施及辅助生产设施等。</w:t>
      </w:r>
    </w:p>
    <w:p>
      <w:pPr>
        <w:pStyle w:val="19"/>
        <w:numPr>
          <w:ilvl w:val="3"/>
          <w:numId w:val="30"/>
        </w:numPr>
        <w:tabs>
          <w:tab w:val="left" w:pos="2696"/>
        </w:tabs>
        <w:spacing w:before="3" w:after="0" w:line="240" w:lineRule="auto"/>
        <w:ind w:left="2695" w:right="0" w:hanging="590"/>
        <w:jc w:val="left"/>
        <w:rPr>
          <w:sz w:val="22"/>
        </w:rPr>
      </w:pPr>
      <w:r>
        <w:rPr>
          <w:spacing w:val="-9"/>
          <w:sz w:val="24"/>
        </w:rPr>
        <w:t>贮运系统风险识别</w:t>
      </w:r>
    </w:p>
    <w:p>
      <w:pPr>
        <w:pStyle w:val="7"/>
        <w:spacing w:before="5"/>
        <w:rPr>
          <w:sz w:val="25"/>
        </w:rPr>
      </w:pPr>
    </w:p>
    <w:p>
      <w:pPr>
        <w:pStyle w:val="7"/>
        <w:spacing w:line="494" w:lineRule="auto"/>
        <w:ind w:left="1540" w:right="1596" w:firstLine="566"/>
      </w:pPr>
      <w:r>
        <w:rPr>
          <w:spacing w:val="-8"/>
        </w:rPr>
        <w:t>原料在运输过程存在的潜在风险主要有：因路基不平或发生车祸导致容器内</w:t>
      </w:r>
      <w:r>
        <w:rPr>
          <w:spacing w:val="-20"/>
        </w:rPr>
        <w:t>的危险化学品泄漏或喷出；运输人员玩忽职守，未严格遵守《危险化学品管理条例》</w:t>
      </w:r>
      <w:r>
        <w:rPr>
          <w:spacing w:val="-13"/>
        </w:rPr>
        <w:t>中有关危险化学品运输管理规定</w:t>
      </w:r>
      <w:r>
        <w:rPr>
          <w:spacing w:val="-10"/>
        </w:rPr>
        <w:t>（</w:t>
      </w:r>
      <w:r>
        <w:rPr>
          <w:spacing w:val="-9"/>
        </w:rPr>
        <w:t xml:space="preserve">第 </w:t>
      </w:r>
      <w:r>
        <w:rPr>
          <w:spacing w:val="-4"/>
        </w:rPr>
        <w:t>35～46</w:t>
      </w:r>
      <w:r>
        <w:rPr>
          <w:spacing w:val="-11"/>
        </w:rPr>
        <w:t xml:space="preserve"> 条</w:t>
      </w:r>
      <w:r>
        <w:rPr>
          <w:spacing w:val="-50"/>
        </w:rPr>
        <w:t>）</w:t>
      </w:r>
      <w:r>
        <w:rPr>
          <w:spacing w:val="-17"/>
        </w:rPr>
        <w:t>，如无证上岗、不熟悉物料特性、</w:t>
      </w:r>
      <w:r>
        <w:rPr>
          <w:spacing w:val="-11"/>
        </w:rPr>
        <w:t>未对容器采取有效防护措施</w:t>
      </w:r>
      <w:r>
        <w:rPr>
          <w:spacing w:val="-8"/>
        </w:rPr>
        <w:t>（</w:t>
      </w:r>
      <w:r>
        <w:rPr>
          <w:spacing w:val="-14"/>
        </w:rPr>
        <w:t>防晒、防火、粘贴危险标志</w:t>
      </w:r>
      <w:r>
        <w:rPr>
          <w:spacing w:val="-20"/>
        </w:rPr>
        <w:t>）</w:t>
      </w:r>
      <w:r>
        <w:rPr>
          <w:spacing w:val="-11"/>
        </w:rPr>
        <w:t>等，使容器内危险化学</w:t>
      </w:r>
      <w:r>
        <w:rPr>
          <w:spacing w:val="-9"/>
        </w:rPr>
        <w:t>品发生泄漏事故。</w:t>
      </w:r>
    </w:p>
    <w:p>
      <w:pPr>
        <w:pStyle w:val="19"/>
        <w:numPr>
          <w:ilvl w:val="3"/>
          <w:numId w:val="30"/>
        </w:numPr>
        <w:tabs>
          <w:tab w:val="left" w:pos="2696"/>
        </w:tabs>
        <w:spacing w:before="6" w:after="0" w:line="240" w:lineRule="auto"/>
        <w:ind w:left="2695" w:right="0" w:hanging="590"/>
        <w:jc w:val="left"/>
        <w:rPr>
          <w:sz w:val="22"/>
        </w:rPr>
      </w:pPr>
      <w:r>
        <w:rPr>
          <w:spacing w:val="-9"/>
          <w:sz w:val="24"/>
        </w:rPr>
        <w:t>生产装置风险识别</w:t>
      </w:r>
    </w:p>
    <w:p>
      <w:pPr>
        <w:pStyle w:val="7"/>
        <w:spacing w:before="6"/>
        <w:rPr>
          <w:sz w:val="25"/>
        </w:rPr>
      </w:pPr>
    </w:p>
    <w:p>
      <w:pPr>
        <w:pStyle w:val="7"/>
        <w:ind w:left="2106"/>
      </w:pPr>
      <w:r>
        <w:t>主要是生产过程中，管道及反应釜等破裂使液体或气体泄漏等。</w:t>
      </w:r>
    </w:p>
    <w:p>
      <w:pPr>
        <w:pStyle w:val="7"/>
        <w:spacing w:before="8"/>
        <w:rPr>
          <w:sz w:val="25"/>
        </w:rPr>
      </w:pPr>
    </w:p>
    <w:p>
      <w:pPr>
        <w:pStyle w:val="19"/>
        <w:numPr>
          <w:ilvl w:val="3"/>
          <w:numId w:val="30"/>
        </w:numPr>
        <w:tabs>
          <w:tab w:val="left" w:pos="2696"/>
        </w:tabs>
        <w:spacing w:before="0" w:after="0" w:line="240" w:lineRule="auto"/>
        <w:ind w:left="2695" w:right="0" w:hanging="590"/>
        <w:jc w:val="left"/>
        <w:rPr>
          <w:sz w:val="22"/>
        </w:rPr>
      </w:pPr>
      <w:r>
        <w:rPr>
          <w:spacing w:val="-10"/>
          <w:sz w:val="24"/>
        </w:rPr>
        <w:t>污染治理设施的潜在风险</w:t>
      </w:r>
    </w:p>
    <w:p>
      <w:pPr>
        <w:pStyle w:val="7"/>
        <w:spacing w:before="5"/>
        <w:rPr>
          <w:sz w:val="25"/>
        </w:rPr>
      </w:pPr>
    </w:p>
    <w:p>
      <w:pPr>
        <w:pStyle w:val="7"/>
        <w:spacing w:before="1" w:line="494" w:lineRule="auto"/>
        <w:ind w:left="1540" w:right="1714" w:firstLine="566"/>
      </w:pPr>
      <w:r>
        <w:rPr>
          <w:spacing w:val="-8"/>
        </w:rPr>
        <w:t xml:space="preserve">生产过程中产生粉尘和有机废气，因污染治理设施的损坏而不能正常运行， </w:t>
      </w:r>
      <w:r>
        <w:rPr>
          <w:spacing w:val="-10"/>
        </w:rPr>
        <w:t>造成对人体健康产生危害。</w:t>
      </w:r>
    </w:p>
    <w:p>
      <w:pPr>
        <w:pStyle w:val="7"/>
        <w:spacing w:before="2"/>
        <w:ind w:left="2106"/>
      </w:pPr>
      <w:r>
        <w:t>生产过程中生产废水因污染治理设施的损坏而不能正常运行，或管道破损，</w:t>
      </w:r>
    </w:p>
    <w:p>
      <w:pPr>
        <w:pStyle w:val="7"/>
        <w:spacing w:before="6"/>
        <w:rPr>
          <w:sz w:val="25"/>
        </w:rPr>
      </w:pPr>
    </w:p>
    <w:p>
      <w:pPr>
        <w:pStyle w:val="7"/>
        <w:ind w:left="1540"/>
      </w:pPr>
      <w:r>
        <w:t>从而导致污水污染地下水和土壤。</w:t>
      </w:r>
    </w:p>
    <w:p>
      <w:pPr>
        <w:pStyle w:val="19"/>
        <w:numPr>
          <w:ilvl w:val="2"/>
          <w:numId w:val="30"/>
        </w:numPr>
        <w:tabs>
          <w:tab w:val="left" w:pos="2505"/>
        </w:tabs>
        <w:spacing w:before="191" w:after="0" w:line="240" w:lineRule="auto"/>
        <w:ind w:left="2504" w:right="0" w:hanging="965"/>
        <w:jc w:val="left"/>
        <w:rPr>
          <w:b/>
          <w:sz w:val="32"/>
        </w:rPr>
      </w:pPr>
      <w:r>
        <w:rPr>
          <w:b/>
          <w:sz w:val="32"/>
        </w:rPr>
        <w:t>物质风险识别</w:t>
      </w:r>
    </w:p>
    <w:p>
      <w:pPr>
        <w:pStyle w:val="7"/>
        <w:spacing w:before="167" w:line="494" w:lineRule="auto"/>
        <w:ind w:left="1540" w:right="1711" w:firstLine="566"/>
        <w:jc w:val="both"/>
      </w:pPr>
      <w:r>
        <w:rPr>
          <w:spacing w:val="-8"/>
        </w:rPr>
        <w:t>对公司生产中所涉及的原辅料等物质，凡属于有毒物质</w:t>
      </w:r>
      <w:r>
        <w:rPr>
          <w:spacing w:val="-5"/>
        </w:rPr>
        <w:t>（</w:t>
      </w:r>
      <w:r>
        <w:rPr>
          <w:spacing w:val="-7"/>
        </w:rPr>
        <w:t>极度危害、高度危</w:t>
      </w:r>
      <w:r>
        <w:rPr>
          <w:spacing w:val="-8"/>
        </w:rPr>
        <w:t>害</w:t>
      </w:r>
      <w:r>
        <w:rPr>
          <w:spacing w:val="-24"/>
        </w:rPr>
        <w:t>）</w:t>
      </w:r>
      <w:r>
        <w:rPr>
          <w:spacing w:val="-15"/>
        </w:rPr>
        <w:t>、强反应或爆炸物、易燃物的均需列表说明其物理化学和毒理学性质、危险性</w:t>
      </w:r>
      <w:r>
        <w:rPr>
          <w:spacing w:val="-16"/>
        </w:rPr>
        <w:t>类别、加工量、贮存量及运输量等，并按其危险性或毒性结合相应的评价阈值进行</w:t>
      </w:r>
    </w:p>
    <w:p>
      <w:pPr>
        <w:spacing w:after="0" w:line="494" w:lineRule="auto"/>
        <w:jc w:val="both"/>
        <w:sectPr>
          <w:pgSz w:w="11900" w:h="16840"/>
          <w:pgMar w:top="1420" w:right="80" w:bottom="1200" w:left="260" w:header="882" w:footer="1004" w:gutter="0"/>
          <w:cols w:space="720" w:num="1"/>
        </w:sectPr>
      </w:pPr>
    </w:p>
    <w:p>
      <w:pPr>
        <w:pStyle w:val="7"/>
        <w:spacing w:before="5"/>
        <w:rPr>
          <w:sz w:val="8"/>
        </w:rPr>
      </w:pPr>
    </w:p>
    <w:p>
      <w:pPr>
        <w:pStyle w:val="7"/>
        <w:spacing w:before="66"/>
        <w:ind w:left="1540"/>
      </w:pPr>
      <w:r>
        <w:t>分类排队，筛选风险评价因子。</w:t>
      </w:r>
    </w:p>
    <w:p>
      <w:pPr>
        <w:pStyle w:val="7"/>
        <w:spacing w:before="6"/>
        <w:rPr>
          <w:sz w:val="25"/>
        </w:rPr>
      </w:pPr>
    </w:p>
    <w:p>
      <w:pPr>
        <w:pStyle w:val="7"/>
        <w:spacing w:line="496" w:lineRule="auto"/>
        <w:ind w:left="1540" w:right="1702" w:firstLine="566"/>
      </w:pPr>
      <w:r>
        <w:rPr>
          <w:spacing w:val="-9"/>
        </w:rPr>
        <w:t>涉及的物料中的</w:t>
      </w:r>
      <w:r>
        <w:rPr>
          <w:rFonts w:hint="eastAsia" w:ascii="宋体" w:hAnsi="宋体" w:eastAsia="宋体" w:cs="宋体"/>
          <w:spacing w:val="-12"/>
        </w:rPr>
        <w:t>二甲苯、正丁醇和2-丙醇</w:t>
      </w:r>
      <w:r>
        <w:rPr>
          <w:rFonts w:hint="eastAsia" w:ascii="宋体" w:hAnsi="宋体" w:eastAsia="宋体" w:cs="宋体"/>
          <w:spacing w:val="-12"/>
          <w:lang w:eastAsia="zh-CN"/>
        </w:rPr>
        <w:t>、</w:t>
      </w:r>
      <w:r>
        <w:rPr>
          <w:rFonts w:hint="eastAsia" w:ascii="宋体" w:hAnsi="宋体" w:eastAsia="宋体" w:cs="宋体"/>
          <w:spacing w:val="-12"/>
        </w:rPr>
        <w:t>乙酸甲酯</w:t>
      </w:r>
      <w:r>
        <w:rPr>
          <w:rFonts w:hint="eastAsia" w:ascii="宋体" w:hAnsi="宋体" w:eastAsia="宋体" w:cs="宋体"/>
          <w:spacing w:val="-12"/>
          <w:lang w:eastAsia="zh-CN"/>
        </w:rPr>
        <w:t>、</w:t>
      </w:r>
      <w:r>
        <w:rPr>
          <w:rFonts w:hint="eastAsia" w:cs="宋体"/>
          <w:spacing w:val="-12"/>
          <w:lang w:val="en-US" w:eastAsia="zh-CN"/>
        </w:rPr>
        <w:t>甲苯</w:t>
      </w:r>
      <w:r>
        <w:rPr>
          <w:rFonts w:hint="eastAsia" w:ascii="宋体" w:hAnsi="宋体" w:eastAsia="宋体" w:cs="宋体"/>
          <w:spacing w:val="-12"/>
          <w:lang w:eastAsia="zh-CN"/>
        </w:rPr>
        <w:t>、</w:t>
      </w:r>
      <w:r>
        <w:rPr>
          <w:rFonts w:hint="eastAsia" w:ascii="宋体" w:hAnsi="宋体" w:eastAsia="宋体" w:cs="宋体"/>
          <w:spacing w:val="-12"/>
        </w:rPr>
        <w:t>环己酮</w:t>
      </w:r>
      <w:r>
        <w:rPr>
          <w:rFonts w:ascii="宋体" w:hAnsi="宋体" w:eastAsia="宋体" w:cs="宋体"/>
          <w:spacing w:val="-12"/>
        </w:rPr>
        <w:t>属于《危险化学品重大危险源辨识》（GB18218-2018）</w:t>
      </w:r>
      <w:r>
        <w:rPr>
          <w:spacing w:val="3"/>
        </w:rPr>
        <w:t>之列。其余物料不属于《危险化学品重大危险源辨识》</w:t>
      </w:r>
      <w:r>
        <w:t>（GB18218-2018）之列。危化品的危险性和毒性列于表 3.1-7。</w:t>
      </w:r>
    </w:p>
    <w:p>
      <w:pPr>
        <w:pStyle w:val="7"/>
        <w:spacing w:before="8"/>
        <w:rPr>
          <w:sz w:val="18"/>
        </w:rPr>
      </w:pPr>
    </w:p>
    <w:p>
      <w:pPr>
        <w:tabs>
          <w:tab w:val="left" w:pos="1511"/>
        </w:tabs>
        <w:spacing w:before="0"/>
        <w:ind w:left="397" w:right="0" w:firstLine="0"/>
        <w:jc w:val="center"/>
        <w:rPr>
          <w:b/>
          <w:sz w:val="21"/>
        </w:rPr>
      </w:pPr>
      <w:r>
        <w:rPr>
          <w:b/>
          <w:sz w:val="21"/>
        </w:rPr>
        <w:t>表3.1-7</w:t>
      </w:r>
      <w:r>
        <w:rPr>
          <w:b/>
          <w:sz w:val="21"/>
        </w:rPr>
        <w:tab/>
      </w:r>
      <w:r>
        <w:rPr>
          <w:b/>
          <w:sz w:val="21"/>
        </w:rPr>
        <w:t>生产主要危险性物料性质一览表</w:t>
      </w:r>
    </w:p>
    <w:p>
      <w:pPr>
        <w:pStyle w:val="7"/>
        <w:spacing w:before="2"/>
        <w:rPr>
          <w:b/>
          <w:sz w:val="6"/>
        </w:rPr>
      </w:pPr>
    </w:p>
    <w:tbl>
      <w:tblPr>
        <w:tblStyle w:val="15"/>
        <w:tblW w:w="9177" w:type="dxa"/>
        <w:tblInd w:w="153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25"/>
        <w:gridCol w:w="1403"/>
        <w:gridCol w:w="1250"/>
        <w:gridCol w:w="3048"/>
        <w:gridCol w:w="2651"/>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3" w:hRule="atLeast"/>
        </w:trPr>
        <w:tc>
          <w:tcPr>
            <w:tcW w:w="825" w:type="dxa"/>
            <w:tcBorders>
              <w:left w:val="nil"/>
              <w:bottom w:val="single" w:color="000000" w:sz="2" w:space="0"/>
              <w:right w:val="single" w:color="000000" w:sz="2" w:space="0"/>
            </w:tcBorders>
          </w:tcPr>
          <w:p>
            <w:pPr>
              <w:pStyle w:val="20"/>
              <w:spacing w:before="177"/>
              <w:ind w:left="218" w:right="141"/>
              <w:jc w:val="center"/>
              <w:rPr>
                <w:rFonts w:hint="eastAsia" w:ascii="宋体" w:eastAsia="宋体"/>
                <w:b/>
                <w:sz w:val="21"/>
              </w:rPr>
            </w:pPr>
            <w:r>
              <w:rPr>
                <w:rFonts w:hint="eastAsia" w:ascii="宋体" w:eastAsia="宋体"/>
                <w:b/>
                <w:sz w:val="21"/>
              </w:rPr>
              <w:t>序号</w:t>
            </w:r>
          </w:p>
        </w:tc>
        <w:tc>
          <w:tcPr>
            <w:tcW w:w="1403" w:type="dxa"/>
            <w:tcBorders>
              <w:left w:val="single" w:color="000000" w:sz="2" w:space="0"/>
              <w:bottom w:val="single" w:color="000000" w:sz="2" w:space="0"/>
              <w:right w:val="single" w:color="000000" w:sz="2" w:space="0"/>
            </w:tcBorders>
          </w:tcPr>
          <w:p>
            <w:pPr>
              <w:pStyle w:val="20"/>
              <w:spacing w:before="177"/>
              <w:ind w:left="286" w:right="227"/>
              <w:jc w:val="center"/>
              <w:rPr>
                <w:rFonts w:hint="eastAsia" w:ascii="宋体" w:eastAsia="宋体"/>
                <w:b/>
                <w:sz w:val="21"/>
              </w:rPr>
            </w:pPr>
            <w:r>
              <w:rPr>
                <w:rFonts w:hint="eastAsia" w:ascii="宋体" w:eastAsia="宋体"/>
                <w:b/>
                <w:sz w:val="21"/>
              </w:rPr>
              <w:t>名称</w:t>
            </w:r>
          </w:p>
        </w:tc>
        <w:tc>
          <w:tcPr>
            <w:tcW w:w="1250" w:type="dxa"/>
            <w:tcBorders>
              <w:left w:val="single" w:color="000000" w:sz="2" w:space="0"/>
              <w:bottom w:val="single" w:color="000000" w:sz="2" w:space="0"/>
              <w:right w:val="single" w:color="000000" w:sz="2" w:space="0"/>
            </w:tcBorders>
          </w:tcPr>
          <w:p>
            <w:pPr>
              <w:pStyle w:val="20"/>
              <w:spacing w:line="253" w:lineRule="exact"/>
              <w:ind w:left="423"/>
              <w:rPr>
                <w:rFonts w:hint="eastAsia" w:ascii="宋体" w:eastAsia="宋体"/>
                <w:b/>
                <w:sz w:val="21"/>
              </w:rPr>
            </w:pPr>
            <w:r>
              <w:rPr>
                <w:rFonts w:hint="eastAsia" w:ascii="宋体" w:eastAsia="宋体"/>
                <w:b/>
                <w:w w:val="95"/>
                <w:sz w:val="21"/>
              </w:rPr>
              <w:t>常温常</w:t>
            </w:r>
          </w:p>
          <w:p>
            <w:pPr>
              <w:pStyle w:val="20"/>
              <w:spacing w:line="250" w:lineRule="exact"/>
              <w:ind w:left="423"/>
              <w:rPr>
                <w:rFonts w:hint="eastAsia" w:ascii="宋体" w:eastAsia="宋体"/>
                <w:b/>
                <w:sz w:val="21"/>
              </w:rPr>
            </w:pPr>
            <w:r>
              <w:rPr>
                <w:rFonts w:hint="eastAsia" w:ascii="宋体" w:eastAsia="宋体"/>
                <w:b/>
                <w:w w:val="95"/>
                <w:sz w:val="21"/>
              </w:rPr>
              <w:t>压相态</w:t>
            </w:r>
          </w:p>
        </w:tc>
        <w:tc>
          <w:tcPr>
            <w:tcW w:w="3048" w:type="dxa"/>
            <w:tcBorders>
              <w:left w:val="single" w:color="000000" w:sz="2" w:space="0"/>
              <w:bottom w:val="single" w:color="000000" w:sz="2" w:space="0"/>
              <w:right w:val="single" w:color="000000" w:sz="2" w:space="0"/>
            </w:tcBorders>
          </w:tcPr>
          <w:p>
            <w:pPr>
              <w:pStyle w:val="20"/>
              <w:spacing w:before="122"/>
              <w:ind w:left="865"/>
              <w:rPr>
                <w:rFonts w:hint="eastAsia" w:ascii="宋体" w:eastAsia="宋体"/>
                <w:b/>
                <w:sz w:val="21"/>
              </w:rPr>
            </w:pPr>
            <w:r>
              <w:rPr>
                <w:rFonts w:hint="eastAsia" w:ascii="宋体" w:eastAsia="宋体"/>
                <w:b/>
                <w:sz w:val="21"/>
              </w:rPr>
              <w:t>贮存量及贮存方式</w:t>
            </w:r>
          </w:p>
        </w:tc>
        <w:tc>
          <w:tcPr>
            <w:tcW w:w="2651" w:type="dxa"/>
            <w:tcBorders>
              <w:left w:val="single" w:color="000000" w:sz="2" w:space="0"/>
              <w:bottom w:val="single" w:color="000000" w:sz="2" w:space="0"/>
              <w:right w:val="nil"/>
            </w:tcBorders>
          </w:tcPr>
          <w:p>
            <w:pPr>
              <w:pStyle w:val="20"/>
              <w:spacing w:before="177"/>
              <w:ind w:left="1010" w:right="948"/>
              <w:jc w:val="center"/>
              <w:rPr>
                <w:rFonts w:hint="eastAsia" w:ascii="宋体" w:eastAsia="宋体"/>
                <w:b/>
                <w:sz w:val="21"/>
              </w:rPr>
            </w:pPr>
            <w:r>
              <w:rPr>
                <w:rFonts w:hint="eastAsia" w:ascii="宋体" w:eastAsia="宋体"/>
                <w:b/>
                <w:sz w:val="21"/>
              </w:rPr>
              <w:t>危险性</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825" w:type="dxa"/>
            <w:tcBorders>
              <w:top w:val="single" w:color="000000" w:sz="2" w:space="0"/>
              <w:left w:val="nil"/>
              <w:bottom w:val="single" w:color="000000" w:sz="2" w:space="0"/>
              <w:right w:val="single" w:color="000000" w:sz="2" w:space="0"/>
            </w:tcBorders>
          </w:tcPr>
          <w:p>
            <w:pPr>
              <w:pStyle w:val="20"/>
              <w:spacing w:before="90"/>
              <w:ind w:left="74"/>
              <w:jc w:val="center"/>
              <w:rPr>
                <w:rFonts w:ascii="Times New Roman"/>
                <w:sz w:val="21"/>
              </w:rPr>
            </w:pPr>
            <w:r>
              <w:rPr>
                <w:rFonts w:ascii="Times New Roman"/>
                <w:w w:val="99"/>
                <w:sz w:val="21"/>
              </w:rPr>
              <w:t>1</w:t>
            </w:r>
          </w:p>
        </w:tc>
        <w:tc>
          <w:tcPr>
            <w:tcW w:w="1403" w:type="dxa"/>
            <w:tcBorders>
              <w:top w:val="single" w:color="000000" w:sz="2" w:space="0"/>
              <w:left w:val="single" w:color="000000" w:sz="2" w:space="0"/>
              <w:bottom w:val="single" w:color="000000" w:sz="2" w:space="0"/>
              <w:right w:val="single" w:color="000000" w:sz="2" w:space="0"/>
            </w:tcBorders>
          </w:tcPr>
          <w:p>
            <w:pPr>
              <w:pStyle w:val="20"/>
              <w:spacing w:before="76"/>
              <w:ind w:left="286" w:right="229"/>
              <w:jc w:val="center"/>
              <w:rPr>
                <w:rFonts w:hint="eastAsia" w:ascii="宋体" w:eastAsia="宋体"/>
                <w:sz w:val="21"/>
              </w:rPr>
            </w:pPr>
            <w:r>
              <w:rPr>
                <w:rFonts w:hint="eastAsia" w:ascii="宋体" w:eastAsia="宋体"/>
                <w:sz w:val="21"/>
              </w:rPr>
              <w:t>二甲苯</w:t>
            </w:r>
          </w:p>
        </w:tc>
        <w:tc>
          <w:tcPr>
            <w:tcW w:w="1250"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液体</w:t>
            </w:r>
          </w:p>
        </w:tc>
        <w:tc>
          <w:tcPr>
            <w:tcW w:w="3048" w:type="dxa"/>
            <w:tcBorders>
              <w:top w:val="single" w:color="000000" w:sz="2" w:space="0"/>
              <w:left w:val="single" w:color="000000" w:sz="2" w:space="0"/>
              <w:bottom w:val="single" w:color="000000" w:sz="2" w:space="0"/>
              <w:right w:val="single" w:color="000000" w:sz="2" w:space="0"/>
            </w:tcBorders>
          </w:tcPr>
          <w:p>
            <w:pPr>
              <w:pStyle w:val="20"/>
              <w:spacing w:before="76"/>
              <w:ind w:right="1000"/>
              <w:jc w:val="center"/>
              <w:rPr>
                <w:rFonts w:hint="eastAsia" w:ascii="宋体" w:eastAsia="宋体"/>
                <w:sz w:val="21"/>
              </w:rPr>
            </w:pPr>
            <w:r>
              <w:rPr>
                <w:rFonts w:hint="eastAsia" w:ascii="宋体" w:eastAsia="宋体"/>
                <w:sz w:val="21"/>
                <w:lang w:val="en-US" w:eastAsia="zh-CN"/>
              </w:rPr>
              <w:t xml:space="preserve">      </w:t>
            </w:r>
            <w:r>
              <w:rPr>
                <w:rFonts w:hint="eastAsia" w:ascii="宋体" w:eastAsia="宋体"/>
                <w:sz w:val="21"/>
              </w:rPr>
              <w:t>桶装，1</w:t>
            </w:r>
            <w:r>
              <w:rPr>
                <w:rFonts w:hint="eastAsia" w:ascii="宋体" w:eastAsia="宋体"/>
                <w:sz w:val="21"/>
                <w:lang w:val="en-US" w:eastAsia="zh-CN"/>
              </w:rPr>
              <w:t>12.5</w:t>
            </w:r>
            <w:r>
              <w:rPr>
                <w:rFonts w:hint="eastAsia" w:ascii="宋体" w:eastAsia="宋体"/>
                <w:sz w:val="21"/>
              </w:rPr>
              <w:t>t</w:t>
            </w:r>
          </w:p>
        </w:tc>
        <w:tc>
          <w:tcPr>
            <w:tcW w:w="2651" w:type="dxa"/>
            <w:tcBorders>
              <w:top w:val="single" w:color="000000" w:sz="2" w:space="0"/>
              <w:left w:val="single" w:color="000000" w:sz="2" w:space="0"/>
              <w:bottom w:val="single" w:color="000000" w:sz="2" w:space="0"/>
              <w:right w:val="nil"/>
            </w:tcBorders>
          </w:tcPr>
          <w:p>
            <w:pPr>
              <w:pStyle w:val="20"/>
              <w:spacing w:before="76"/>
              <w:ind w:left="1010" w:right="953"/>
              <w:jc w:val="center"/>
              <w:rPr>
                <w:rFonts w:hint="eastAsia" w:ascii="宋体" w:eastAsia="宋体"/>
                <w:sz w:val="21"/>
              </w:rPr>
            </w:pPr>
            <w:r>
              <w:rPr>
                <w:rFonts w:hint="eastAsia" w:ascii="宋体" w:eastAsia="宋体"/>
                <w:sz w:val="21"/>
              </w:rPr>
              <w:t>易燃液体</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25" w:type="dxa"/>
            <w:tcBorders>
              <w:top w:val="single" w:color="000000" w:sz="2" w:space="0"/>
              <w:left w:val="nil"/>
              <w:bottom w:val="single" w:color="000000" w:sz="2" w:space="0"/>
              <w:right w:val="single" w:color="000000" w:sz="2" w:space="0"/>
            </w:tcBorders>
          </w:tcPr>
          <w:p>
            <w:pPr>
              <w:pStyle w:val="20"/>
              <w:spacing w:before="136"/>
              <w:ind w:left="74"/>
              <w:jc w:val="center"/>
              <w:rPr>
                <w:rFonts w:ascii="Times New Roman"/>
                <w:sz w:val="21"/>
              </w:rPr>
            </w:pPr>
            <w:r>
              <w:rPr>
                <w:rFonts w:ascii="Times New Roman"/>
                <w:w w:val="99"/>
                <w:sz w:val="21"/>
              </w:rPr>
              <w:t>2</w:t>
            </w:r>
          </w:p>
        </w:tc>
        <w:tc>
          <w:tcPr>
            <w:tcW w:w="1403" w:type="dxa"/>
            <w:tcBorders>
              <w:top w:val="single" w:color="000000" w:sz="2" w:space="0"/>
              <w:left w:val="single" w:color="000000" w:sz="2" w:space="0"/>
              <w:bottom w:val="single" w:color="000000" w:sz="2" w:space="0"/>
              <w:right w:val="single" w:color="000000" w:sz="2" w:space="0"/>
            </w:tcBorders>
          </w:tcPr>
          <w:p>
            <w:pPr>
              <w:pStyle w:val="20"/>
              <w:spacing w:before="100"/>
              <w:ind w:left="286" w:right="229"/>
              <w:jc w:val="center"/>
              <w:rPr>
                <w:rFonts w:hint="eastAsia" w:ascii="宋体" w:eastAsia="宋体"/>
                <w:sz w:val="21"/>
              </w:rPr>
            </w:pPr>
            <w:r>
              <w:rPr>
                <w:rFonts w:hint="eastAsia" w:ascii="宋体" w:eastAsia="宋体"/>
                <w:sz w:val="21"/>
              </w:rPr>
              <w:t>正丁醇</w:t>
            </w:r>
          </w:p>
        </w:tc>
        <w:tc>
          <w:tcPr>
            <w:tcW w:w="1250"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液体</w:t>
            </w:r>
          </w:p>
        </w:tc>
        <w:tc>
          <w:tcPr>
            <w:tcW w:w="3048" w:type="dxa"/>
            <w:tcBorders>
              <w:top w:val="single" w:color="000000" w:sz="2" w:space="0"/>
              <w:left w:val="single" w:color="000000" w:sz="2" w:space="0"/>
              <w:bottom w:val="single" w:color="000000" w:sz="2" w:space="0"/>
              <w:right w:val="single" w:color="000000" w:sz="2" w:space="0"/>
            </w:tcBorders>
          </w:tcPr>
          <w:p>
            <w:pPr>
              <w:pStyle w:val="20"/>
              <w:spacing w:before="100"/>
              <w:ind w:left="1058" w:right="1000"/>
              <w:jc w:val="center"/>
              <w:rPr>
                <w:rFonts w:hint="eastAsia" w:ascii="宋体" w:eastAsia="宋体"/>
                <w:sz w:val="21"/>
              </w:rPr>
            </w:pPr>
            <w:r>
              <w:rPr>
                <w:rFonts w:hint="eastAsia" w:ascii="宋体" w:eastAsia="宋体"/>
                <w:sz w:val="21"/>
              </w:rPr>
              <w:t>桶装，</w:t>
            </w:r>
            <w:r>
              <w:rPr>
                <w:rFonts w:hint="eastAsia" w:ascii="宋体" w:eastAsia="宋体"/>
                <w:sz w:val="21"/>
                <w:lang w:val="en-US" w:eastAsia="zh-CN"/>
              </w:rPr>
              <w:t>15</w:t>
            </w:r>
            <w:r>
              <w:rPr>
                <w:rFonts w:hint="eastAsia" w:ascii="宋体" w:eastAsia="宋体"/>
                <w:sz w:val="21"/>
              </w:rPr>
              <w:t>t</w:t>
            </w:r>
          </w:p>
        </w:tc>
        <w:tc>
          <w:tcPr>
            <w:tcW w:w="2651" w:type="dxa"/>
            <w:tcBorders>
              <w:top w:val="single" w:color="000000" w:sz="2" w:space="0"/>
              <w:left w:val="single" w:color="000000" w:sz="2" w:space="0"/>
              <w:bottom w:val="single" w:color="000000" w:sz="2" w:space="0"/>
              <w:right w:val="nil"/>
            </w:tcBorders>
          </w:tcPr>
          <w:p>
            <w:pPr>
              <w:pStyle w:val="20"/>
              <w:spacing w:before="100"/>
              <w:ind w:left="1010" w:right="953"/>
              <w:jc w:val="center"/>
              <w:rPr>
                <w:rFonts w:hint="eastAsia" w:ascii="宋体" w:eastAsia="宋体"/>
                <w:sz w:val="21"/>
              </w:rPr>
            </w:pPr>
            <w:r>
              <w:rPr>
                <w:rFonts w:hint="eastAsia" w:ascii="宋体" w:eastAsia="宋体"/>
                <w:sz w:val="21"/>
              </w:rPr>
              <w:t>易燃液体</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25" w:type="dxa"/>
            <w:tcBorders>
              <w:top w:val="single" w:color="000000" w:sz="2" w:space="0"/>
              <w:left w:val="nil"/>
              <w:bottom w:val="single" w:color="000000" w:sz="2" w:space="0"/>
              <w:right w:val="single" w:color="000000" w:sz="2" w:space="0"/>
            </w:tcBorders>
          </w:tcPr>
          <w:p>
            <w:pPr>
              <w:pStyle w:val="20"/>
              <w:spacing w:before="136"/>
              <w:ind w:left="74"/>
              <w:jc w:val="center"/>
              <w:rPr>
                <w:rFonts w:ascii="Times New Roman"/>
                <w:sz w:val="21"/>
              </w:rPr>
            </w:pPr>
            <w:r>
              <w:rPr>
                <w:rFonts w:ascii="Times New Roman"/>
                <w:w w:val="99"/>
                <w:sz w:val="21"/>
              </w:rPr>
              <w:t>3</w:t>
            </w:r>
          </w:p>
        </w:tc>
        <w:tc>
          <w:tcPr>
            <w:tcW w:w="1403" w:type="dxa"/>
            <w:tcBorders>
              <w:top w:val="single" w:color="000000" w:sz="2" w:space="0"/>
              <w:left w:val="single" w:color="000000" w:sz="2" w:space="0"/>
              <w:bottom w:val="single" w:color="000000" w:sz="2" w:space="0"/>
              <w:right w:val="single" w:color="000000" w:sz="2" w:space="0"/>
            </w:tcBorders>
          </w:tcPr>
          <w:p>
            <w:pPr>
              <w:pStyle w:val="20"/>
              <w:spacing w:before="101"/>
              <w:ind w:left="286" w:right="231"/>
              <w:jc w:val="center"/>
              <w:rPr>
                <w:rFonts w:hint="eastAsia" w:ascii="宋体" w:eastAsia="宋体"/>
                <w:sz w:val="21"/>
              </w:rPr>
            </w:pPr>
            <w:r>
              <w:rPr>
                <w:rFonts w:hint="eastAsia" w:ascii="Times New Roman" w:hAnsi="Times New Roman" w:eastAsia="宋体" w:cs="Times New Roman"/>
                <w:color w:val="auto"/>
                <w:sz w:val="21"/>
                <w:szCs w:val="21"/>
              </w:rPr>
              <w:t>2-丙醇</w:t>
            </w:r>
          </w:p>
        </w:tc>
        <w:tc>
          <w:tcPr>
            <w:tcW w:w="1250"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液体</w:t>
            </w:r>
          </w:p>
        </w:tc>
        <w:tc>
          <w:tcPr>
            <w:tcW w:w="3048" w:type="dxa"/>
            <w:tcBorders>
              <w:top w:val="single" w:color="000000" w:sz="2" w:space="0"/>
              <w:left w:val="single" w:color="000000" w:sz="2" w:space="0"/>
              <w:bottom w:val="single" w:color="000000" w:sz="2" w:space="0"/>
              <w:right w:val="single" w:color="000000" w:sz="2" w:space="0"/>
            </w:tcBorders>
          </w:tcPr>
          <w:p>
            <w:pPr>
              <w:pStyle w:val="20"/>
              <w:spacing w:before="101"/>
              <w:ind w:left="1058" w:right="1000"/>
              <w:jc w:val="center"/>
              <w:rPr>
                <w:rFonts w:hint="eastAsia" w:ascii="宋体" w:eastAsia="宋体"/>
                <w:sz w:val="21"/>
              </w:rPr>
            </w:pPr>
            <w:r>
              <w:rPr>
                <w:rFonts w:hint="eastAsia" w:ascii="宋体" w:eastAsia="宋体"/>
                <w:sz w:val="21"/>
              </w:rPr>
              <w:t>桶装，</w:t>
            </w:r>
            <w:r>
              <w:rPr>
                <w:rFonts w:hint="eastAsia" w:ascii="宋体" w:eastAsia="宋体"/>
                <w:sz w:val="21"/>
                <w:lang w:val="en-US" w:eastAsia="zh-CN"/>
              </w:rPr>
              <w:t>2</w:t>
            </w:r>
            <w:r>
              <w:rPr>
                <w:rFonts w:hint="eastAsia" w:ascii="宋体" w:eastAsia="宋体"/>
                <w:sz w:val="21"/>
              </w:rPr>
              <w:t>t</w:t>
            </w:r>
          </w:p>
        </w:tc>
        <w:tc>
          <w:tcPr>
            <w:tcW w:w="2651" w:type="dxa"/>
            <w:tcBorders>
              <w:top w:val="single" w:color="000000" w:sz="2" w:space="0"/>
              <w:left w:val="single" w:color="000000" w:sz="2" w:space="0"/>
              <w:bottom w:val="single" w:color="000000" w:sz="2" w:space="0"/>
              <w:right w:val="nil"/>
            </w:tcBorders>
          </w:tcPr>
          <w:p>
            <w:pPr>
              <w:pStyle w:val="20"/>
              <w:spacing w:before="101"/>
              <w:ind w:left="1010" w:right="953"/>
              <w:jc w:val="center"/>
              <w:rPr>
                <w:rFonts w:hint="eastAsia" w:ascii="宋体" w:eastAsia="宋体"/>
                <w:sz w:val="21"/>
              </w:rPr>
            </w:pPr>
            <w:r>
              <w:rPr>
                <w:rFonts w:hint="eastAsia" w:ascii="宋体" w:eastAsia="宋体"/>
                <w:sz w:val="21"/>
              </w:rPr>
              <w:t>易燃液体</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25" w:type="dxa"/>
            <w:tcBorders>
              <w:top w:val="single" w:color="000000" w:sz="2" w:space="0"/>
              <w:left w:val="nil"/>
              <w:bottom w:val="single" w:color="000000" w:sz="2" w:space="0"/>
              <w:right w:val="single" w:color="000000" w:sz="2" w:space="0"/>
            </w:tcBorders>
          </w:tcPr>
          <w:p>
            <w:pPr>
              <w:pStyle w:val="20"/>
              <w:spacing w:before="136"/>
              <w:ind w:left="74"/>
              <w:jc w:val="center"/>
              <w:rPr>
                <w:rFonts w:ascii="Times New Roman"/>
                <w:sz w:val="21"/>
              </w:rPr>
            </w:pPr>
            <w:r>
              <w:rPr>
                <w:rFonts w:ascii="Times New Roman"/>
                <w:w w:val="99"/>
                <w:sz w:val="21"/>
              </w:rPr>
              <w:t>4</w:t>
            </w:r>
          </w:p>
        </w:tc>
        <w:tc>
          <w:tcPr>
            <w:tcW w:w="1403"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宋体" w:eastAsia="宋体"/>
                <w:sz w:val="21"/>
              </w:rPr>
            </w:pPr>
            <w:r>
              <w:rPr>
                <w:rFonts w:hint="eastAsia" w:ascii="Times New Roman" w:hAnsi="Times New Roman" w:eastAsia="宋体" w:cs="Times New Roman"/>
                <w:color w:val="auto"/>
                <w:sz w:val="21"/>
                <w:szCs w:val="21"/>
              </w:rPr>
              <w:t>乙酸甲酯</w:t>
            </w:r>
          </w:p>
        </w:tc>
        <w:tc>
          <w:tcPr>
            <w:tcW w:w="1250"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液体</w:t>
            </w:r>
          </w:p>
        </w:tc>
        <w:tc>
          <w:tcPr>
            <w:tcW w:w="3048" w:type="dxa"/>
            <w:tcBorders>
              <w:top w:val="single" w:color="000000" w:sz="2" w:space="0"/>
              <w:left w:val="single" w:color="000000" w:sz="2" w:space="0"/>
              <w:bottom w:val="single" w:color="000000" w:sz="2" w:space="0"/>
              <w:right w:val="single" w:color="000000" w:sz="2" w:space="0"/>
            </w:tcBorders>
          </w:tcPr>
          <w:p>
            <w:pPr>
              <w:pStyle w:val="20"/>
              <w:spacing w:before="101"/>
              <w:ind w:left="1058" w:right="1000"/>
              <w:jc w:val="center"/>
              <w:rPr>
                <w:rFonts w:hint="eastAsia" w:ascii="宋体" w:eastAsia="宋体"/>
                <w:sz w:val="21"/>
              </w:rPr>
            </w:pPr>
            <w:r>
              <w:rPr>
                <w:rFonts w:hint="eastAsia" w:ascii="宋体" w:eastAsia="宋体"/>
                <w:sz w:val="21"/>
              </w:rPr>
              <w:t>桶装，2t</w:t>
            </w:r>
          </w:p>
        </w:tc>
        <w:tc>
          <w:tcPr>
            <w:tcW w:w="2651" w:type="dxa"/>
            <w:tcBorders>
              <w:top w:val="single" w:color="000000" w:sz="2" w:space="0"/>
              <w:left w:val="single" w:color="000000" w:sz="2" w:space="0"/>
              <w:bottom w:val="single" w:color="000000" w:sz="2" w:space="0"/>
              <w:right w:val="nil"/>
            </w:tcBorders>
          </w:tcPr>
          <w:p>
            <w:pPr>
              <w:pStyle w:val="20"/>
              <w:spacing w:before="101"/>
              <w:ind w:left="1010" w:right="953"/>
              <w:jc w:val="center"/>
              <w:rPr>
                <w:rFonts w:hint="eastAsia" w:ascii="宋体" w:eastAsia="宋体"/>
                <w:sz w:val="21"/>
              </w:rPr>
            </w:pPr>
            <w:r>
              <w:rPr>
                <w:rFonts w:hint="eastAsia" w:ascii="宋体" w:eastAsia="宋体"/>
                <w:sz w:val="21"/>
              </w:rPr>
              <w:t>易燃液体</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25" w:type="dxa"/>
            <w:tcBorders>
              <w:top w:val="single" w:color="000000" w:sz="2" w:space="0"/>
              <w:left w:val="nil"/>
              <w:bottom w:val="single" w:color="000000" w:sz="2" w:space="0"/>
              <w:right w:val="single" w:color="000000" w:sz="2" w:space="0"/>
            </w:tcBorders>
          </w:tcPr>
          <w:p>
            <w:pPr>
              <w:pStyle w:val="20"/>
              <w:spacing w:before="136"/>
              <w:ind w:left="74"/>
              <w:jc w:val="center"/>
              <w:rPr>
                <w:rFonts w:hint="eastAsia" w:ascii="Times New Roman" w:eastAsia="新宋体"/>
                <w:w w:val="99"/>
                <w:sz w:val="21"/>
                <w:lang w:val="en-US" w:eastAsia="zh-CN"/>
              </w:rPr>
            </w:pPr>
            <w:r>
              <w:rPr>
                <w:rFonts w:hint="eastAsia" w:ascii="Times New Roman"/>
                <w:w w:val="99"/>
                <w:sz w:val="21"/>
                <w:lang w:val="en-US" w:eastAsia="zh-CN"/>
              </w:rPr>
              <w:t>5</w:t>
            </w:r>
          </w:p>
        </w:tc>
        <w:tc>
          <w:tcPr>
            <w:tcW w:w="1403"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宋体" w:eastAsia="宋体"/>
                <w:sz w:val="21"/>
              </w:rPr>
            </w:pPr>
            <w:r>
              <w:rPr>
                <w:rFonts w:hint="eastAsia" w:ascii="Times New Roman" w:hAnsi="Times New Roman" w:eastAsia="宋体" w:cs="Times New Roman"/>
                <w:color w:val="auto"/>
                <w:sz w:val="21"/>
                <w:szCs w:val="21"/>
              </w:rPr>
              <w:t>环己酮</w:t>
            </w:r>
          </w:p>
        </w:tc>
        <w:tc>
          <w:tcPr>
            <w:tcW w:w="1250"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液体</w:t>
            </w:r>
          </w:p>
        </w:tc>
        <w:tc>
          <w:tcPr>
            <w:tcW w:w="3048" w:type="dxa"/>
            <w:tcBorders>
              <w:top w:val="single" w:color="000000" w:sz="2" w:space="0"/>
              <w:left w:val="single" w:color="000000" w:sz="2" w:space="0"/>
              <w:bottom w:val="single" w:color="000000" w:sz="2" w:space="0"/>
              <w:right w:val="single" w:color="000000" w:sz="2" w:space="0"/>
            </w:tcBorders>
            <w:vAlign w:val="top"/>
          </w:tcPr>
          <w:p>
            <w:pPr>
              <w:pStyle w:val="20"/>
              <w:spacing w:before="101"/>
              <w:ind w:left="1058" w:leftChars="0" w:right="1000" w:rightChars="0"/>
              <w:jc w:val="center"/>
              <w:rPr>
                <w:rFonts w:hint="eastAsia" w:ascii="宋体" w:hAnsi="新宋体" w:eastAsia="宋体" w:cs="新宋体"/>
                <w:sz w:val="21"/>
                <w:szCs w:val="22"/>
                <w:lang w:val="zh-CN" w:eastAsia="zh-CN" w:bidi="zh-CN"/>
              </w:rPr>
            </w:pPr>
            <w:r>
              <w:rPr>
                <w:rFonts w:hint="eastAsia" w:ascii="宋体" w:eastAsia="宋体"/>
                <w:sz w:val="21"/>
              </w:rPr>
              <w:t>桶装，</w:t>
            </w:r>
            <w:r>
              <w:rPr>
                <w:rFonts w:hint="eastAsia" w:ascii="宋体" w:eastAsia="宋体"/>
                <w:sz w:val="21"/>
                <w:lang w:val="en-US" w:eastAsia="zh-CN"/>
              </w:rPr>
              <w:t>5</w:t>
            </w:r>
            <w:r>
              <w:rPr>
                <w:rFonts w:hint="eastAsia" w:ascii="宋体" w:eastAsia="宋体"/>
                <w:sz w:val="21"/>
              </w:rPr>
              <w:t>t</w:t>
            </w:r>
          </w:p>
        </w:tc>
        <w:tc>
          <w:tcPr>
            <w:tcW w:w="2651" w:type="dxa"/>
            <w:tcBorders>
              <w:top w:val="single" w:color="000000" w:sz="2" w:space="0"/>
              <w:left w:val="single" w:color="000000" w:sz="2" w:space="0"/>
              <w:bottom w:val="single" w:color="000000" w:sz="2" w:space="0"/>
              <w:right w:val="nil"/>
            </w:tcBorders>
            <w:vAlign w:val="top"/>
          </w:tcPr>
          <w:p>
            <w:pPr>
              <w:pStyle w:val="20"/>
              <w:spacing w:before="101"/>
              <w:ind w:left="1010" w:leftChars="0" w:right="953" w:rightChars="0"/>
              <w:jc w:val="center"/>
              <w:rPr>
                <w:rFonts w:hint="eastAsia" w:ascii="宋体" w:hAnsi="新宋体" w:eastAsia="宋体" w:cs="新宋体"/>
                <w:sz w:val="21"/>
                <w:szCs w:val="22"/>
                <w:lang w:val="zh-CN" w:eastAsia="zh-CN" w:bidi="zh-CN"/>
              </w:rPr>
            </w:pPr>
            <w:r>
              <w:rPr>
                <w:rFonts w:hint="eastAsia" w:ascii="宋体" w:eastAsia="宋体"/>
                <w:sz w:val="21"/>
              </w:rPr>
              <w:t>易燃液体</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25" w:type="dxa"/>
            <w:tcBorders>
              <w:top w:val="single" w:color="000000" w:sz="2" w:space="0"/>
              <w:left w:val="nil"/>
              <w:bottom w:val="single" w:color="000000" w:sz="2" w:space="0"/>
              <w:right w:val="single" w:color="000000" w:sz="2" w:space="0"/>
            </w:tcBorders>
          </w:tcPr>
          <w:p>
            <w:pPr>
              <w:pStyle w:val="20"/>
              <w:spacing w:before="136"/>
              <w:ind w:left="74"/>
              <w:jc w:val="center"/>
              <w:rPr>
                <w:rFonts w:hint="eastAsia" w:ascii="Times New Roman" w:eastAsia="新宋体"/>
                <w:w w:val="99"/>
                <w:sz w:val="21"/>
                <w:lang w:val="en-US" w:eastAsia="zh-CN"/>
              </w:rPr>
            </w:pPr>
            <w:r>
              <w:rPr>
                <w:rFonts w:hint="eastAsia" w:ascii="Times New Roman"/>
                <w:w w:val="99"/>
                <w:sz w:val="21"/>
                <w:lang w:val="en-US" w:eastAsia="zh-CN"/>
              </w:rPr>
              <w:t>6</w:t>
            </w:r>
          </w:p>
        </w:tc>
        <w:tc>
          <w:tcPr>
            <w:tcW w:w="1403"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宋体" w:eastAsia="宋体"/>
                <w:sz w:val="21"/>
                <w:lang w:val="en-US" w:eastAsia="zh-CN"/>
              </w:rPr>
            </w:pPr>
            <w:r>
              <w:rPr>
                <w:rFonts w:hint="eastAsia" w:ascii="宋体" w:eastAsia="宋体"/>
                <w:color w:val="FF0000"/>
                <w:sz w:val="21"/>
                <w:lang w:val="en-US" w:eastAsia="zh-CN"/>
              </w:rPr>
              <w:t>甲苯</w:t>
            </w:r>
          </w:p>
        </w:tc>
        <w:tc>
          <w:tcPr>
            <w:tcW w:w="1250" w:type="dxa"/>
            <w:tcBorders>
              <w:top w:val="single" w:color="000000" w:sz="2" w:space="0"/>
              <w:left w:val="single" w:color="000000" w:sz="2" w:space="0"/>
              <w:bottom w:val="single" w:color="000000" w:sz="2" w:space="0"/>
              <w:right w:val="single" w:color="000000" w:sz="2" w:space="0"/>
            </w:tcBorders>
          </w:tcPr>
          <w:p>
            <w:pPr>
              <w:pStyle w:val="20"/>
              <w:spacing w:before="101"/>
              <w:ind w:left="286" w:right="229"/>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液体</w:t>
            </w:r>
          </w:p>
        </w:tc>
        <w:tc>
          <w:tcPr>
            <w:tcW w:w="3048" w:type="dxa"/>
            <w:tcBorders>
              <w:top w:val="single" w:color="000000" w:sz="2" w:space="0"/>
              <w:left w:val="single" w:color="000000" w:sz="2" w:space="0"/>
              <w:bottom w:val="single" w:color="000000" w:sz="2" w:space="0"/>
              <w:right w:val="single" w:color="000000" w:sz="2" w:space="0"/>
            </w:tcBorders>
            <w:vAlign w:val="top"/>
          </w:tcPr>
          <w:p>
            <w:pPr>
              <w:pStyle w:val="20"/>
              <w:spacing w:before="101"/>
              <w:ind w:right="1000" w:rightChars="0"/>
              <w:jc w:val="center"/>
              <w:rPr>
                <w:rFonts w:hint="eastAsia" w:ascii="宋体" w:hAnsi="新宋体" w:eastAsia="宋体" w:cs="新宋体"/>
                <w:sz w:val="21"/>
                <w:szCs w:val="22"/>
                <w:lang w:val="zh-CN" w:eastAsia="zh-CN" w:bidi="zh-CN"/>
              </w:rPr>
            </w:pPr>
            <w:r>
              <w:rPr>
                <w:rFonts w:hint="eastAsia" w:ascii="宋体" w:eastAsia="宋体"/>
                <w:sz w:val="21"/>
                <w:lang w:val="en-US" w:eastAsia="zh-CN"/>
              </w:rPr>
              <w:t xml:space="preserve">         </w:t>
            </w:r>
            <w:r>
              <w:rPr>
                <w:rFonts w:hint="eastAsia" w:ascii="宋体" w:eastAsia="宋体"/>
                <w:sz w:val="21"/>
              </w:rPr>
              <w:t>桶装，</w:t>
            </w:r>
            <w:r>
              <w:rPr>
                <w:rFonts w:hint="eastAsia" w:ascii="宋体" w:eastAsia="宋体"/>
                <w:sz w:val="21"/>
                <w:lang w:val="en-US" w:eastAsia="zh-CN"/>
              </w:rPr>
              <w:t>100</w:t>
            </w:r>
            <w:r>
              <w:rPr>
                <w:rFonts w:hint="eastAsia" w:ascii="宋体" w:eastAsia="宋体"/>
                <w:sz w:val="21"/>
              </w:rPr>
              <w:t>t</w:t>
            </w:r>
          </w:p>
        </w:tc>
        <w:tc>
          <w:tcPr>
            <w:tcW w:w="2651" w:type="dxa"/>
            <w:tcBorders>
              <w:top w:val="single" w:color="000000" w:sz="2" w:space="0"/>
              <w:left w:val="single" w:color="000000" w:sz="2" w:space="0"/>
              <w:bottom w:val="single" w:color="000000" w:sz="2" w:space="0"/>
              <w:right w:val="nil"/>
            </w:tcBorders>
            <w:vAlign w:val="top"/>
          </w:tcPr>
          <w:p>
            <w:pPr>
              <w:pStyle w:val="20"/>
              <w:spacing w:before="101"/>
              <w:ind w:left="1010" w:leftChars="0" w:right="953" w:rightChars="0"/>
              <w:jc w:val="center"/>
              <w:rPr>
                <w:rFonts w:hint="eastAsia" w:ascii="宋体" w:hAnsi="新宋体" w:eastAsia="宋体" w:cs="新宋体"/>
                <w:sz w:val="21"/>
                <w:szCs w:val="22"/>
                <w:lang w:val="zh-CN" w:eastAsia="zh-CN" w:bidi="zh-CN"/>
              </w:rPr>
            </w:pPr>
            <w:r>
              <w:rPr>
                <w:rFonts w:hint="eastAsia" w:ascii="宋体" w:eastAsia="宋体"/>
                <w:sz w:val="21"/>
              </w:rPr>
              <w:t>易燃液体</w:t>
            </w:r>
          </w:p>
        </w:tc>
      </w:tr>
    </w:tbl>
    <w:p>
      <w:pPr>
        <w:pStyle w:val="7"/>
        <w:rPr>
          <w:b/>
          <w:sz w:val="23"/>
        </w:rPr>
      </w:pPr>
    </w:p>
    <w:p>
      <w:pPr>
        <w:pStyle w:val="19"/>
        <w:numPr>
          <w:ilvl w:val="1"/>
          <w:numId w:val="30"/>
        </w:numPr>
        <w:tabs>
          <w:tab w:val="left" w:pos="1965"/>
        </w:tabs>
        <w:spacing w:before="0" w:after="0" w:line="240" w:lineRule="auto"/>
        <w:ind w:left="1964" w:right="0" w:hanging="425"/>
        <w:jc w:val="left"/>
        <w:rPr>
          <w:b/>
          <w:sz w:val="28"/>
        </w:rPr>
      </w:pPr>
      <w:bookmarkStart w:id="57" w:name="_bookmark14"/>
      <w:bookmarkEnd w:id="57"/>
      <w:bookmarkStart w:id="58" w:name="_bookmark14"/>
      <w:bookmarkEnd w:id="58"/>
      <w:bookmarkStart w:id="59" w:name="3.2重大危险源辨识"/>
      <w:bookmarkEnd w:id="59"/>
      <w:r>
        <w:rPr>
          <w:b/>
          <w:sz w:val="28"/>
        </w:rPr>
        <w:t>重大危险源辨识</w:t>
      </w:r>
    </w:p>
    <w:p>
      <w:pPr>
        <w:pStyle w:val="19"/>
        <w:numPr>
          <w:ilvl w:val="0"/>
          <w:numId w:val="31"/>
        </w:numPr>
        <w:tabs>
          <w:tab w:val="left" w:pos="2696"/>
        </w:tabs>
        <w:spacing w:before="166" w:after="0" w:line="240" w:lineRule="auto"/>
        <w:ind w:left="2695" w:right="0" w:hanging="590"/>
        <w:jc w:val="left"/>
        <w:rPr>
          <w:sz w:val="24"/>
        </w:rPr>
      </w:pPr>
      <w:r>
        <w:rPr>
          <w:spacing w:val="-9"/>
          <w:sz w:val="24"/>
        </w:rPr>
        <w:t>环境敏感程度</w:t>
      </w:r>
    </w:p>
    <w:p>
      <w:pPr>
        <w:pStyle w:val="7"/>
        <w:spacing w:before="6"/>
        <w:rPr>
          <w:sz w:val="25"/>
        </w:rPr>
      </w:pPr>
    </w:p>
    <w:p>
      <w:pPr>
        <w:pStyle w:val="7"/>
        <w:spacing w:line="496" w:lineRule="auto"/>
        <w:ind w:left="1540" w:right="1596" w:firstLine="566"/>
      </w:pPr>
      <w:r>
        <w:rPr>
          <w:spacing w:val="-13"/>
        </w:rPr>
        <w:t xml:space="preserve">公司厂区位于江西省丰城工业园，为工业用地，根据建设项目分类管理名录， </w:t>
      </w:r>
      <w:r>
        <w:rPr>
          <w:spacing w:val="-10"/>
        </w:rPr>
        <w:t>公司厂区所在地不属于环境敏感地区。</w:t>
      </w:r>
    </w:p>
    <w:p>
      <w:pPr>
        <w:pStyle w:val="19"/>
        <w:numPr>
          <w:ilvl w:val="0"/>
          <w:numId w:val="31"/>
        </w:numPr>
        <w:tabs>
          <w:tab w:val="left" w:pos="2696"/>
        </w:tabs>
        <w:spacing w:before="0" w:after="0" w:line="304" w:lineRule="exact"/>
        <w:ind w:left="2695" w:right="0" w:hanging="590"/>
        <w:jc w:val="left"/>
        <w:rPr>
          <w:sz w:val="24"/>
        </w:rPr>
      </w:pPr>
      <w:r>
        <w:rPr>
          <w:spacing w:val="-9"/>
          <w:sz w:val="24"/>
        </w:rPr>
        <w:t>重大危险源辨识</w:t>
      </w:r>
    </w:p>
    <w:p>
      <w:pPr>
        <w:pStyle w:val="7"/>
        <w:spacing w:before="6"/>
        <w:rPr>
          <w:sz w:val="25"/>
        </w:rPr>
      </w:pPr>
    </w:p>
    <w:p>
      <w:pPr>
        <w:pStyle w:val="7"/>
        <w:ind w:left="2106"/>
      </w:pPr>
      <w:r>
        <w:t>公司风险物质重大危险源辨识情况见表 3.2-1。</w:t>
      </w:r>
    </w:p>
    <w:p>
      <w:pPr>
        <w:pStyle w:val="7"/>
        <w:spacing w:before="8"/>
        <w:rPr>
          <w:sz w:val="18"/>
        </w:rPr>
      </w:pPr>
    </w:p>
    <w:p>
      <w:pPr>
        <w:spacing w:before="100" w:line="212" w:lineRule="auto"/>
        <w:ind w:firstLine="211" w:firstLineChars="100"/>
        <w:jc w:val="center"/>
        <w:rPr>
          <w:rFonts w:ascii="宋体" w:hAnsi="宋体" w:eastAsia="宋体" w:cs="宋体"/>
          <w:color w:val="0000FF"/>
          <w:sz w:val="24"/>
          <w:szCs w:val="24"/>
        </w:rPr>
      </w:pPr>
      <w:r>
        <w:rPr>
          <w:b/>
          <w:sz w:val="21"/>
        </w:rPr>
        <w:t>表3.2-1 各单元危化物质实际贮存量及临界量</w:t>
      </w:r>
    </w:p>
    <w:p>
      <w:pPr>
        <w:spacing w:line="29" w:lineRule="auto"/>
        <w:rPr>
          <w:color w:val="0000FF"/>
          <w:sz w:val="2"/>
        </w:rPr>
      </w:pPr>
    </w:p>
    <w:tbl>
      <w:tblPr>
        <w:tblStyle w:val="15"/>
        <w:tblW w:w="4112"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2190"/>
        <w:gridCol w:w="1875"/>
        <w:gridCol w:w="2002"/>
        <w:gridCol w:w="2142"/>
        <w:gridCol w:w="138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ascii="Times New Roman" w:eastAsia="宋体"/>
                <w:bCs/>
                <w:color w:val="auto"/>
                <w:szCs w:val="21"/>
              </w:rPr>
              <w:t>物质名称</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ascii="Times New Roman" w:eastAsia="宋体"/>
                <w:bCs/>
                <w:color w:val="auto"/>
                <w:szCs w:val="21"/>
              </w:rPr>
              <w:t>储存地点</w:t>
            </w:r>
          </w:p>
        </w:tc>
        <w:tc>
          <w:tcPr>
            <w:tcW w:w="1043"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ascii="Times New Roman" w:eastAsia="宋体"/>
                <w:bCs/>
                <w:color w:val="auto"/>
                <w:szCs w:val="21"/>
              </w:rPr>
              <w:t>最大储存总量（t）</w:t>
            </w:r>
          </w:p>
        </w:tc>
        <w:tc>
          <w:tcPr>
            <w:tcW w:w="1116"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ascii="Times New Roman" w:eastAsia="宋体"/>
                <w:bCs/>
                <w:color w:val="auto"/>
                <w:szCs w:val="21"/>
              </w:rPr>
              <w:t>临界量（t）</w:t>
            </w:r>
          </w:p>
        </w:tc>
        <w:tc>
          <w:tcPr>
            <w:tcW w:w="720"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ascii="Times New Roman" w:eastAsia="宋体"/>
                <w:bCs/>
                <w:color w:val="auto"/>
                <w:szCs w:val="21"/>
              </w:rPr>
              <w:t>Q</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41" w:type="pct"/>
            <w:tcBorders>
              <w:tl2br w:val="nil"/>
              <w:tr2bl w:val="nil"/>
            </w:tcBorders>
            <w:noWrap/>
            <w:vAlign w:val="center"/>
          </w:tcPr>
          <w:p>
            <w:pPr>
              <w:pStyle w:val="14"/>
              <w:widowControl w:val="0"/>
              <w:kinsoku/>
              <w:autoSpaceDE/>
              <w:autoSpaceDN/>
              <w:adjustRightInd/>
              <w:snapToGrid/>
              <w:ind w:left="0" w:leftChars="0" w:firstLine="0" w:firstLineChars="0"/>
              <w:jc w:val="center"/>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sz w:val="21"/>
                <w:szCs w:val="21"/>
              </w:rPr>
              <w:t>环己酮</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hint="eastAsia" w:ascii="Times New Roman" w:eastAsia="宋体"/>
                <w:bCs/>
                <w:color w:val="auto"/>
                <w:kern w:val="2"/>
                <w:szCs w:val="21"/>
              </w:rPr>
              <w:t>仓库</w:t>
            </w: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r>
              <w:rPr>
                <w:rFonts w:hint="eastAsia" w:ascii="Times New Roman" w:hAnsi="Times New Roman" w:eastAsia="宋体" w:cs="Times New Roman"/>
                <w:bCs/>
                <w:color w:val="auto"/>
                <w:kern w:val="2"/>
              </w:rPr>
              <w:t>5</w:t>
            </w:r>
          </w:p>
        </w:tc>
        <w:tc>
          <w:tcPr>
            <w:tcW w:w="1116"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hint="eastAsia" w:ascii="Times New Roman" w:eastAsia="宋体"/>
                <w:bCs/>
                <w:color w:val="auto"/>
                <w:kern w:val="2"/>
                <w:szCs w:val="21"/>
              </w:rPr>
              <w:t>10</w:t>
            </w:r>
          </w:p>
        </w:tc>
        <w:tc>
          <w:tcPr>
            <w:tcW w:w="720"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hint="eastAsia" w:ascii="Times New Roman" w:eastAsia="宋体"/>
                <w:bCs/>
                <w:color w:val="auto"/>
                <w:kern w:val="2"/>
                <w:szCs w:val="21"/>
              </w:rPr>
              <w:t>0.5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pStyle w:val="14"/>
              <w:widowControl w:val="0"/>
              <w:kinsoku/>
              <w:autoSpaceDE/>
              <w:autoSpaceDN/>
              <w:adjustRightInd/>
              <w:snapToGrid/>
              <w:ind w:left="0" w:leftChars="0"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甲苯</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kern w:val="2"/>
                <w:szCs w:val="21"/>
              </w:rPr>
            </w:pPr>
            <w:r>
              <w:rPr>
                <w:rFonts w:hint="eastAsia" w:ascii="Times New Roman" w:eastAsia="宋体"/>
                <w:bCs/>
                <w:color w:val="auto"/>
                <w:kern w:val="2"/>
                <w:szCs w:val="21"/>
              </w:rPr>
              <w:t>仓库</w:t>
            </w: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r>
              <w:rPr>
                <w:rFonts w:hint="eastAsia" w:ascii="Times New Roman" w:hAnsi="Times New Roman" w:eastAsia="宋体" w:cs="Times New Roman"/>
                <w:bCs/>
                <w:color w:val="auto"/>
                <w:kern w:val="2"/>
              </w:rPr>
              <w:t>100</w:t>
            </w:r>
          </w:p>
        </w:tc>
        <w:tc>
          <w:tcPr>
            <w:tcW w:w="1116" w:type="pct"/>
            <w:tcBorders>
              <w:tl2br w:val="nil"/>
              <w:tr2bl w:val="nil"/>
            </w:tcBorders>
            <w:noWrap/>
            <w:vAlign w:val="center"/>
          </w:tcPr>
          <w:p>
            <w:pPr>
              <w:pStyle w:val="23"/>
              <w:tabs>
                <w:tab w:val="left" w:pos="1485"/>
                <w:tab w:val="center" w:pos="4113"/>
              </w:tabs>
              <w:rPr>
                <w:rFonts w:hint="default" w:ascii="Times New Roman" w:eastAsia="宋体"/>
                <w:bCs/>
                <w:color w:val="auto"/>
                <w:szCs w:val="21"/>
                <w:lang w:val="en-US" w:eastAsia="zh-CN"/>
              </w:rPr>
            </w:pPr>
            <w:r>
              <w:rPr>
                <w:rFonts w:hint="eastAsia" w:ascii="Times New Roman" w:eastAsia="宋体"/>
                <w:bCs/>
                <w:color w:val="auto"/>
                <w:szCs w:val="21"/>
                <w:lang w:val="en-US" w:eastAsia="zh-CN"/>
              </w:rPr>
              <w:t>10</w:t>
            </w:r>
          </w:p>
        </w:tc>
        <w:tc>
          <w:tcPr>
            <w:tcW w:w="720" w:type="pct"/>
            <w:tcBorders>
              <w:tl2br w:val="nil"/>
              <w:tr2bl w:val="nil"/>
            </w:tcBorders>
            <w:noWrap/>
            <w:vAlign w:val="center"/>
          </w:tcPr>
          <w:p>
            <w:pPr>
              <w:pStyle w:val="23"/>
              <w:tabs>
                <w:tab w:val="left" w:pos="1485"/>
                <w:tab w:val="center" w:pos="4113"/>
              </w:tabs>
              <w:rPr>
                <w:rFonts w:hint="default" w:ascii="Times New Roman" w:eastAsia="宋体"/>
                <w:bCs/>
                <w:color w:val="auto"/>
                <w:szCs w:val="21"/>
                <w:lang w:val="en-US" w:eastAsia="zh-CN"/>
              </w:rPr>
            </w:pPr>
            <w:r>
              <w:rPr>
                <w:rFonts w:hint="eastAsia" w:ascii="Times New Roman" w:eastAsia="宋体"/>
                <w:bCs/>
                <w:color w:val="auto"/>
                <w:szCs w:val="21"/>
                <w:lang w:val="en-US" w:eastAsia="zh-CN"/>
              </w:rPr>
              <w:t>10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pStyle w:val="14"/>
              <w:widowControl w:val="0"/>
              <w:kinsoku/>
              <w:autoSpaceDE/>
              <w:autoSpaceDN/>
              <w:adjustRightInd/>
              <w:snapToGrid/>
              <w:ind w:left="0" w:leftChars="0" w:firstLine="0" w:firstLineChars="0"/>
              <w:jc w:val="center"/>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sz w:val="21"/>
                <w:szCs w:val="21"/>
              </w:rPr>
              <w:t>二甲苯</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kern w:val="2"/>
                <w:szCs w:val="21"/>
              </w:rPr>
              <w:t>仓库</w:t>
            </w: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r>
              <w:rPr>
                <w:rFonts w:hint="eastAsia" w:ascii="Times New Roman" w:hAnsi="Times New Roman" w:eastAsia="宋体" w:cs="Times New Roman"/>
                <w:bCs/>
                <w:color w:val="auto"/>
                <w:kern w:val="2"/>
              </w:rPr>
              <w:t>112.5</w:t>
            </w:r>
          </w:p>
        </w:tc>
        <w:tc>
          <w:tcPr>
            <w:tcW w:w="1116"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szCs w:val="21"/>
              </w:rPr>
              <w:t>10</w:t>
            </w:r>
          </w:p>
        </w:tc>
        <w:tc>
          <w:tcPr>
            <w:tcW w:w="720"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szCs w:val="21"/>
              </w:rPr>
              <w:t>11.25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pStyle w:val="14"/>
              <w:widowControl w:val="0"/>
              <w:kinsoku/>
              <w:autoSpaceDE/>
              <w:autoSpaceDN/>
              <w:adjustRightInd/>
              <w:snapToGrid/>
              <w:ind w:left="0" w:leftChars="0" w:firstLine="0" w:firstLineChars="0"/>
              <w:jc w:val="center"/>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sz w:val="21"/>
                <w:szCs w:val="21"/>
              </w:rPr>
              <w:t>正丁醇</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kern w:val="2"/>
                <w:szCs w:val="21"/>
              </w:rPr>
              <w:t>仓库</w:t>
            </w: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r>
              <w:rPr>
                <w:rFonts w:hint="eastAsia" w:ascii="Times New Roman" w:hAnsi="Times New Roman" w:eastAsia="宋体" w:cs="Times New Roman"/>
                <w:bCs/>
                <w:color w:val="auto"/>
                <w:kern w:val="2"/>
              </w:rPr>
              <w:t>15</w:t>
            </w:r>
          </w:p>
        </w:tc>
        <w:tc>
          <w:tcPr>
            <w:tcW w:w="1116"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szCs w:val="21"/>
                <w:lang w:val="en-US" w:eastAsia="zh-CN"/>
              </w:rPr>
              <w:t>1</w:t>
            </w:r>
            <w:r>
              <w:rPr>
                <w:rFonts w:hint="eastAsia" w:ascii="Times New Roman" w:eastAsia="宋体"/>
                <w:bCs/>
                <w:color w:val="auto"/>
                <w:szCs w:val="21"/>
              </w:rPr>
              <w:t>0</w:t>
            </w:r>
          </w:p>
        </w:tc>
        <w:tc>
          <w:tcPr>
            <w:tcW w:w="720" w:type="pct"/>
            <w:tcBorders>
              <w:tl2br w:val="nil"/>
              <w:tr2bl w:val="nil"/>
            </w:tcBorders>
            <w:noWrap/>
            <w:vAlign w:val="center"/>
          </w:tcPr>
          <w:p>
            <w:pPr>
              <w:pStyle w:val="23"/>
              <w:tabs>
                <w:tab w:val="left" w:pos="1485"/>
                <w:tab w:val="center" w:pos="4113"/>
              </w:tabs>
              <w:rPr>
                <w:rFonts w:hint="default" w:ascii="Times New Roman" w:eastAsia="宋体"/>
                <w:bCs/>
                <w:color w:val="auto"/>
                <w:szCs w:val="21"/>
                <w:lang w:val="en-US" w:eastAsia="zh-CN"/>
              </w:rPr>
            </w:pPr>
            <w:r>
              <w:rPr>
                <w:rFonts w:hint="eastAsia" w:ascii="Times New Roman" w:eastAsia="宋体"/>
                <w:bCs/>
                <w:color w:val="auto"/>
                <w:szCs w:val="21"/>
                <w:lang w:val="en-US" w:eastAsia="zh-CN"/>
              </w:rPr>
              <w:t>1.5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pStyle w:val="14"/>
              <w:widowControl w:val="0"/>
              <w:kinsoku/>
              <w:autoSpaceDE/>
              <w:autoSpaceDN/>
              <w:adjustRightInd/>
              <w:snapToGrid/>
              <w:ind w:left="0" w:leftChars="0" w:firstLine="0" w:firstLineChars="0"/>
              <w:jc w:val="center"/>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sz w:val="21"/>
                <w:szCs w:val="21"/>
              </w:rPr>
              <w:t>2-丙醇</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kern w:val="2"/>
                <w:szCs w:val="21"/>
              </w:rPr>
              <w:t>仓库</w:t>
            </w: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r>
              <w:rPr>
                <w:rFonts w:hint="eastAsia" w:ascii="Times New Roman" w:hAnsi="Times New Roman" w:eastAsia="宋体" w:cs="Times New Roman"/>
                <w:bCs/>
                <w:color w:val="auto"/>
                <w:kern w:val="2"/>
              </w:rPr>
              <w:t>2</w:t>
            </w:r>
          </w:p>
        </w:tc>
        <w:tc>
          <w:tcPr>
            <w:tcW w:w="1116"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szCs w:val="21"/>
              </w:rPr>
              <w:t>10</w:t>
            </w:r>
          </w:p>
        </w:tc>
        <w:tc>
          <w:tcPr>
            <w:tcW w:w="720"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szCs w:val="21"/>
              </w:rPr>
              <w:t>0.2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pStyle w:val="14"/>
              <w:widowControl w:val="0"/>
              <w:kinsoku/>
              <w:autoSpaceDE/>
              <w:autoSpaceDN/>
              <w:adjustRightInd/>
              <w:snapToGrid/>
              <w:ind w:left="0" w:leftChars="0" w:firstLine="0" w:firstLineChars="0"/>
              <w:jc w:val="center"/>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sz w:val="21"/>
                <w:szCs w:val="21"/>
              </w:rPr>
              <w:t>乙酸甲酯</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szCs w:val="21"/>
              </w:rPr>
            </w:pPr>
            <w:r>
              <w:rPr>
                <w:rFonts w:hint="eastAsia" w:ascii="Times New Roman" w:eastAsia="宋体"/>
                <w:bCs/>
                <w:color w:val="auto"/>
                <w:kern w:val="2"/>
                <w:szCs w:val="21"/>
              </w:rPr>
              <w:t>仓库</w:t>
            </w: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r>
              <w:rPr>
                <w:rFonts w:hint="eastAsia" w:ascii="Times New Roman" w:hAnsi="Times New Roman" w:eastAsia="宋体" w:cs="Times New Roman"/>
                <w:bCs/>
                <w:color w:val="auto"/>
                <w:kern w:val="2"/>
              </w:rPr>
              <w:t>2</w:t>
            </w:r>
          </w:p>
        </w:tc>
        <w:tc>
          <w:tcPr>
            <w:tcW w:w="1116" w:type="pct"/>
            <w:tcBorders>
              <w:tl2br w:val="nil"/>
              <w:tr2bl w:val="nil"/>
            </w:tcBorders>
            <w:noWrap/>
            <w:vAlign w:val="center"/>
          </w:tcPr>
          <w:p>
            <w:pPr>
              <w:pStyle w:val="23"/>
              <w:tabs>
                <w:tab w:val="left" w:pos="1485"/>
                <w:tab w:val="center" w:pos="4113"/>
              </w:tabs>
              <w:rPr>
                <w:rFonts w:hint="default" w:ascii="Times New Roman" w:eastAsia="宋体"/>
                <w:bCs/>
                <w:color w:val="auto"/>
                <w:szCs w:val="21"/>
                <w:lang w:val="en-US" w:eastAsia="zh-CN"/>
              </w:rPr>
            </w:pPr>
            <w:r>
              <w:rPr>
                <w:rFonts w:hint="eastAsia" w:ascii="Times New Roman" w:eastAsia="宋体"/>
                <w:bCs/>
                <w:color w:val="auto"/>
                <w:szCs w:val="21"/>
                <w:lang w:val="en-US" w:eastAsia="zh-CN"/>
              </w:rPr>
              <w:t>10</w:t>
            </w:r>
          </w:p>
        </w:tc>
        <w:tc>
          <w:tcPr>
            <w:tcW w:w="720" w:type="pct"/>
            <w:tcBorders>
              <w:tl2br w:val="nil"/>
              <w:tr2bl w:val="nil"/>
            </w:tcBorders>
            <w:noWrap/>
            <w:vAlign w:val="center"/>
          </w:tcPr>
          <w:p>
            <w:pPr>
              <w:pStyle w:val="23"/>
              <w:tabs>
                <w:tab w:val="left" w:pos="1485"/>
                <w:tab w:val="center" w:pos="4113"/>
              </w:tabs>
              <w:rPr>
                <w:rFonts w:hint="default" w:ascii="Times New Roman" w:eastAsia="宋体"/>
                <w:bCs/>
                <w:color w:val="auto"/>
                <w:szCs w:val="21"/>
                <w:lang w:val="en-US" w:eastAsia="zh-CN"/>
              </w:rPr>
            </w:pPr>
            <w:r>
              <w:rPr>
                <w:rFonts w:hint="eastAsia" w:ascii="Times New Roman" w:eastAsia="宋体"/>
                <w:bCs/>
                <w:color w:val="auto"/>
                <w:szCs w:val="21"/>
                <w:lang w:val="en-US" w:eastAsia="zh-CN"/>
              </w:rPr>
              <w:t>0.2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41" w:type="pct"/>
            <w:tcBorders>
              <w:tl2br w:val="nil"/>
              <w:tr2bl w:val="nil"/>
            </w:tcBorders>
            <w:noWrap/>
            <w:vAlign w:val="center"/>
          </w:tcPr>
          <w:p>
            <w:pPr>
              <w:jc w:val="center"/>
              <w:rPr>
                <w:rFonts w:ascii="Times New Roman" w:hAnsi="Times New Roman" w:eastAsia="宋体" w:cs="Times New Roman"/>
                <w:bCs/>
                <w:color w:val="auto"/>
              </w:rPr>
            </w:pPr>
            <w:r>
              <w:rPr>
                <w:rFonts w:hint="eastAsia" w:ascii="Times New Roman" w:hAnsi="Times New Roman" w:eastAsia="宋体" w:cs="Times New Roman"/>
                <w:bCs/>
                <w:color w:val="auto"/>
              </w:rPr>
              <w:t>合计</w:t>
            </w:r>
          </w:p>
        </w:tc>
        <w:tc>
          <w:tcPr>
            <w:tcW w:w="977" w:type="pct"/>
            <w:tcBorders>
              <w:tl2br w:val="nil"/>
              <w:tr2bl w:val="nil"/>
            </w:tcBorders>
            <w:noWrap/>
            <w:vAlign w:val="center"/>
          </w:tcPr>
          <w:p>
            <w:pPr>
              <w:pStyle w:val="23"/>
              <w:tabs>
                <w:tab w:val="left" w:pos="1485"/>
                <w:tab w:val="center" w:pos="4113"/>
              </w:tabs>
              <w:rPr>
                <w:rFonts w:ascii="Times New Roman" w:eastAsia="宋体"/>
                <w:bCs/>
                <w:color w:val="auto"/>
                <w:szCs w:val="21"/>
              </w:rPr>
            </w:pPr>
          </w:p>
        </w:tc>
        <w:tc>
          <w:tcPr>
            <w:tcW w:w="1043" w:type="pct"/>
            <w:tcBorders>
              <w:tl2br w:val="nil"/>
              <w:tr2bl w:val="nil"/>
            </w:tcBorders>
            <w:noWrap/>
            <w:vAlign w:val="center"/>
          </w:tcPr>
          <w:p>
            <w:pPr>
              <w:jc w:val="center"/>
              <w:rPr>
                <w:rFonts w:ascii="Times New Roman" w:hAnsi="Times New Roman" w:eastAsia="宋体" w:cs="Times New Roman"/>
                <w:bCs/>
                <w:color w:val="auto"/>
                <w:kern w:val="2"/>
              </w:rPr>
            </w:pPr>
          </w:p>
        </w:tc>
        <w:tc>
          <w:tcPr>
            <w:tcW w:w="1116" w:type="pct"/>
            <w:tcBorders>
              <w:tl2br w:val="nil"/>
              <w:tr2bl w:val="nil"/>
            </w:tcBorders>
            <w:noWrap/>
            <w:vAlign w:val="center"/>
          </w:tcPr>
          <w:p>
            <w:pPr>
              <w:pStyle w:val="23"/>
              <w:tabs>
                <w:tab w:val="left" w:pos="1485"/>
                <w:tab w:val="center" w:pos="4113"/>
              </w:tabs>
              <w:rPr>
                <w:rFonts w:ascii="Times New Roman" w:eastAsia="宋体"/>
                <w:bCs/>
                <w:color w:val="auto"/>
                <w:szCs w:val="21"/>
              </w:rPr>
            </w:pPr>
          </w:p>
        </w:tc>
        <w:tc>
          <w:tcPr>
            <w:tcW w:w="720" w:type="pct"/>
            <w:tcBorders>
              <w:tl2br w:val="nil"/>
              <w:tr2bl w:val="nil"/>
            </w:tcBorders>
            <w:noWrap/>
            <w:vAlign w:val="center"/>
          </w:tcPr>
          <w:p>
            <w:pPr>
              <w:pStyle w:val="23"/>
              <w:tabs>
                <w:tab w:val="left" w:pos="1485"/>
                <w:tab w:val="center" w:pos="4113"/>
              </w:tabs>
              <w:rPr>
                <w:rFonts w:hint="default" w:ascii="Times New Roman" w:eastAsia="宋体"/>
                <w:bCs/>
                <w:color w:val="auto"/>
                <w:szCs w:val="21"/>
                <w:lang w:val="en-US" w:eastAsia="zh-CN"/>
              </w:rPr>
            </w:pPr>
            <w:r>
              <w:rPr>
                <w:rFonts w:hint="eastAsia" w:ascii="Times New Roman" w:eastAsia="宋体"/>
                <w:bCs/>
                <w:color w:val="auto"/>
                <w:szCs w:val="21"/>
                <w:lang w:val="en-US" w:eastAsia="zh-CN"/>
              </w:rPr>
              <w:t>23.65</w:t>
            </w:r>
          </w:p>
        </w:tc>
      </w:tr>
    </w:tbl>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left="0" w:right="0" w:firstLine="448" w:firstLineChars="200"/>
        <w:jc w:val="both"/>
        <w:textAlignment w:val="auto"/>
        <w:rPr>
          <w:rFonts w:hint="eastAsia" w:ascii="宋体" w:hAnsi="宋体" w:eastAsia="宋体" w:cs="宋体"/>
          <w:spacing w:val="-8"/>
          <w:sz w:val="24"/>
          <w:szCs w:val="24"/>
          <w:lang w:val="en-US" w:eastAsia="zh-CN" w:bidi="zh-CN"/>
        </w:rPr>
      </w:pP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right="0" w:firstLine="448" w:firstLineChars="2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根据《建设项目环境风险评价技术导则》</w:t>
      </w:r>
      <w:r>
        <w:rPr>
          <w:rFonts w:hint="default" w:ascii="宋体" w:hAnsi="宋体" w:eastAsia="宋体" w:cs="宋体"/>
          <w:spacing w:val="-8"/>
          <w:sz w:val="24"/>
          <w:szCs w:val="24"/>
          <w:lang w:val="en-US" w:eastAsia="zh-CN" w:bidi="zh-CN"/>
        </w:rPr>
        <w:t>(HJ 169-2018)</w:t>
      </w:r>
      <w:r>
        <w:rPr>
          <w:rFonts w:hint="eastAsia" w:ascii="宋体" w:hAnsi="宋体" w:eastAsia="宋体" w:cs="宋体"/>
          <w:spacing w:val="-8"/>
          <w:sz w:val="24"/>
          <w:szCs w:val="24"/>
          <w:lang w:val="en-US" w:eastAsia="zh-CN" w:bidi="zh-CN"/>
        </w:rPr>
        <w:t>中附录</w:t>
      </w:r>
      <w:r>
        <w:rPr>
          <w:rFonts w:hint="default" w:ascii="宋体" w:hAnsi="宋体" w:eastAsia="宋体" w:cs="宋体"/>
          <w:spacing w:val="-8"/>
          <w:sz w:val="24"/>
          <w:szCs w:val="24"/>
          <w:lang w:val="en-US" w:eastAsia="zh-CN" w:bidi="zh-CN"/>
        </w:rPr>
        <w:t>C</w:t>
      </w:r>
      <w:r>
        <w:rPr>
          <w:rFonts w:hint="eastAsia" w:ascii="宋体" w:hAnsi="宋体" w:eastAsia="宋体" w:cs="宋体"/>
          <w:spacing w:val="-8"/>
          <w:sz w:val="24"/>
          <w:szCs w:val="24"/>
          <w:lang w:val="en-US" w:eastAsia="zh-CN" w:bidi="zh-CN"/>
        </w:rPr>
        <w:t>，计算所涉及的每种危险物质在厂</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right="0" w:firstLine="448" w:firstLineChars="2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界内的最大存在总量与其在附录</w:t>
      </w:r>
      <w:r>
        <w:rPr>
          <w:rFonts w:hint="default" w:ascii="宋体" w:hAnsi="宋体" w:eastAsia="宋体" w:cs="宋体"/>
          <w:spacing w:val="-8"/>
          <w:sz w:val="24"/>
          <w:szCs w:val="24"/>
          <w:lang w:val="en-US" w:eastAsia="zh-CN" w:bidi="zh-CN"/>
        </w:rPr>
        <w:t>B</w:t>
      </w:r>
      <w:r>
        <w:rPr>
          <w:rFonts w:hint="eastAsia" w:ascii="宋体" w:hAnsi="宋体" w:eastAsia="宋体" w:cs="宋体"/>
          <w:spacing w:val="-8"/>
          <w:sz w:val="24"/>
          <w:szCs w:val="24"/>
          <w:lang w:val="en-US" w:eastAsia="zh-CN" w:bidi="zh-CN"/>
        </w:rPr>
        <w:t>中对应临界量的比值</w:t>
      </w:r>
      <w:r>
        <w:rPr>
          <w:rFonts w:hint="default" w:ascii="宋体" w:hAnsi="宋体" w:eastAsia="宋体" w:cs="宋体"/>
          <w:spacing w:val="-8"/>
          <w:sz w:val="24"/>
          <w:szCs w:val="24"/>
          <w:lang w:val="en-US" w:eastAsia="zh-CN" w:bidi="zh-CN"/>
        </w:rPr>
        <w:t xml:space="preserve"> Q</w:t>
      </w:r>
      <w:r>
        <w:rPr>
          <w:rFonts w:hint="eastAsia" w:ascii="宋体" w:hAnsi="宋体" w:eastAsia="宋体" w:cs="宋体"/>
          <w:spacing w:val="-8"/>
          <w:sz w:val="24"/>
          <w:szCs w:val="24"/>
          <w:lang w:val="en-US" w:eastAsia="zh-CN" w:bidi="zh-CN"/>
        </w:rPr>
        <w:t>。在不同厂区的同一种物质，按其在厂界</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right="0" w:firstLine="448" w:firstLineChars="2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内的最大存在总量计算。对于长输管线项目，按照两个截断阀室之间管段危险物质最大存在总量计算。</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right="0" w:firstLine="448" w:firstLineChars="2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当只涉及一种危险物质时，计算该物质的总量与其临界量比值，即为</w:t>
      </w:r>
      <w:r>
        <w:rPr>
          <w:rFonts w:hint="default" w:ascii="宋体" w:hAnsi="宋体" w:eastAsia="宋体" w:cs="宋体"/>
          <w:spacing w:val="-8"/>
          <w:sz w:val="24"/>
          <w:szCs w:val="24"/>
          <w:lang w:val="en-US" w:eastAsia="zh-CN" w:bidi="zh-CN"/>
        </w:rPr>
        <w:t>Q</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 xml:space="preserve"> </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left="0" w:right="0" w:firstLine="672" w:firstLineChars="3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当存在多种危险物质时，则按下式计算物质总量与其临界量比值（</w:t>
      </w:r>
      <w:r>
        <w:rPr>
          <w:rFonts w:hint="default" w:ascii="宋体" w:hAnsi="宋体" w:eastAsia="宋体" w:cs="宋体"/>
          <w:spacing w:val="-8"/>
          <w:sz w:val="24"/>
          <w:szCs w:val="24"/>
          <w:lang w:val="en-US" w:eastAsia="zh-CN" w:bidi="zh-CN"/>
        </w:rPr>
        <w:t>Q</w:t>
      </w:r>
      <w:r>
        <w:rPr>
          <w:rFonts w:hint="eastAsia" w:ascii="宋体" w:hAnsi="宋体" w:eastAsia="宋体" w:cs="宋体"/>
          <w:spacing w:val="-8"/>
          <w:sz w:val="24"/>
          <w:szCs w:val="24"/>
          <w:lang w:val="en-US" w:eastAsia="zh-CN" w:bidi="zh-CN"/>
        </w:rPr>
        <w:t>）：</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left="0" w:right="0" w:firstLine="448" w:firstLineChars="2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 xml:space="preserve">  </w:t>
      </w:r>
      <w:r>
        <w:rPr>
          <w:rFonts w:hint="default" w:ascii="宋体" w:hAnsi="宋体" w:eastAsia="宋体" w:cs="宋体"/>
          <w:spacing w:val="-8"/>
          <w:sz w:val="24"/>
          <w:szCs w:val="24"/>
          <w:lang w:val="en-US" w:eastAsia="zh-CN" w:bidi="zh-CN"/>
        </w:rPr>
        <w:drawing>
          <wp:inline distT="0" distB="0" distL="114300" distR="114300">
            <wp:extent cx="1390650" cy="447675"/>
            <wp:effectExtent l="0" t="0" r="0" b="9525"/>
            <wp:docPr id="4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8"/>
                    <pic:cNvPicPr>
                      <a:picLocks noChangeAspect="1"/>
                    </pic:cNvPicPr>
                  </pic:nvPicPr>
                  <pic:blipFill>
                    <a:blip r:embed="rId37"/>
                    <a:stretch>
                      <a:fillRect/>
                    </a:stretch>
                  </pic:blipFill>
                  <pic:spPr>
                    <a:xfrm>
                      <a:off x="0" y="0"/>
                      <a:ext cx="1390650" cy="447675"/>
                    </a:xfrm>
                    <a:prstGeom prst="rect">
                      <a:avLst/>
                    </a:prstGeom>
                    <a:noFill/>
                    <a:ln>
                      <a:noFill/>
                    </a:ln>
                  </pic:spPr>
                </pic:pic>
              </a:graphicData>
            </a:graphic>
          </wp:inline>
        </w:drawing>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left="0" w:right="0" w:firstLine="672" w:firstLineChars="3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危险物质数量与临界量的比值（</w:t>
      </w:r>
      <w:r>
        <w:rPr>
          <w:rFonts w:hint="default" w:ascii="宋体" w:hAnsi="宋体" w:eastAsia="宋体" w:cs="宋体"/>
          <w:spacing w:val="-8"/>
          <w:sz w:val="24"/>
          <w:szCs w:val="24"/>
          <w:lang w:val="en-US" w:eastAsia="zh-CN" w:bidi="zh-CN"/>
        </w:rPr>
        <w:t>Q</w:t>
      </w:r>
      <w:r>
        <w:rPr>
          <w:rFonts w:hint="eastAsia" w:ascii="宋体" w:hAnsi="宋体" w:eastAsia="宋体" w:cs="宋体"/>
          <w:spacing w:val="-8"/>
          <w:sz w:val="24"/>
          <w:szCs w:val="24"/>
          <w:lang w:val="en-US" w:eastAsia="zh-CN" w:bidi="zh-CN"/>
        </w:rPr>
        <w:t>）计算方法见如下公式：</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left="0" w:right="0" w:firstLine="672" w:firstLineChars="3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式中：</w:t>
      </w:r>
      <w:r>
        <w:rPr>
          <w:rFonts w:hint="default" w:ascii="宋体" w:hAnsi="宋体" w:eastAsia="宋体" w:cs="宋体"/>
          <w:spacing w:val="-8"/>
          <w:sz w:val="24"/>
          <w:szCs w:val="24"/>
          <w:lang w:val="en-US" w:eastAsia="zh-CN" w:bidi="zh-CN"/>
        </w:rPr>
        <w:t>q1</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q2</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…qn——</w:t>
      </w:r>
      <w:r>
        <w:rPr>
          <w:rFonts w:hint="eastAsia" w:ascii="宋体" w:hAnsi="宋体" w:eastAsia="宋体" w:cs="宋体"/>
          <w:spacing w:val="-8"/>
          <w:sz w:val="24"/>
          <w:szCs w:val="24"/>
          <w:lang w:val="en-US" w:eastAsia="zh-CN" w:bidi="zh-CN"/>
        </w:rPr>
        <w:t>每种危险物质的最大存在总量，</w:t>
      </w:r>
      <w:r>
        <w:rPr>
          <w:rFonts w:hint="default" w:ascii="宋体" w:hAnsi="宋体" w:eastAsia="宋体" w:cs="宋体"/>
          <w:spacing w:val="-8"/>
          <w:sz w:val="24"/>
          <w:szCs w:val="24"/>
          <w:lang w:val="en-US" w:eastAsia="zh-CN" w:bidi="zh-CN"/>
        </w:rPr>
        <w:t>t</w:t>
      </w:r>
      <w:r>
        <w:rPr>
          <w:rFonts w:hint="eastAsia" w:ascii="宋体" w:hAnsi="宋体" w:eastAsia="宋体" w:cs="宋体"/>
          <w:spacing w:val="-8"/>
          <w:sz w:val="24"/>
          <w:szCs w:val="24"/>
          <w:lang w:val="en-US" w:eastAsia="zh-CN" w:bidi="zh-CN"/>
        </w:rPr>
        <w:t>；</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left="0" w:right="0" w:firstLine="672" w:firstLineChars="300"/>
        <w:jc w:val="both"/>
        <w:textAlignment w:val="auto"/>
        <w:rPr>
          <w:rFonts w:hint="eastAsia" w:ascii="宋体" w:hAnsi="宋体" w:eastAsia="宋体" w:cs="宋体"/>
          <w:spacing w:val="-8"/>
          <w:sz w:val="24"/>
          <w:szCs w:val="24"/>
          <w:lang w:val="en-US" w:eastAsia="zh-CN" w:bidi="zh-CN"/>
        </w:rPr>
      </w:pPr>
      <w:r>
        <w:rPr>
          <w:rFonts w:hint="default" w:ascii="宋体" w:hAnsi="宋体" w:eastAsia="宋体" w:cs="宋体"/>
          <w:spacing w:val="-8"/>
          <w:sz w:val="24"/>
          <w:szCs w:val="24"/>
          <w:lang w:val="en-US" w:eastAsia="zh-CN" w:bidi="zh-CN"/>
        </w:rPr>
        <w:t>Q1</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Q2</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…Qn——</w:t>
      </w:r>
      <w:r>
        <w:rPr>
          <w:rFonts w:hint="eastAsia" w:ascii="宋体" w:hAnsi="宋体" w:eastAsia="宋体" w:cs="宋体"/>
          <w:spacing w:val="-8"/>
          <w:sz w:val="24"/>
          <w:szCs w:val="24"/>
          <w:lang w:val="en-US" w:eastAsia="zh-CN" w:bidi="zh-CN"/>
        </w:rPr>
        <w:t>每种危险物质的临界量，</w:t>
      </w:r>
      <w:r>
        <w:rPr>
          <w:rFonts w:hint="default" w:ascii="宋体" w:hAnsi="宋体" w:eastAsia="宋体" w:cs="宋体"/>
          <w:spacing w:val="-8"/>
          <w:sz w:val="24"/>
          <w:szCs w:val="24"/>
          <w:lang w:val="en-US" w:eastAsia="zh-CN" w:bidi="zh-CN"/>
        </w:rPr>
        <w:t>t</w:t>
      </w:r>
      <w:r>
        <w:rPr>
          <w:rFonts w:hint="eastAsia" w:ascii="宋体" w:hAnsi="宋体" w:eastAsia="宋体" w:cs="宋体"/>
          <w:spacing w:val="-8"/>
          <w:sz w:val="24"/>
          <w:szCs w:val="24"/>
          <w:lang w:val="en-US" w:eastAsia="zh-CN" w:bidi="zh-CN"/>
        </w:rPr>
        <w:t>。</w:t>
      </w:r>
    </w:p>
    <w:p>
      <w:pPr>
        <w:keepNext w:val="0"/>
        <w:keepLines w:val="0"/>
        <w:pageBreakBefore w:val="0"/>
        <w:widowControl w:val="0"/>
        <w:suppressLineNumbers w:val="0"/>
        <w:kinsoku/>
        <w:wordWrap/>
        <w:overflowPunct/>
        <w:topLinePunct w:val="0"/>
        <w:autoSpaceDE w:val="0"/>
        <w:autoSpaceDN w:val="0"/>
        <w:bidi w:val="0"/>
        <w:adjustRightInd/>
        <w:snapToGrid w:val="0"/>
        <w:spacing w:before="0" w:beforeAutospacing="0" w:after="0" w:afterAutospacing="0" w:line="360" w:lineRule="auto"/>
        <w:ind w:right="0" w:firstLine="672" w:firstLineChars="300"/>
        <w:jc w:val="both"/>
        <w:textAlignment w:val="auto"/>
        <w:rPr>
          <w:rFonts w:hint="eastAsia" w:ascii="宋体" w:hAnsi="宋体" w:eastAsia="宋体" w:cs="宋体"/>
          <w:spacing w:val="-8"/>
          <w:sz w:val="24"/>
          <w:szCs w:val="24"/>
          <w:lang w:val="en-US" w:eastAsia="zh-CN" w:bidi="zh-CN"/>
        </w:rPr>
      </w:pPr>
      <w:r>
        <w:rPr>
          <w:rFonts w:hint="eastAsia" w:ascii="宋体" w:hAnsi="宋体" w:eastAsia="宋体" w:cs="宋体"/>
          <w:spacing w:val="-8"/>
          <w:sz w:val="24"/>
          <w:szCs w:val="24"/>
          <w:lang w:val="en-US" w:eastAsia="zh-CN" w:bidi="zh-CN"/>
        </w:rPr>
        <w:t>当</w:t>
      </w:r>
      <w:r>
        <w:rPr>
          <w:rFonts w:hint="default" w:ascii="宋体" w:hAnsi="宋体" w:eastAsia="宋体" w:cs="宋体"/>
          <w:spacing w:val="-8"/>
          <w:sz w:val="24"/>
          <w:szCs w:val="24"/>
          <w:lang w:val="en-US" w:eastAsia="zh-CN" w:bidi="zh-CN"/>
        </w:rPr>
        <w:t>Q&lt;1</w:t>
      </w:r>
      <w:r>
        <w:rPr>
          <w:rFonts w:hint="eastAsia" w:ascii="宋体" w:hAnsi="宋体" w:eastAsia="宋体" w:cs="宋体"/>
          <w:spacing w:val="-8"/>
          <w:sz w:val="24"/>
          <w:szCs w:val="24"/>
          <w:lang w:val="en-US" w:eastAsia="zh-CN" w:bidi="zh-CN"/>
        </w:rPr>
        <w:t>时，该项目环境风险潜势为</w:t>
      </w:r>
      <w:r>
        <w:rPr>
          <w:rFonts w:hint="default" w:ascii="宋体" w:hAnsi="宋体" w:eastAsia="宋体" w:cs="宋体"/>
          <w:spacing w:val="-8"/>
          <w:sz w:val="24"/>
          <w:szCs w:val="24"/>
          <w:lang w:val="en-US" w:eastAsia="zh-CN" w:bidi="zh-CN"/>
        </w:rPr>
        <w:t>Ⅰ</w:t>
      </w:r>
      <w:r>
        <w:rPr>
          <w:rFonts w:hint="eastAsia" w:ascii="宋体" w:hAnsi="宋体" w:eastAsia="宋体" w:cs="宋体"/>
          <w:spacing w:val="-8"/>
          <w:sz w:val="24"/>
          <w:szCs w:val="24"/>
          <w:lang w:val="en-US" w:eastAsia="zh-CN" w:bidi="zh-CN"/>
        </w:rPr>
        <w:t>。当</w:t>
      </w:r>
      <w:r>
        <w:rPr>
          <w:rFonts w:hint="default" w:ascii="宋体" w:hAnsi="宋体" w:eastAsia="宋体" w:cs="宋体"/>
          <w:spacing w:val="-8"/>
          <w:sz w:val="24"/>
          <w:szCs w:val="24"/>
          <w:lang w:val="en-US" w:eastAsia="zh-CN" w:bidi="zh-CN"/>
        </w:rPr>
        <w:t>Q≥1</w:t>
      </w:r>
      <w:r>
        <w:rPr>
          <w:rFonts w:hint="eastAsia" w:ascii="宋体" w:hAnsi="宋体" w:eastAsia="宋体" w:cs="宋体"/>
          <w:spacing w:val="-8"/>
          <w:sz w:val="24"/>
          <w:szCs w:val="24"/>
          <w:lang w:val="en-US" w:eastAsia="zh-CN" w:bidi="zh-CN"/>
        </w:rPr>
        <w:t>时，将</w:t>
      </w:r>
      <w:r>
        <w:rPr>
          <w:rFonts w:hint="default" w:ascii="宋体" w:hAnsi="宋体" w:eastAsia="宋体" w:cs="宋体"/>
          <w:spacing w:val="-8"/>
          <w:sz w:val="24"/>
          <w:szCs w:val="24"/>
          <w:lang w:val="en-US" w:eastAsia="zh-CN" w:bidi="zh-CN"/>
        </w:rPr>
        <w:t>Q</w:t>
      </w:r>
      <w:r>
        <w:rPr>
          <w:rFonts w:hint="eastAsia" w:ascii="宋体" w:hAnsi="宋体" w:eastAsia="宋体" w:cs="宋体"/>
          <w:spacing w:val="-8"/>
          <w:sz w:val="24"/>
          <w:szCs w:val="24"/>
          <w:lang w:val="en-US" w:eastAsia="zh-CN" w:bidi="zh-CN"/>
        </w:rPr>
        <w:t>值划分为：（</w:t>
      </w:r>
      <w:r>
        <w:rPr>
          <w:rFonts w:hint="default" w:ascii="宋体" w:hAnsi="宋体" w:eastAsia="宋体" w:cs="宋体"/>
          <w:spacing w:val="-8"/>
          <w:sz w:val="24"/>
          <w:szCs w:val="24"/>
          <w:lang w:val="en-US" w:eastAsia="zh-CN" w:bidi="zh-CN"/>
        </w:rPr>
        <w:t>1</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1≤Q</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10</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2</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10≤Q</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100</w:t>
      </w:r>
      <w:r>
        <w:rPr>
          <w:rFonts w:hint="eastAsia" w:ascii="宋体" w:hAnsi="宋体" w:eastAsia="宋体" w:cs="宋体"/>
          <w:spacing w:val="-8"/>
          <w:sz w:val="24"/>
          <w:szCs w:val="24"/>
          <w:lang w:val="en-US" w:eastAsia="zh-CN" w:bidi="zh-CN"/>
        </w:rPr>
        <w:t>；</w:t>
      </w:r>
    </w:p>
    <w:p>
      <w:pPr>
        <w:spacing w:before="188" w:line="218" w:lineRule="auto"/>
        <w:ind w:firstLine="611"/>
        <w:outlineLvl w:val="0"/>
        <w:rPr>
          <w:rFonts w:ascii="宋体" w:hAnsi="宋体" w:eastAsia="宋体" w:cs="宋体"/>
          <w:sz w:val="24"/>
          <w:szCs w:val="24"/>
        </w:rPr>
      </w:pP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3</w:t>
      </w:r>
      <w:r>
        <w:rPr>
          <w:rFonts w:hint="eastAsia" w:ascii="宋体" w:hAnsi="宋体" w:eastAsia="宋体" w:cs="宋体"/>
          <w:spacing w:val="-8"/>
          <w:sz w:val="24"/>
          <w:szCs w:val="24"/>
          <w:lang w:val="en-US" w:eastAsia="zh-CN" w:bidi="zh-CN"/>
        </w:rPr>
        <w:t>）</w:t>
      </w:r>
      <w:r>
        <w:rPr>
          <w:rFonts w:hint="default" w:ascii="宋体" w:hAnsi="宋体" w:eastAsia="宋体" w:cs="宋体"/>
          <w:spacing w:val="-8"/>
          <w:sz w:val="24"/>
          <w:szCs w:val="24"/>
          <w:lang w:val="en-US" w:eastAsia="zh-CN" w:bidi="zh-CN"/>
        </w:rPr>
        <w:t>Q≥100</w:t>
      </w:r>
      <w:r>
        <w:rPr>
          <w:rFonts w:hint="eastAsia" w:ascii="宋体" w:hAnsi="宋体" w:eastAsia="宋体" w:cs="宋体"/>
          <w:spacing w:val="-8"/>
          <w:sz w:val="24"/>
          <w:szCs w:val="24"/>
          <w:lang w:val="en-US" w:eastAsia="zh-CN" w:bidi="zh-CN"/>
        </w:rPr>
        <w:t>。</w:t>
      </w:r>
      <w:r>
        <w:rPr>
          <w:rFonts w:ascii="宋体" w:hAnsi="宋体" w:eastAsia="宋体" w:cs="宋体"/>
          <w:sz w:val="24"/>
          <w:szCs w:val="24"/>
        </w:rPr>
        <w:t>根据本项目所述行业及生产工业特点</w:t>
      </w:r>
      <w:r>
        <w:rPr>
          <w:rFonts w:ascii="宋体" w:hAnsi="宋体" w:eastAsia="宋体" w:cs="宋体"/>
          <w:spacing w:val="-19"/>
          <w:sz w:val="24"/>
          <w:szCs w:val="24"/>
        </w:rPr>
        <w:t>，</w:t>
      </w:r>
      <w:r>
        <w:rPr>
          <w:rFonts w:ascii="宋体" w:hAnsi="宋体" w:eastAsia="宋体" w:cs="宋体"/>
          <w:sz w:val="24"/>
          <w:szCs w:val="24"/>
        </w:rPr>
        <w:t>按照《建设项目环境风险评价技术导则》</w:t>
      </w:r>
      <w:r>
        <w:rPr>
          <w:rFonts w:ascii="宋体" w:hAnsi="宋体" w:eastAsia="宋体" w:cs="宋体"/>
          <w:position w:val="1"/>
          <w:sz w:val="24"/>
          <w:szCs w:val="24"/>
        </w:rPr>
        <w:t>（</w:t>
      </w:r>
      <w:r>
        <w:rPr>
          <w:rFonts w:ascii="Times New Roman" w:hAnsi="Times New Roman" w:eastAsia="Times New Roman" w:cs="Times New Roman"/>
          <w:position w:val="1"/>
          <w:sz w:val="24"/>
          <w:szCs w:val="24"/>
        </w:rPr>
        <w:t>HJ/T169-2018</w:t>
      </w:r>
      <w:r>
        <w:rPr>
          <w:rFonts w:ascii="宋体" w:hAnsi="宋体" w:eastAsia="宋体" w:cs="宋体"/>
          <w:spacing w:val="-65"/>
          <w:position w:val="1"/>
          <w:sz w:val="24"/>
          <w:szCs w:val="24"/>
        </w:rPr>
        <w:t>）</w:t>
      </w:r>
      <w:r>
        <w:rPr>
          <w:rFonts w:ascii="宋体" w:hAnsi="宋体" w:eastAsia="宋体" w:cs="宋体"/>
          <w:position w:val="1"/>
          <w:sz w:val="24"/>
          <w:szCs w:val="24"/>
        </w:rPr>
        <w:t>附录</w:t>
      </w:r>
      <w:r>
        <w:rPr>
          <w:rFonts w:ascii="Times New Roman" w:hAnsi="Times New Roman" w:eastAsia="Times New Roman" w:cs="Times New Roman"/>
          <w:position w:val="1"/>
          <w:sz w:val="24"/>
          <w:szCs w:val="24"/>
        </w:rPr>
        <w:t>C.1</w:t>
      </w:r>
      <w:r>
        <w:rPr>
          <w:rFonts w:ascii="宋体" w:hAnsi="宋体" w:eastAsia="宋体" w:cs="宋体"/>
          <w:position w:val="1"/>
          <w:sz w:val="24"/>
          <w:szCs w:val="24"/>
        </w:rPr>
        <w:t>评估生产工艺情况见表</w:t>
      </w:r>
      <w:r>
        <w:rPr>
          <w:rFonts w:hint="eastAsia" w:cs="宋体"/>
          <w:position w:val="1"/>
          <w:sz w:val="24"/>
          <w:szCs w:val="24"/>
          <w:lang w:val="en-US" w:eastAsia="zh-CN"/>
        </w:rPr>
        <w:t>3.2</w:t>
      </w:r>
      <w:r>
        <w:rPr>
          <w:rFonts w:ascii="Times New Roman" w:hAnsi="Times New Roman" w:eastAsia="Times New Roman" w:cs="Times New Roman"/>
          <w:position w:val="1"/>
          <w:sz w:val="24"/>
          <w:szCs w:val="24"/>
        </w:rPr>
        <w:t>-</w:t>
      </w:r>
      <w:r>
        <w:rPr>
          <w:rFonts w:hint="eastAsia" w:ascii="Times New Roman" w:hAnsi="Times New Roman" w:cs="Times New Roman"/>
          <w:position w:val="1"/>
          <w:sz w:val="24"/>
          <w:szCs w:val="24"/>
          <w:lang w:val="en-US" w:eastAsia="zh-CN"/>
        </w:rPr>
        <w:t>2</w:t>
      </w:r>
      <w:r>
        <w:rPr>
          <w:rFonts w:ascii="宋体" w:hAnsi="宋体" w:eastAsia="宋体" w:cs="宋体"/>
          <w:spacing w:val="-65"/>
          <w:position w:val="1"/>
          <w:sz w:val="24"/>
          <w:szCs w:val="24"/>
        </w:rPr>
        <w:t>，</w:t>
      </w:r>
      <w:r>
        <w:rPr>
          <w:rFonts w:ascii="宋体" w:hAnsi="宋体" w:eastAsia="宋体" w:cs="宋体"/>
          <w:position w:val="1"/>
          <w:sz w:val="24"/>
          <w:szCs w:val="24"/>
        </w:rPr>
        <w:t xml:space="preserve">结果见表 </w:t>
      </w:r>
      <w:r>
        <w:rPr>
          <w:rFonts w:hint="eastAsia" w:ascii="Times New Roman" w:hAnsi="Times New Roman" w:eastAsia="宋体" w:cs="Times New Roman"/>
          <w:position w:val="1"/>
          <w:sz w:val="24"/>
          <w:szCs w:val="24"/>
          <w:lang w:val="en-US" w:eastAsia="zh-CN"/>
        </w:rPr>
        <w:t>3.2-3</w:t>
      </w:r>
      <w:r>
        <w:rPr>
          <w:rFonts w:ascii="宋体" w:hAnsi="宋体" w:eastAsia="宋体" w:cs="宋体"/>
          <w:spacing w:val="-65"/>
          <w:position w:val="1"/>
          <w:sz w:val="24"/>
          <w:szCs w:val="24"/>
        </w:rPr>
        <w:t>。</w:t>
      </w:r>
    </w:p>
    <w:p>
      <w:pPr>
        <w:spacing w:before="308" w:line="214" w:lineRule="auto"/>
        <w:ind w:firstLine="2780"/>
        <w:outlineLvl w:val="0"/>
        <w:rPr>
          <w:rFonts w:ascii="宋体" w:hAnsi="宋体" w:eastAsia="宋体" w:cs="宋体"/>
          <w:sz w:val="24"/>
          <w:szCs w:val="24"/>
        </w:rPr>
      </w:pPr>
      <w:r>
        <w:rPr>
          <w:rFonts w:ascii="宋体" w:hAnsi="宋体" w:eastAsia="宋体" w:cs="宋体"/>
          <w:sz w:val="24"/>
          <w:szCs w:val="24"/>
        </w:rPr>
        <w:t>表</w:t>
      </w:r>
      <w:r>
        <w:rPr>
          <w:rFonts w:hint="eastAsia" w:cs="宋体"/>
          <w:position w:val="1"/>
          <w:sz w:val="24"/>
          <w:szCs w:val="24"/>
          <w:lang w:val="en-US" w:eastAsia="zh-CN"/>
        </w:rPr>
        <w:t>3.2</w:t>
      </w:r>
      <w:r>
        <w:rPr>
          <w:rFonts w:ascii="Times New Roman" w:hAnsi="Times New Roman" w:eastAsia="Times New Roman" w:cs="Times New Roman"/>
          <w:position w:val="1"/>
          <w:sz w:val="24"/>
          <w:szCs w:val="24"/>
        </w:rPr>
        <w:t>-</w:t>
      </w:r>
      <w:r>
        <w:rPr>
          <w:rFonts w:hint="eastAsia" w:ascii="Times New Roman" w:hAnsi="Times New Roman" w:cs="Times New Roman"/>
          <w:position w:val="1"/>
          <w:sz w:val="24"/>
          <w:szCs w:val="24"/>
          <w:lang w:val="en-US" w:eastAsia="zh-CN"/>
        </w:rPr>
        <w:t>2</w:t>
      </w:r>
      <w:r>
        <w:rPr>
          <w:rFonts w:ascii="宋体" w:hAnsi="宋体" w:eastAsia="宋体" w:cs="宋体"/>
          <w:sz w:val="24"/>
          <w:szCs w:val="24"/>
        </w:rPr>
        <w:t>行业及生产工艺</w:t>
      </w:r>
    </w:p>
    <w:tbl>
      <w:tblPr>
        <w:tblStyle w:val="18"/>
        <w:tblW w:w="4618" w:type="pct"/>
        <w:tblInd w:w="3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47"/>
        <w:gridCol w:w="7880"/>
        <w:gridCol w:w="9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 w:hRule="atLeast"/>
        </w:trPr>
        <w:tc>
          <w:tcPr>
            <w:tcW w:w="826" w:type="pct"/>
            <w:vMerge w:val="restart"/>
            <w:tcBorders>
              <w:left w:val="nil"/>
              <w:bottom w:val="nil"/>
            </w:tcBorders>
          </w:tcPr>
          <w:p>
            <w:pPr>
              <w:spacing w:line="258" w:lineRule="auto"/>
            </w:pPr>
          </w:p>
          <w:p>
            <w:pPr>
              <w:spacing w:line="259" w:lineRule="auto"/>
            </w:pPr>
          </w:p>
          <w:p>
            <w:pPr>
              <w:spacing w:before="68" w:line="222" w:lineRule="auto"/>
              <w:ind w:firstLine="117"/>
              <w:rPr>
                <w:rFonts w:ascii="宋体" w:hAnsi="宋体" w:eastAsia="宋体" w:cs="宋体"/>
              </w:rPr>
            </w:pPr>
            <w:r>
              <w:rPr>
                <w:rFonts w:ascii="宋体" w:hAnsi="宋体" w:eastAsia="宋体" w:cs="宋体"/>
              </w:rPr>
              <w:t>石化</w:t>
            </w:r>
            <w:r>
              <w:rPr>
                <w:rFonts w:ascii="宋体" w:hAnsi="宋体" w:eastAsia="宋体" w:cs="宋体"/>
                <w:spacing w:val="-13"/>
              </w:rPr>
              <w:t>、</w:t>
            </w:r>
            <w:r>
              <w:rPr>
                <w:rFonts w:ascii="宋体" w:hAnsi="宋体" w:eastAsia="宋体" w:cs="宋体"/>
              </w:rPr>
              <w:t>化工</w:t>
            </w:r>
            <w:r>
              <w:rPr>
                <w:rFonts w:ascii="宋体" w:hAnsi="宋体" w:eastAsia="宋体" w:cs="宋体"/>
                <w:spacing w:val="-12"/>
              </w:rPr>
              <w:t>、</w:t>
            </w:r>
            <w:r>
              <w:rPr>
                <w:rFonts w:ascii="宋体" w:hAnsi="宋体" w:eastAsia="宋体" w:cs="宋体"/>
              </w:rPr>
              <w:t>医</w:t>
            </w:r>
          </w:p>
          <w:p>
            <w:pPr>
              <w:spacing w:before="20" w:line="221" w:lineRule="auto"/>
              <w:ind w:firstLine="118"/>
              <w:rPr>
                <w:rFonts w:ascii="宋体" w:hAnsi="宋体" w:eastAsia="宋体" w:cs="宋体"/>
              </w:rPr>
            </w:pPr>
            <w:r>
              <w:rPr>
                <w:rFonts w:ascii="宋体" w:hAnsi="宋体" w:eastAsia="宋体" w:cs="宋体"/>
              </w:rPr>
              <w:t>药</w:t>
            </w:r>
            <w:r>
              <w:rPr>
                <w:rFonts w:ascii="宋体" w:hAnsi="宋体" w:eastAsia="宋体" w:cs="宋体"/>
                <w:spacing w:val="-49"/>
              </w:rPr>
              <w:t>、</w:t>
            </w:r>
            <w:r>
              <w:rPr>
                <w:rFonts w:ascii="宋体" w:hAnsi="宋体" w:eastAsia="宋体" w:cs="宋体"/>
              </w:rPr>
              <w:t>轻工</w:t>
            </w:r>
            <w:r>
              <w:rPr>
                <w:rFonts w:ascii="宋体" w:hAnsi="宋体" w:eastAsia="宋体" w:cs="宋体"/>
                <w:spacing w:val="-49"/>
              </w:rPr>
              <w:t>、</w:t>
            </w:r>
            <w:r>
              <w:rPr>
                <w:rFonts w:ascii="宋体" w:hAnsi="宋体" w:eastAsia="宋体" w:cs="宋体"/>
              </w:rPr>
              <w:t>化纤</w:t>
            </w:r>
            <w:r>
              <w:rPr>
                <w:rFonts w:ascii="宋体" w:hAnsi="宋体" w:eastAsia="宋体" w:cs="宋体"/>
                <w:spacing w:val="-49"/>
              </w:rPr>
              <w:t>、</w:t>
            </w:r>
          </w:p>
          <w:p>
            <w:pPr>
              <w:spacing w:before="19" w:line="221" w:lineRule="auto"/>
              <w:ind w:firstLine="316"/>
              <w:rPr>
                <w:rFonts w:ascii="宋体" w:hAnsi="宋体" w:eastAsia="宋体" w:cs="宋体"/>
              </w:rPr>
            </w:pPr>
            <w:r>
              <w:rPr>
                <w:rFonts w:ascii="宋体" w:hAnsi="宋体" w:eastAsia="宋体" w:cs="宋体"/>
                <w:spacing w:val="-2"/>
              </w:rPr>
              <w:t>有</w:t>
            </w:r>
            <w:r>
              <w:rPr>
                <w:rFonts w:ascii="宋体" w:hAnsi="宋体" w:eastAsia="宋体" w:cs="宋体"/>
                <w:spacing w:val="-1"/>
              </w:rPr>
              <w:t>色冶炼等</w:t>
            </w:r>
          </w:p>
        </w:tc>
        <w:tc>
          <w:tcPr>
            <w:tcW w:w="3726" w:type="pct"/>
            <w:tcBorders>
              <w:bottom w:val="nil"/>
            </w:tcBorders>
          </w:tcPr>
          <w:p>
            <w:pPr>
              <w:spacing w:before="34" w:line="210" w:lineRule="auto"/>
              <w:ind w:firstLine="115"/>
              <w:rPr>
                <w:rFonts w:ascii="宋体" w:hAnsi="宋体" w:eastAsia="宋体" w:cs="宋体"/>
              </w:rPr>
            </w:pPr>
            <w:r>
              <w:rPr>
                <w:rFonts w:ascii="宋体" w:hAnsi="宋体" w:eastAsia="宋体" w:cs="宋体"/>
              </w:rPr>
              <w:t>涉及光气及光气化工艺</w:t>
            </w:r>
            <w:r>
              <w:rPr>
                <w:rFonts w:ascii="宋体" w:hAnsi="宋体" w:eastAsia="宋体" w:cs="宋体"/>
                <w:spacing w:val="-41"/>
              </w:rPr>
              <w:t>、</w:t>
            </w:r>
            <w:r>
              <w:rPr>
                <w:rFonts w:ascii="宋体" w:hAnsi="宋体" w:eastAsia="宋体" w:cs="宋体"/>
              </w:rPr>
              <w:t>电解工艺（氯碱</w:t>
            </w:r>
            <w:r>
              <w:rPr>
                <w:rFonts w:ascii="宋体" w:hAnsi="宋体" w:eastAsia="宋体" w:cs="宋体"/>
                <w:spacing w:val="-41"/>
              </w:rPr>
              <w:t>）</w:t>
            </w:r>
            <w:r>
              <w:rPr>
                <w:rFonts w:ascii="宋体" w:hAnsi="宋体" w:eastAsia="宋体" w:cs="宋体"/>
                <w:spacing w:val="-40"/>
              </w:rPr>
              <w:t>、</w:t>
            </w:r>
            <w:r>
              <w:rPr>
                <w:rFonts w:ascii="宋体" w:hAnsi="宋体" w:eastAsia="宋体" w:cs="宋体"/>
              </w:rPr>
              <w:t>氯化工艺</w:t>
            </w:r>
            <w:r>
              <w:rPr>
                <w:rFonts w:ascii="宋体" w:hAnsi="宋体" w:eastAsia="宋体" w:cs="宋体"/>
                <w:spacing w:val="-40"/>
              </w:rPr>
              <w:t>、</w:t>
            </w:r>
            <w:r>
              <w:rPr>
                <w:rFonts w:ascii="宋体" w:hAnsi="宋体" w:eastAsia="宋体" w:cs="宋体"/>
              </w:rPr>
              <w:t>硝化工艺</w:t>
            </w:r>
            <w:r>
              <w:rPr>
                <w:rFonts w:ascii="宋体" w:hAnsi="宋体" w:eastAsia="宋体" w:cs="宋体"/>
                <w:spacing w:val="-40"/>
              </w:rPr>
              <w:t>、</w:t>
            </w:r>
          </w:p>
        </w:tc>
        <w:tc>
          <w:tcPr>
            <w:tcW w:w="447" w:type="pct"/>
            <w:tcBorders>
              <w:bottom w:val="nil"/>
              <w:right w:val="nil"/>
            </w:tcBorders>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6" w:type="pct"/>
            <w:vMerge w:val="continue"/>
            <w:tcBorders>
              <w:top w:val="nil"/>
              <w:left w:val="nil"/>
              <w:bottom w:val="nil"/>
            </w:tcBorders>
          </w:tcPr>
          <w:p/>
        </w:tc>
        <w:tc>
          <w:tcPr>
            <w:tcW w:w="3726" w:type="pct"/>
            <w:tcBorders>
              <w:top w:val="nil"/>
            </w:tcBorders>
          </w:tcPr>
          <w:p>
            <w:pPr>
              <w:spacing w:before="32" w:line="220" w:lineRule="auto"/>
              <w:ind w:firstLine="114"/>
              <w:rPr>
                <w:rFonts w:ascii="宋体" w:hAnsi="宋体" w:eastAsia="宋体" w:cs="宋体"/>
              </w:rPr>
            </w:pPr>
            <w:r>
              <w:rPr>
                <w:rFonts w:ascii="宋体" w:hAnsi="宋体" w:eastAsia="宋体" w:cs="宋体"/>
              </w:rPr>
              <w:t>合成氨工艺</w:t>
            </w:r>
            <w:r>
              <w:rPr>
                <w:rFonts w:ascii="宋体" w:hAnsi="宋体" w:eastAsia="宋体" w:cs="宋体"/>
                <w:spacing w:val="-15"/>
              </w:rPr>
              <w:t>、</w:t>
            </w:r>
            <w:r>
              <w:rPr>
                <w:rFonts w:ascii="宋体" w:hAnsi="宋体" w:eastAsia="宋体" w:cs="宋体"/>
              </w:rPr>
              <w:t>裂解（裂化</w:t>
            </w:r>
            <w:r>
              <w:rPr>
                <w:rFonts w:ascii="宋体" w:hAnsi="宋体" w:eastAsia="宋体" w:cs="宋体"/>
                <w:spacing w:val="-15"/>
              </w:rPr>
              <w:t>）</w:t>
            </w:r>
            <w:r>
              <w:rPr>
                <w:rFonts w:ascii="宋体" w:hAnsi="宋体" w:eastAsia="宋体" w:cs="宋体"/>
              </w:rPr>
              <w:t>工艺</w:t>
            </w:r>
            <w:r>
              <w:rPr>
                <w:rFonts w:ascii="宋体" w:hAnsi="宋体" w:eastAsia="宋体" w:cs="宋体"/>
                <w:spacing w:val="-15"/>
              </w:rPr>
              <w:t>、</w:t>
            </w:r>
            <w:r>
              <w:rPr>
                <w:rFonts w:ascii="宋体" w:hAnsi="宋体" w:eastAsia="宋体" w:cs="宋体"/>
              </w:rPr>
              <w:t>氟化工艺</w:t>
            </w:r>
            <w:r>
              <w:rPr>
                <w:rFonts w:ascii="宋体" w:hAnsi="宋体" w:eastAsia="宋体" w:cs="宋体"/>
                <w:spacing w:val="-15"/>
              </w:rPr>
              <w:t>、</w:t>
            </w:r>
            <w:r>
              <w:rPr>
                <w:rFonts w:ascii="宋体" w:hAnsi="宋体" w:eastAsia="宋体" w:cs="宋体"/>
              </w:rPr>
              <w:t>加氢工艺</w:t>
            </w:r>
            <w:r>
              <w:rPr>
                <w:rFonts w:ascii="宋体" w:hAnsi="宋体" w:eastAsia="宋体" w:cs="宋体"/>
                <w:spacing w:val="-15"/>
              </w:rPr>
              <w:t>、</w:t>
            </w:r>
            <w:r>
              <w:rPr>
                <w:rFonts w:ascii="宋体" w:hAnsi="宋体" w:eastAsia="宋体" w:cs="宋体"/>
              </w:rPr>
              <w:t>重氮化工</w:t>
            </w:r>
          </w:p>
          <w:p>
            <w:pPr>
              <w:spacing w:before="23" w:line="227" w:lineRule="auto"/>
              <w:ind w:left="392" w:right="61" w:hanging="274"/>
              <w:rPr>
                <w:rFonts w:ascii="宋体" w:hAnsi="宋体" w:eastAsia="宋体" w:cs="宋体"/>
              </w:rPr>
            </w:pPr>
            <w:r>
              <w:rPr>
                <w:rFonts w:ascii="宋体" w:hAnsi="宋体" w:eastAsia="宋体" w:cs="宋体"/>
              </w:rPr>
              <w:t>艺</w:t>
            </w:r>
            <w:r>
              <w:rPr>
                <w:rFonts w:ascii="宋体" w:hAnsi="宋体" w:eastAsia="宋体" w:cs="宋体"/>
                <w:spacing w:val="-7"/>
              </w:rPr>
              <w:t>、</w:t>
            </w:r>
            <w:r>
              <w:rPr>
                <w:rFonts w:ascii="宋体" w:hAnsi="宋体" w:eastAsia="宋体" w:cs="宋体"/>
              </w:rPr>
              <w:t>氧化工艺</w:t>
            </w:r>
            <w:r>
              <w:rPr>
                <w:rFonts w:ascii="宋体" w:hAnsi="宋体" w:eastAsia="宋体" w:cs="宋体"/>
                <w:spacing w:val="-7"/>
              </w:rPr>
              <w:t>、</w:t>
            </w:r>
            <w:r>
              <w:rPr>
                <w:rFonts w:ascii="宋体" w:hAnsi="宋体" w:eastAsia="宋体" w:cs="宋体"/>
              </w:rPr>
              <w:t>过氧化工艺</w:t>
            </w:r>
            <w:r>
              <w:rPr>
                <w:rFonts w:ascii="宋体" w:hAnsi="宋体" w:eastAsia="宋体" w:cs="宋体"/>
                <w:spacing w:val="-7"/>
              </w:rPr>
              <w:t>、</w:t>
            </w:r>
            <w:r>
              <w:rPr>
                <w:rFonts w:ascii="宋体" w:hAnsi="宋体" w:eastAsia="宋体" w:cs="宋体"/>
              </w:rPr>
              <w:t>胺基化工艺</w:t>
            </w:r>
            <w:r>
              <w:rPr>
                <w:rFonts w:ascii="宋体" w:hAnsi="宋体" w:eastAsia="宋体" w:cs="宋体"/>
                <w:spacing w:val="-6"/>
              </w:rPr>
              <w:t>、</w:t>
            </w:r>
            <w:r>
              <w:rPr>
                <w:rFonts w:ascii="宋体" w:hAnsi="宋体" w:eastAsia="宋体" w:cs="宋体"/>
              </w:rPr>
              <w:t>磷化工艺</w:t>
            </w:r>
            <w:r>
              <w:rPr>
                <w:rFonts w:ascii="宋体" w:hAnsi="宋体" w:eastAsia="宋体" w:cs="宋体"/>
                <w:spacing w:val="-6"/>
              </w:rPr>
              <w:t>、</w:t>
            </w:r>
            <w:r>
              <w:rPr>
                <w:rFonts w:ascii="宋体" w:hAnsi="宋体" w:eastAsia="宋体" w:cs="宋体"/>
              </w:rPr>
              <w:t>聚合工艺</w:t>
            </w:r>
            <w:r>
              <w:rPr>
                <w:rFonts w:ascii="宋体" w:hAnsi="宋体" w:eastAsia="宋体" w:cs="宋体"/>
                <w:spacing w:val="-6"/>
              </w:rPr>
              <w:t>、</w:t>
            </w:r>
            <w:r>
              <w:rPr>
                <w:rFonts w:ascii="宋体" w:hAnsi="宋体" w:eastAsia="宋体" w:cs="宋体"/>
              </w:rPr>
              <w:t xml:space="preserve"> 烷基化工艺</w:t>
            </w:r>
            <w:r>
              <w:rPr>
                <w:rFonts w:ascii="宋体" w:hAnsi="宋体" w:eastAsia="宋体" w:cs="宋体"/>
                <w:spacing w:val="-2"/>
              </w:rPr>
              <w:t>、</w:t>
            </w:r>
            <w:r>
              <w:rPr>
                <w:rFonts w:ascii="宋体" w:hAnsi="宋体" w:eastAsia="宋体" w:cs="宋体"/>
              </w:rPr>
              <w:t>新型煤化工工艺</w:t>
            </w:r>
            <w:r>
              <w:rPr>
                <w:rFonts w:ascii="宋体" w:hAnsi="宋体" w:eastAsia="宋体" w:cs="宋体"/>
                <w:spacing w:val="-1"/>
              </w:rPr>
              <w:t>、</w:t>
            </w:r>
            <w:r>
              <w:rPr>
                <w:rFonts w:ascii="宋体" w:hAnsi="宋体" w:eastAsia="宋体" w:cs="宋体"/>
              </w:rPr>
              <w:t>电石生产工艺</w:t>
            </w:r>
            <w:r>
              <w:rPr>
                <w:rFonts w:ascii="宋体" w:hAnsi="宋体" w:eastAsia="宋体" w:cs="宋体"/>
                <w:spacing w:val="-1"/>
              </w:rPr>
              <w:t>、</w:t>
            </w:r>
            <w:r>
              <w:rPr>
                <w:rFonts w:ascii="宋体" w:hAnsi="宋体" w:eastAsia="宋体" w:cs="宋体"/>
              </w:rPr>
              <w:t>偶氮化工艺</w:t>
            </w:r>
          </w:p>
        </w:tc>
        <w:tc>
          <w:tcPr>
            <w:tcW w:w="447" w:type="pct"/>
            <w:tcBorders>
              <w:top w:val="nil"/>
              <w:right w:val="nil"/>
            </w:tcBorders>
          </w:tcPr>
          <w:p>
            <w:pPr>
              <w:spacing w:before="168" w:line="221" w:lineRule="auto"/>
              <w:ind w:firstLine="255"/>
              <w:rPr>
                <w:rFonts w:ascii="宋体" w:hAnsi="宋体" w:eastAsia="宋体" w:cs="宋体"/>
              </w:rPr>
            </w:pPr>
            <w:r>
              <w:rPr>
                <w:rFonts w:ascii="Times New Roman" w:hAnsi="Times New Roman" w:eastAsia="Times New Roman" w:cs="Times New Roman"/>
                <w:spacing w:val="-4"/>
              </w:rPr>
              <w:t>10</w:t>
            </w:r>
            <w:r>
              <w:rPr>
                <w:rFonts w:ascii="Times New Roman" w:hAnsi="Times New Roman" w:eastAsia="Times New Roman" w:cs="Times New Roman"/>
                <w:spacing w:val="-2"/>
              </w:rPr>
              <w:t>/</w:t>
            </w:r>
            <w:r>
              <w:rPr>
                <w:rFonts w:ascii="宋体" w:hAnsi="宋体" w:eastAsia="宋体" w:cs="宋体"/>
                <w:spacing w:val="-6"/>
              </w:rPr>
              <w:t>每套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826" w:type="pct"/>
            <w:vMerge w:val="continue"/>
            <w:tcBorders>
              <w:top w:val="nil"/>
              <w:left w:val="nil"/>
              <w:bottom w:val="nil"/>
            </w:tcBorders>
          </w:tcPr>
          <w:p/>
        </w:tc>
        <w:tc>
          <w:tcPr>
            <w:tcW w:w="3726" w:type="pct"/>
          </w:tcPr>
          <w:p>
            <w:pPr>
              <w:spacing w:before="32" w:line="213" w:lineRule="auto"/>
              <w:ind w:firstLine="1865"/>
              <w:rPr>
                <w:rFonts w:ascii="宋体" w:hAnsi="宋体" w:eastAsia="宋体" w:cs="宋体"/>
              </w:rPr>
            </w:pPr>
            <w:r>
              <w:rPr>
                <w:rFonts w:ascii="宋体" w:hAnsi="宋体" w:eastAsia="宋体" w:cs="宋体"/>
              </w:rPr>
              <w:t>无机酸制酸工艺</w:t>
            </w:r>
            <w:r>
              <w:rPr>
                <w:rFonts w:ascii="宋体" w:hAnsi="宋体" w:eastAsia="宋体" w:cs="宋体"/>
                <w:spacing w:val="-7"/>
              </w:rPr>
              <w:t>、</w:t>
            </w:r>
            <w:r>
              <w:rPr>
                <w:rFonts w:ascii="宋体" w:hAnsi="宋体" w:eastAsia="宋体" w:cs="宋体"/>
              </w:rPr>
              <w:t>焦化工艺</w:t>
            </w:r>
          </w:p>
        </w:tc>
        <w:tc>
          <w:tcPr>
            <w:tcW w:w="447" w:type="pct"/>
            <w:tcBorders>
              <w:right w:val="nil"/>
            </w:tcBorders>
          </w:tcPr>
          <w:p>
            <w:pPr>
              <w:spacing w:line="275" w:lineRule="exact"/>
              <w:ind w:firstLine="293"/>
              <w:rPr>
                <w:rFonts w:ascii="宋体" w:hAnsi="宋体" w:eastAsia="宋体" w:cs="宋体"/>
                <w:sz w:val="20"/>
                <w:szCs w:val="20"/>
              </w:rPr>
            </w:pPr>
            <w:r>
              <w:rPr>
                <w:rFonts w:ascii="Times New Roman" w:hAnsi="Times New Roman" w:eastAsia="Times New Roman" w:cs="Times New Roman"/>
                <w:spacing w:val="3"/>
                <w:position w:val="1"/>
                <w:sz w:val="20"/>
                <w:szCs w:val="20"/>
              </w:rPr>
              <w:t>5</w:t>
            </w:r>
            <w:r>
              <w:rPr>
                <w:rFonts w:ascii="Times New Roman" w:hAnsi="Times New Roman" w:eastAsia="Times New Roman" w:cs="Times New Roman"/>
                <w:spacing w:val="2"/>
                <w:position w:val="1"/>
                <w:sz w:val="20"/>
                <w:szCs w:val="20"/>
              </w:rPr>
              <w:t>/</w:t>
            </w:r>
            <w:r>
              <w:rPr>
                <w:rFonts w:ascii="宋体" w:hAnsi="宋体" w:eastAsia="宋体" w:cs="宋体"/>
                <w:spacing w:val="7"/>
                <w:position w:val="1"/>
                <w:sz w:val="20"/>
                <w:szCs w:val="20"/>
              </w:rPr>
              <w:t>每套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826" w:type="pct"/>
            <w:vMerge w:val="continue"/>
            <w:tcBorders>
              <w:top w:val="nil"/>
              <w:left w:val="nil"/>
            </w:tcBorders>
          </w:tcPr>
          <w:p/>
        </w:tc>
        <w:tc>
          <w:tcPr>
            <w:tcW w:w="3726" w:type="pct"/>
          </w:tcPr>
          <w:p>
            <w:pPr>
              <w:spacing w:before="35" w:line="226" w:lineRule="auto"/>
              <w:ind w:left="3032" w:right="116" w:hanging="2906"/>
              <w:rPr>
                <w:rFonts w:ascii="宋体" w:hAnsi="宋体" w:eastAsia="宋体" w:cs="宋体"/>
              </w:rPr>
            </w:pPr>
            <w:r>
              <w:rPr>
                <w:rFonts w:ascii="宋体" w:hAnsi="宋体" w:eastAsia="宋体" w:cs="宋体"/>
              </w:rPr>
              <w:t>其他高温或高压</w:t>
            </w:r>
            <w:r>
              <w:rPr>
                <w:rFonts w:ascii="宋体" w:hAnsi="宋体" w:eastAsia="宋体" w:cs="宋体"/>
                <w:spacing w:val="-43"/>
              </w:rPr>
              <w:t>、</w:t>
            </w:r>
            <w:r>
              <w:rPr>
                <w:rFonts w:ascii="宋体" w:hAnsi="宋体" w:eastAsia="宋体" w:cs="宋体"/>
              </w:rPr>
              <w:t>且涉及危险物质的工艺过程</w:t>
            </w:r>
            <w:r>
              <w:rPr>
                <w:rFonts w:ascii="Times New Roman" w:hAnsi="Times New Roman" w:eastAsia="Times New Roman" w:cs="Times New Roman"/>
                <w:position w:val="6"/>
                <w:sz w:val="13"/>
                <w:szCs w:val="13"/>
              </w:rPr>
              <w:t xml:space="preserve">a </w:t>
            </w:r>
            <w:r>
              <w:rPr>
                <w:rFonts w:ascii="宋体" w:hAnsi="宋体" w:eastAsia="宋体" w:cs="宋体"/>
                <w:spacing w:val="-43"/>
              </w:rPr>
              <w:t>、</w:t>
            </w:r>
            <w:r>
              <w:rPr>
                <w:rFonts w:ascii="宋体" w:hAnsi="宋体" w:eastAsia="宋体" w:cs="宋体"/>
              </w:rPr>
              <w:t>危险物质储存罐 区</w:t>
            </w:r>
          </w:p>
        </w:tc>
        <w:tc>
          <w:tcPr>
            <w:tcW w:w="447" w:type="pct"/>
            <w:tcBorders>
              <w:right w:val="nil"/>
            </w:tcBorders>
          </w:tcPr>
          <w:p>
            <w:pPr>
              <w:spacing w:before="1" w:line="241" w:lineRule="auto"/>
              <w:ind w:left="389" w:right="104" w:hanging="273"/>
              <w:rPr>
                <w:rFonts w:ascii="宋体" w:hAnsi="宋体" w:eastAsia="宋体" w:cs="宋体"/>
              </w:rPr>
            </w:pPr>
            <w:r>
              <w:rPr>
                <w:rFonts w:ascii="Times New Roman" w:hAnsi="Times New Roman" w:eastAsia="Times New Roman" w:cs="Times New Roman"/>
                <w:spacing w:val="-8"/>
              </w:rPr>
              <w:t>5</w:t>
            </w:r>
            <w:r>
              <w:rPr>
                <w:rFonts w:ascii="Times New Roman" w:hAnsi="Times New Roman" w:eastAsia="Times New Roman" w:cs="Times New Roman"/>
                <w:spacing w:val="-5"/>
              </w:rPr>
              <w:t>/</w:t>
            </w:r>
            <w:r>
              <w:rPr>
                <w:rFonts w:ascii="宋体" w:hAnsi="宋体" w:eastAsia="宋体" w:cs="宋体"/>
                <w:spacing w:val="-15"/>
              </w:rPr>
              <w:t>每套（罐</w:t>
            </w:r>
            <w:r>
              <w:rPr>
                <w:rFonts w:ascii="宋体" w:hAnsi="宋体" w:eastAsia="宋体" w:cs="宋体"/>
              </w:rPr>
              <w:t xml:space="preserve"> 区</w:t>
            </w:r>
            <w:r>
              <w:rPr>
                <w:rFonts w:ascii="宋体" w:hAnsi="宋体" w:eastAsia="宋体" w:cs="宋体"/>
                <w:spacing w:val="-19"/>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826" w:type="pct"/>
            <w:tcBorders>
              <w:left w:val="nil"/>
            </w:tcBorders>
          </w:tcPr>
          <w:p>
            <w:pPr>
              <w:spacing w:before="2" w:line="252" w:lineRule="auto"/>
              <w:ind w:left="736" w:right="103" w:hanging="615"/>
              <w:rPr>
                <w:rFonts w:ascii="宋体" w:hAnsi="宋体" w:eastAsia="宋体" w:cs="宋体"/>
                <w:sz w:val="20"/>
                <w:szCs w:val="20"/>
              </w:rPr>
            </w:pPr>
            <w:r>
              <w:rPr>
                <w:rFonts w:ascii="宋体" w:hAnsi="宋体" w:eastAsia="宋体" w:cs="宋体"/>
                <w:sz w:val="20"/>
                <w:szCs w:val="20"/>
              </w:rPr>
              <w:t>管道</w:t>
            </w:r>
            <w:r>
              <w:rPr>
                <w:rFonts w:ascii="宋体" w:hAnsi="宋体" w:eastAsia="宋体" w:cs="宋体"/>
                <w:spacing w:val="-15"/>
                <w:sz w:val="20"/>
                <w:szCs w:val="20"/>
              </w:rPr>
              <w:t>、</w:t>
            </w:r>
            <w:r>
              <w:rPr>
                <w:rFonts w:ascii="宋体" w:hAnsi="宋体" w:eastAsia="宋体" w:cs="宋体"/>
                <w:sz w:val="20"/>
                <w:szCs w:val="20"/>
              </w:rPr>
              <w:t>港口</w:t>
            </w:r>
            <w:r>
              <w:rPr>
                <w:rFonts w:ascii="Times New Roman" w:hAnsi="Times New Roman" w:eastAsia="Times New Roman" w:cs="Times New Roman"/>
                <w:sz w:val="20"/>
                <w:szCs w:val="20"/>
              </w:rPr>
              <w:t>/</w:t>
            </w:r>
            <w:r>
              <w:rPr>
                <w:rFonts w:ascii="宋体" w:hAnsi="宋体" w:eastAsia="宋体" w:cs="宋体"/>
                <w:sz w:val="20"/>
                <w:szCs w:val="20"/>
              </w:rPr>
              <w:t xml:space="preserve">码头 </w:t>
            </w:r>
            <w:r>
              <w:rPr>
                <w:rFonts w:ascii="宋体" w:hAnsi="宋体" w:eastAsia="宋体" w:cs="宋体"/>
                <w:spacing w:val="1"/>
                <w:sz w:val="20"/>
                <w:szCs w:val="20"/>
              </w:rPr>
              <w:t>等</w:t>
            </w:r>
          </w:p>
        </w:tc>
        <w:tc>
          <w:tcPr>
            <w:tcW w:w="3726" w:type="pct"/>
          </w:tcPr>
          <w:p>
            <w:pPr>
              <w:spacing w:before="131" w:line="284" w:lineRule="exact"/>
              <w:ind w:firstLine="1205"/>
              <w:rPr>
                <w:rFonts w:ascii="宋体" w:hAnsi="宋体" w:eastAsia="宋体" w:cs="宋体"/>
              </w:rPr>
            </w:pPr>
            <w:r>
              <w:rPr>
                <w:rFonts w:ascii="宋体" w:hAnsi="宋体" w:eastAsia="宋体" w:cs="宋体"/>
                <w:position w:val="1"/>
              </w:rPr>
              <w:t>涉及危险物质管道运输项目</w:t>
            </w:r>
            <w:r>
              <w:rPr>
                <w:rFonts w:ascii="宋体" w:hAnsi="宋体" w:eastAsia="宋体" w:cs="宋体"/>
                <w:spacing w:val="-6"/>
                <w:position w:val="1"/>
              </w:rPr>
              <w:t>、</w:t>
            </w:r>
            <w:r>
              <w:rPr>
                <w:rFonts w:ascii="宋体" w:hAnsi="宋体" w:eastAsia="宋体" w:cs="宋体"/>
                <w:position w:val="1"/>
              </w:rPr>
              <w:t>港口</w:t>
            </w:r>
            <w:r>
              <w:rPr>
                <w:rFonts w:ascii="Times New Roman" w:hAnsi="Times New Roman" w:eastAsia="Times New Roman" w:cs="Times New Roman"/>
                <w:position w:val="1"/>
              </w:rPr>
              <w:t>/</w:t>
            </w:r>
            <w:r>
              <w:rPr>
                <w:rFonts w:ascii="宋体" w:hAnsi="宋体" w:eastAsia="宋体" w:cs="宋体"/>
                <w:position w:val="1"/>
              </w:rPr>
              <w:t>码头等</w:t>
            </w:r>
          </w:p>
        </w:tc>
        <w:tc>
          <w:tcPr>
            <w:tcW w:w="447" w:type="pct"/>
            <w:tcBorders>
              <w:right w:val="nil"/>
            </w:tcBorders>
          </w:tcPr>
          <w:p>
            <w:pPr>
              <w:spacing w:before="203" w:line="187" w:lineRule="auto"/>
              <w:ind w:firstLine="493"/>
              <w:rPr>
                <w:rFonts w:ascii="Times New Roman" w:hAnsi="Times New Roman" w:eastAsia="Times New Roman" w:cs="Times New Roman"/>
              </w:rPr>
            </w:pPr>
            <w:r>
              <w:rPr>
                <w:rFonts w:ascii="Times New Roman" w:hAnsi="Times New Roman" w:eastAsia="Times New Roman" w:cs="Times New Roman"/>
                <w:spacing w:val="-12"/>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826" w:type="pct"/>
            <w:tcBorders>
              <w:left w:val="nil"/>
            </w:tcBorders>
          </w:tcPr>
          <w:p>
            <w:pPr>
              <w:spacing w:before="173" w:line="221" w:lineRule="auto"/>
              <w:ind w:firstLine="316"/>
              <w:rPr>
                <w:rFonts w:ascii="宋体" w:hAnsi="宋体" w:eastAsia="宋体" w:cs="宋体"/>
              </w:rPr>
            </w:pPr>
            <w:r>
              <w:rPr>
                <w:rFonts w:ascii="宋体" w:hAnsi="宋体" w:eastAsia="宋体" w:cs="宋体"/>
                <w:spacing w:val="-2"/>
              </w:rPr>
              <w:t>石</w:t>
            </w:r>
            <w:r>
              <w:rPr>
                <w:rFonts w:ascii="宋体" w:hAnsi="宋体" w:eastAsia="宋体" w:cs="宋体"/>
                <w:spacing w:val="-1"/>
              </w:rPr>
              <w:t>油天然气</w:t>
            </w:r>
          </w:p>
        </w:tc>
        <w:tc>
          <w:tcPr>
            <w:tcW w:w="3726" w:type="pct"/>
          </w:tcPr>
          <w:p>
            <w:pPr>
              <w:spacing w:before="36" w:line="225" w:lineRule="auto"/>
              <w:ind w:left="282" w:right="44" w:hanging="168"/>
              <w:rPr>
                <w:rFonts w:ascii="宋体" w:hAnsi="宋体" w:eastAsia="宋体" w:cs="宋体"/>
              </w:rPr>
            </w:pPr>
            <w:r>
              <w:rPr>
                <w:rFonts w:ascii="宋体" w:hAnsi="宋体" w:eastAsia="宋体" w:cs="宋体"/>
              </w:rPr>
              <w:t>石油</w:t>
            </w:r>
            <w:r>
              <w:rPr>
                <w:rFonts w:ascii="宋体" w:hAnsi="宋体" w:eastAsia="宋体" w:cs="宋体"/>
                <w:spacing w:val="-73"/>
              </w:rPr>
              <w:t>、</w:t>
            </w:r>
            <w:r>
              <w:rPr>
                <w:rFonts w:ascii="宋体" w:hAnsi="宋体" w:eastAsia="宋体" w:cs="宋体"/>
              </w:rPr>
              <w:t>天然气</w:t>
            </w:r>
            <w:r>
              <w:rPr>
                <w:rFonts w:ascii="宋体" w:hAnsi="宋体" w:eastAsia="宋体" w:cs="宋体"/>
                <w:spacing w:val="-73"/>
              </w:rPr>
              <w:t>、</w:t>
            </w:r>
            <w:r>
              <w:rPr>
                <w:rFonts w:ascii="宋体" w:hAnsi="宋体" w:eastAsia="宋体" w:cs="宋体"/>
              </w:rPr>
              <w:t>页岩气开采（含净化</w:t>
            </w:r>
            <w:r>
              <w:rPr>
                <w:rFonts w:ascii="宋体" w:hAnsi="宋体" w:eastAsia="宋体" w:cs="宋体"/>
                <w:spacing w:val="-73"/>
              </w:rPr>
              <w:t>），</w:t>
            </w:r>
            <w:r>
              <w:rPr>
                <w:rFonts w:ascii="宋体" w:hAnsi="宋体" w:eastAsia="宋体" w:cs="宋体"/>
              </w:rPr>
              <w:t>气库（不含加气站的气库</w:t>
            </w:r>
            <w:r>
              <w:rPr>
                <w:rFonts w:ascii="宋体" w:hAnsi="宋体" w:eastAsia="宋体" w:cs="宋体"/>
                <w:spacing w:val="-73"/>
              </w:rPr>
              <w:t>），</w:t>
            </w:r>
            <w:r>
              <w:rPr>
                <w:rFonts w:ascii="宋体" w:hAnsi="宋体" w:eastAsia="宋体" w:cs="宋体"/>
              </w:rPr>
              <w:t xml:space="preserve"> 油库（不含加气站的油库</w:t>
            </w:r>
            <w:r>
              <w:rPr>
                <w:rFonts w:ascii="宋体" w:hAnsi="宋体" w:eastAsia="宋体" w:cs="宋体"/>
                <w:spacing w:val="-86"/>
              </w:rPr>
              <w:t>）、</w:t>
            </w:r>
            <w:r>
              <w:rPr>
                <w:rFonts w:ascii="宋体" w:hAnsi="宋体" w:eastAsia="宋体" w:cs="宋体"/>
              </w:rPr>
              <w:t xml:space="preserve">油气管线 </w:t>
            </w:r>
            <w:r>
              <w:rPr>
                <w:rFonts w:ascii="Times New Roman" w:hAnsi="Times New Roman" w:eastAsia="Times New Roman" w:cs="Times New Roman"/>
                <w:position w:val="6"/>
                <w:sz w:val="13"/>
                <w:szCs w:val="13"/>
              </w:rPr>
              <w:t xml:space="preserve">b   </w:t>
            </w:r>
            <w:r>
              <w:rPr>
                <w:rFonts w:ascii="宋体" w:hAnsi="宋体" w:eastAsia="宋体" w:cs="宋体"/>
              </w:rPr>
              <w:t>（不含城镇燃气管线</w:t>
            </w:r>
            <w:r>
              <w:rPr>
                <w:rFonts w:ascii="宋体" w:hAnsi="宋体" w:eastAsia="宋体" w:cs="宋体"/>
                <w:spacing w:val="-86"/>
              </w:rPr>
              <w:t>）</w:t>
            </w:r>
          </w:p>
        </w:tc>
        <w:tc>
          <w:tcPr>
            <w:tcW w:w="447" w:type="pct"/>
            <w:tcBorders>
              <w:right w:val="nil"/>
            </w:tcBorders>
          </w:tcPr>
          <w:p>
            <w:pPr>
              <w:spacing w:before="204" w:line="187" w:lineRule="auto"/>
              <w:ind w:firstLine="493"/>
              <w:rPr>
                <w:rFonts w:ascii="Times New Roman" w:hAnsi="Times New Roman" w:eastAsia="Times New Roman" w:cs="Times New Roman"/>
              </w:rPr>
            </w:pPr>
            <w:r>
              <w:rPr>
                <w:rFonts w:ascii="Times New Roman" w:hAnsi="Times New Roman" w:eastAsia="Times New Roman" w:cs="Times New Roman"/>
                <w:spacing w:val="-6"/>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826" w:type="pct"/>
            <w:tcBorders>
              <w:left w:val="nil"/>
            </w:tcBorders>
          </w:tcPr>
          <w:p>
            <w:pPr>
              <w:spacing w:before="37" w:line="213" w:lineRule="auto"/>
              <w:ind w:firstLine="633"/>
              <w:rPr>
                <w:rFonts w:ascii="宋体" w:hAnsi="宋体" w:eastAsia="宋体" w:cs="宋体"/>
              </w:rPr>
            </w:pPr>
            <w:r>
              <w:rPr>
                <w:rFonts w:ascii="宋体" w:hAnsi="宋体" w:eastAsia="宋体" w:cs="宋体"/>
                <w:spacing w:val="-2"/>
              </w:rPr>
              <w:t>其他</w:t>
            </w:r>
          </w:p>
        </w:tc>
        <w:tc>
          <w:tcPr>
            <w:tcW w:w="3726" w:type="pct"/>
          </w:tcPr>
          <w:p>
            <w:pPr>
              <w:spacing w:before="37" w:line="213" w:lineRule="auto"/>
              <w:ind w:firstLine="1653"/>
              <w:rPr>
                <w:rFonts w:ascii="宋体" w:hAnsi="宋体" w:eastAsia="宋体" w:cs="宋体"/>
              </w:rPr>
            </w:pPr>
            <w:r>
              <w:rPr>
                <w:rFonts w:ascii="宋体" w:hAnsi="宋体" w:eastAsia="宋体" w:cs="宋体"/>
              </w:rPr>
              <w:t>涉及危险物质使用</w:t>
            </w:r>
            <w:r>
              <w:rPr>
                <w:rFonts w:ascii="宋体" w:hAnsi="宋体" w:eastAsia="宋体" w:cs="宋体"/>
                <w:spacing w:val="-6"/>
              </w:rPr>
              <w:t>、</w:t>
            </w:r>
            <w:r>
              <w:rPr>
                <w:rFonts w:ascii="宋体" w:hAnsi="宋体" w:eastAsia="宋体" w:cs="宋体"/>
              </w:rPr>
              <w:t>贮存的项目</w:t>
            </w:r>
          </w:p>
        </w:tc>
        <w:tc>
          <w:tcPr>
            <w:tcW w:w="447" w:type="pct"/>
            <w:tcBorders>
              <w:right w:val="nil"/>
            </w:tcBorders>
          </w:tcPr>
          <w:p>
            <w:pPr>
              <w:spacing w:before="72" w:line="184" w:lineRule="auto"/>
              <w:ind w:firstLine="531"/>
              <w:rPr>
                <w:rFonts w:ascii="Times New Roman" w:hAnsi="Times New Roman" w:eastAsia="Times New Roman" w:cs="Times New Roman"/>
              </w:rPr>
            </w:pPr>
            <w:r>
              <w:rPr>
                <w:rFonts w:ascii="Times New Roman" w:hAnsi="Times New Roman" w:eastAsia="Times New Roman" w:cs="Times New Roman"/>
              </w:rPr>
              <w:t>5</w:t>
            </w:r>
          </w:p>
        </w:tc>
      </w:tr>
    </w:tbl>
    <w:p>
      <w:pPr>
        <w:spacing w:line="274" w:lineRule="exact"/>
        <w:ind w:firstLine="1169"/>
        <w:rPr>
          <w:rFonts w:ascii="宋体" w:hAnsi="宋体" w:eastAsia="宋体" w:cs="宋体"/>
          <w:sz w:val="20"/>
          <w:szCs w:val="20"/>
        </w:rPr>
      </w:pPr>
      <w:r>
        <w:rPr>
          <w:rFonts w:ascii="Times New Roman" w:hAnsi="Times New Roman" w:eastAsia="Times New Roman" w:cs="Times New Roman"/>
          <w:spacing w:val="4"/>
          <w:position w:val="2"/>
          <w:sz w:val="20"/>
          <w:szCs w:val="20"/>
        </w:rPr>
        <w:t>a</w:t>
      </w:r>
      <w:r>
        <w:rPr>
          <w:rFonts w:ascii="宋体" w:hAnsi="宋体" w:eastAsia="宋体" w:cs="宋体"/>
          <w:spacing w:val="9"/>
          <w:position w:val="2"/>
          <w:sz w:val="20"/>
          <w:szCs w:val="20"/>
        </w:rPr>
        <w:t>：</w:t>
      </w:r>
      <w:r>
        <w:rPr>
          <w:rFonts w:ascii="宋体" w:hAnsi="宋体" w:eastAsia="宋体" w:cs="宋体"/>
          <w:spacing w:val="8"/>
          <w:position w:val="2"/>
          <w:sz w:val="20"/>
          <w:szCs w:val="20"/>
        </w:rPr>
        <w:t>高温指工艺温度</w:t>
      </w:r>
      <w:r>
        <w:rPr>
          <w:rFonts w:ascii="Times New Roman" w:hAnsi="Times New Roman" w:eastAsia="Times New Roman" w:cs="Times New Roman"/>
          <w:spacing w:val="4"/>
          <w:position w:val="2"/>
          <w:sz w:val="20"/>
          <w:szCs w:val="20"/>
        </w:rPr>
        <w:t>≥300</w:t>
      </w:r>
      <w:r>
        <w:rPr>
          <w:rFonts w:ascii="Times New Roman" w:hAnsi="Times New Roman" w:eastAsia="Times New Roman" w:cs="Times New Roman"/>
          <w:spacing w:val="8"/>
          <w:position w:val="2"/>
          <w:sz w:val="20"/>
          <w:szCs w:val="20"/>
        </w:rPr>
        <w:t>℃</w:t>
      </w:r>
      <w:r>
        <w:rPr>
          <w:rFonts w:ascii="宋体" w:hAnsi="宋体" w:eastAsia="宋体" w:cs="宋体"/>
          <w:spacing w:val="9"/>
          <w:position w:val="2"/>
          <w:sz w:val="20"/>
          <w:szCs w:val="20"/>
        </w:rPr>
        <w:t>，</w:t>
      </w:r>
      <w:r>
        <w:rPr>
          <w:rFonts w:ascii="宋体" w:hAnsi="宋体" w:eastAsia="宋体" w:cs="宋体"/>
          <w:spacing w:val="8"/>
          <w:position w:val="2"/>
          <w:sz w:val="20"/>
          <w:szCs w:val="20"/>
        </w:rPr>
        <w:t>高压指压力容器的设计压力（</w:t>
      </w:r>
      <w:r>
        <w:rPr>
          <w:rFonts w:ascii="Times New Roman" w:hAnsi="Times New Roman" w:eastAsia="Times New Roman" w:cs="Times New Roman"/>
          <w:spacing w:val="4"/>
          <w:position w:val="2"/>
          <w:sz w:val="20"/>
          <w:szCs w:val="20"/>
        </w:rPr>
        <w:t>p</w:t>
      </w:r>
      <w:r>
        <w:rPr>
          <w:rFonts w:ascii="宋体" w:hAnsi="宋体" w:eastAsia="宋体" w:cs="宋体"/>
          <w:spacing w:val="9"/>
          <w:position w:val="2"/>
          <w:sz w:val="20"/>
          <w:szCs w:val="20"/>
        </w:rPr>
        <w:t>）</w:t>
      </w:r>
      <w:r>
        <w:rPr>
          <w:rFonts w:ascii="Times New Roman" w:hAnsi="Times New Roman" w:eastAsia="Times New Roman" w:cs="Times New Roman"/>
          <w:spacing w:val="4"/>
          <w:position w:val="2"/>
          <w:sz w:val="20"/>
          <w:szCs w:val="20"/>
        </w:rPr>
        <w:t>≥</w:t>
      </w:r>
      <w:r>
        <w:rPr>
          <w:rFonts w:ascii="Times New Roman" w:hAnsi="Times New Roman" w:eastAsia="Times New Roman" w:cs="Times New Roman"/>
          <w:spacing w:val="3"/>
          <w:position w:val="2"/>
          <w:sz w:val="20"/>
          <w:szCs w:val="20"/>
        </w:rPr>
        <w:t>10</w:t>
      </w:r>
      <w:r>
        <w:rPr>
          <w:rFonts w:ascii="Times New Roman" w:hAnsi="Times New Roman" w:eastAsia="Times New Roman" w:cs="Times New Roman"/>
          <w:spacing w:val="1"/>
          <w:position w:val="2"/>
          <w:sz w:val="20"/>
          <w:szCs w:val="20"/>
        </w:rPr>
        <w:t>.</w:t>
      </w:r>
      <w:r>
        <w:rPr>
          <w:rFonts w:ascii="Times New Roman" w:hAnsi="Times New Roman" w:eastAsia="Times New Roman" w:cs="Times New Roman"/>
          <w:spacing w:val="3"/>
          <w:position w:val="2"/>
          <w:sz w:val="20"/>
          <w:szCs w:val="20"/>
        </w:rPr>
        <w:t>0</w:t>
      </w:r>
      <w:r>
        <w:rPr>
          <w:rFonts w:ascii="Times New Roman" w:hAnsi="Times New Roman" w:eastAsia="Times New Roman" w:cs="Times New Roman"/>
          <w:spacing w:val="6"/>
          <w:position w:val="2"/>
          <w:sz w:val="20"/>
          <w:szCs w:val="20"/>
        </w:rPr>
        <w:t>M</w:t>
      </w:r>
      <w:r>
        <w:rPr>
          <w:rFonts w:ascii="Times New Roman" w:hAnsi="Times New Roman" w:eastAsia="Times New Roman" w:cs="Times New Roman"/>
          <w:spacing w:val="4"/>
          <w:position w:val="2"/>
          <w:sz w:val="20"/>
          <w:szCs w:val="20"/>
        </w:rPr>
        <w:t>P</w:t>
      </w:r>
      <w:r>
        <w:rPr>
          <w:rFonts w:ascii="Times New Roman" w:hAnsi="Times New Roman" w:eastAsia="Times New Roman" w:cs="Times New Roman"/>
          <w:spacing w:val="3"/>
          <w:position w:val="2"/>
          <w:sz w:val="20"/>
          <w:szCs w:val="20"/>
        </w:rPr>
        <w:t>a</w:t>
      </w:r>
      <w:r>
        <w:rPr>
          <w:rFonts w:ascii="宋体" w:hAnsi="宋体" w:eastAsia="宋体" w:cs="宋体"/>
          <w:spacing w:val="9"/>
          <w:position w:val="2"/>
          <w:sz w:val="20"/>
          <w:szCs w:val="20"/>
        </w:rPr>
        <w:t>；</w:t>
      </w:r>
    </w:p>
    <w:p>
      <w:pPr>
        <w:spacing w:line="276" w:lineRule="exact"/>
        <w:ind w:firstLine="2075"/>
        <w:rPr>
          <w:rFonts w:ascii="宋体" w:hAnsi="宋体" w:eastAsia="宋体" w:cs="宋体"/>
          <w:sz w:val="20"/>
          <w:szCs w:val="20"/>
        </w:rPr>
      </w:pPr>
      <w:r>
        <w:rPr>
          <w:rFonts w:ascii="Times New Roman" w:hAnsi="Times New Roman" w:eastAsia="Times New Roman" w:cs="Times New Roman"/>
          <w:spacing w:val="4"/>
          <w:position w:val="2"/>
          <w:sz w:val="20"/>
          <w:szCs w:val="20"/>
        </w:rPr>
        <w:t>b</w:t>
      </w:r>
      <w:r>
        <w:rPr>
          <w:rFonts w:ascii="宋体" w:hAnsi="宋体" w:eastAsia="宋体" w:cs="宋体"/>
          <w:spacing w:val="7"/>
          <w:position w:val="2"/>
          <w:sz w:val="20"/>
          <w:szCs w:val="20"/>
        </w:rPr>
        <w:t>：长输管道运输项目应按站场、</w:t>
      </w:r>
      <w:r>
        <w:rPr>
          <w:rFonts w:ascii="宋体" w:hAnsi="宋体" w:eastAsia="宋体" w:cs="宋体"/>
          <w:spacing w:val="6"/>
          <w:position w:val="2"/>
          <w:sz w:val="20"/>
          <w:szCs w:val="20"/>
        </w:rPr>
        <w:t>管线分段进行评价</w:t>
      </w:r>
      <w:r>
        <w:rPr>
          <w:rFonts w:ascii="宋体" w:hAnsi="宋体" w:eastAsia="宋体" w:cs="宋体"/>
          <w:spacing w:val="7"/>
          <w:position w:val="2"/>
          <w:sz w:val="20"/>
          <w:szCs w:val="20"/>
        </w:rPr>
        <w:t>。</w:t>
      </w:r>
    </w:p>
    <w:p>
      <w:pPr>
        <w:spacing w:line="27" w:lineRule="exact"/>
        <w:textAlignment w:val="center"/>
      </w:pPr>
      <w:r>
        <mc:AlternateContent>
          <mc:Choice Requires="wps">
            <w:drawing>
              <wp:inline distT="0" distB="0" distL="114300" distR="114300">
                <wp:extent cx="5762625" cy="18415"/>
                <wp:effectExtent l="0" t="0" r="0" b="0"/>
                <wp:docPr id="50" name="任意多边形 50"/>
                <wp:cNvGraphicFramePr/>
                <a:graphic xmlns:a="http://schemas.openxmlformats.org/drawingml/2006/main">
                  <a:graphicData uri="http://schemas.microsoft.com/office/word/2010/wordprocessingShape">
                    <wps:wsp>
                      <wps:cNvSpPr/>
                      <wps:spPr>
                        <a:xfrm>
                          <a:off x="0" y="0"/>
                          <a:ext cx="5762625" cy="18415"/>
                        </a:xfrm>
                        <a:custGeom>
                          <a:avLst/>
                          <a:gdLst/>
                          <a:ahLst/>
                          <a:cxnLst/>
                          <a:pathLst>
                            <a:path w="9075" h="29">
                              <a:moveTo>
                                <a:pt x="0" y="28"/>
                              </a:moveTo>
                              <a:lnTo>
                                <a:pt x="9074" y="28"/>
                              </a:lnTo>
                              <a:lnTo>
                                <a:pt x="9074" y="0"/>
                              </a:lnTo>
                              <a:lnTo>
                                <a:pt x="0" y="0"/>
                              </a:lnTo>
                              <a:lnTo>
                                <a:pt x="0" y="28"/>
                              </a:lnTo>
                              <a:close/>
                            </a:path>
                          </a:pathLst>
                        </a:custGeom>
                        <a:solidFill>
                          <a:srgbClr val="000000"/>
                        </a:solidFill>
                        <a:ln>
                          <a:noFill/>
                        </a:ln>
                      </wps:spPr>
                      <wps:bodyPr upright="1"/>
                    </wps:wsp>
                  </a:graphicData>
                </a:graphic>
              </wp:inline>
            </w:drawing>
          </mc:Choice>
          <mc:Fallback>
            <w:pict>
              <v:shape id="_x0000_s1026" o:spid="_x0000_s1026" o:spt="100" style="height:1.45pt;width:453.75pt;" fillcolor="#000000" filled="t" stroked="f" coordsize="9075,29" o:gfxdata="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f3bmdMAAAADAQAADwAAAAAA&#10;AAABACAAAAAiAAAAZHJzL2Rvd25yZXYueG1sUEsBAhQAFAAAAAgAh07iQM2+e7gYAgAAfwQAAA4A&#10;AAAAAAAAAQAgAAAAIgEAAGRycy9lMm9Eb2MueG1sUEsFBgAAAAAGAAYAWQEAAKwFAAAAAA==&#10;" path="m0,28l9074,28,9074,0,0,0,0,28xe">
                <v:fill on="t" focussize="0,0"/>
                <v:stroke on="f"/>
                <v:imagedata o:title=""/>
                <o:lock v:ext="edit" aspectratio="f"/>
                <w10:wrap type="none"/>
                <w10:anchorlock/>
              </v:shape>
            </w:pict>
          </mc:Fallback>
        </mc:AlternateContent>
      </w:r>
    </w:p>
    <w:p>
      <w:pPr>
        <w:spacing w:before="154" w:line="214" w:lineRule="auto"/>
        <w:ind w:firstLine="2530"/>
        <w:outlineLvl w:val="0"/>
        <w:rPr>
          <w:rFonts w:ascii="宋体" w:hAnsi="宋体" w:eastAsia="宋体" w:cs="宋体"/>
          <w:sz w:val="24"/>
          <w:szCs w:val="24"/>
        </w:rPr>
      </w:pPr>
      <w:r>
        <w:rPr>
          <w:rFonts w:ascii="宋体" w:hAnsi="宋体" w:eastAsia="宋体" w:cs="宋体"/>
          <w:spacing w:val="-3"/>
          <w:sz w:val="24"/>
          <w:szCs w:val="24"/>
        </w:rPr>
        <w:t>表</w:t>
      </w:r>
      <w:r>
        <w:rPr>
          <w:rFonts w:hint="eastAsia" w:cs="宋体"/>
          <w:position w:val="1"/>
          <w:sz w:val="24"/>
          <w:szCs w:val="24"/>
          <w:lang w:val="en-US" w:eastAsia="zh-CN"/>
        </w:rPr>
        <w:t>3.2</w:t>
      </w:r>
      <w:r>
        <w:rPr>
          <w:rFonts w:ascii="Times New Roman" w:hAnsi="Times New Roman" w:eastAsia="Times New Roman" w:cs="Times New Roman"/>
          <w:position w:val="1"/>
          <w:sz w:val="24"/>
          <w:szCs w:val="24"/>
        </w:rPr>
        <w:t>-</w:t>
      </w:r>
      <w:r>
        <w:rPr>
          <w:rFonts w:hint="eastAsia" w:ascii="Times New Roman" w:hAnsi="Times New Roman" w:cs="Times New Roman"/>
          <w:position w:val="1"/>
          <w:sz w:val="24"/>
          <w:szCs w:val="24"/>
          <w:lang w:val="en-US" w:eastAsia="zh-CN"/>
        </w:rPr>
        <w:t>3</w:t>
      </w:r>
      <w:r>
        <w:rPr>
          <w:rFonts w:ascii="宋体" w:hAnsi="宋体" w:eastAsia="宋体" w:cs="宋体"/>
          <w:spacing w:val="-2"/>
          <w:sz w:val="24"/>
          <w:szCs w:val="24"/>
        </w:rPr>
        <w:t>本项目</w:t>
      </w:r>
      <w:r>
        <w:rPr>
          <w:rFonts w:ascii="Times New Roman" w:hAnsi="Times New Roman" w:eastAsia="Times New Roman" w:cs="Times New Roman"/>
          <w:b/>
          <w:bCs/>
          <w:spacing w:val="-2"/>
          <w:sz w:val="24"/>
          <w:szCs w:val="24"/>
        </w:rPr>
        <w:t>M</w:t>
      </w:r>
      <w:r>
        <w:rPr>
          <w:rFonts w:ascii="宋体" w:hAnsi="宋体" w:eastAsia="宋体" w:cs="宋体"/>
          <w:spacing w:val="-2"/>
          <w:sz w:val="24"/>
          <w:szCs w:val="24"/>
        </w:rPr>
        <w:t>值确定表</w:t>
      </w:r>
    </w:p>
    <w:tbl>
      <w:tblPr>
        <w:tblStyle w:val="18"/>
        <w:tblW w:w="4520" w:type="pct"/>
        <w:tblInd w:w="3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89"/>
        <w:gridCol w:w="2280"/>
        <w:gridCol w:w="2290"/>
        <w:gridCol w:w="2282"/>
        <w:gridCol w:w="150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961" w:type="pct"/>
            <w:tcBorders>
              <w:left w:val="nil"/>
            </w:tcBorders>
          </w:tcPr>
          <w:p>
            <w:pPr>
              <w:spacing w:before="53" w:line="218" w:lineRule="auto"/>
              <w:ind w:firstLine="715"/>
              <w:rPr>
                <w:rFonts w:ascii="宋体" w:hAnsi="宋体" w:eastAsia="宋体" w:cs="宋体"/>
              </w:rPr>
            </w:pPr>
            <w:r>
              <w:rPr>
                <w:rFonts w:ascii="宋体" w:hAnsi="宋体" w:eastAsia="宋体" w:cs="宋体"/>
                <w:spacing w:val="-2"/>
              </w:rPr>
              <w:t>序</w:t>
            </w:r>
            <w:r>
              <w:rPr>
                <w:rFonts w:ascii="宋体" w:hAnsi="宋体" w:eastAsia="宋体" w:cs="宋体"/>
                <w:spacing w:val="-1"/>
              </w:rPr>
              <w:t>号</w:t>
            </w:r>
          </w:p>
        </w:tc>
        <w:tc>
          <w:tcPr>
            <w:tcW w:w="1101" w:type="pct"/>
          </w:tcPr>
          <w:p>
            <w:pPr>
              <w:spacing w:before="53" w:line="218" w:lineRule="auto"/>
              <w:ind w:firstLine="276"/>
              <w:rPr>
                <w:rFonts w:ascii="宋体" w:hAnsi="宋体" w:eastAsia="宋体" w:cs="宋体"/>
              </w:rPr>
            </w:pPr>
            <w:r>
              <w:rPr>
                <w:rFonts w:ascii="宋体" w:hAnsi="宋体" w:eastAsia="宋体" w:cs="宋体"/>
                <w:spacing w:val="-1"/>
              </w:rPr>
              <w:t>工艺单</w:t>
            </w:r>
            <w:r>
              <w:rPr>
                <w:rFonts w:ascii="宋体" w:hAnsi="宋体" w:eastAsia="宋体" w:cs="宋体"/>
              </w:rPr>
              <w:t>元名称</w:t>
            </w:r>
          </w:p>
        </w:tc>
        <w:tc>
          <w:tcPr>
            <w:tcW w:w="1106" w:type="pct"/>
          </w:tcPr>
          <w:p>
            <w:pPr>
              <w:spacing w:before="53" w:line="218" w:lineRule="auto"/>
              <w:ind w:firstLine="490"/>
              <w:rPr>
                <w:rFonts w:ascii="宋体" w:hAnsi="宋体" w:eastAsia="宋体" w:cs="宋体"/>
              </w:rPr>
            </w:pPr>
            <w:r>
              <w:rPr>
                <w:rFonts w:ascii="宋体" w:hAnsi="宋体" w:eastAsia="宋体" w:cs="宋体"/>
                <w:spacing w:val="-1"/>
              </w:rPr>
              <w:t>生产工艺</w:t>
            </w:r>
          </w:p>
        </w:tc>
        <w:tc>
          <w:tcPr>
            <w:tcW w:w="1102" w:type="pct"/>
          </w:tcPr>
          <w:p>
            <w:pPr>
              <w:spacing w:before="11" w:line="289" w:lineRule="exact"/>
              <w:ind w:firstLine="562"/>
              <w:rPr>
                <w:rFonts w:ascii="宋体" w:hAnsi="宋体" w:eastAsia="宋体" w:cs="宋体"/>
                <w:sz w:val="20"/>
                <w:szCs w:val="20"/>
              </w:rPr>
            </w:pPr>
            <w:r>
              <w:rPr>
                <w:rFonts w:ascii="宋体" w:hAnsi="宋体" w:eastAsia="宋体" w:cs="宋体"/>
                <w:spacing w:val="20"/>
                <w:position w:val="1"/>
                <w:sz w:val="20"/>
                <w:szCs w:val="20"/>
              </w:rPr>
              <w:t>数</w:t>
            </w:r>
            <w:r>
              <w:rPr>
                <w:rFonts w:ascii="宋体" w:hAnsi="宋体" w:eastAsia="宋体" w:cs="宋体"/>
                <w:spacing w:val="19"/>
                <w:position w:val="1"/>
                <w:sz w:val="20"/>
                <w:szCs w:val="20"/>
              </w:rPr>
              <w:t>量</w:t>
            </w:r>
            <w:r>
              <w:rPr>
                <w:rFonts w:ascii="Times New Roman" w:hAnsi="Times New Roman" w:eastAsia="Times New Roman" w:cs="Times New Roman"/>
                <w:b/>
                <w:bCs/>
                <w:spacing w:val="5"/>
                <w:position w:val="1"/>
                <w:sz w:val="20"/>
                <w:szCs w:val="20"/>
              </w:rPr>
              <w:t>/</w:t>
            </w:r>
            <w:r>
              <w:rPr>
                <w:rFonts w:ascii="宋体" w:hAnsi="宋体" w:eastAsia="宋体" w:cs="宋体"/>
                <w:spacing w:val="19"/>
                <w:position w:val="1"/>
                <w:sz w:val="20"/>
                <w:szCs w:val="20"/>
              </w:rPr>
              <w:t>套</w:t>
            </w:r>
          </w:p>
        </w:tc>
        <w:tc>
          <w:tcPr>
            <w:tcW w:w="728" w:type="pct"/>
            <w:tcBorders>
              <w:right w:val="nil"/>
            </w:tcBorders>
          </w:tcPr>
          <w:p>
            <w:pPr>
              <w:spacing w:before="53" w:line="218" w:lineRule="auto"/>
              <w:ind w:firstLine="566"/>
              <w:rPr>
                <w:rFonts w:ascii="宋体" w:hAnsi="宋体" w:eastAsia="宋体" w:cs="宋体"/>
              </w:rPr>
            </w:pPr>
            <w:r>
              <w:rPr>
                <w:rFonts w:ascii="Times New Roman" w:hAnsi="Times New Roman" w:eastAsia="Times New Roman" w:cs="Times New Roman"/>
                <w:b/>
                <w:bCs/>
              </w:rPr>
              <w:t>M</w:t>
            </w:r>
            <w:r>
              <w:rPr>
                <w:rFonts w:ascii="宋体" w:hAnsi="宋体" w:eastAsia="宋体" w:cs="宋体"/>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961" w:type="pct"/>
            <w:tcBorders>
              <w:left w:val="nil"/>
            </w:tcBorders>
          </w:tcPr>
          <w:p>
            <w:pPr>
              <w:spacing w:before="199" w:line="187" w:lineRule="auto"/>
              <w:ind w:firstLine="891"/>
              <w:rPr>
                <w:rFonts w:ascii="Times New Roman" w:hAnsi="Times New Roman" w:eastAsia="Times New Roman" w:cs="Times New Roman"/>
              </w:rPr>
            </w:pPr>
            <w:r>
              <w:rPr>
                <w:rFonts w:ascii="Times New Roman" w:hAnsi="Times New Roman" w:eastAsia="Times New Roman" w:cs="Times New Roman"/>
              </w:rPr>
              <w:t>1</w:t>
            </w:r>
          </w:p>
        </w:tc>
        <w:tc>
          <w:tcPr>
            <w:tcW w:w="1101" w:type="pct"/>
          </w:tcPr>
          <w:p>
            <w:pPr>
              <w:spacing w:before="30" w:line="227" w:lineRule="auto"/>
              <w:ind w:left="172" w:right="167"/>
              <w:rPr>
                <w:rFonts w:ascii="宋体" w:hAnsi="宋体" w:eastAsia="宋体" w:cs="宋体"/>
              </w:rPr>
            </w:pPr>
            <w:r>
              <w:rPr>
                <w:rFonts w:ascii="宋体" w:hAnsi="宋体" w:eastAsia="宋体" w:cs="宋体"/>
                <w:spacing w:val="-1"/>
              </w:rPr>
              <w:t>涉及危险物质使</w:t>
            </w:r>
            <w:r>
              <w:rPr>
                <w:rFonts w:ascii="宋体" w:hAnsi="宋体" w:eastAsia="宋体" w:cs="宋体"/>
              </w:rPr>
              <w:t xml:space="preserve"> 用</w:t>
            </w:r>
            <w:r>
              <w:rPr>
                <w:rFonts w:ascii="宋体" w:hAnsi="宋体" w:eastAsia="宋体" w:cs="宋体"/>
                <w:spacing w:val="-7"/>
              </w:rPr>
              <w:t>、</w:t>
            </w:r>
            <w:r>
              <w:rPr>
                <w:rFonts w:ascii="宋体" w:hAnsi="宋体" w:eastAsia="宋体" w:cs="宋体"/>
              </w:rPr>
              <w:t>贮存的项目</w:t>
            </w:r>
          </w:p>
        </w:tc>
        <w:tc>
          <w:tcPr>
            <w:tcW w:w="1106" w:type="pct"/>
          </w:tcPr>
          <w:p>
            <w:pPr>
              <w:spacing w:before="286" w:line="140" w:lineRule="exact"/>
              <w:ind w:firstLine="875"/>
              <w:rPr>
                <w:rFonts w:ascii="Times New Roman" w:hAnsi="Times New Roman" w:eastAsia="Times New Roman" w:cs="Times New Roman"/>
              </w:rPr>
            </w:pPr>
            <w:r>
              <w:rPr>
                <w:rFonts w:ascii="Times New Roman" w:hAnsi="Times New Roman" w:eastAsia="Times New Roman" w:cs="Times New Roman"/>
                <w:position w:val="-1"/>
              </w:rPr>
              <w:t>-</w:t>
            </w:r>
          </w:p>
        </w:tc>
        <w:tc>
          <w:tcPr>
            <w:tcW w:w="1102" w:type="pct"/>
          </w:tcPr>
          <w:p>
            <w:pPr>
              <w:spacing w:before="199" w:line="187" w:lineRule="auto"/>
              <w:ind w:firstLine="849"/>
              <w:rPr>
                <w:rFonts w:ascii="Times New Roman" w:hAnsi="Times New Roman" w:eastAsia="宋体" w:cs="Times New Roman"/>
              </w:rPr>
            </w:pPr>
            <w:r>
              <w:rPr>
                <w:rFonts w:hint="eastAsia" w:ascii="Times New Roman" w:hAnsi="Times New Roman" w:eastAsia="宋体" w:cs="Times New Roman"/>
              </w:rPr>
              <w:t>1</w:t>
            </w:r>
          </w:p>
        </w:tc>
        <w:tc>
          <w:tcPr>
            <w:tcW w:w="728" w:type="pct"/>
            <w:tcBorders>
              <w:right w:val="nil"/>
            </w:tcBorders>
          </w:tcPr>
          <w:p>
            <w:pPr>
              <w:spacing w:before="198" w:line="187" w:lineRule="auto"/>
              <w:ind w:firstLine="817"/>
              <w:rPr>
                <w:rFonts w:ascii="Times New Roman" w:hAnsi="Times New Roman" w:eastAsia="宋体" w:cs="Times New Roman"/>
              </w:rPr>
            </w:pPr>
            <w:r>
              <w:rPr>
                <w:rFonts w:hint="eastAsia" w:ascii="Times New Roman" w:hAnsi="Times New Roman" w:eastAsia="宋体" w:cs="Times New Roman"/>
                <w:spacing w:val="-12"/>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961" w:type="pct"/>
            <w:tcBorders>
              <w:left w:val="nil"/>
              <w:right w:val="nil"/>
            </w:tcBorders>
          </w:tcPr>
          <w:p/>
        </w:tc>
        <w:tc>
          <w:tcPr>
            <w:tcW w:w="2207" w:type="pct"/>
            <w:gridSpan w:val="2"/>
            <w:tcBorders>
              <w:left w:val="nil"/>
              <w:right w:val="nil"/>
            </w:tcBorders>
          </w:tcPr>
          <w:p>
            <w:pPr>
              <w:spacing w:before="32" w:line="221" w:lineRule="auto"/>
              <w:ind w:firstLine="1251"/>
              <w:rPr>
                <w:rFonts w:ascii="宋体" w:hAnsi="宋体" w:eastAsia="宋体" w:cs="宋体"/>
              </w:rPr>
            </w:pPr>
            <w:r>
              <w:rPr>
                <w:rFonts w:ascii="宋体" w:hAnsi="宋体" w:eastAsia="宋体" w:cs="宋体"/>
                <w:spacing w:val="-4"/>
              </w:rPr>
              <w:t>项目</w:t>
            </w:r>
            <w:r>
              <w:rPr>
                <w:rFonts w:ascii="Times New Roman" w:hAnsi="Times New Roman" w:eastAsia="Times New Roman" w:cs="Times New Roman"/>
                <w:spacing w:val="-2"/>
              </w:rPr>
              <w:t>M</w:t>
            </w:r>
            <w:r>
              <w:rPr>
                <w:rFonts w:ascii="宋体" w:hAnsi="宋体" w:eastAsia="宋体" w:cs="宋体"/>
                <w:spacing w:val="-3"/>
              </w:rPr>
              <w:t>值∑</w:t>
            </w:r>
          </w:p>
        </w:tc>
        <w:tc>
          <w:tcPr>
            <w:tcW w:w="1102" w:type="pct"/>
            <w:tcBorders>
              <w:left w:val="nil"/>
            </w:tcBorders>
          </w:tcPr>
          <w:p/>
        </w:tc>
        <w:tc>
          <w:tcPr>
            <w:tcW w:w="728" w:type="pct"/>
            <w:tcBorders>
              <w:right w:val="nil"/>
            </w:tcBorders>
          </w:tcPr>
          <w:p>
            <w:pPr>
              <w:spacing w:before="64" w:line="187" w:lineRule="auto"/>
              <w:ind w:firstLine="817"/>
              <w:rPr>
                <w:rFonts w:ascii="Times New Roman" w:hAnsi="Times New Roman" w:eastAsia="宋体" w:cs="Times New Roman"/>
              </w:rPr>
            </w:pPr>
            <w:r>
              <w:rPr>
                <w:rFonts w:hint="eastAsia" w:ascii="Times New Roman" w:hAnsi="Times New Roman" w:eastAsia="宋体" w:cs="Times New Roman"/>
                <w:spacing w:val="-12"/>
              </w:rPr>
              <w:t>5</w:t>
            </w:r>
          </w:p>
        </w:tc>
      </w:tr>
    </w:tbl>
    <w:p>
      <w:pPr>
        <w:spacing w:before="33" w:line="218" w:lineRule="auto"/>
        <w:ind w:firstLine="612"/>
        <w:outlineLvl w:val="0"/>
        <w:rPr>
          <w:rFonts w:ascii="宋体" w:hAnsi="宋体" w:eastAsia="宋体" w:cs="宋体"/>
          <w:sz w:val="24"/>
          <w:szCs w:val="24"/>
        </w:rPr>
      </w:pPr>
      <w:r>
        <w:rPr>
          <w:rFonts w:ascii="宋体" w:hAnsi="宋体" w:eastAsia="宋体" w:cs="宋体"/>
          <w:sz w:val="24"/>
          <w:szCs w:val="24"/>
        </w:rPr>
        <w:t>本项目生产工艺评估为</w:t>
      </w:r>
      <w:r>
        <w:rPr>
          <w:rFonts w:ascii="Times New Roman" w:hAnsi="Times New Roman" w:eastAsia="Times New Roman" w:cs="Times New Roman"/>
          <w:sz w:val="24"/>
          <w:szCs w:val="24"/>
        </w:rPr>
        <w:t>M=</w:t>
      </w:r>
      <w:r>
        <w:rPr>
          <w:rFonts w:hint="eastAsia" w:ascii="Times New Roman" w:hAnsi="Times New Roman" w:eastAsia="宋体" w:cs="Times New Roman"/>
          <w:sz w:val="24"/>
          <w:szCs w:val="24"/>
        </w:rPr>
        <w:t>5</w:t>
      </w:r>
      <w:r>
        <w:rPr>
          <w:rFonts w:ascii="宋体" w:hAnsi="宋体" w:eastAsia="宋体" w:cs="宋体"/>
          <w:spacing w:val="-65"/>
          <w:sz w:val="24"/>
          <w:szCs w:val="24"/>
        </w:rPr>
        <w:t>，</w:t>
      </w:r>
      <w:r>
        <w:rPr>
          <w:rFonts w:hint="eastAsia" w:ascii="宋体" w:hAnsi="宋体" w:eastAsia="宋体" w:cs="宋体"/>
          <w:sz w:val="24"/>
          <w:szCs w:val="24"/>
          <w:lang w:val="en-US" w:eastAsia="zh-CN"/>
        </w:rPr>
        <w:t>以</w:t>
      </w:r>
      <w:r>
        <w:rPr>
          <w:rFonts w:ascii="Times New Roman" w:hAnsi="Times New Roman" w:eastAsia="Times New Roman" w:cs="Times New Roman"/>
          <w:color w:val="FF0000"/>
          <w:sz w:val="24"/>
          <w:szCs w:val="24"/>
        </w:rPr>
        <w:t>M</w:t>
      </w:r>
      <w:r>
        <w:rPr>
          <w:rFonts w:hint="eastAsia" w:ascii="Times New Roman" w:hAnsi="Times New Roman" w:eastAsia="宋体" w:cs="Times New Roman"/>
          <w:color w:val="FF0000"/>
          <w:sz w:val="24"/>
          <w:szCs w:val="24"/>
          <w:lang w:val="en-US" w:eastAsia="zh-CN"/>
        </w:rPr>
        <w:t>4</w:t>
      </w:r>
      <w:r>
        <w:rPr>
          <w:rStyle w:val="17"/>
          <w:rFonts w:hint="eastAsia" w:eastAsia="宋体"/>
          <w:color w:val="FF0000"/>
          <w:lang w:val="en-US" w:eastAsia="zh-CN"/>
        </w:rPr>
        <w:t>表</w:t>
      </w:r>
      <w:r>
        <w:rPr>
          <w:rStyle w:val="17"/>
          <w:rFonts w:hint="eastAsia" w:eastAsia="宋体"/>
          <w:lang w:val="en-US" w:eastAsia="zh-CN"/>
        </w:rPr>
        <w:t>示</w:t>
      </w:r>
      <w:r>
        <w:rPr>
          <w:rFonts w:ascii="宋体" w:hAnsi="宋体" w:eastAsia="宋体" w:cs="宋体"/>
          <w:spacing w:val="-65"/>
          <w:sz w:val="24"/>
          <w:szCs w:val="24"/>
        </w:rPr>
        <w:t>。</w:t>
      </w:r>
    </w:p>
    <w:p>
      <w:pPr>
        <w:spacing w:before="185" w:line="212" w:lineRule="auto"/>
        <w:ind w:firstLine="611"/>
        <w:outlineLvl w:val="0"/>
        <w:rPr>
          <w:rFonts w:ascii="宋体" w:hAnsi="宋体" w:eastAsia="宋体" w:cs="宋体"/>
          <w:sz w:val="24"/>
          <w:szCs w:val="24"/>
        </w:rPr>
      </w:pPr>
      <w:r>
        <w:rPr>
          <w:rFonts w:ascii="宋体" w:hAnsi="宋体" w:eastAsia="宋体" w:cs="宋体"/>
          <w:spacing w:val="-1"/>
          <w:sz w:val="24"/>
          <w:szCs w:val="24"/>
        </w:rPr>
        <w:t>根据危</w:t>
      </w:r>
      <w:r>
        <w:rPr>
          <w:rFonts w:ascii="宋体" w:hAnsi="宋体" w:eastAsia="宋体" w:cs="宋体"/>
          <w:sz w:val="24"/>
          <w:szCs w:val="24"/>
        </w:rPr>
        <w:t>险物质数量与临界值比值</w:t>
      </w:r>
      <w:r>
        <w:rPr>
          <w:rFonts w:ascii="Times New Roman" w:hAnsi="Times New Roman" w:eastAsia="Times New Roman" w:cs="Times New Roman"/>
          <w:sz w:val="24"/>
          <w:szCs w:val="24"/>
        </w:rPr>
        <w:t>Q</w:t>
      </w:r>
      <w:r>
        <w:rPr>
          <w:rFonts w:ascii="宋体" w:hAnsi="宋体" w:eastAsia="宋体" w:cs="宋体"/>
          <w:sz w:val="24"/>
          <w:szCs w:val="24"/>
        </w:rPr>
        <w:t>和行业及生产工艺</w:t>
      </w:r>
      <w:r>
        <w:rPr>
          <w:rFonts w:ascii="Times New Roman" w:hAnsi="Times New Roman" w:eastAsia="Times New Roman" w:cs="Times New Roman"/>
          <w:sz w:val="24"/>
          <w:szCs w:val="24"/>
        </w:rPr>
        <w:t>M</w:t>
      </w:r>
      <w:r>
        <w:rPr>
          <w:rFonts w:ascii="宋体" w:hAnsi="宋体" w:eastAsia="宋体" w:cs="宋体"/>
          <w:spacing w:val="-121"/>
          <w:sz w:val="24"/>
          <w:szCs w:val="24"/>
        </w:rPr>
        <w:t>，</w:t>
      </w:r>
      <w:r>
        <w:rPr>
          <w:rFonts w:hint="eastAsia" w:cs="宋体"/>
          <w:spacing w:val="-121"/>
          <w:sz w:val="24"/>
          <w:szCs w:val="24"/>
          <w:lang w:val="en-US" w:eastAsia="zh-CN"/>
        </w:rPr>
        <w:t xml:space="preserve">  </w:t>
      </w:r>
      <w:r>
        <w:rPr>
          <w:rFonts w:ascii="宋体" w:hAnsi="宋体" w:eastAsia="宋体" w:cs="宋体"/>
          <w:sz w:val="24"/>
          <w:szCs w:val="24"/>
        </w:rPr>
        <w:t>按照《建设项目环境</w:t>
      </w:r>
    </w:p>
    <w:p>
      <w:pPr>
        <w:spacing w:before="145" w:line="372" w:lineRule="auto"/>
        <w:ind w:left="359" w:leftChars="163" w:right="46" w:firstLine="237" w:firstLineChars="99"/>
        <w:rPr>
          <w:rFonts w:ascii="宋体" w:hAnsi="宋体" w:eastAsia="宋体" w:cs="宋体"/>
          <w:sz w:val="24"/>
          <w:szCs w:val="24"/>
        </w:rPr>
      </w:pPr>
      <w:r>
        <w:rPr>
          <w:rFonts w:ascii="宋体" w:hAnsi="宋体" w:eastAsia="宋体" w:cs="宋体"/>
          <w:sz w:val="24"/>
          <w:szCs w:val="24"/>
        </w:rPr>
        <w:t>风险评估技术导》（</w:t>
      </w:r>
      <w:r>
        <w:rPr>
          <w:rFonts w:ascii="Times New Roman" w:hAnsi="Times New Roman" w:eastAsia="Times New Roman" w:cs="Times New Roman"/>
          <w:sz w:val="24"/>
          <w:szCs w:val="24"/>
        </w:rPr>
        <w:t>HJ/T169-2018</w:t>
      </w:r>
      <w:r>
        <w:rPr>
          <w:rFonts w:ascii="宋体" w:hAnsi="宋体" w:eastAsia="宋体" w:cs="宋体"/>
          <w:spacing w:val="-116"/>
          <w:sz w:val="24"/>
          <w:szCs w:val="24"/>
        </w:rPr>
        <w:t>）</w:t>
      </w:r>
      <w:r>
        <w:rPr>
          <w:rFonts w:ascii="宋体" w:hAnsi="宋体" w:eastAsia="宋体" w:cs="宋体"/>
          <w:sz w:val="24"/>
          <w:szCs w:val="24"/>
        </w:rPr>
        <w:t>附录</w:t>
      </w:r>
      <w:r>
        <w:rPr>
          <w:rFonts w:ascii="Times New Roman" w:hAnsi="Times New Roman" w:eastAsia="Times New Roman" w:cs="Times New Roman"/>
          <w:sz w:val="24"/>
          <w:szCs w:val="24"/>
        </w:rPr>
        <w:t>C.2</w:t>
      </w:r>
      <w:r>
        <w:rPr>
          <w:rFonts w:ascii="宋体" w:hAnsi="宋体" w:eastAsia="宋体" w:cs="宋体"/>
          <w:sz w:val="24"/>
          <w:szCs w:val="24"/>
        </w:rPr>
        <w:t xml:space="preserve">确定危险物质及工艺系统危险性等级 </w:t>
      </w:r>
      <w:r>
        <w:rPr>
          <w:rFonts w:ascii="Times New Roman" w:hAnsi="Times New Roman" w:eastAsia="Times New Roman" w:cs="Times New Roman"/>
          <w:sz w:val="24"/>
          <w:szCs w:val="24"/>
        </w:rPr>
        <w:t>P</w:t>
      </w:r>
      <w:r>
        <w:rPr>
          <w:rFonts w:ascii="宋体" w:hAnsi="宋体" w:eastAsia="宋体" w:cs="宋体"/>
          <w:spacing w:val="-116"/>
          <w:sz w:val="24"/>
          <w:szCs w:val="24"/>
        </w:rPr>
        <w:t>，</w:t>
      </w:r>
      <w:r>
        <w:rPr>
          <w:rFonts w:ascii="宋体" w:hAnsi="宋体" w:eastAsia="宋体" w:cs="宋体"/>
          <w:sz w:val="24"/>
          <w:szCs w:val="24"/>
        </w:rPr>
        <w:t xml:space="preserve"> 见表</w:t>
      </w:r>
      <w:r>
        <w:rPr>
          <w:rFonts w:hint="eastAsia" w:cs="宋体"/>
          <w:position w:val="1"/>
          <w:sz w:val="24"/>
          <w:szCs w:val="24"/>
          <w:lang w:val="en-US" w:eastAsia="zh-CN"/>
        </w:rPr>
        <w:t>3.1</w:t>
      </w:r>
      <w:r>
        <w:rPr>
          <w:rFonts w:ascii="Times New Roman" w:hAnsi="Times New Roman" w:eastAsia="Times New Roman" w:cs="Times New Roman"/>
          <w:position w:val="1"/>
          <w:sz w:val="24"/>
          <w:szCs w:val="24"/>
        </w:rPr>
        <w:t>-</w:t>
      </w:r>
      <w:r>
        <w:rPr>
          <w:rFonts w:hint="eastAsia" w:ascii="Times New Roman" w:hAnsi="Times New Roman" w:eastAsia="宋体" w:cs="Times New Roman"/>
          <w:position w:val="1"/>
          <w:sz w:val="24"/>
          <w:szCs w:val="24"/>
          <w:lang w:val="en-US" w:eastAsia="zh-CN"/>
        </w:rPr>
        <w:t>5</w:t>
      </w:r>
      <w:r>
        <w:rPr>
          <w:rFonts w:ascii="宋体" w:hAnsi="宋体" w:eastAsia="宋体" w:cs="宋体"/>
          <w:spacing w:val="-74"/>
          <w:sz w:val="24"/>
          <w:szCs w:val="24"/>
        </w:rPr>
        <w:t>。</w:t>
      </w:r>
    </w:p>
    <w:p>
      <w:pPr>
        <w:spacing w:before="131" w:line="214" w:lineRule="auto"/>
        <w:ind w:firstLine="1330"/>
        <w:jc w:val="center"/>
        <w:outlineLvl w:val="0"/>
        <w:rPr>
          <w:rFonts w:ascii="宋体" w:hAnsi="宋体" w:eastAsia="宋体" w:cs="宋体"/>
          <w:sz w:val="24"/>
          <w:szCs w:val="24"/>
        </w:rPr>
      </w:pPr>
      <w:r>
        <w:rPr>
          <w:rFonts w:ascii="宋体" w:hAnsi="宋体" w:eastAsia="宋体" w:cs="宋体"/>
          <w:spacing w:val="-1"/>
          <w:sz w:val="24"/>
          <w:szCs w:val="24"/>
        </w:rPr>
        <w:t>表</w:t>
      </w:r>
      <w:r>
        <w:rPr>
          <w:rFonts w:hint="eastAsia" w:cs="宋体"/>
          <w:position w:val="1"/>
          <w:sz w:val="24"/>
          <w:szCs w:val="24"/>
          <w:lang w:val="en-US" w:eastAsia="zh-CN"/>
        </w:rPr>
        <w:t>3.1</w:t>
      </w:r>
      <w:r>
        <w:rPr>
          <w:rFonts w:ascii="Times New Roman" w:hAnsi="Times New Roman" w:eastAsia="Times New Roman" w:cs="Times New Roman"/>
          <w:position w:val="1"/>
          <w:sz w:val="24"/>
          <w:szCs w:val="24"/>
        </w:rPr>
        <w:t>-</w:t>
      </w:r>
      <w:r>
        <w:rPr>
          <w:rFonts w:hint="eastAsia" w:ascii="Times New Roman" w:hAnsi="Times New Roman" w:eastAsia="宋体" w:cs="Times New Roman"/>
          <w:position w:val="1"/>
          <w:sz w:val="24"/>
          <w:szCs w:val="24"/>
          <w:lang w:val="en-US" w:eastAsia="zh-CN"/>
        </w:rPr>
        <w:t>5</w:t>
      </w:r>
      <w:r>
        <w:rPr>
          <w:rFonts w:ascii="宋体" w:hAnsi="宋体" w:eastAsia="宋体" w:cs="宋体"/>
          <w:spacing w:val="-1"/>
          <w:sz w:val="24"/>
          <w:szCs w:val="24"/>
        </w:rPr>
        <w:t>危险物质及工艺</w:t>
      </w:r>
      <w:r>
        <w:rPr>
          <w:rFonts w:ascii="宋体" w:hAnsi="宋体" w:eastAsia="宋体" w:cs="宋体"/>
          <w:sz w:val="24"/>
          <w:szCs w:val="24"/>
        </w:rPr>
        <w:t>系统危险性等级判断</w:t>
      </w:r>
    </w:p>
    <w:tbl>
      <w:tblPr>
        <w:tblStyle w:val="18"/>
        <w:tblW w:w="4482" w:type="pct"/>
        <w:tblInd w:w="4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189"/>
        <w:gridCol w:w="1924"/>
        <w:gridCol w:w="2281"/>
        <w:gridCol w:w="2281"/>
        <w:gridCol w:w="15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1066" w:type="pct"/>
            <w:vMerge w:val="restart"/>
            <w:tcBorders>
              <w:left w:val="nil"/>
              <w:bottom w:val="nil"/>
            </w:tcBorders>
          </w:tcPr>
          <w:p>
            <w:pPr>
              <w:spacing w:before="53" w:line="227" w:lineRule="auto"/>
              <w:ind w:left="142" w:right="78" w:firstLine="50"/>
              <w:rPr>
                <w:rFonts w:ascii="宋体" w:hAnsi="宋体" w:eastAsia="宋体" w:cs="宋体"/>
              </w:rPr>
            </w:pPr>
            <w:r>
              <w:rPr>
                <w:rFonts w:ascii="宋体" w:hAnsi="宋体" w:eastAsia="宋体" w:cs="宋体"/>
                <w:spacing w:val="-1"/>
              </w:rPr>
              <w:t>危险物</w:t>
            </w:r>
            <w:r>
              <w:rPr>
                <w:rFonts w:ascii="宋体" w:hAnsi="宋体" w:eastAsia="宋体" w:cs="宋体"/>
              </w:rPr>
              <w:t>质数量与临界量比值（</w:t>
            </w:r>
            <w:r>
              <w:rPr>
                <w:rFonts w:ascii="Times New Roman" w:hAnsi="Times New Roman" w:eastAsia="Times New Roman" w:cs="Times New Roman"/>
                <w:b/>
                <w:bCs/>
              </w:rPr>
              <w:t>Q</w:t>
            </w:r>
            <w:r>
              <w:rPr>
                <w:rFonts w:ascii="宋体" w:hAnsi="宋体" w:eastAsia="宋体" w:cs="宋体"/>
                <w:spacing w:val="-29"/>
              </w:rPr>
              <w:t>）</w:t>
            </w:r>
          </w:p>
        </w:tc>
        <w:tc>
          <w:tcPr>
            <w:tcW w:w="3933" w:type="pct"/>
            <w:gridSpan w:val="4"/>
          </w:tcPr>
          <w:p>
            <w:pPr>
              <w:spacing w:before="53" w:line="218" w:lineRule="auto"/>
              <w:ind w:firstLine="2582"/>
              <w:rPr>
                <w:rFonts w:ascii="宋体" w:hAnsi="宋体" w:eastAsia="宋体" w:cs="宋体"/>
              </w:rPr>
            </w:pPr>
            <w:r>
              <w:rPr>
                <w:rFonts w:ascii="宋体" w:hAnsi="宋体" w:eastAsia="宋体" w:cs="宋体"/>
              </w:rPr>
              <w:t>行业及生产工艺（</w:t>
            </w:r>
            <w:r>
              <w:rPr>
                <w:rFonts w:ascii="Times New Roman" w:hAnsi="Times New Roman" w:eastAsia="Times New Roman" w:cs="Times New Roman"/>
                <w:b/>
                <w:bCs/>
              </w:rPr>
              <w:t>M</w:t>
            </w:r>
            <w:r>
              <w:rPr>
                <w:rFonts w:ascii="宋体" w:hAnsi="宋体" w:eastAsia="宋体" w:cs="宋体"/>
                <w:spacing w:val="-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1066" w:type="pct"/>
            <w:vMerge w:val="continue"/>
            <w:tcBorders>
              <w:top w:val="nil"/>
              <w:left w:val="nil"/>
            </w:tcBorders>
          </w:tcPr>
          <w:p/>
        </w:tc>
        <w:tc>
          <w:tcPr>
            <w:tcW w:w="937" w:type="pct"/>
          </w:tcPr>
          <w:p>
            <w:pPr>
              <w:spacing w:before="57" w:line="187" w:lineRule="auto"/>
              <w:ind w:firstLine="757"/>
              <w:rPr>
                <w:rFonts w:ascii="Times New Roman" w:hAnsi="Times New Roman" w:eastAsia="Times New Roman" w:cs="Times New Roman"/>
              </w:rPr>
            </w:pPr>
            <w:r>
              <w:rPr>
                <w:rFonts w:ascii="Times New Roman" w:hAnsi="Times New Roman" w:eastAsia="Times New Roman" w:cs="Times New Roman"/>
                <w:spacing w:val="-2"/>
              </w:rPr>
              <w:t>M</w:t>
            </w:r>
            <w:r>
              <w:rPr>
                <w:rFonts w:ascii="Times New Roman" w:hAnsi="Times New Roman" w:eastAsia="Times New Roman" w:cs="Times New Roman"/>
                <w:spacing w:val="-1"/>
              </w:rPr>
              <w:t>1</w:t>
            </w:r>
          </w:p>
        </w:tc>
        <w:tc>
          <w:tcPr>
            <w:tcW w:w="1111" w:type="pct"/>
          </w:tcPr>
          <w:p>
            <w:pPr>
              <w:spacing w:before="57" w:line="187" w:lineRule="auto"/>
              <w:ind w:firstLine="760"/>
              <w:rPr>
                <w:rFonts w:ascii="Times New Roman" w:hAnsi="Times New Roman" w:eastAsia="Times New Roman" w:cs="Times New Roman"/>
              </w:rPr>
            </w:pPr>
            <w:r>
              <w:rPr>
                <w:rFonts w:ascii="Times New Roman" w:hAnsi="Times New Roman" w:eastAsia="Times New Roman" w:cs="Times New Roman"/>
                <w:spacing w:val="-2"/>
              </w:rPr>
              <w:t>M</w:t>
            </w:r>
            <w:r>
              <w:rPr>
                <w:rFonts w:ascii="Times New Roman" w:hAnsi="Times New Roman" w:eastAsia="Times New Roman" w:cs="Times New Roman"/>
                <w:spacing w:val="-1"/>
              </w:rPr>
              <w:t>2</w:t>
            </w:r>
          </w:p>
        </w:tc>
        <w:tc>
          <w:tcPr>
            <w:tcW w:w="1111" w:type="pct"/>
          </w:tcPr>
          <w:p>
            <w:pPr>
              <w:spacing w:before="57" w:line="187" w:lineRule="auto"/>
              <w:ind w:firstLine="761"/>
              <w:rPr>
                <w:rFonts w:ascii="Times New Roman" w:hAnsi="Times New Roman" w:eastAsia="Times New Roman" w:cs="Times New Roman"/>
              </w:rPr>
            </w:pPr>
            <w:r>
              <w:rPr>
                <w:rFonts w:ascii="Times New Roman" w:hAnsi="Times New Roman" w:eastAsia="Times New Roman" w:cs="Times New Roman"/>
                <w:spacing w:val="-2"/>
              </w:rPr>
              <w:t>M</w:t>
            </w:r>
            <w:r>
              <w:rPr>
                <w:rFonts w:ascii="Times New Roman" w:hAnsi="Times New Roman" w:eastAsia="Times New Roman" w:cs="Times New Roman"/>
                <w:spacing w:val="-1"/>
              </w:rPr>
              <w:t>3</w:t>
            </w:r>
          </w:p>
        </w:tc>
        <w:tc>
          <w:tcPr>
            <w:tcW w:w="772" w:type="pct"/>
            <w:tcBorders>
              <w:right w:val="nil"/>
            </w:tcBorders>
          </w:tcPr>
          <w:p>
            <w:pPr>
              <w:spacing w:before="57" w:line="187" w:lineRule="auto"/>
              <w:ind w:firstLine="762"/>
              <w:rPr>
                <w:rFonts w:ascii="Times New Roman" w:hAnsi="Times New Roman" w:eastAsia="Times New Roman" w:cs="Times New Roman"/>
              </w:rPr>
            </w:pPr>
            <w:r>
              <w:rPr>
                <w:rFonts w:ascii="Times New Roman" w:hAnsi="Times New Roman" w:eastAsia="Times New Roman" w:cs="Times New Roman"/>
                <w:spacing w:val="-2"/>
              </w:rPr>
              <w:t>M</w:t>
            </w:r>
            <w:r>
              <w:rPr>
                <w:rFonts w:ascii="Times New Roman" w:hAnsi="Times New Roman" w:eastAsia="Times New Roman" w:cs="Times New Roman"/>
                <w:spacing w:val="-1"/>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1066" w:type="pct"/>
            <w:tcBorders>
              <w:left w:val="nil"/>
            </w:tcBorders>
          </w:tcPr>
          <w:p>
            <w:pPr>
              <w:spacing w:line="245" w:lineRule="exact"/>
              <w:ind w:firstLine="636"/>
              <w:rPr>
                <w:rFonts w:ascii="Times New Roman" w:hAnsi="Times New Roman" w:eastAsia="Times New Roman" w:cs="Times New Roman"/>
                <w:sz w:val="18"/>
                <w:szCs w:val="18"/>
              </w:rPr>
            </w:pPr>
            <w:r>
              <w:rPr>
                <w:rFonts w:ascii="Times New Roman" w:hAnsi="Times New Roman" w:eastAsia="Times New Roman" w:cs="Times New Roman"/>
                <w:spacing w:val="20"/>
                <w:position w:val="3"/>
                <w:sz w:val="18"/>
                <w:szCs w:val="18"/>
              </w:rPr>
              <w:t>Q</w:t>
            </w:r>
            <w:r>
              <w:rPr>
                <w:rFonts w:ascii="Times New Roman" w:hAnsi="Times New Roman" w:eastAsia="Times New Roman" w:cs="Times New Roman"/>
                <w:spacing w:val="15"/>
                <w:position w:val="3"/>
                <w:sz w:val="18"/>
                <w:szCs w:val="18"/>
              </w:rPr>
              <w:t>≥</w:t>
            </w:r>
            <w:r>
              <w:rPr>
                <w:rFonts w:ascii="Times New Roman" w:hAnsi="Times New Roman" w:eastAsia="Times New Roman" w:cs="Times New Roman"/>
                <w:spacing w:val="14"/>
                <w:position w:val="3"/>
                <w:sz w:val="18"/>
                <w:szCs w:val="18"/>
              </w:rPr>
              <w:t>100</w:t>
            </w:r>
          </w:p>
        </w:tc>
        <w:tc>
          <w:tcPr>
            <w:tcW w:w="937" w:type="pct"/>
          </w:tcPr>
          <w:p>
            <w:pPr>
              <w:spacing w:before="49" w:line="187" w:lineRule="auto"/>
              <w:ind w:firstLine="793"/>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1</w:t>
            </w:r>
          </w:p>
        </w:tc>
        <w:tc>
          <w:tcPr>
            <w:tcW w:w="1111" w:type="pct"/>
          </w:tcPr>
          <w:p>
            <w:pPr>
              <w:spacing w:before="49" w:line="187" w:lineRule="auto"/>
              <w:ind w:firstLine="796"/>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1</w:t>
            </w:r>
          </w:p>
        </w:tc>
        <w:tc>
          <w:tcPr>
            <w:tcW w:w="1111" w:type="pct"/>
          </w:tcPr>
          <w:p>
            <w:pPr>
              <w:spacing w:before="49" w:line="187" w:lineRule="auto"/>
              <w:ind w:firstLine="797"/>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2</w:t>
            </w:r>
          </w:p>
        </w:tc>
        <w:tc>
          <w:tcPr>
            <w:tcW w:w="772" w:type="pct"/>
            <w:tcBorders>
              <w:right w:val="nil"/>
            </w:tcBorders>
          </w:tcPr>
          <w:p>
            <w:pPr>
              <w:spacing w:before="48" w:line="187" w:lineRule="auto"/>
              <w:ind w:firstLine="798"/>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1066" w:type="pct"/>
            <w:tcBorders>
              <w:left w:val="nil"/>
            </w:tcBorders>
          </w:tcPr>
          <w:p>
            <w:pPr>
              <w:spacing w:line="245" w:lineRule="exact"/>
              <w:ind w:firstLine="490"/>
              <w:rPr>
                <w:rFonts w:ascii="Times New Roman" w:hAnsi="Times New Roman" w:eastAsia="Times New Roman" w:cs="Times New Roman"/>
                <w:sz w:val="18"/>
                <w:szCs w:val="18"/>
              </w:rPr>
            </w:pPr>
            <w:r>
              <w:rPr>
                <w:rFonts w:ascii="Times New Roman" w:hAnsi="Times New Roman" w:eastAsia="Times New Roman" w:cs="Times New Roman"/>
                <w:spacing w:val="13"/>
                <w:position w:val="3"/>
                <w:sz w:val="18"/>
                <w:szCs w:val="18"/>
              </w:rPr>
              <w:t>10≤</w:t>
            </w:r>
            <w:r>
              <w:rPr>
                <w:rFonts w:ascii="Times New Roman" w:hAnsi="Times New Roman" w:eastAsia="Times New Roman" w:cs="Times New Roman"/>
                <w:spacing w:val="18"/>
                <w:position w:val="3"/>
                <w:sz w:val="18"/>
                <w:szCs w:val="18"/>
              </w:rPr>
              <w:t>Q</w:t>
            </w:r>
            <w:r>
              <w:rPr>
                <w:rFonts w:ascii="Times New Roman" w:hAnsi="Times New Roman" w:eastAsia="Times New Roman" w:cs="Times New Roman"/>
                <w:spacing w:val="14"/>
                <w:position w:val="3"/>
                <w:sz w:val="18"/>
                <w:szCs w:val="18"/>
              </w:rPr>
              <w:t>&lt;</w:t>
            </w:r>
            <w:r>
              <w:rPr>
                <w:rFonts w:ascii="Times New Roman" w:hAnsi="Times New Roman" w:eastAsia="Times New Roman" w:cs="Times New Roman"/>
                <w:spacing w:val="12"/>
                <w:position w:val="3"/>
                <w:sz w:val="18"/>
                <w:szCs w:val="18"/>
              </w:rPr>
              <w:t>100</w:t>
            </w:r>
          </w:p>
        </w:tc>
        <w:tc>
          <w:tcPr>
            <w:tcW w:w="937" w:type="pct"/>
          </w:tcPr>
          <w:p>
            <w:pPr>
              <w:spacing w:before="50" w:line="187" w:lineRule="auto"/>
              <w:ind w:firstLine="793"/>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1</w:t>
            </w:r>
          </w:p>
        </w:tc>
        <w:tc>
          <w:tcPr>
            <w:tcW w:w="1111" w:type="pct"/>
          </w:tcPr>
          <w:p>
            <w:pPr>
              <w:spacing w:before="50" w:line="187" w:lineRule="auto"/>
              <w:ind w:firstLine="796"/>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2</w:t>
            </w:r>
          </w:p>
        </w:tc>
        <w:tc>
          <w:tcPr>
            <w:tcW w:w="1111" w:type="pct"/>
          </w:tcPr>
          <w:p>
            <w:pPr>
              <w:spacing w:before="49" w:line="187" w:lineRule="auto"/>
              <w:ind w:firstLine="797"/>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3</w:t>
            </w:r>
          </w:p>
        </w:tc>
        <w:tc>
          <w:tcPr>
            <w:tcW w:w="772" w:type="pct"/>
            <w:tcBorders>
              <w:right w:val="nil"/>
            </w:tcBorders>
          </w:tcPr>
          <w:p>
            <w:pPr>
              <w:spacing w:before="50" w:line="187" w:lineRule="auto"/>
              <w:ind w:firstLine="798"/>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 w:hRule="atLeast"/>
        </w:trPr>
        <w:tc>
          <w:tcPr>
            <w:tcW w:w="1066" w:type="pct"/>
            <w:tcBorders>
              <w:left w:val="nil"/>
            </w:tcBorders>
          </w:tcPr>
          <w:p>
            <w:pPr>
              <w:spacing w:line="258" w:lineRule="exact"/>
              <w:ind w:firstLine="593"/>
              <w:rPr>
                <w:rFonts w:ascii="Times New Roman" w:hAnsi="Times New Roman" w:eastAsia="Times New Roman" w:cs="Times New Roman"/>
                <w:sz w:val="19"/>
                <w:szCs w:val="19"/>
              </w:rPr>
            </w:pPr>
            <w:r>
              <w:rPr>
                <w:rFonts w:ascii="Times New Roman" w:hAnsi="Times New Roman" w:eastAsia="Times New Roman" w:cs="Times New Roman"/>
                <w:spacing w:val="7"/>
                <w:position w:val="3"/>
                <w:sz w:val="19"/>
                <w:szCs w:val="19"/>
              </w:rPr>
              <w:t>1</w:t>
            </w:r>
            <w:r>
              <w:rPr>
                <w:rFonts w:ascii="Times New Roman" w:hAnsi="Times New Roman" w:eastAsia="Times New Roman" w:cs="Times New Roman"/>
                <w:spacing w:val="8"/>
                <w:position w:val="3"/>
                <w:sz w:val="19"/>
                <w:szCs w:val="19"/>
              </w:rPr>
              <w:t>≤</w:t>
            </w:r>
            <w:r>
              <w:rPr>
                <w:rFonts w:ascii="Times New Roman" w:hAnsi="Times New Roman" w:eastAsia="Times New Roman" w:cs="Times New Roman"/>
                <w:spacing w:val="10"/>
                <w:position w:val="3"/>
                <w:sz w:val="19"/>
                <w:szCs w:val="19"/>
              </w:rPr>
              <w:t>Q</w:t>
            </w:r>
            <w:r>
              <w:rPr>
                <w:rFonts w:ascii="Times New Roman" w:hAnsi="Times New Roman" w:eastAsia="Times New Roman" w:cs="Times New Roman"/>
                <w:spacing w:val="7"/>
                <w:position w:val="3"/>
                <w:sz w:val="19"/>
                <w:szCs w:val="19"/>
              </w:rPr>
              <w:t>&lt;</w:t>
            </w:r>
            <w:r>
              <w:rPr>
                <w:rFonts w:ascii="Times New Roman" w:hAnsi="Times New Roman" w:eastAsia="Times New Roman" w:cs="Times New Roman"/>
                <w:spacing w:val="6"/>
                <w:position w:val="3"/>
                <w:sz w:val="19"/>
                <w:szCs w:val="19"/>
              </w:rPr>
              <w:t>10</w:t>
            </w:r>
          </w:p>
        </w:tc>
        <w:tc>
          <w:tcPr>
            <w:tcW w:w="937" w:type="pct"/>
          </w:tcPr>
          <w:p>
            <w:pPr>
              <w:spacing w:before="51" w:line="187" w:lineRule="auto"/>
              <w:ind w:firstLine="793"/>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2</w:t>
            </w:r>
          </w:p>
        </w:tc>
        <w:tc>
          <w:tcPr>
            <w:tcW w:w="1111" w:type="pct"/>
          </w:tcPr>
          <w:p>
            <w:pPr>
              <w:spacing w:before="50" w:line="187" w:lineRule="auto"/>
              <w:ind w:firstLine="796"/>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3</w:t>
            </w:r>
          </w:p>
        </w:tc>
        <w:tc>
          <w:tcPr>
            <w:tcW w:w="1111" w:type="pct"/>
          </w:tcPr>
          <w:p>
            <w:pPr>
              <w:spacing w:before="51" w:line="187" w:lineRule="auto"/>
              <w:ind w:firstLine="797"/>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4</w:t>
            </w:r>
          </w:p>
        </w:tc>
        <w:tc>
          <w:tcPr>
            <w:tcW w:w="772" w:type="pct"/>
            <w:tcBorders>
              <w:right w:val="nil"/>
            </w:tcBorders>
          </w:tcPr>
          <w:p>
            <w:pPr>
              <w:spacing w:before="51" w:line="187" w:lineRule="auto"/>
              <w:ind w:firstLine="798"/>
              <w:rPr>
                <w:rFonts w:ascii="Times New Roman" w:hAnsi="Times New Roman" w:eastAsia="Times New Roman" w:cs="Times New Roman"/>
              </w:rPr>
            </w:pPr>
            <w:r>
              <w:rPr>
                <w:rFonts w:ascii="Times New Roman" w:hAnsi="Times New Roman" w:eastAsia="Times New Roman" w:cs="Times New Roman"/>
                <w:spacing w:val="-2"/>
              </w:rPr>
              <w:t>P</w:t>
            </w:r>
            <w:r>
              <w:rPr>
                <w:rFonts w:ascii="Times New Roman" w:hAnsi="Times New Roman" w:eastAsia="Times New Roman" w:cs="Times New Roman"/>
                <w:spacing w:val="-1"/>
              </w:rPr>
              <w:t>4</w:t>
            </w:r>
          </w:p>
        </w:tc>
      </w:tr>
    </w:tbl>
    <w:p>
      <w:pPr>
        <w:spacing w:before="34" w:line="220" w:lineRule="auto"/>
        <w:ind w:firstLine="614"/>
        <w:outlineLvl w:val="0"/>
        <w:rPr>
          <w:rFonts w:ascii="宋体" w:hAnsi="宋体" w:eastAsia="宋体" w:cs="宋体"/>
          <w:sz w:val="24"/>
          <w:szCs w:val="24"/>
        </w:rPr>
      </w:pPr>
      <w:r>
        <w:rPr>
          <w:rFonts w:ascii="宋体" w:hAnsi="宋体" w:eastAsia="宋体" w:cs="宋体"/>
          <w:sz w:val="24"/>
          <w:szCs w:val="24"/>
        </w:rPr>
        <w:t>危险物质及工艺系统危险性等级为</w:t>
      </w:r>
      <w:r>
        <w:rPr>
          <w:rFonts w:ascii="Times New Roman" w:hAnsi="Times New Roman" w:eastAsia="Times New Roman" w:cs="Times New Roman"/>
          <w:sz w:val="24"/>
          <w:szCs w:val="24"/>
        </w:rPr>
        <w:t>P</w:t>
      </w:r>
      <w:r>
        <w:rPr>
          <w:rFonts w:hint="eastAsia" w:ascii="Times New Roman" w:hAnsi="Times New Roman" w:eastAsia="宋体" w:cs="Times New Roman"/>
          <w:sz w:val="24"/>
          <w:szCs w:val="24"/>
        </w:rPr>
        <w:t>4</w:t>
      </w:r>
      <w:r>
        <w:rPr>
          <w:rFonts w:ascii="宋体" w:hAnsi="宋体" w:eastAsia="宋体" w:cs="宋体"/>
          <w:spacing w:val="-71"/>
          <w:sz w:val="24"/>
          <w:szCs w:val="24"/>
        </w:rPr>
        <w:t>。</w:t>
      </w:r>
    </w:p>
    <w:p>
      <w:pPr>
        <w:spacing w:before="182" w:line="220" w:lineRule="auto"/>
        <w:ind w:firstLine="607"/>
        <w:outlineLvl w:val="0"/>
        <w:rPr>
          <w:rFonts w:ascii="宋体" w:hAnsi="宋体" w:eastAsia="宋体" w:cs="宋体"/>
          <w:b/>
          <w:bCs/>
          <w:sz w:val="24"/>
          <w:szCs w:val="24"/>
        </w:rPr>
      </w:pPr>
      <w:r>
        <w:rPr>
          <w:rFonts w:hint="eastAsia" w:ascii="Times New Roman" w:hAnsi="Times New Roman" w:eastAsia="宋体" w:cs="Times New Roman"/>
          <w:b/>
          <w:bCs/>
          <w:spacing w:val="-1"/>
          <w:sz w:val="24"/>
          <w:szCs w:val="24"/>
          <w:lang w:val="en-US" w:eastAsia="zh-CN"/>
        </w:rPr>
        <w:t xml:space="preserve">3.2.1 </w:t>
      </w:r>
      <w:r>
        <w:rPr>
          <w:rFonts w:ascii="宋体" w:hAnsi="宋体" w:eastAsia="宋体" w:cs="宋体"/>
          <w:b/>
          <w:bCs/>
          <w:sz w:val="24"/>
          <w:szCs w:val="24"/>
        </w:rPr>
        <w:t>敏感程度识别</w:t>
      </w:r>
    </w:p>
    <w:p>
      <w:pPr>
        <w:spacing w:before="136" w:line="360" w:lineRule="auto"/>
        <w:ind w:firstLine="613"/>
        <w:outlineLvl w:val="0"/>
        <w:rPr>
          <w:rFonts w:ascii="宋体" w:hAnsi="宋体" w:eastAsia="宋体" w:cs="宋体"/>
          <w:sz w:val="24"/>
          <w:szCs w:val="24"/>
        </w:rPr>
      </w:pPr>
      <w:r>
        <w:rPr>
          <w:rFonts w:ascii="宋体" w:hAnsi="宋体" w:eastAsia="宋体" w:cs="宋体"/>
          <w:position w:val="1"/>
          <w:sz w:val="24"/>
          <w:szCs w:val="24"/>
        </w:rPr>
        <w:t>按照《建设项目环境风险评价技术导则》（</w:t>
      </w:r>
      <w:r>
        <w:rPr>
          <w:rFonts w:ascii="Times New Roman" w:hAnsi="Times New Roman" w:eastAsia="Times New Roman" w:cs="Times New Roman"/>
          <w:position w:val="1"/>
          <w:sz w:val="24"/>
          <w:szCs w:val="24"/>
        </w:rPr>
        <w:t>HJ/T169-2018</w:t>
      </w:r>
      <w:r>
        <w:rPr>
          <w:rFonts w:ascii="宋体" w:hAnsi="宋体" w:eastAsia="宋体" w:cs="宋体"/>
          <w:spacing w:val="-119"/>
          <w:position w:val="1"/>
          <w:sz w:val="24"/>
          <w:szCs w:val="24"/>
        </w:rPr>
        <w:t>）</w:t>
      </w:r>
      <w:r>
        <w:rPr>
          <w:rFonts w:ascii="宋体" w:hAnsi="宋体" w:eastAsia="宋体" w:cs="宋体"/>
          <w:position w:val="1"/>
          <w:sz w:val="24"/>
          <w:szCs w:val="24"/>
        </w:rPr>
        <w:t>附录</w:t>
      </w:r>
      <w:r>
        <w:rPr>
          <w:rFonts w:ascii="Times New Roman" w:hAnsi="Times New Roman" w:eastAsia="Times New Roman" w:cs="Times New Roman"/>
          <w:position w:val="1"/>
          <w:sz w:val="24"/>
          <w:szCs w:val="24"/>
        </w:rPr>
        <w:t xml:space="preserve">D </w:t>
      </w:r>
      <w:r>
        <w:rPr>
          <w:rFonts w:ascii="宋体" w:hAnsi="宋体" w:eastAsia="宋体" w:cs="宋体"/>
          <w:position w:val="1"/>
          <w:sz w:val="24"/>
          <w:szCs w:val="24"/>
        </w:rPr>
        <w:t>对环境敏感程</w:t>
      </w:r>
    </w:p>
    <w:p>
      <w:pPr>
        <w:keepNext w:val="0"/>
        <w:keepLines w:val="0"/>
        <w:pageBreakBefore w:val="0"/>
        <w:widowControl w:val="0"/>
        <w:kinsoku/>
        <w:wordWrap/>
        <w:overflowPunct/>
        <w:topLinePunct w:val="0"/>
        <w:autoSpaceDE w:val="0"/>
        <w:autoSpaceDN w:val="0"/>
        <w:bidi w:val="0"/>
        <w:adjustRightInd/>
        <w:snapToGrid/>
        <w:spacing w:before="188" w:line="360" w:lineRule="auto"/>
        <w:ind w:firstLine="621" w:firstLineChars="259"/>
        <w:textAlignment w:val="auto"/>
        <w:rPr>
          <w:rFonts w:ascii="宋体" w:hAnsi="宋体" w:eastAsia="宋体" w:cs="宋体"/>
          <w:sz w:val="24"/>
          <w:szCs w:val="24"/>
        </w:rPr>
      </w:pPr>
      <w:r>
        <w:rPr>
          <w:rFonts w:ascii="宋体" w:hAnsi="宋体" w:eastAsia="宋体" w:cs="宋体"/>
          <w:sz w:val="24"/>
          <w:szCs w:val="24"/>
        </w:rPr>
        <w:t>度（</w:t>
      </w:r>
      <w:r>
        <w:rPr>
          <w:rFonts w:ascii="Times New Roman" w:hAnsi="Times New Roman" w:eastAsia="Times New Roman" w:cs="Times New Roman"/>
          <w:sz w:val="24"/>
          <w:szCs w:val="24"/>
        </w:rPr>
        <w:t>E</w:t>
      </w:r>
      <w:r>
        <w:rPr>
          <w:rFonts w:ascii="宋体" w:hAnsi="宋体" w:eastAsia="宋体" w:cs="宋体"/>
          <w:spacing w:val="-28"/>
          <w:sz w:val="24"/>
          <w:szCs w:val="24"/>
        </w:rPr>
        <w:t>）</w:t>
      </w:r>
      <w:r>
        <w:rPr>
          <w:rFonts w:ascii="宋体" w:hAnsi="宋体" w:eastAsia="宋体" w:cs="宋体"/>
          <w:sz w:val="24"/>
          <w:szCs w:val="24"/>
        </w:rPr>
        <w:t>进行分级</w:t>
      </w:r>
      <w:r>
        <w:rPr>
          <w:rFonts w:ascii="宋体" w:hAnsi="宋体" w:eastAsia="宋体" w:cs="宋体"/>
          <w:spacing w:val="-27"/>
          <w:sz w:val="24"/>
          <w:szCs w:val="24"/>
        </w:rPr>
        <w:t>：</w:t>
      </w:r>
    </w:p>
    <w:p>
      <w:pPr>
        <w:keepNext w:val="0"/>
        <w:keepLines w:val="0"/>
        <w:pageBreakBefore w:val="0"/>
        <w:widowControl w:val="0"/>
        <w:kinsoku/>
        <w:wordWrap/>
        <w:overflowPunct/>
        <w:topLinePunct w:val="0"/>
        <w:autoSpaceDE w:val="0"/>
        <w:autoSpaceDN w:val="0"/>
        <w:bidi w:val="0"/>
        <w:adjustRightInd/>
        <w:snapToGrid/>
        <w:spacing w:before="136" w:line="360" w:lineRule="auto"/>
        <w:ind w:left="480" w:leftChars="218" w:firstLine="184" w:firstLineChars="77"/>
        <w:textAlignment w:val="auto"/>
        <w:outlineLvl w:val="0"/>
        <w:rPr>
          <w:rFonts w:ascii="Times New Roman" w:hAnsi="Times New Roman" w:eastAsia="宋体" w:cs="Times New Roman"/>
          <w:position w:val="1"/>
          <w:sz w:val="24"/>
          <w:szCs w:val="24"/>
        </w:rPr>
      </w:pPr>
      <w:r>
        <w:rPr>
          <w:rFonts w:ascii="宋体" w:hAnsi="宋体" w:eastAsia="宋体" w:cs="宋体"/>
          <w:position w:val="1"/>
          <w:sz w:val="24"/>
          <w:szCs w:val="24"/>
        </w:rPr>
        <w:t>①厂</w:t>
      </w:r>
      <w:r>
        <w:rPr>
          <w:rFonts w:ascii="Times New Roman" w:hAnsi="Times New Roman" w:eastAsia="宋体" w:cs="Times New Roman"/>
          <w:position w:val="1"/>
          <w:sz w:val="24"/>
          <w:szCs w:val="24"/>
        </w:rPr>
        <w:t>址周边 500m 范围内人口数约为140人，小于500人， 5km 范围内人口数约为 3054人，故确定大气敏感程度为E3。</w:t>
      </w:r>
    </w:p>
    <w:p>
      <w:pPr>
        <w:keepNext w:val="0"/>
        <w:keepLines w:val="0"/>
        <w:pageBreakBefore w:val="0"/>
        <w:widowControl w:val="0"/>
        <w:kinsoku/>
        <w:wordWrap/>
        <w:overflowPunct/>
        <w:topLinePunct w:val="0"/>
        <w:autoSpaceDE w:val="0"/>
        <w:autoSpaceDN w:val="0"/>
        <w:bidi w:val="0"/>
        <w:adjustRightInd/>
        <w:snapToGrid/>
        <w:spacing w:before="136" w:line="360" w:lineRule="auto"/>
        <w:ind w:left="774" w:leftChars="327" w:hanging="55" w:hangingChars="23"/>
        <w:textAlignment w:val="auto"/>
        <w:outlineLvl w:val="0"/>
        <w:rPr>
          <w:color w:val="auto"/>
        </w:rPr>
      </w:pPr>
      <w:r>
        <w:rPr>
          <w:rFonts w:ascii="宋体" w:hAnsi="宋体" w:eastAsia="宋体" w:cs="宋体"/>
          <w:color w:val="auto"/>
          <w:position w:val="1"/>
          <w:sz w:val="24"/>
          <w:szCs w:val="24"/>
        </w:rPr>
        <w:t>②项目</w:t>
      </w:r>
      <w:r>
        <w:rPr>
          <w:rFonts w:hint="eastAsia" w:ascii="宋体" w:hAnsi="宋体" w:eastAsia="宋体" w:cs="宋体"/>
          <w:color w:val="auto"/>
          <w:position w:val="1"/>
          <w:sz w:val="24"/>
          <w:szCs w:val="24"/>
        </w:rPr>
        <w:t>事故状态下泄漏涂料少，安装监控报警，</w:t>
      </w:r>
      <w:r>
        <w:rPr>
          <w:rFonts w:hint="eastAsia" w:ascii="宋体" w:hAnsi="宋体" w:eastAsia="宋体" w:cs="宋体"/>
          <w:color w:val="auto"/>
          <w:sz w:val="24"/>
          <w:szCs w:val="24"/>
        </w:rPr>
        <w:t>设置导流沟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车间围堰</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废液收集池等</w:t>
      </w:r>
      <w:r>
        <w:rPr>
          <w:rFonts w:hint="eastAsia" w:ascii="宋体" w:hAnsi="宋体" w:eastAsia="宋体" w:cs="宋体"/>
          <w:color w:val="auto"/>
          <w:sz w:val="24"/>
          <w:szCs w:val="24"/>
        </w:rPr>
        <w:t>防范措施后不外排</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且项目离地表水赣江距离为3147m</w:t>
      </w:r>
      <w:r>
        <w:rPr>
          <w:rFonts w:hint="eastAsia" w:ascii="宋体" w:hAnsi="宋体" w:eastAsia="宋体" w:cs="宋体"/>
          <w:color w:val="auto"/>
          <w:sz w:val="24"/>
          <w:szCs w:val="24"/>
        </w:rPr>
        <w:t>。</w:t>
      </w:r>
      <w:r>
        <w:rPr>
          <w:rFonts w:hint="eastAsia" w:ascii="宋体" w:hAnsi="宋体" w:eastAsia="宋体" w:cs="宋体"/>
          <w:color w:val="auto"/>
          <w:position w:val="1"/>
          <w:sz w:val="24"/>
          <w:szCs w:val="24"/>
        </w:rPr>
        <w:t>故</w:t>
      </w:r>
      <w:r>
        <w:rPr>
          <w:rFonts w:ascii="宋体" w:hAnsi="宋体" w:eastAsia="宋体" w:cs="宋体"/>
          <w:color w:val="auto"/>
          <w:position w:val="1"/>
          <w:sz w:val="24"/>
          <w:szCs w:val="24"/>
        </w:rPr>
        <w:t>地表水环境敏感</w:t>
      </w:r>
      <w:r>
        <w:rPr>
          <w:rFonts w:hint="default" w:ascii="Times New Roman" w:hAnsi="Times New Roman" w:eastAsia="宋体" w:cs="Times New Roman"/>
          <w:color w:val="auto"/>
          <w:position w:val="1"/>
          <w:sz w:val="24"/>
          <w:szCs w:val="24"/>
        </w:rPr>
        <w:t>程度为E3</w:t>
      </w:r>
      <w:r>
        <w:rPr>
          <w:rFonts w:hint="default" w:ascii="Times New Roman" w:hAnsi="Times New Roman" w:eastAsia="宋体" w:cs="Times New Roman"/>
          <w:color w:val="auto"/>
          <w:spacing w:val="-69"/>
          <w:sz w:val="24"/>
          <w:szCs w:val="24"/>
        </w:rPr>
        <w:t>。</w:t>
      </w:r>
    </w:p>
    <w:p>
      <w:pPr>
        <w:keepNext w:val="0"/>
        <w:keepLines w:val="0"/>
        <w:pageBreakBefore w:val="0"/>
        <w:widowControl w:val="0"/>
        <w:kinsoku/>
        <w:wordWrap/>
        <w:overflowPunct/>
        <w:topLinePunct w:val="0"/>
        <w:autoSpaceDE w:val="0"/>
        <w:autoSpaceDN w:val="0"/>
        <w:bidi w:val="0"/>
        <w:adjustRightInd/>
        <w:snapToGrid/>
        <w:spacing w:before="78" w:line="360" w:lineRule="auto"/>
        <w:ind w:firstLine="609"/>
        <w:textAlignment w:val="auto"/>
        <w:outlineLvl w:val="0"/>
        <w:rPr>
          <w:rFonts w:ascii="宋体" w:hAnsi="宋体" w:eastAsia="宋体" w:cs="宋体"/>
          <w:sz w:val="24"/>
          <w:szCs w:val="24"/>
        </w:rPr>
      </w:pPr>
      <w:r>
        <w:rPr>
          <w:rFonts w:ascii="宋体" w:hAnsi="宋体" w:eastAsia="宋体" w:cs="宋体"/>
          <w:sz w:val="24"/>
          <w:szCs w:val="24"/>
        </w:rPr>
        <w:t>③地下水敏感性分区敏感区为</w:t>
      </w:r>
      <w:r>
        <w:rPr>
          <w:rFonts w:ascii="Times New Roman" w:hAnsi="Times New Roman" w:eastAsia="Times New Roman" w:cs="Times New Roman"/>
          <w:sz w:val="24"/>
          <w:szCs w:val="24"/>
        </w:rPr>
        <w:t>G3</w:t>
      </w:r>
      <w:r>
        <w:rPr>
          <w:rFonts w:ascii="宋体" w:hAnsi="宋体" w:eastAsia="宋体" w:cs="宋体"/>
          <w:spacing w:val="-75"/>
          <w:sz w:val="24"/>
          <w:szCs w:val="24"/>
        </w:rPr>
        <w:t>，</w:t>
      </w:r>
      <w:r>
        <w:rPr>
          <w:rFonts w:ascii="宋体" w:hAnsi="宋体" w:eastAsia="宋体" w:cs="宋体"/>
          <w:sz w:val="24"/>
          <w:szCs w:val="24"/>
        </w:rPr>
        <w:t>本项目地包气带的防污性能分级为</w:t>
      </w:r>
      <w:r>
        <w:rPr>
          <w:rFonts w:ascii="Times New Roman" w:hAnsi="Times New Roman" w:eastAsia="Times New Roman" w:cs="Times New Roman"/>
          <w:sz w:val="24"/>
          <w:szCs w:val="24"/>
        </w:rPr>
        <w:t>D2</w:t>
      </w:r>
      <w:r>
        <w:rPr>
          <w:rFonts w:ascii="宋体" w:hAnsi="宋体" w:eastAsia="宋体" w:cs="宋体"/>
          <w:spacing w:val="-75"/>
          <w:sz w:val="24"/>
          <w:szCs w:val="24"/>
        </w:rPr>
        <w:t>，</w:t>
      </w:r>
      <w:r>
        <w:rPr>
          <w:rFonts w:ascii="宋体" w:hAnsi="宋体" w:eastAsia="宋体" w:cs="宋体"/>
          <w:sz w:val="24"/>
          <w:szCs w:val="24"/>
        </w:rPr>
        <w:t>因此</w:t>
      </w:r>
    </w:p>
    <w:p>
      <w:pPr>
        <w:spacing w:before="182" w:line="220" w:lineRule="auto"/>
        <w:ind w:firstLine="621" w:firstLineChars="259"/>
        <w:rPr>
          <w:rFonts w:ascii="宋体" w:hAnsi="宋体" w:eastAsia="宋体" w:cs="宋体"/>
          <w:sz w:val="24"/>
          <w:szCs w:val="24"/>
        </w:rPr>
      </w:pPr>
      <w:r>
        <w:rPr>
          <w:rFonts w:ascii="宋体" w:hAnsi="宋体" w:eastAsia="宋体" w:cs="宋体"/>
          <w:sz w:val="24"/>
          <w:szCs w:val="24"/>
        </w:rPr>
        <w:t>地下水环境敏感分级为</w:t>
      </w:r>
      <w:r>
        <w:rPr>
          <w:rFonts w:ascii="Times New Roman" w:hAnsi="Times New Roman" w:eastAsia="Times New Roman" w:cs="Times New Roman"/>
          <w:sz w:val="24"/>
          <w:szCs w:val="24"/>
        </w:rPr>
        <w:t>E3</w:t>
      </w:r>
      <w:r>
        <w:rPr>
          <w:rFonts w:ascii="宋体" w:hAnsi="宋体" w:eastAsia="宋体" w:cs="宋体"/>
          <w:spacing w:val="-69"/>
          <w:sz w:val="24"/>
          <w:szCs w:val="24"/>
        </w:rPr>
        <w:t>。</w:t>
      </w:r>
    </w:p>
    <w:p>
      <w:pPr>
        <w:spacing w:before="182" w:line="218" w:lineRule="auto"/>
        <w:ind w:firstLine="607"/>
        <w:outlineLvl w:val="0"/>
        <w:rPr>
          <w:rFonts w:ascii="宋体" w:hAnsi="宋体" w:eastAsia="宋体" w:cs="宋体"/>
          <w:b/>
          <w:bCs/>
          <w:sz w:val="24"/>
          <w:szCs w:val="24"/>
        </w:rPr>
      </w:pPr>
      <w:r>
        <w:rPr>
          <w:rFonts w:hint="eastAsia" w:ascii="Times New Roman" w:hAnsi="Times New Roman" w:eastAsia="宋体" w:cs="Times New Roman"/>
          <w:b/>
          <w:bCs/>
          <w:spacing w:val="-1"/>
          <w:sz w:val="24"/>
          <w:szCs w:val="24"/>
          <w:lang w:val="en-US" w:eastAsia="zh-CN"/>
        </w:rPr>
        <w:t xml:space="preserve">3.1.2 </w:t>
      </w:r>
      <w:r>
        <w:rPr>
          <w:rFonts w:ascii="宋体" w:hAnsi="宋体" w:eastAsia="宋体" w:cs="宋体"/>
          <w:b/>
          <w:bCs/>
          <w:sz w:val="24"/>
          <w:szCs w:val="24"/>
        </w:rPr>
        <w:t>建设项目环境风险潜势判断及评价工作等级</w:t>
      </w:r>
    </w:p>
    <w:p>
      <w:pPr>
        <w:spacing w:before="302" w:line="214" w:lineRule="auto"/>
        <w:ind w:firstLine="2290"/>
        <w:outlineLvl w:val="0"/>
        <w:rPr>
          <w:rFonts w:ascii="宋体" w:hAnsi="宋体" w:eastAsia="宋体" w:cs="宋体"/>
          <w:sz w:val="24"/>
          <w:szCs w:val="24"/>
        </w:rPr>
      </w:pPr>
      <w:r>
        <w:rPr>
          <w:rFonts w:ascii="宋体" w:hAnsi="宋体" w:eastAsia="宋体" w:cs="宋体"/>
          <w:spacing w:val="-1"/>
          <w:sz w:val="24"/>
          <w:szCs w:val="24"/>
        </w:rPr>
        <w:t>表</w:t>
      </w:r>
      <w:r>
        <w:rPr>
          <w:rFonts w:hint="eastAsia" w:cs="宋体"/>
          <w:spacing w:val="-1"/>
          <w:sz w:val="24"/>
          <w:szCs w:val="24"/>
          <w:lang w:val="en-US" w:eastAsia="zh-CN"/>
        </w:rPr>
        <w:t>3.1</w:t>
      </w:r>
      <w:r>
        <w:rPr>
          <w:rFonts w:ascii="Times New Roman" w:hAnsi="Times New Roman" w:eastAsia="Times New Roman" w:cs="Times New Roman"/>
          <w:b/>
          <w:bCs/>
          <w:spacing w:val="-1"/>
          <w:sz w:val="24"/>
          <w:szCs w:val="24"/>
        </w:rPr>
        <w:t>-</w:t>
      </w:r>
      <w:r>
        <w:rPr>
          <w:rFonts w:hint="eastAsia" w:ascii="Times New Roman" w:hAnsi="Times New Roman" w:eastAsia="宋体" w:cs="Times New Roman"/>
          <w:b w:val="0"/>
          <w:bCs w:val="0"/>
          <w:spacing w:val="-1"/>
          <w:sz w:val="24"/>
          <w:szCs w:val="24"/>
          <w:lang w:val="en-US" w:eastAsia="zh-CN"/>
        </w:rPr>
        <w:t>6</w:t>
      </w:r>
      <w:r>
        <w:rPr>
          <w:rFonts w:ascii="宋体" w:hAnsi="宋体" w:eastAsia="宋体" w:cs="宋体"/>
          <w:spacing w:val="-1"/>
          <w:sz w:val="24"/>
          <w:szCs w:val="24"/>
        </w:rPr>
        <w:t>建设项目环境风</w:t>
      </w:r>
      <w:r>
        <w:rPr>
          <w:rFonts w:ascii="宋体" w:hAnsi="宋体" w:eastAsia="宋体" w:cs="宋体"/>
          <w:sz w:val="24"/>
          <w:szCs w:val="24"/>
        </w:rPr>
        <w:t>险评价工作等级划分</w:t>
      </w:r>
    </w:p>
    <w:tbl>
      <w:tblPr>
        <w:tblStyle w:val="18"/>
        <w:tblW w:w="4317" w:type="pct"/>
        <w:tblInd w:w="6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68"/>
        <w:gridCol w:w="2156"/>
        <w:gridCol w:w="2292"/>
        <w:gridCol w:w="1778"/>
        <w:gridCol w:w="18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894" w:type="pct"/>
            <w:vMerge w:val="restart"/>
            <w:tcBorders>
              <w:left w:val="nil"/>
              <w:bottom w:val="nil"/>
            </w:tcBorders>
          </w:tcPr>
          <w:p>
            <w:pPr>
              <w:spacing w:before="189" w:line="221" w:lineRule="auto"/>
              <w:ind w:firstLine="507"/>
              <w:rPr>
                <w:rFonts w:ascii="宋体" w:hAnsi="宋体" w:eastAsia="宋体" w:cs="宋体"/>
              </w:rPr>
            </w:pPr>
            <w:r>
              <w:rPr>
                <w:rFonts w:ascii="宋体" w:hAnsi="宋体" w:eastAsia="宋体" w:cs="宋体"/>
                <w:spacing w:val="-1"/>
              </w:rPr>
              <w:t>环境要</w:t>
            </w:r>
            <w:r>
              <w:rPr>
                <w:rFonts w:ascii="宋体" w:hAnsi="宋体" w:eastAsia="宋体" w:cs="宋体"/>
              </w:rPr>
              <w:t>素</w:t>
            </w:r>
          </w:p>
        </w:tc>
        <w:tc>
          <w:tcPr>
            <w:tcW w:w="2249" w:type="pct"/>
            <w:gridSpan w:val="2"/>
          </w:tcPr>
          <w:p>
            <w:pPr>
              <w:spacing w:before="56" w:line="215" w:lineRule="auto"/>
              <w:ind w:firstLine="969"/>
              <w:rPr>
                <w:rFonts w:ascii="宋体" w:hAnsi="宋体" w:eastAsia="宋体" w:cs="宋体"/>
              </w:rPr>
            </w:pPr>
            <w:r>
              <w:rPr>
                <w:rFonts w:ascii="宋体" w:hAnsi="宋体" w:eastAsia="宋体" w:cs="宋体"/>
                <w:spacing w:val="1"/>
              </w:rPr>
              <w:t>环</w:t>
            </w:r>
            <w:r>
              <w:rPr>
                <w:rFonts w:ascii="宋体" w:hAnsi="宋体" w:eastAsia="宋体" w:cs="宋体"/>
              </w:rPr>
              <w:t>境风险潜势初判</w:t>
            </w:r>
          </w:p>
        </w:tc>
        <w:tc>
          <w:tcPr>
            <w:tcW w:w="899" w:type="pct"/>
            <w:vMerge w:val="restart"/>
            <w:tcBorders>
              <w:bottom w:val="nil"/>
            </w:tcBorders>
          </w:tcPr>
          <w:p>
            <w:pPr>
              <w:spacing w:before="55" w:line="227" w:lineRule="auto"/>
              <w:ind w:left="803" w:right="164" w:hanging="633"/>
              <w:rPr>
                <w:rFonts w:ascii="宋体" w:hAnsi="宋体" w:eastAsia="宋体" w:cs="宋体"/>
              </w:rPr>
            </w:pPr>
            <w:r>
              <w:rPr>
                <w:rFonts w:ascii="宋体" w:hAnsi="宋体" w:eastAsia="宋体" w:cs="宋体"/>
              </w:rPr>
              <w:t>环境风险潜势划分</w:t>
            </w:r>
          </w:p>
        </w:tc>
        <w:tc>
          <w:tcPr>
            <w:tcW w:w="955" w:type="pct"/>
            <w:vMerge w:val="restart"/>
            <w:tcBorders>
              <w:bottom w:val="nil"/>
              <w:right w:val="nil"/>
            </w:tcBorders>
          </w:tcPr>
          <w:p>
            <w:pPr>
              <w:spacing w:before="190" w:line="219" w:lineRule="auto"/>
              <w:ind w:firstLine="276"/>
              <w:rPr>
                <w:rFonts w:ascii="宋体" w:hAnsi="宋体" w:eastAsia="宋体" w:cs="宋体"/>
              </w:rPr>
            </w:pPr>
            <w:r>
              <w:rPr>
                <w:rFonts w:ascii="宋体" w:hAnsi="宋体" w:eastAsia="宋体" w:cs="宋体"/>
                <w:spacing w:val="-1"/>
              </w:rPr>
              <w:t>评</w:t>
            </w:r>
            <w:r>
              <w:rPr>
                <w:rFonts w:ascii="宋体" w:hAnsi="宋体" w:eastAsia="宋体" w:cs="宋体"/>
              </w:rPr>
              <w:t>价等级确定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 w:hRule="atLeast"/>
        </w:trPr>
        <w:tc>
          <w:tcPr>
            <w:tcW w:w="894" w:type="pct"/>
            <w:vMerge w:val="continue"/>
            <w:tcBorders>
              <w:top w:val="nil"/>
              <w:left w:val="nil"/>
            </w:tcBorders>
          </w:tcPr>
          <w:p/>
        </w:tc>
        <w:tc>
          <w:tcPr>
            <w:tcW w:w="1090" w:type="pct"/>
          </w:tcPr>
          <w:p>
            <w:pPr>
              <w:spacing w:before="57" w:line="194" w:lineRule="auto"/>
              <w:ind w:firstLine="840"/>
              <w:rPr>
                <w:rFonts w:ascii="Times New Roman" w:hAnsi="Times New Roman" w:eastAsia="Times New Roman" w:cs="Times New Roman"/>
              </w:rPr>
            </w:pPr>
            <w:r>
              <w:rPr>
                <w:rFonts w:ascii="Times New Roman" w:hAnsi="Times New Roman" w:eastAsia="Times New Roman" w:cs="Times New Roman"/>
                <w:b/>
                <w:bCs/>
              </w:rPr>
              <w:t>P</w:t>
            </w:r>
          </w:p>
        </w:tc>
        <w:tc>
          <w:tcPr>
            <w:tcW w:w="1159" w:type="pct"/>
          </w:tcPr>
          <w:p>
            <w:pPr>
              <w:spacing w:before="57" w:line="194" w:lineRule="auto"/>
              <w:ind w:firstLine="835"/>
              <w:rPr>
                <w:rFonts w:ascii="Times New Roman" w:hAnsi="Times New Roman" w:eastAsia="Times New Roman" w:cs="Times New Roman"/>
              </w:rPr>
            </w:pPr>
            <w:r>
              <w:rPr>
                <w:rFonts w:ascii="Times New Roman" w:hAnsi="Times New Roman" w:eastAsia="Times New Roman" w:cs="Times New Roman"/>
                <w:b/>
                <w:bCs/>
              </w:rPr>
              <w:t>E</w:t>
            </w:r>
          </w:p>
        </w:tc>
        <w:tc>
          <w:tcPr>
            <w:tcW w:w="899" w:type="pct"/>
            <w:vMerge w:val="continue"/>
            <w:tcBorders>
              <w:top w:val="nil"/>
            </w:tcBorders>
          </w:tcPr>
          <w:p/>
        </w:tc>
        <w:tc>
          <w:tcPr>
            <w:tcW w:w="955" w:type="pct"/>
            <w:vMerge w:val="continue"/>
            <w:tcBorders>
              <w:top w:val="nil"/>
              <w:right w:val="nil"/>
            </w:tcBorders>
          </w:tc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pct"/>
            <w:tcBorders>
              <w:left w:val="nil"/>
            </w:tcBorders>
          </w:tcPr>
          <w:p>
            <w:pPr>
              <w:spacing w:before="33" w:line="214" w:lineRule="auto"/>
              <w:ind w:firstLine="721"/>
              <w:rPr>
                <w:rFonts w:ascii="宋体" w:hAnsi="宋体" w:eastAsia="宋体" w:cs="宋体"/>
              </w:rPr>
            </w:pPr>
            <w:r>
              <w:rPr>
                <w:rFonts w:ascii="宋体" w:hAnsi="宋体" w:eastAsia="宋体" w:cs="宋体"/>
                <w:spacing w:val="-3"/>
              </w:rPr>
              <w:t>大</w:t>
            </w:r>
            <w:r>
              <w:rPr>
                <w:rFonts w:ascii="宋体" w:hAnsi="宋体" w:eastAsia="宋体" w:cs="宋体"/>
                <w:spacing w:val="-2"/>
              </w:rPr>
              <w:t>气</w:t>
            </w:r>
          </w:p>
        </w:tc>
        <w:tc>
          <w:tcPr>
            <w:tcW w:w="1090" w:type="pct"/>
          </w:tcPr>
          <w:p>
            <w:pPr>
              <w:spacing w:before="64" w:line="187" w:lineRule="auto"/>
              <w:ind w:firstLine="791"/>
              <w:rPr>
                <w:rFonts w:ascii="Times New Roman" w:hAnsi="Times New Roman" w:eastAsia="宋体" w:cs="Times New Roman"/>
              </w:rPr>
            </w:pPr>
            <w:r>
              <w:rPr>
                <w:rFonts w:ascii="Times New Roman" w:hAnsi="Times New Roman" w:eastAsia="Times New Roman" w:cs="Times New Roman"/>
                <w:spacing w:val="-2"/>
              </w:rPr>
              <w:t>P</w:t>
            </w:r>
            <w:r>
              <w:rPr>
                <w:rFonts w:hint="eastAsia" w:ascii="Times New Roman" w:hAnsi="Times New Roman" w:eastAsia="宋体" w:cs="Times New Roman"/>
                <w:spacing w:val="-1"/>
              </w:rPr>
              <w:t>4</w:t>
            </w:r>
          </w:p>
        </w:tc>
        <w:tc>
          <w:tcPr>
            <w:tcW w:w="1159" w:type="pct"/>
          </w:tcPr>
          <w:p>
            <w:pPr>
              <w:spacing w:before="64" w:line="187" w:lineRule="auto"/>
              <w:ind w:firstLine="788"/>
              <w:rPr>
                <w:rFonts w:ascii="Times New Roman" w:hAnsi="Times New Roman" w:eastAsia="宋体" w:cs="Times New Roman"/>
              </w:rPr>
            </w:pPr>
            <w:r>
              <w:rPr>
                <w:rFonts w:ascii="Times New Roman" w:hAnsi="Times New Roman" w:eastAsia="Times New Roman" w:cs="Times New Roman"/>
                <w:spacing w:val="-2"/>
              </w:rPr>
              <w:t>E</w:t>
            </w:r>
            <w:r>
              <w:rPr>
                <w:rFonts w:hint="eastAsia" w:ascii="Times New Roman" w:hAnsi="Times New Roman" w:eastAsia="宋体" w:cs="Times New Roman"/>
                <w:spacing w:val="-1"/>
              </w:rPr>
              <w:t>3</w:t>
            </w:r>
          </w:p>
        </w:tc>
        <w:tc>
          <w:tcPr>
            <w:tcW w:w="899" w:type="pct"/>
          </w:tcPr>
          <w:p>
            <w:pPr>
              <w:spacing w:before="66" w:line="187" w:lineRule="auto"/>
              <w:ind w:firstLine="788"/>
              <w:rPr>
                <w:rFonts w:ascii="Times New Roman" w:hAnsi="Times New Roman" w:eastAsia="Times New Roman" w:cs="Times New Roman"/>
                <w:spacing w:val="-2"/>
              </w:rPr>
            </w:pPr>
            <w:r>
              <w:rPr>
                <w:rFonts w:hint="eastAsia" w:ascii="Times New Roman" w:hAnsi="Times New Roman" w:eastAsia="Times New Roman" w:cs="Times New Roman"/>
                <w:spacing w:val="-2"/>
              </w:rPr>
              <w:t>Ⅰ</w:t>
            </w:r>
          </w:p>
        </w:tc>
        <w:tc>
          <w:tcPr>
            <w:tcW w:w="955" w:type="pct"/>
            <w:tcBorders>
              <w:right w:val="nil"/>
            </w:tcBorders>
          </w:tcPr>
          <w:p>
            <w:pPr>
              <w:spacing w:before="33" w:line="214" w:lineRule="auto"/>
              <w:jc w:val="center"/>
              <w:rPr>
                <w:rFonts w:ascii="宋体" w:hAnsi="宋体" w:eastAsia="宋体" w:cs="宋体"/>
              </w:rPr>
            </w:pPr>
            <w:r>
              <w:rPr>
                <w:rFonts w:hint="eastAsia" w:ascii="宋体" w:hAnsi="宋体" w:eastAsia="宋体" w:cs="宋体"/>
              </w:rPr>
              <w:t>简单分析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pct"/>
            <w:tcBorders>
              <w:left w:val="nil"/>
            </w:tcBorders>
          </w:tcPr>
          <w:p>
            <w:pPr>
              <w:spacing w:before="32" w:line="215" w:lineRule="auto"/>
              <w:ind w:firstLine="613"/>
              <w:rPr>
                <w:rFonts w:ascii="宋体" w:hAnsi="宋体" w:eastAsia="宋体" w:cs="宋体"/>
              </w:rPr>
            </w:pPr>
            <w:r>
              <w:rPr>
                <w:rFonts w:ascii="宋体" w:hAnsi="宋体" w:eastAsia="宋体" w:cs="宋体"/>
                <w:spacing w:val="-2"/>
              </w:rPr>
              <w:t>地</w:t>
            </w:r>
            <w:r>
              <w:rPr>
                <w:rFonts w:ascii="宋体" w:hAnsi="宋体" w:eastAsia="宋体" w:cs="宋体"/>
                <w:spacing w:val="-1"/>
              </w:rPr>
              <w:t>表水</w:t>
            </w:r>
          </w:p>
        </w:tc>
        <w:tc>
          <w:tcPr>
            <w:tcW w:w="1090" w:type="pct"/>
          </w:tcPr>
          <w:p>
            <w:pPr>
              <w:spacing w:before="65" w:line="187" w:lineRule="auto"/>
              <w:ind w:firstLine="791"/>
              <w:rPr>
                <w:rFonts w:ascii="Times New Roman" w:hAnsi="Times New Roman" w:eastAsia="宋体" w:cs="Times New Roman"/>
              </w:rPr>
            </w:pPr>
            <w:r>
              <w:rPr>
                <w:rFonts w:ascii="Times New Roman" w:hAnsi="Times New Roman" w:eastAsia="Times New Roman" w:cs="Times New Roman"/>
                <w:spacing w:val="-2"/>
              </w:rPr>
              <w:t>P</w:t>
            </w:r>
            <w:r>
              <w:rPr>
                <w:rFonts w:hint="eastAsia" w:ascii="Times New Roman" w:hAnsi="Times New Roman" w:eastAsia="宋体" w:cs="Times New Roman"/>
                <w:spacing w:val="-1"/>
              </w:rPr>
              <w:t>4</w:t>
            </w:r>
          </w:p>
        </w:tc>
        <w:tc>
          <w:tcPr>
            <w:tcW w:w="1159" w:type="pct"/>
          </w:tcPr>
          <w:p>
            <w:pPr>
              <w:spacing w:before="66" w:line="187" w:lineRule="auto"/>
              <w:ind w:firstLine="788"/>
              <w:rPr>
                <w:rFonts w:ascii="Times New Roman" w:hAnsi="Times New Roman" w:eastAsia="宋体" w:cs="Times New Roman"/>
              </w:rPr>
            </w:pPr>
            <w:r>
              <w:rPr>
                <w:rFonts w:ascii="Times New Roman" w:hAnsi="Times New Roman" w:eastAsia="Times New Roman" w:cs="Times New Roman"/>
                <w:spacing w:val="-2"/>
              </w:rPr>
              <w:t>E</w:t>
            </w:r>
            <w:r>
              <w:rPr>
                <w:rFonts w:hint="eastAsia" w:ascii="Times New Roman" w:hAnsi="Times New Roman" w:eastAsia="宋体" w:cs="Times New Roman"/>
                <w:spacing w:val="-1"/>
              </w:rPr>
              <w:t>3</w:t>
            </w:r>
          </w:p>
        </w:tc>
        <w:tc>
          <w:tcPr>
            <w:tcW w:w="899" w:type="pct"/>
          </w:tcPr>
          <w:p>
            <w:pPr>
              <w:spacing w:before="66" w:line="187" w:lineRule="auto"/>
              <w:ind w:firstLine="788"/>
              <w:rPr>
                <w:rFonts w:ascii="Times New Roman" w:hAnsi="Times New Roman" w:eastAsia="Times New Roman" w:cs="Times New Roman"/>
                <w:spacing w:val="-2"/>
              </w:rPr>
            </w:pPr>
            <w:r>
              <w:rPr>
                <w:rFonts w:hint="eastAsia" w:ascii="Times New Roman" w:hAnsi="Times New Roman" w:eastAsia="Times New Roman" w:cs="Times New Roman"/>
                <w:spacing w:val="-2"/>
              </w:rPr>
              <w:t>Ⅰ</w:t>
            </w:r>
          </w:p>
        </w:tc>
        <w:tc>
          <w:tcPr>
            <w:tcW w:w="955" w:type="pct"/>
            <w:tcBorders>
              <w:right w:val="nil"/>
            </w:tcBorders>
          </w:tcPr>
          <w:p>
            <w:pPr>
              <w:spacing w:before="33" w:line="214" w:lineRule="auto"/>
              <w:jc w:val="center"/>
              <w:rPr>
                <w:rFonts w:ascii="宋体" w:hAnsi="宋体" w:eastAsia="宋体" w:cs="宋体"/>
              </w:rPr>
            </w:pPr>
            <w:r>
              <w:rPr>
                <w:rFonts w:hint="eastAsia" w:ascii="宋体" w:hAnsi="宋体" w:eastAsia="宋体" w:cs="宋体"/>
              </w:rPr>
              <w:t>简单分析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894" w:type="pct"/>
            <w:tcBorders>
              <w:left w:val="nil"/>
            </w:tcBorders>
          </w:tcPr>
          <w:p>
            <w:pPr>
              <w:spacing w:before="33" w:line="212" w:lineRule="auto"/>
              <w:ind w:firstLine="613"/>
              <w:rPr>
                <w:rFonts w:ascii="宋体" w:hAnsi="宋体" w:eastAsia="宋体" w:cs="宋体"/>
              </w:rPr>
            </w:pPr>
            <w:r>
              <w:rPr>
                <w:rFonts w:ascii="宋体" w:hAnsi="宋体" w:eastAsia="宋体" w:cs="宋体"/>
                <w:spacing w:val="-2"/>
              </w:rPr>
              <w:t>地</w:t>
            </w:r>
            <w:r>
              <w:rPr>
                <w:rFonts w:ascii="宋体" w:hAnsi="宋体" w:eastAsia="宋体" w:cs="宋体"/>
                <w:spacing w:val="-1"/>
              </w:rPr>
              <w:t>下水</w:t>
            </w:r>
          </w:p>
        </w:tc>
        <w:tc>
          <w:tcPr>
            <w:tcW w:w="1090" w:type="pct"/>
          </w:tcPr>
          <w:p>
            <w:pPr>
              <w:spacing w:before="64" w:line="187" w:lineRule="auto"/>
              <w:ind w:firstLine="791"/>
              <w:rPr>
                <w:rFonts w:ascii="Times New Roman" w:hAnsi="Times New Roman" w:eastAsia="宋体" w:cs="Times New Roman"/>
              </w:rPr>
            </w:pPr>
            <w:r>
              <w:rPr>
                <w:rFonts w:ascii="Times New Roman" w:hAnsi="Times New Roman" w:eastAsia="Times New Roman" w:cs="Times New Roman"/>
                <w:spacing w:val="-2"/>
              </w:rPr>
              <w:t>P</w:t>
            </w:r>
            <w:r>
              <w:rPr>
                <w:rFonts w:hint="eastAsia" w:ascii="Times New Roman" w:hAnsi="Times New Roman" w:eastAsia="宋体" w:cs="Times New Roman"/>
                <w:spacing w:val="-1"/>
              </w:rPr>
              <w:t>4</w:t>
            </w:r>
          </w:p>
        </w:tc>
        <w:tc>
          <w:tcPr>
            <w:tcW w:w="1159" w:type="pct"/>
          </w:tcPr>
          <w:p>
            <w:pPr>
              <w:spacing w:before="64" w:line="187" w:lineRule="auto"/>
              <w:ind w:firstLine="788"/>
              <w:rPr>
                <w:rFonts w:ascii="Times New Roman" w:hAnsi="Times New Roman" w:eastAsia="Times New Roman" w:cs="Times New Roman"/>
              </w:rPr>
            </w:pPr>
            <w:r>
              <w:rPr>
                <w:rFonts w:ascii="Times New Roman" w:hAnsi="Times New Roman" w:eastAsia="Times New Roman" w:cs="Times New Roman"/>
                <w:spacing w:val="-2"/>
              </w:rPr>
              <w:t>E</w:t>
            </w:r>
            <w:r>
              <w:rPr>
                <w:rFonts w:ascii="Times New Roman" w:hAnsi="Times New Roman" w:eastAsia="Times New Roman" w:cs="Times New Roman"/>
                <w:spacing w:val="-1"/>
              </w:rPr>
              <w:t>3</w:t>
            </w:r>
          </w:p>
        </w:tc>
        <w:tc>
          <w:tcPr>
            <w:tcW w:w="899" w:type="pct"/>
          </w:tcPr>
          <w:p>
            <w:pPr>
              <w:spacing w:before="66" w:line="187" w:lineRule="auto"/>
              <w:ind w:firstLine="788"/>
              <w:rPr>
                <w:rFonts w:ascii="Times New Roman" w:hAnsi="Times New Roman" w:eastAsia="Times New Roman" w:cs="Times New Roman"/>
                <w:spacing w:val="-2"/>
              </w:rPr>
            </w:pPr>
            <w:r>
              <w:rPr>
                <w:rFonts w:hint="eastAsia" w:ascii="Times New Roman" w:hAnsi="Times New Roman" w:eastAsia="Times New Roman" w:cs="Times New Roman"/>
                <w:spacing w:val="-2"/>
              </w:rPr>
              <w:t>Ⅰ</w:t>
            </w:r>
          </w:p>
        </w:tc>
        <w:tc>
          <w:tcPr>
            <w:tcW w:w="955" w:type="pct"/>
            <w:tcBorders>
              <w:right w:val="nil"/>
            </w:tcBorders>
          </w:tcPr>
          <w:p>
            <w:pPr>
              <w:spacing w:before="33" w:line="214" w:lineRule="auto"/>
              <w:jc w:val="center"/>
              <w:rPr>
                <w:rFonts w:ascii="宋体" w:hAnsi="宋体" w:eastAsia="宋体" w:cs="宋体"/>
              </w:rPr>
            </w:pPr>
            <w:r>
              <w:rPr>
                <w:rFonts w:hint="eastAsia" w:ascii="宋体" w:hAnsi="宋体" w:eastAsia="宋体" w:cs="宋体"/>
              </w:rPr>
              <w:t>简单分析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894" w:type="pct"/>
            <w:tcBorders>
              <w:left w:val="nil"/>
            </w:tcBorders>
          </w:tcPr>
          <w:p>
            <w:pPr>
              <w:spacing w:before="36" w:line="221" w:lineRule="auto"/>
              <w:ind w:firstLine="509"/>
              <w:rPr>
                <w:rFonts w:ascii="宋体" w:hAnsi="宋体" w:eastAsia="宋体" w:cs="宋体"/>
              </w:rPr>
            </w:pPr>
            <w:r>
              <w:rPr>
                <w:rFonts w:ascii="宋体" w:hAnsi="宋体" w:eastAsia="宋体" w:cs="宋体"/>
                <w:spacing w:val="-2"/>
              </w:rPr>
              <w:t>建设项目</w:t>
            </w:r>
          </w:p>
        </w:tc>
        <w:tc>
          <w:tcPr>
            <w:tcW w:w="1090" w:type="pct"/>
          </w:tcPr>
          <w:p>
            <w:pPr>
              <w:spacing w:before="67" w:line="187" w:lineRule="auto"/>
              <w:ind w:firstLine="791"/>
              <w:rPr>
                <w:rFonts w:ascii="Times New Roman" w:hAnsi="Times New Roman" w:eastAsia="宋体" w:cs="Times New Roman"/>
              </w:rPr>
            </w:pPr>
            <w:r>
              <w:rPr>
                <w:rFonts w:ascii="Times New Roman" w:hAnsi="Times New Roman" w:eastAsia="Times New Roman" w:cs="Times New Roman"/>
                <w:spacing w:val="-2"/>
              </w:rPr>
              <w:t>P</w:t>
            </w:r>
            <w:r>
              <w:rPr>
                <w:rFonts w:hint="eastAsia" w:ascii="Times New Roman" w:hAnsi="Times New Roman" w:eastAsia="宋体" w:cs="Times New Roman"/>
                <w:spacing w:val="-1"/>
              </w:rPr>
              <w:t>4</w:t>
            </w:r>
          </w:p>
        </w:tc>
        <w:tc>
          <w:tcPr>
            <w:tcW w:w="1159" w:type="pct"/>
          </w:tcPr>
          <w:p>
            <w:pPr>
              <w:spacing w:before="68" w:line="187" w:lineRule="auto"/>
              <w:ind w:firstLine="788"/>
              <w:rPr>
                <w:rFonts w:ascii="Times New Roman" w:hAnsi="Times New Roman" w:eastAsia="宋体" w:cs="Times New Roman"/>
              </w:rPr>
            </w:pPr>
            <w:r>
              <w:rPr>
                <w:rFonts w:ascii="Times New Roman" w:hAnsi="Times New Roman" w:eastAsia="Times New Roman" w:cs="Times New Roman"/>
                <w:spacing w:val="-2"/>
              </w:rPr>
              <w:t>E</w:t>
            </w:r>
            <w:r>
              <w:rPr>
                <w:rFonts w:hint="eastAsia" w:ascii="Times New Roman" w:hAnsi="Times New Roman" w:eastAsia="宋体" w:cs="Times New Roman"/>
                <w:spacing w:val="-1"/>
              </w:rPr>
              <w:t>3</w:t>
            </w:r>
          </w:p>
        </w:tc>
        <w:tc>
          <w:tcPr>
            <w:tcW w:w="899" w:type="pct"/>
          </w:tcPr>
          <w:p>
            <w:pPr>
              <w:spacing w:before="66" w:line="187" w:lineRule="auto"/>
              <w:ind w:firstLine="788"/>
              <w:rPr>
                <w:rFonts w:ascii="Times New Roman" w:hAnsi="Times New Roman" w:eastAsia="Times New Roman" w:cs="Times New Roman"/>
                <w:spacing w:val="-2"/>
              </w:rPr>
            </w:pPr>
            <w:r>
              <w:rPr>
                <w:rFonts w:hint="eastAsia" w:ascii="Times New Roman" w:hAnsi="Times New Roman" w:eastAsia="Times New Roman" w:cs="Times New Roman"/>
                <w:spacing w:val="-2"/>
              </w:rPr>
              <w:t>Ⅰ</w:t>
            </w:r>
          </w:p>
        </w:tc>
        <w:tc>
          <w:tcPr>
            <w:tcW w:w="955" w:type="pct"/>
            <w:tcBorders>
              <w:right w:val="nil"/>
            </w:tcBorders>
          </w:tcPr>
          <w:p>
            <w:pPr>
              <w:spacing w:before="33" w:line="214" w:lineRule="auto"/>
              <w:jc w:val="center"/>
              <w:rPr>
                <w:rFonts w:ascii="宋体" w:hAnsi="宋体" w:eastAsia="宋体" w:cs="宋体"/>
              </w:rPr>
            </w:pPr>
            <w:r>
              <w:rPr>
                <w:rFonts w:hint="eastAsia" w:ascii="宋体" w:hAnsi="宋体" w:eastAsia="宋体" w:cs="宋体"/>
              </w:rPr>
              <w:t>简单分析</w:t>
            </w:r>
          </w:p>
        </w:tc>
      </w:tr>
    </w:tbl>
    <w:p>
      <w:pPr>
        <w:pStyle w:val="2"/>
        <w:ind w:firstLine="480" w:firstLineChars="200"/>
        <w:rPr>
          <w:rFonts w:hint="eastAsia" w:ascii="宋体" w:hAnsi="宋体" w:eastAsia="宋体" w:cs="宋体"/>
          <w:spacing w:val="-8"/>
          <w:sz w:val="24"/>
          <w:szCs w:val="24"/>
          <w:lang w:val="zh-CN" w:eastAsia="zh-CN" w:bidi="zh-CN"/>
        </w:rPr>
      </w:pPr>
      <w:r>
        <w:rPr>
          <w:rFonts w:hint="eastAsia" w:ascii="Times New Roman" w:cs="Times New Roman"/>
          <w:color w:val="auto"/>
          <w:sz w:val="24"/>
          <w:szCs w:val="24"/>
          <w:lang w:val="en-US" w:eastAsia="zh-CN"/>
        </w:rPr>
        <w:t>故</w:t>
      </w:r>
      <w:r>
        <w:rPr>
          <w:rFonts w:ascii="Times New Roman" w:hAnsi="Times New Roman" w:cs="Times New Roman"/>
          <w:color w:val="auto"/>
          <w:sz w:val="24"/>
          <w:szCs w:val="24"/>
        </w:rPr>
        <w:t>本项目环境风险潜势为I</w:t>
      </w:r>
      <w:r>
        <w:rPr>
          <w:rFonts w:ascii="宋体" w:hAnsi="宋体" w:eastAsia="宋体" w:cs="宋体"/>
          <w:spacing w:val="14"/>
          <w:sz w:val="24"/>
          <w:szCs w:val="24"/>
        </w:rPr>
        <w:t>，</w:t>
      </w:r>
      <w:r>
        <w:rPr>
          <w:rFonts w:ascii="Times New Roman" w:hAnsi="Times New Roman" w:cs="Times New Roman"/>
          <w:color w:val="auto"/>
          <w:sz w:val="24"/>
          <w:szCs w:val="24"/>
        </w:rPr>
        <w:t>环境风险评价仅进行简单分析</w:t>
      </w:r>
      <w:r>
        <w:rPr>
          <w:rFonts w:hint="eastAsia" w:ascii="Times New Roman" w:hAnsi="Times New Roman" w:eastAsia="宋体" w:cs="Times New Roman"/>
          <w:color w:val="auto"/>
          <w:sz w:val="24"/>
          <w:szCs w:val="24"/>
        </w:rPr>
        <w:t>即可</w:t>
      </w:r>
      <w:r>
        <w:rPr>
          <w:rFonts w:hint="eastAsia" w:ascii="Times New Roman" w:cs="Times New Roman"/>
          <w:color w:val="auto"/>
          <w:sz w:val="24"/>
          <w:szCs w:val="24"/>
          <w:lang w:eastAsia="zh-CN"/>
        </w:rPr>
        <w:t>。</w:t>
      </w:r>
      <w:r>
        <w:rPr>
          <w:rFonts w:hint="eastAsia" w:ascii="宋体" w:hAnsi="宋体" w:eastAsia="宋体" w:cs="宋体"/>
          <w:spacing w:val="-8"/>
          <w:sz w:val="24"/>
          <w:szCs w:val="24"/>
          <w:lang w:val="en-US" w:eastAsia="zh-CN" w:bidi="zh-CN"/>
        </w:rPr>
        <w:t xml:space="preserve"> </w:t>
      </w:r>
    </w:p>
    <w:p>
      <w:pPr>
        <w:pStyle w:val="7"/>
        <w:spacing w:before="12"/>
        <w:rPr>
          <w:sz w:val="18"/>
        </w:rPr>
      </w:pPr>
    </w:p>
    <w:p>
      <w:pPr>
        <w:pStyle w:val="5"/>
        <w:numPr>
          <w:ilvl w:val="0"/>
          <w:numId w:val="0"/>
        </w:numPr>
        <w:bidi w:val="0"/>
        <w:ind w:right="0" w:rightChars="0" w:firstLine="964" w:firstLineChars="300"/>
      </w:pPr>
      <w:bookmarkStart w:id="60" w:name="_bookmark15"/>
      <w:bookmarkEnd w:id="60"/>
      <w:bookmarkStart w:id="61" w:name="_bookmark15"/>
      <w:bookmarkEnd w:id="61"/>
      <w:bookmarkStart w:id="62" w:name="3.3源项分析"/>
      <w:bookmarkEnd w:id="62"/>
      <w:r>
        <w:rPr>
          <w:rFonts w:hint="eastAsia"/>
          <w:lang w:val="en-US" w:eastAsia="zh-CN"/>
        </w:rPr>
        <w:t xml:space="preserve">3.3 </w:t>
      </w:r>
      <w:r>
        <w:t>源项分析</w:t>
      </w:r>
    </w:p>
    <w:p>
      <w:pPr>
        <w:pStyle w:val="19"/>
        <w:numPr>
          <w:ilvl w:val="2"/>
          <w:numId w:val="0"/>
        </w:numPr>
        <w:tabs>
          <w:tab w:val="left" w:pos="2316"/>
        </w:tabs>
        <w:spacing w:before="93" w:after="0" w:line="240" w:lineRule="auto"/>
        <w:ind w:right="0" w:rightChars="0" w:firstLine="1044" w:firstLineChars="400"/>
        <w:jc w:val="left"/>
        <w:rPr>
          <w:b/>
          <w:sz w:val="28"/>
        </w:rPr>
      </w:pPr>
      <w:bookmarkStart w:id="63" w:name="3.3.1生产过程中污染风险影响分析"/>
      <w:bookmarkEnd w:id="63"/>
      <w:bookmarkStart w:id="64" w:name="3.3.1生产过程中污染风险影响分析"/>
      <w:bookmarkEnd w:id="64"/>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3</w:t>
      </w:r>
      <w:r>
        <w:rPr>
          <w:rFonts w:hint="default" w:ascii="宋体" w:hAnsi="宋体" w:eastAsia="宋体" w:cs="宋体"/>
          <w:b/>
          <w:bCs/>
          <w:spacing w:val="0"/>
          <w:w w:val="93"/>
          <w:sz w:val="28"/>
          <w:szCs w:val="22"/>
          <w:lang w:val="zh-CN" w:eastAsia="zh-CN" w:bidi="zh-CN"/>
        </w:rPr>
        <w:t>.1</w:t>
      </w:r>
      <w:r>
        <w:rPr>
          <w:rFonts w:hint="eastAsia" w:cs="宋体"/>
          <w:b/>
          <w:bCs/>
          <w:spacing w:val="0"/>
          <w:w w:val="93"/>
          <w:sz w:val="28"/>
          <w:szCs w:val="22"/>
          <w:lang w:val="en-US" w:eastAsia="zh-CN" w:bidi="zh-CN"/>
        </w:rPr>
        <w:t xml:space="preserve"> </w:t>
      </w:r>
      <w:r>
        <w:rPr>
          <w:b/>
          <w:sz w:val="28"/>
        </w:rPr>
        <w:t>生产过程中污染风险影响分析</w:t>
      </w:r>
    </w:p>
    <w:p>
      <w:pPr>
        <w:pStyle w:val="7"/>
        <w:spacing w:before="1"/>
        <w:rPr>
          <w:b/>
          <w:sz w:val="20"/>
        </w:rPr>
      </w:pPr>
    </w:p>
    <w:p>
      <w:pPr>
        <w:pStyle w:val="7"/>
        <w:ind w:left="2106"/>
      </w:pPr>
      <w:r>
        <w:t>发生泄漏的环节主要为：</w:t>
      </w:r>
    </w:p>
    <w:p>
      <w:pPr>
        <w:pStyle w:val="7"/>
        <w:spacing w:before="5"/>
        <w:rPr>
          <w:sz w:val="25"/>
        </w:rPr>
      </w:pPr>
    </w:p>
    <w:p>
      <w:pPr>
        <w:pStyle w:val="19"/>
        <w:numPr>
          <w:ilvl w:val="0"/>
          <w:numId w:val="32"/>
        </w:numPr>
        <w:tabs>
          <w:tab w:val="left" w:pos="2696"/>
        </w:tabs>
        <w:spacing w:before="1" w:after="0" w:line="240" w:lineRule="auto"/>
        <w:ind w:left="2695" w:right="0" w:hanging="590"/>
        <w:jc w:val="left"/>
        <w:rPr>
          <w:sz w:val="24"/>
        </w:rPr>
      </w:pPr>
      <w:r>
        <w:rPr>
          <w:spacing w:val="-9"/>
          <w:sz w:val="24"/>
        </w:rPr>
        <w:t>原料桶泄漏或破裂。</w:t>
      </w:r>
    </w:p>
    <w:p>
      <w:pPr>
        <w:pStyle w:val="7"/>
        <w:spacing w:before="5"/>
        <w:rPr>
          <w:sz w:val="25"/>
        </w:rPr>
      </w:pPr>
    </w:p>
    <w:p>
      <w:pPr>
        <w:pStyle w:val="19"/>
        <w:numPr>
          <w:ilvl w:val="0"/>
          <w:numId w:val="32"/>
        </w:numPr>
        <w:tabs>
          <w:tab w:val="left" w:pos="2696"/>
        </w:tabs>
        <w:spacing w:before="0" w:after="0" w:line="240" w:lineRule="auto"/>
        <w:ind w:left="2695" w:right="0" w:hanging="590"/>
        <w:jc w:val="left"/>
        <w:rPr>
          <w:sz w:val="24"/>
        </w:rPr>
      </w:pPr>
      <w:r>
        <w:rPr>
          <w:spacing w:val="-10"/>
          <w:sz w:val="24"/>
        </w:rPr>
        <w:t>管路系统泄漏(包括管道、阀门、连接法兰、泵的密封等设备及部位)。</w:t>
      </w:r>
    </w:p>
    <w:p>
      <w:pPr>
        <w:pStyle w:val="7"/>
        <w:spacing w:before="8"/>
        <w:rPr>
          <w:sz w:val="25"/>
        </w:rPr>
      </w:pPr>
    </w:p>
    <w:p>
      <w:pPr>
        <w:pStyle w:val="19"/>
        <w:numPr>
          <w:ilvl w:val="0"/>
          <w:numId w:val="32"/>
        </w:numPr>
        <w:tabs>
          <w:tab w:val="left" w:pos="2696"/>
        </w:tabs>
        <w:spacing w:before="1" w:after="0" w:line="240" w:lineRule="auto"/>
        <w:ind w:left="2695" w:right="0" w:hanging="590"/>
        <w:jc w:val="left"/>
        <w:rPr>
          <w:sz w:val="24"/>
        </w:rPr>
      </w:pPr>
      <w:r>
        <w:rPr>
          <w:spacing w:val="-10"/>
          <w:sz w:val="24"/>
        </w:rPr>
        <w:t>控制无组织排放的收集、净化设施出现故障。</w:t>
      </w:r>
    </w:p>
    <w:p>
      <w:pPr>
        <w:pStyle w:val="7"/>
        <w:spacing w:before="5"/>
        <w:rPr>
          <w:sz w:val="25"/>
        </w:rPr>
      </w:pPr>
    </w:p>
    <w:p>
      <w:pPr>
        <w:pStyle w:val="19"/>
        <w:numPr>
          <w:ilvl w:val="0"/>
          <w:numId w:val="32"/>
        </w:numPr>
        <w:tabs>
          <w:tab w:val="left" w:pos="2696"/>
        </w:tabs>
        <w:spacing w:before="0" w:after="0" w:line="240" w:lineRule="auto"/>
        <w:ind w:left="2695" w:right="0" w:hanging="590"/>
        <w:jc w:val="left"/>
        <w:rPr>
          <w:sz w:val="24"/>
        </w:rPr>
      </w:pPr>
      <w:r>
        <w:rPr>
          <w:spacing w:val="-10"/>
          <w:sz w:val="24"/>
        </w:rPr>
        <w:t>自然因素，如地震、雷击等。</w:t>
      </w:r>
    </w:p>
    <w:p>
      <w:pPr>
        <w:pStyle w:val="7"/>
        <w:spacing w:before="1"/>
        <w:rPr>
          <w:sz w:val="20"/>
        </w:rPr>
      </w:pPr>
    </w:p>
    <w:p>
      <w:pPr>
        <w:pStyle w:val="19"/>
        <w:numPr>
          <w:ilvl w:val="2"/>
          <w:numId w:val="0"/>
        </w:numPr>
        <w:tabs>
          <w:tab w:val="left" w:pos="2316"/>
        </w:tabs>
        <w:spacing w:before="0" w:after="0" w:line="240" w:lineRule="auto"/>
        <w:ind w:right="0" w:rightChars="0" w:firstLine="522" w:firstLineChars="200"/>
        <w:jc w:val="left"/>
        <w:rPr>
          <w:b/>
          <w:sz w:val="28"/>
        </w:rPr>
      </w:pPr>
      <w:bookmarkStart w:id="65" w:name="3.3.2运输过程中污染风险影响分析"/>
      <w:bookmarkEnd w:id="65"/>
      <w:bookmarkStart w:id="66" w:name="3.3.2运输过程中污染风险影响分析"/>
      <w:bookmarkEnd w:id="66"/>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3</w:t>
      </w:r>
      <w:r>
        <w:rPr>
          <w:rFonts w:hint="default" w:ascii="宋体" w:hAnsi="宋体" w:eastAsia="宋体" w:cs="宋体"/>
          <w:b/>
          <w:bCs/>
          <w:spacing w:val="0"/>
          <w:w w:val="93"/>
          <w:sz w:val="28"/>
          <w:szCs w:val="22"/>
          <w:lang w:val="zh-CN" w:eastAsia="zh-CN" w:bidi="zh-CN"/>
        </w:rPr>
        <w:t>.2</w:t>
      </w:r>
      <w:r>
        <w:rPr>
          <w:b/>
          <w:sz w:val="28"/>
        </w:rPr>
        <w:t>运输过程中污染风险影响分析</w:t>
      </w:r>
    </w:p>
    <w:p>
      <w:pPr>
        <w:pStyle w:val="7"/>
        <w:spacing w:before="12"/>
        <w:rPr>
          <w:b/>
          <w:sz w:val="19"/>
        </w:rPr>
      </w:pPr>
    </w:p>
    <w:p>
      <w:pPr>
        <w:pStyle w:val="7"/>
        <w:ind w:firstLine="720" w:firstLineChars="300"/>
      </w:pPr>
      <w:r>
        <w:t>运输方式一般采用汽车运输。运输过程中，化学品发生泄漏的环节主要为：</w:t>
      </w:r>
    </w:p>
    <w:p>
      <w:pPr>
        <w:pStyle w:val="7"/>
        <w:spacing w:before="5"/>
        <w:rPr>
          <w:sz w:val="25"/>
        </w:rPr>
      </w:pPr>
    </w:p>
    <w:p>
      <w:pPr>
        <w:pStyle w:val="19"/>
        <w:numPr>
          <w:ilvl w:val="0"/>
          <w:numId w:val="0"/>
        </w:numPr>
        <w:tabs>
          <w:tab w:val="left" w:pos="2696"/>
        </w:tabs>
        <w:spacing w:before="1" w:after="0" w:line="240" w:lineRule="auto"/>
        <w:ind w:right="0" w:rightChars="0" w:firstLine="408" w:firstLineChars="200"/>
        <w:jc w:val="left"/>
        <w:rPr>
          <w:sz w:val="24"/>
        </w:rPr>
      </w:pPr>
      <w:r>
        <w:rPr>
          <w:rFonts w:hint="default" w:ascii="宋体" w:hAnsi="宋体" w:eastAsia="宋体" w:cs="宋体"/>
          <w:spacing w:val="-8"/>
          <w:w w:val="100"/>
          <w:sz w:val="22"/>
          <w:szCs w:val="22"/>
          <w:lang w:val="zh-CN" w:eastAsia="zh-CN" w:bidi="zh-CN"/>
        </w:rPr>
        <w:t>（1）</w:t>
      </w:r>
      <w:r>
        <w:rPr>
          <w:spacing w:val="-9"/>
          <w:sz w:val="24"/>
        </w:rPr>
        <w:t>原料桶泄漏或破裂。</w:t>
      </w:r>
    </w:p>
    <w:p>
      <w:pPr>
        <w:pStyle w:val="7"/>
        <w:spacing w:before="8"/>
        <w:rPr>
          <w:sz w:val="25"/>
        </w:rPr>
      </w:pPr>
    </w:p>
    <w:p>
      <w:pPr>
        <w:pStyle w:val="19"/>
        <w:numPr>
          <w:ilvl w:val="0"/>
          <w:numId w:val="0"/>
        </w:numPr>
        <w:tabs>
          <w:tab w:val="left" w:pos="2696"/>
        </w:tabs>
        <w:spacing w:before="0" w:after="0" w:line="240" w:lineRule="auto"/>
        <w:ind w:right="0" w:rightChars="0" w:firstLine="408" w:firstLineChars="200"/>
        <w:jc w:val="left"/>
        <w:rPr>
          <w:sz w:val="24"/>
        </w:rPr>
      </w:pPr>
      <w:r>
        <w:rPr>
          <w:rFonts w:hint="default" w:ascii="宋体" w:hAnsi="宋体" w:eastAsia="宋体" w:cs="宋体"/>
          <w:spacing w:val="-8"/>
          <w:w w:val="100"/>
          <w:sz w:val="22"/>
          <w:szCs w:val="22"/>
          <w:lang w:val="zh-CN" w:eastAsia="zh-CN" w:bidi="zh-CN"/>
        </w:rPr>
        <w:t>（2）</w:t>
      </w:r>
      <w:r>
        <w:rPr>
          <w:spacing w:val="-10"/>
          <w:sz w:val="24"/>
        </w:rPr>
        <w:t>运输工具发生交通故障。</w:t>
      </w:r>
    </w:p>
    <w:p>
      <w:pPr>
        <w:pStyle w:val="7"/>
        <w:spacing w:before="5"/>
        <w:rPr>
          <w:sz w:val="25"/>
        </w:rPr>
      </w:pPr>
    </w:p>
    <w:p>
      <w:pPr>
        <w:pStyle w:val="19"/>
        <w:numPr>
          <w:ilvl w:val="0"/>
          <w:numId w:val="0"/>
        </w:numPr>
        <w:tabs>
          <w:tab w:val="left" w:pos="2696"/>
        </w:tabs>
        <w:spacing w:before="1" w:after="0" w:line="240" w:lineRule="auto"/>
        <w:ind w:right="0" w:rightChars="0" w:firstLine="612" w:firstLineChars="300"/>
        <w:jc w:val="left"/>
        <w:rPr>
          <w:sz w:val="24"/>
        </w:rPr>
      </w:pPr>
      <w:r>
        <w:rPr>
          <w:rFonts w:hint="default" w:ascii="宋体" w:hAnsi="宋体" w:eastAsia="宋体" w:cs="宋体"/>
          <w:spacing w:val="-8"/>
          <w:w w:val="100"/>
          <w:sz w:val="22"/>
          <w:szCs w:val="22"/>
          <w:lang w:val="zh-CN" w:eastAsia="zh-CN" w:bidi="zh-CN"/>
        </w:rPr>
        <w:t>（3）</w:t>
      </w:r>
      <w:r>
        <w:rPr>
          <w:spacing w:val="-10"/>
          <w:sz w:val="24"/>
        </w:rPr>
        <w:t>自然因素，如地震、雷击等。</w:t>
      </w:r>
    </w:p>
    <w:p>
      <w:pPr>
        <w:pStyle w:val="7"/>
        <w:spacing w:before="5"/>
        <w:rPr>
          <w:sz w:val="25"/>
        </w:rPr>
      </w:pPr>
    </w:p>
    <w:p>
      <w:pPr>
        <w:pStyle w:val="7"/>
        <w:spacing w:before="1" w:line="489" w:lineRule="auto"/>
        <w:ind w:left="240" w:leftChars="109" w:right="1932" w:firstLine="420" w:firstLineChars="200"/>
        <w:jc w:val="both"/>
      </w:pPr>
      <w:r>
        <w:rPr>
          <w:rFonts w:ascii="宋体" w:hAnsi="宋体" w:eastAsia="宋体" w:cs="宋体"/>
          <w:spacing w:val="-15"/>
        </w:rPr>
        <w:t>泄漏状况由事故类比调查和事故防范设计措施以及厂方的应急处理能力设定，通常发生储罐泄漏事故后通过报警、堵漏、喷淋等措施，10 分钟后即可控制泄漏，20 分钟后将泄漏处理完毕，废气污染防治措施发生异常时，一般 20 分钟内， 泄漏可得到控制。</w:t>
      </w:r>
    </w:p>
    <w:p>
      <w:pPr>
        <w:pStyle w:val="19"/>
        <w:numPr>
          <w:ilvl w:val="2"/>
          <w:numId w:val="0"/>
        </w:numPr>
        <w:tabs>
          <w:tab w:val="left" w:pos="2316"/>
        </w:tabs>
        <w:spacing w:before="0" w:after="0" w:line="290" w:lineRule="exact"/>
        <w:ind w:right="0" w:rightChars="0" w:firstLine="522" w:firstLineChars="200"/>
        <w:jc w:val="left"/>
        <w:rPr>
          <w:b/>
          <w:sz w:val="28"/>
        </w:rPr>
      </w:pPr>
      <w:bookmarkStart w:id="67" w:name="3.3.3环境风险评价"/>
      <w:bookmarkEnd w:id="67"/>
      <w:bookmarkStart w:id="68" w:name="3.3.3环境风险评价"/>
      <w:bookmarkEnd w:id="68"/>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3</w:t>
      </w:r>
      <w:r>
        <w:rPr>
          <w:rFonts w:hint="default" w:ascii="宋体" w:hAnsi="宋体" w:eastAsia="宋体" w:cs="宋体"/>
          <w:b/>
          <w:bCs/>
          <w:spacing w:val="0"/>
          <w:w w:val="93"/>
          <w:sz w:val="28"/>
          <w:szCs w:val="22"/>
          <w:lang w:val="zh-CN" w:eastAsia="zh-CN" w:bidi="zh-CN"/>
        </w:rPr>
        <w:t>.3</w:t>
      </w:r>
      <w:r>
        <w:rPr>
          <w:b/>
          <w:sz w:val="28"/>
        </w:rPr>
        <w:t>环境风险评价</w:t>
      </w:r>
    </w:p>
    <w:p>
      <w:pPr>
        <w:pStyle w:val="19"/>
        <w:numPr>
          <w:ilvl w:val="3"/>
          <w:numId w:val="33"/>
        </w:numPr>
        <w:tabs>
          <w:tab w:val="left" w:pos="2611"/>
        </w:tabs>
        <w:spacing w:before="124" w:after="0" w:line="240" w:lineRule="auto"/>
        <w:ind w:left="2610" w:right="0" w:hanging="1071"/>
        <w:jc w:val="left"/>
        <w:rPr>
          <w:b/>
          <w:sz w:val="28"/>
        </w:rPr>
      </w:pPr>
      <w:bookmarkStart w:id="69" w:name="3.3.3.1 工艺过程风险分析"/>
      <w:bookmarkEnd w:id="69"/>
      <w:bookmarkStart w:id="70" w:name="3.3.3.1 工艺过程风险分析"/>
      <w:bookmarkEnd w:id="70"/>
      <w:r>
        <w:rPr>
          <w:b/>
          <w:sz w:val="28"/>
        </w:rPr>
        <w:t>工艺过程风险分析</w:t>
      </w:r>
    </w:p>
    <w:p>
      <w:pPr>
        <w:pStyle w:val="19"/>
        <w:numPr>
          <w:ilvl w:val="0"/>
          <w:numId w:val="0"/>
        </w:numPr>
        <w:tabs>
          <w:tab w:val="left" w:pos="2362"/>
        </w:tabs>
        <w:spacing w:before="195" w:after="0" w:line="496" w:lineRule="auto"/>
        <w:ind w:left="959" w:leftChars="436" w:right="1714" w:rightChars="0" w:firstLine="0" w:firstLineChars="0"/>
        <w:jc w:val="left"/>
        <w:rPr>
          <w:sz w:val="24"/>
        </w:rPr>
      </w:pPr>
      <w:r>
        <w:rPr>
          <w:spacing w:val="-8"/>
          <w:sz w:val="24"/>
        </w:rPr>
        <w:t>气体的泄漏：反应过程中废气收集方式不合理，或者废气收集管网破裂从</w:t>
      </w:r>
      <w:r>
        <w:rPr>
          <w:spacing w:val="-10"/>
          <w:sz w:val="24"/>
        </w:rPr>
        <w:t>而导致废气发生泄漏，泄漏的气体的物料迅速扩散，造成人员中毒。</w:t>
      </w:r>
    </w:p>
    <w:p>
      <w:pPr>
        <w:pStyle w:val="19"/>
        <w:numPr>
          <w:ilvl w:val="4"/>
          <w:numId w:val="33"/>
        </w:numPr>
        <w:tabs>
          <w:tab w:val="left" w:pos="2362"/>
        </w:tabs>
        <w:spacing w:before="0" w:after="0" w:line="494" w:lineRule="auto"/>
        <w:ind w:left="1540" w:right="1714" w:firstLine="463"/>
        <w:jc w:val="both"/>
        <w:rPr>
          <w:sz w:val="24"/>
        </w:rPr>
      </w:pPr>
      <w:r>
        <w:rPr>
          <w:spacing w:val="-8"/>
          <w:sz w:val="24"/>
        </w:rPr>
        <w:t>液态物料的泄漏：反应装置或储罐等泄漏立即扩散到地面，一直流到低洼</w:t>
      </w:r>
      <w:r>
        <w:rPr>
          <w:spacing w:val="-15"/>
          <w:sz w:val="24"/>
        </w:rPr>
        <w:t>处或人工边界，形成液池，物料不断蒸发，形成毒气环境，危及在场人员的健康甚</w:t>
      </w:r>
      <w:r>
        <w:rPr>
          <w:spacing w:val="-10"/>
          <w:sz w:val="24"/>
        </w:rPr>
        <w:t>至生命，如果渗透进土壤，有可能对环境造成影响。</w:t>
      </w:r>
    </w:p>
    <w:p>
      <w:pPr>
        <w:pStyle w:val="7"/>
        <w:spacing w:line="496" w:lineRule="auto"/>
        <w:ind w:left="1540" w:right="1711" w:firstLine="463"/>
      </w:pPr>
      <w:r>
        <w:rPr>
          <w:spacing w:val="-15"/>
        </w:rPr>
        <w:t>针对以上风险，应采取充分的安全措施，加强日常厂区安全管理，以保证工艺</w:t>
      </w:r>
      <w:r>
        <w:rPr>
          <w:spacing w:val="-9"/>
        </w:rPr>
        <w:t>生产过程安全。</w:t>
      </w:r>
    </w:p>
    <w:p>
      <w:pPr>
        <w:pStyle w:val="19"/>
        <w:numPr>
          <w:ilvl w:val="3"/>
          <w:numId w:val="33"/>
        </w:numPr>
        <w:tabs>
          <w:tab w:val="left" w:pos="2544"/>
        </w:tabs>
        <w:spacing w:before="21" w:after="0" w:line="240" w:lineRule="auto"/>
        <w:ind w:left="2543" w:right="0" w:hanging="1004"/>
        <w:jc w:val="left"/>
        <w:rPr>
          <w:b/>
          <w:sz w:val="28"/>
        </w:rPr>
      </w:pPr>
      <w:bookmarkStart w:id="71" w:name="3.3.3.2环保措施非正常运行时风险分析"/>
      <w:bookmarkEnd w:id="71"/>
      <w:bookmarkStart w:id="72" w:name="3.3.3.2环保措施非正常运行时风险分析"/>
      <w:bookmarkEnd w:id="72"/>
      <w:r>
        <w:rPr>
          <w:b/>
          <w:sz w:val="28"/>
        </w:rPr>
        <w:t>环保措施非正常运行时风险分析</w:t>
      </w:r>
    </w:p>
    <w:p>
      <w:pPr>
        <w:pStyle w:val="7"/>
        <w:spacing w:before="194" w:line="496" w:lineRule="auto"/>
        <w:ind w:left="1540" w:right="1714" w:firstLine="463"/>
      </w:pPr>
      <w:r>
        <w:rPr>
          <w:spacing w:val="-15"/>
        </w:rPr>
        <w:t>废气环保设施非正常运行，废气未经处理排放，废气中的污染物就会对周围环</w:t>
      </w:r>
      <w:r>
        <w:rPr>
          <w:spacing w:val="-9"/>
        </w:rPr>
        <w:t>境产生一定影响。</w:t>
      </w:r>
    </w:p>
    <w:p>
      <w:pPr>
        <w:pStyle w:val="7"/>
        <w:spacing w:line="304" w:lineRule="exact"/>
        <w:ind w:left="2003"/>
      </w:pPr>
      <w:r>
        <w:t>废水中污染物，未经处理直接排放，废水对纳污水体影响较大。</w:t>
      </w:r>
    </w:p>
    <w:p>
      <w:pPr>
        <w:pStyle w:val="19"/>
        <w:numPr>
          <w:ilvl w:val="3"/>
          <w:numId w:val="33"/>
        </w:numPr>
        <w:tabs>
          <w:tab w:val="left" w:pos="2544"/>
        </w:tabs>
        <w:spacing w:before="198" w:after="0" w:line="240" w:lineRule="auto"/>
        <w:ind w:left="2543" w:right="0" w:hanging="1004"/>
        <w:jc w:val="left"/>
        <w:rPr>
          <w:b/>
          <w:sz w:val="28"/>
        </w:rPr>
      </w:pPr>
      <w:bookmarkStart w:id="73" w:name="3.3.3.3事故伴生/次生污染分析"/>
      <w:bookmarkEnd w:id="73"/>
      <w:bookmarkStart w:id="74" w:name="3.3.3.3事故伴生/次生污染分析"/>
      <w:bookmarkEnd w:id="74"/>
      <w:r>
        <w:rPr>
          <w:b/>
          <w:spacing w:val="2"/>
          <w:sz w:val="28"/>
        </w:rPr>
        <w:t>事故伴生</w:t>
      </w:r>
      <w:r>
        <w:rPr>
          <w:b/>
          <w:sz w:val="28"/>
        </w:rPr>
        <w:t>/次生污染分析</w:t>
      </w:r>
    </w:p>
    <w:p>
      <w:pPr>
        <w:spacing w:before="89"/>
        <w:ind w:left="2020" w:right="0" w:firstLine="0"/>
        <w:jc w:val="left"/>
        <w:rPr>
          <w:b/>
          <w:sz w:val="24"/>
        </w:rPr>
      </w:pPr>
      <w:r>
        <w:rPr>
          <w:b/>
          <w:sz w:val="24"/>
        </w:rPr>
        <w:t>1、水环境</w:t>
      </w:r>
    </w:p>
    <w:p>
      <w:pPr>
        <w:pStyle w:val="7"/>
        <w:spacing w:before="6"/>
        <w:rPr>
          <w:b/>
          <w:sz w:val="27"/>
        </w:rPr>
      </w:pPr>
    </w:p>
    <w:p>
      <w:pPr>
        <w:pStyle w:val="7"/>
        <w:spacing w:before="1" w:line="489" w:lineRule="auto"/>
        <w:ind w:left="1657" w:right="1932" w:firstLine="480"/>
        <w:jc w:val="both"/>
      </w:pPr>
      <w:r>
        <w:rPr>
          <w:spacing w:val="-15"/>
        </w:rPr>
        <w:t>泄漏事故后，由于贮罐、防火堤可能被破坏，可能造化学品外泄，同时在清</w:t>
      </w:r>
      <w:r>
        <w:rPr>
          <w:spacing w:val="-20"/>
        </w:rPr>
        <w:t>理过程中，大量化学品会随着消防用水四溢，这些外泄化学品和混有有机化学品消</w:t>
      </w:r>
      <w:r>
        <w:rPr>
          <w:spacing w:val="-23"/>
        </w:rPr>
        <w:t>防用水一旦流入水体将对水质产生重大影响。</w:t>
      </w:r>
    </w:p>
    <w:p>
      <w:pPr>
        <w:pStyle w:val="7"/>
        <w:spacing w:before="40" w:line="491" w:lineRule="auto"/>
        <w:ind w:left="1657" w:right="1937" w:firstLine="480"/>
      </w:pPr>
      <w:r>
        <w:rPr>
          <w:spacing w:val="-27"/>
        </w:rPr>
        <w:t>因此，为防止消防废水对周围环境的影响，须设置相应的消防废水收集池，并</w:t>
      </w:r>
      <w:r>
        <w:rPr>
          <w:spacing w:val="-19"/>
        </w:rPr>
        <w:t>在设计时须做到如下几点：</w:t>
      </w:r>
    </w:p>
    <w:p>
      <w:pPr>
        <w:spacing w:after="0" w:line="491" w:lineRule="auto"/>
        <w:sectPr>
          <w:pgSz w:w="11900" w:h="16840"/>
          <w:pgMar w:top="1420" w:right="170" w:bottom="1200" w:left="283" w:header="882" w:footer="1004" w:gutter="0"/>
          <w:cols w:space="720" w:num="1"/>
        </w:sectPr>
      </w:pPr>
    </w:p>
    <w:p>
      <w:pPr>
        <w:pStyle w:val="7"/>
        <w:spacing w:before="68"/>
        <w:ind w:left="2137"/>
      </w:pPr>
      <w:r>
        <w:t>（1）防火堤容量</w:t>
      </w:r>
    </w:p>
    <w:p>
      <w:pPr>
        <w:pStyle w:val="7"/>
        <w:spacing w:before="3"/>
        <w:rPr>
          <w:sz w:val="26"/>
        </w:rPr>
      </w:pPr>
    </w:p>
    <w:p>
      <w:pPr>
        <w:pStyle w:val="7"/>
        <w:ind w:left="2137"/>
      </w:pPr>
      <w:r>
        <w:t>储罐区、仓储设置防火堤、导流沟 ，防止液体化工原料泄漏。</w:t>
      </w:r>
    </w:p>
    <w:p>
      <w:pPr>
        <w:pStyle w:val="7"/>
        <w:spacing w:before="1"/>
        <w:rPr>
          <w:sz w:val="33"/>
        </w:rPr>
      </w:pPr>
    </w:p>
    <w:p>
      <w:pPr>
        <w:pStyle w:val="7"/>
        <w:spacing w:before="1" w:line="568" w:lineRule="auto"/>
        <w:ind w:left="2137" w:right="2395"/>
      </w:pPr>
      <w:r>
        <w:rPr>
          <w:spacing w:val="-27"/>
        </w:rPr>
        <w:t xml:space="preserve">储罐区设 </w:t>
      </w:r>
      <w:r>
        <w:t>1</w:t>
      </w:r>
      <w:r>
        <w:rPr>
          <w:spacing w:val="-3"/>
        </w:rPr>
        <w:t xml:space="preserve"> 个</w:t>
      </w:r>
      <w:r>
        <w:t>50m</w:t>
      </w:r>
      <w:r>
        <w:rPr>
          <w:position w:val="12"/>
          <w:sz w:val="12"/>
        </w:rPr>
        <w:t xml:space="preserve">3 </w:t>
      </w:r>
      <w:r>
        <w:rPr>
          <w:spacing w:val="-12"/>
        </w:rPr>
        <w:t>的储罐，设置了防火堤，能起到很好的防护作用。</w:t>
      </w:r>
      <w:r>
        <w:t>原料仓库设置了导流沟，各类化学品分类贮存。</w:t>
      </w:r>
    </w:p>
    <w:p>
      <w:pPr>
        <w:pStyle w:val="7"/>
        <w:spacing w:line="247" w:lineRule="exact"/>
        <w:ind w:left="2137"/>
      </w:pPr>
      <w:r>
        <w:t>同时，为了防止防火堤损坏而导致物料泄出造成对水体的影响，储罐总排水口</w:t>
      </w:r>
    </w:p>
    <w:p>
      <w:pPr>
        <w:pStyle w:val="7"/>
        <w:rPr>
          <w:sz w:val="25"/>
        </w:rPr>
      </w:pPr>
    </w:p>
    <w:p>
      <w:pPr>
        <w:pStyle w:val="7"/>
        <w:spacing w:before="1" w:line="439" w:lineRule="auto"/>
        <w:ind w:left="2137" w:right="3089" w:hanging="480"/>
        <w:rPr>
          <w:b/>
        </w:rPr>
      </w:pPr>
      <w:r>
        <w:rPr>
          <w:spacing w:val="-29"/>
        </w:rPr>
        <w:t>应设置切断及转换设施，可以将外泄的事故废水收集至罐区和事故池内。</w:t>
      </w:r>
      <w:r>
        <w:rPr>
          <w:b/>
          <w:spacing w:val="-29"/>
        </w:rPr>
        <w:t>2、排水系统设置</w:t>
      </w:r>
    </w:p>
    <w:p>
      <w:pPr>
        <w:pStyle w:val="19"/>
        <w:numPr>
          <w:ilvl w:val="0"/>
          <w:numId w:val="34"/>
        </w:numPr>
        <w:tabs>
          <w:tab w:val="left" w:pos="2381"/>
        </w:tabs>
        <w:spacing w:before="0" w:after="0" w:line="303" w:lineRule="exact"/>
        <w:ind w:left="2381" w:right="0" w:hanging="361"/>
        <w:jc w:val="left"/>
        <w:rPr>
          <w:sz w:val="24"/>
        </w:rPr>
      </w:pPr>
      <w:r>
        <w:rPr>
          <w:sz w:val="24"/>
        </w:rPr>
        <w:t>排水系统</w:t>
      </w:r>
    </w:p>
    <w:p>
      <w:pPr>
        <w:pStyle w:val="7"/>
        <w:spacing w:before="8"/>
        <w:rPr>
          <w:sz w:val="18"/>
        </w:rPr>
      </w:pPr>
    </w:p>
    <w:p>
      <w:pPr>
        <w:pStyle w:val="7"/>
        <w:spacing w:before="1" w:line="465" w:lineRule="auto"/>
        <w:ind w:left="1657" w:right="1775" w:firstLine="480"/>
      </w:pPr>
      <w:r>
        <w:rPr>
          <w:spacing w:val="-7"/>
        </w:rPr>
        <w:t>按照“清污分流”原则，公司废水排放须采用分流制，建设有生产废水、</w:t>
      </w:r>
      <w:r>
        <w:rPr>
          <w:spacing w:val="-6"/>
        </w:rPr>
        <w:t xml:space="preserve">生活污水、雨水三套排水管网。生产车间设置事故应急池，池容为 </w:t>
      </w:r>
      <w:r>
        <w:rPr>
          <w:rFonts w:hint="eastAsia"/>
          <w:spacing w:val="-6"/>
          <w:lang w:val="en-US" w:eastAsia="zh-CN"/>
        </w:rPr>
        <w:t>3</w:t>
      </w:r>
      <w:r>
        <w:t>00m</w:t>
      </w:r>
      <w:r>
        <w:rPr>
          <w:position w:val="12"/>
          <w:sz w:val="12"/>
        </w:rPr>
        <w:t>3</w:t>
      </w:r>
      <w:r>
        <w:t>；同</w:t>
      </w:r>
      <w:r>
        <w:rPr>
          <w:spacing w:val="-6"/>
        </w:rPr>
        <w:t xml:space="preserve">时设置应急消防池，池容为 </w:t>
      </w:r>
      <w:r>
        <w:rPr>
          <w:rFonts w:hint="eastAsia"/>
          <w:spacing w:val="-6"/>
          <w:lang w:val="en-US" w:eastAsia="zh-CN"/>
        </w:rPr>
        <w:t>3</w:t>
      </w:r>
      <w:r>
        <w:t>00m</w:t>
      </w:r>
      <w:r>
        <w:rPr>
          <w:position w:val="12"/>
          <w:sz w:val="12"/>
        </w:rPr>
        <w:t>3</w:t>
      </w:r>
      <w:r>
        <w:rPr>
          <w:spacing w:val="-19"/>
        </w:rPr>
        <w:t>。以上设施确保事故消防废水和废液收集到应</w:t>
      </w:r>
      <w:r>
        <w:rPr>
          <w:spacing w:val="-21"/>
        </w:rPr>
        <w:t>急池和事故池中，不排入水体。</w:t>
      </w:r>
    </w:p>
    <w:p>
      <w:pPr>
        <w:pStyle w:val="7"/>
        <w:spacing w:before="136" w:line="472" w:lineRule="auto"/>
        <w:ind w:left="1657" w:right="1834" w:firstLine="480"/>
      </w:pPr>
      <w:r>
        <w:rPr>
          <w:spacing w:val="-8"/>
        </w:rPr>
        <w:t xml:space="preserve">公司厂区内有 </w:t>
      </w:r>
      <w:r>
        <w:t>20m*40m*5m</w:t>
      </w:r>
      <w:r>
        <w:rPr>
          <w:spacing w:val="-9"/>
        </w:rPr>
        <w:t xml:space="preserve"> 池塘一口，此池塘为公司用于厂区绿化，冲洗</w:t>
      </w:r>
      <w:r>
        <w:rPr>
          <w:spacing w:val="-3"/>
        </w:rPr>
        <w:t>地面等用水使用，在特殊情况下，此池塘水可以用于消防等用水。</w:t>
      </w:r>
    </w:p>
    <w:p>
      <w:pPr>
        <w:pStyle w:val="7"/>
        <w:spacing w:before="132" w:line="472" w:lineRule="auto"/>
        <w:ind w:left="1657" w:right="1819" w:firstLine="480"/>
      </w:pPr>
      <w:r>
        <w:rPr>
          <w:spacing w:val="-15"/>
        </w:rPr>
        <w:t>公司污泥收集处设置渗滤液收集池，经压滤后的污泥分离的废水收集后汇入</w:t>
      </w:r>
      <w:r>
        <w:rPr>
          <w:spacing w:val="-16"/>
        </w:rPr>
        <w:t>厂区污水处理站进行处理。</w:t>
      </w:r>
    </w:p>
    <w:p>
      <w:pPr>
        <w:pStyle w:val="7"/>
        <w:ind w:left="1422"/>
        <w:rPr>
          <w:sz w:val="20"/>
        </w:rPr>
      </w:pPr>
    </w:p>
    <w:p>
      <w:pPr>
        <w:pStyle w:val="19"/>
        <w:numPr>
          <w:ilvl w:val="0"/>
          <w:numId w:val="34"/>
        </w:numPr>
        <w:tabs>
          <w:tab w:val="left" w:pos="2381"/>
        </w:tabs>
        <w:spacing w:before="83" w:after="0" w:line="240" w:lineRule="auto"/>
        <w:ind w:left="2381" w:right="0" w:hanging="361"/>
        <w:jc w:val="left"/>
        <w:rPr>
          <w:sz w:val="24"/>
        </w:rPr>
      </w:pPr>
      <w:r>
        <w:rPr>
          <w:sz w:val="24"/>
        </w:rPr>
        <w:t>事故污水调输方案</w:t>
      </w:r>
    </w:p>
    <w:p>
      <w:pPr>
        <w:pStyle w:val="7"/>
        <w:spacing w:before="9"/>
        <w:rPr>
          <w:sz w:val="27"/>
        </w:rPr>
      </w:pPr>
    </w:p>
    <w:p>
      <w:pPr>
        <w:pStyle w:val="7"/>
        <w:spacing w:line="489" w:lineRule="auto"/>
        <w:ind w:left="1657" w:right="1763" w:firstLine="480"/>
      </w:pPr>
      <w:r>
        <w:rPr>
          <w:spacing w:val="-20"/>
        </w:rPr>
        <w:t xml:space="preserve">为进一步完善环境风险应急措施过程，应急防范措施分为三级防控体系，即： </w:t>
      </w:r>
      <w:r>
        <w:rPr>
          <w:spacing w:val="-30"/>
        </w:rPr>
        <w:t xml:space="preserve">一级防控措施将污染物控制在装置区、罐区；二级防控措施将污染物控制在事故池； </w:t>
      </w:r>
      <w:r>
        <w:rPr>
          <w:spacing w:val="-32"/>
        </w:rPr>
        <w:t>三级防控措施是在雨水排放口处加挡板、阀门，确保事故状态下不发生污染事件。</w:t>
      </w:r>
    </w:p>
    <w:p>
      <w:pPr>
        <w:pStyle w:val="7"/>
        <w:spacing w:line="245" w:lineRule="exact"/>
        <w:ind w:left="2137"/>
      </w:pPr>
      <w:r>
        <w:t>具体如下：</w:t>
      </w:r>
    </w:p>
    <w:p>
      <w:pPr>
        <w:pStyle w:val="7"/>
        <w:rPr>
          <w:sz w:val="29"/>
        </w:rPr>
      </w:pPr>
    </w:p>
    <w:p>
      <w:pPr>
        <w:pStyle w:val="7"/>
        <w:spacing w:before="3" w:line="489" w:lineRule="auto"/>
        <w:ind w:left="1657" w:right="1931" w:firstLine="480"/>
        <w:rPr>
          <w:rFonts w:ascii="宋体" w:hAnsi="宋体" w:eastAsia="宋体" w:cs="宋体"/>
          <w:spacing w:val="-23"/>
        </w:rPr>
      </w:pPr>
      <w:r>
        <w:rPr>
          <w:rFonts w:ascii="宋体" w:hAnsi="宋体" w:eastAsia="宋体" w:cs="宋体"/>
          <w:spacing w:val="-23"/>
        </w:rPr>
        <w:t>一级防控措施：利用罐区围堰作为一级防控措施，主要防控初级雨水、消防污水及物料泄漏；在储罐区四周专设防渗排水沟（围堰）至事故储水池，在排水沟旁边还应建防火墙。</w:t>
      </w:r>
    </w:p>
    <w:p>
      <w:pPr>
        <w:pStyle w:val="7"/>
        <w:spacing w:before="66" w:line="489" w:lineRule="auto"/>
        <w:ind w:left="1657" w:right="1826" w:firstLine="480"/>
      </w:pPr>
      <w:r>
        <w:rPr>
          <w:spacing w:val="-33"/>
        </w:rPr>
        <w:t xml:space="preserve">二级防控措施：依托厂区事故池作为二级防控措施，用于事故情况下储存污水， </w:t>
      </w:r>
      <w:r>
        <w:rPr>
          <w:spacing w:val="-19"/>
        </w:rPr>
        <w:t>等事故结果后，可对泄漏物料进行回收。</w:t>
      </w:r>
    </w:p>
    <w:p>
      <w:pPr>
        <w:pStyle w:val="7"/>
        <w:spacing w:before="3" w:line="489" w:lineRule="auto"/>
        <w:ind w:left="1657" w:right="1931" w:firstLine="480"/>
      </w:pPr>
      <w:r>
        <w:rPr>
          <w:spacing w:val="-23"/>
        </w:rPr>
        <w:t>三级防控措施：雨水排口增加切换阀门和引入污水处理站的事故池管线作为三</w:t>
      </w:r>
      <w:r>
        <w:rPr>
          <w:spacing w:val="-27"/>
        </w:rPr>
        <w:t>级防控措施，等事故结束后将不能回收的含化工原料污水送往厂区污水处理站处理，</w:t>
      </w:r>
    </w:p>
    <w:p>
      <w:pPr>
        <w:pStyle w:val="7"/>
        <w:spacing w:before="3" w:line="412" w:lineRule="auto"/>
        <w:ind w:left="2020" w:right="2031" w:hanging="363"/>
        <w:rPr>
          <w:b/>
        </w:rPr>
      </w:pPr>
      <w:r>
        <w:rPr>
          <w:spacing w:val="-24"/>
        </w:rPr>
        <w:t>处理达标后汇入园区污水处理厂处理，严禁未处理或未处理达标的事故废水外排。</w:t>
      </w:r>
      <w:r>
        <w:rPr>
          <w:b/>
          <w:spacing w:val="-24"/>
        </w:rPr>
        <w:t>3、大气环境</w:t>
      </w:r>
    </w:p>
    <w:p>
      <w:pPr>
        <w:pStyle w:val="7"/>
        <w:spacing w:before="32"/>
        <w:ind w:left="1657" w:firstLine="480"/>
      </w:pPr>
      <w:r>
        <w:t>发生大规模泄漏物料之后，储罐区围堰，采用不透光防腐蚀性的材料遮盖，</w:t>
      </w:r>
    </w:p>
    <w:p>
      <w:pPr>
        <w:pStyle w:val="7"/>
        <w:spacing w:line="630" w:lineRule="atLeast"/>
        <w:ind w:left="1657" w:right="1939"/>
      </w:pPr>
      <w:r>
        <w:rPr>
          <w:spacing w:val="-22"/>
        </w:rPr>
        <w:t>密闭，随后对泄漏液体进行处理。对高浓度的废气，采用收集装置收集；同时针对</w:t>
      </w:r>
      <w:r>
        <w:rPr>
          <w:spacing w:val="-17"/>
        </w:rPr>
        <w:t>泄露液体用进行砂封盖，减少易燃化学品接触空气发生燃烧现象。</w:t>
      </w:r>
    </w:p>
    <w:p>
      <w:pPr>
        <w:spacing w:before="215"/>
        <w:ind w:left="2020" w:right="0" w:firstLine="0"/>
        <w:jc w:val="left"/>
        <w:rPr>
          <w:b/>
          <w:sz w:val="24"/>
        </w:rPr>
      </w:pPr>
      <w:r>
        <w:rPr>
          <w:b/>
          <w:sz w:val="24"/>
        </w:rPr>
        <w:t>4、固体废物处置风险</w:t>
      </w:r>
    </w:p>
    <w:p>
      <w:pPr>
        <w:pStyle w:val="7"/>
        <w:spacing w:before="3"/>
        <w:rPr>
          <w:b/>
          <w:sz w:val="17"/>
        </w:rPr>
      </w:pPr>
    </w:p>
    <w:p>
      <w:pPr>
        <w:pStyle w:val="7"/>
        <w:spacing w:line="496" w:lineRule="auto"/>
        <w:ind w:left="1540" w:right="1702" w:firstLine="566"/>
      </w:pPr>
      <w:r>
        <w:rPr>
          <w:spacing w:val="-15"/>
        </w:rPr>
        <w:t>固废应严格按照公司设计的暂存量及清运次数进行处理固废，若固废未及时处</w:t>
      </w:r>
      <w:r>
        <w:rPr>
          <w:spacing w:val="-20"/>
        </w:rPr>
        <w:t>理，企业必须停产，将固废处理后再恢复生产。</w:t>
      </w:r>
    </w:p>
    <w:p>
      <w:pPr>
        <w:pStyle w:val="5"/>
        <w:numPr>
          <w:ilvl w:val="1"/>
          <w:numId w:val="0"/>
        </w:numPr>
        <w:bidi w:val="0"/>
        <w:ind w:left="2104" w:leftChars="0" w:right="0" w:rightChars="0" w:hanging="564" w:firstLineChars="0"/>
      </w:pPr>
      <w:bookmarkStart w:id="75" w:name="_bookmark16"/>
      <w:bookmarkEnd w:id="75"/>
      <w:bookmarkStart w:id="76" w:name="_bookmark16"/>
      <w:bookmarkEnd w:id="76"/>
      <w:bookmarkStart w:id="77" w:name="3.4风险防范措施"/>
      <w:bookmarkEnd w:id="77"/>
      <w:r>
        <w:rPr>
          <w:rFonts w:hint="default" w:ascii="宋体" w:hAnsi="宋体" w:eastAsia="宋体" w:cs="宋体"/>
          <w:b/>
          <w:bCs/>
          <w:spacing w:val="0"/>
          <w:w w:val="99"/>
          <w:sz w:val="28"/>
          <w:szCs w:val="28"/>
          <w:lang w:val="zh-CN" w:eastAsia="zh-CN" w:bidi="zh-CN"/>
        </w:rPr>
        <w:t>3.</w:t>
      </w:r>
      <w:r>
        <w:rPr>
          <w:rFonts w:hint="eastAsia" w:ascii="宋体" w:hAnsi="宋体" w:eastAsia="宋体" w:cs="宋体"/>
          <w:b/>
          <w:bCs/>
          <w:spacing w:val="0"/>
          <w:w w:val="99"/>
          <w:sz w:val="28"/>
          <w:szCs w:val="28"/>
          <w:lang w:val="en-US" w:eastAsia="zh-CN" w:bidi="zh-CN"/>
        </w:rPr>
        <w:t xml:space="preserve">4 </w:t>
      </w:r>
      <w:r>
        <w:t>风险防范措施</w:t>
      </w:r>
    </w:p>
    <w:p>
      <w:pPr>
        <w:pStyle w:val="19"/>
        <w:numPr>
          <w:ilvl w:val="2"/>
          <w:numId w:val="0"/>
        </w:numPr>
        <w:tabs>
          <w:tab w:val="left" w:pos="2344"/>
        </w:tabs>
        <w:spacing w:before="225" w:after="0" w:line="240" w:lineRule="auto"/>
        <w:ind w:left="2344" w:leftChars="0" w:right="0" w:rightChars="0" w:hanging="804" w:firstLineChars="0"/>
        <w:jc w:val="left"/>
        <w:rPr>
          <w:b/>
          <w:sz w:val="28"/>
        </w:rPr>
      </w:pPr>
      <w:bookmarkStart w:id="78" w:name="3.4.1 建筑、生产安全防范措施"/>
      <w:bookmarkEnd w:id="78"/>
      <w:bookmarkStart w:id="79" w:name="3.4.1 建筑、生产安全防范措施"/>
      <w:bookmarkEnd w:id="79"/>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4</w:t>
      </w:r>
      <w:r>
        <w:rPr>
          <w:rFonts w:hint="default" w:ascii="宋体" w:hAnsi="宋体" w:eastAsia="宋体" w:cs="宋体"/>
          <w:b/>
          <w:bCs/>
          <w:spacing w:val="0"/>
          <w:w w:val="93"/>
          <w:sz w:val="28"/>
          <w:szCs w:val="22"/>
          <w:lang w:val="zh-CN" w:eastAsia="zh-CN" w:bidi="zh-CN"/>
        </w:rPr>
        <w:t>.1</w:t>
      </w:r>
      <w:r>
        <w:rPr>
          <w:b/>
          <w:sz w:val="28"/>
        </w:rPr>
        <w:t>建筑、生产安全防范措施</w:t>
      </w:r>
    </w:p>
    <w:p>
      <w:pPr>
        <w:pStyle w:val="19"/>
        <w:numPr>
          <w:ilvl w:val="0"/>
          <w:numId w:val="35"/>
        </w:numPr>
        <w:tabs>
          <w:tab w:val="left" w:pos="2681"/>
        </w:tabs>
        <w:spacing w:before="195" w:after="0" w:line="240" w:lineRule="auto"/>
        <w:ind w:left="2681" w:right="0" w:hanging="575"/>
        <w:jc w:val="left"/>
        <w:rPr>
          <w:sz w:val="24"/>
        </w:rPr>
      </w:pPr>
      <w:r>
        <w:rPr>
          <w:spacing w:val="-20"/>
          <w:sz w:val="24"/>
        </w:rPr>
        <w:t>建筑严格按《建筑设计防火规范》</w:t>
      </w:r>
      <w:r>
        <w:rPr>
          <w:spacing w:val="-11"/>
          <w:sz w:val="24"/>
        </w:rPr>
        <w:t>（GB50016-2018）</w:t>
      </w:r>
      <w:r>
        <w:rPr>
          <w:spacing w:val="-13"/>
          <w:sz w:val="24"/>
        </w:rPr>
        <w:t>设计。</w:t>
      </w:r>
    </w:p>
    <w:p>
      <w:pPr>
        <w:pStyle w:val="7"/>
        <w:spacing w:before="8"/>
        <w:rPr>
          <w:sz w:val="25"/>
        </w:rPr>
      </w:pPr>
    </w:p>
    <w:p>
      <w:pPr>
        <w:pStyle w:val="19"/>
        <w:numPr>
          <w:ilvl w:val="0"/>
          <w:numId w:val="35"/>
        </w:numPr>
        <w:tabs>
          <w:tab w:val="left" w:pos="2686"/>
        </w:tabs>
        <w:spacing w:before="0" w:after="0" w:line="494" w:lineRule="auto"/>
        <w:ind w:left="1540" w:right="1702" w:firstLine="566"/>
        <w:jc w:val="left"/>
        <w:rPr>
          <w:sz w:val="24"/>
        </w:rPr>
      </w:pPr>
      <w:r>
        <w:rPr>
          <w:spacing w:val="-17"/>
          <w:sz w:val="24"/>
        </w:rPr>
        <w:t>各套生产装置尽量采用先进合理、安全可靠的工艺流程，从根本上提高</w:t>
      </w:r>
      <w:r>
        <w:rPr>
          <w:spacing w:val="-19"/>
          <w:sz w:val="24"/>
        </w:rPr>
        <w:t>装置的安全性，防止和减少事故的发生。</w:t>
      </w:r>
    </w:p>
    <w:p>
      <w:pPr>
        <w:pStyle w:val="19"/>
        <w:numPr>
          <w:ilvl w:val="0"/>
          <w:numId w:val="35"/>
        </w:numPr>
        <w:tabs>
          <w:tab w:val="left" w:pos="2681"/>
        </w:tabs>
        <w:spacing w:before="2" w:after="0" w:line="494" w:lineRule="auto"/>
        <w:ind w:left="1540" w:right="1589" w:firstLine="566"/>
        <w:jc w:val="left"/>
        <w:rPr>
          <w:sz w:val="24"/>
        </w:rPr>
      </w:pPr>
      <w:r>
        <w:rPr>
          <w:spacing w:val="-23"/>
          <w:sz w:val="24"/>
        </w:rPr>
        <w:t>工艺管线的设计、安装均考虑管线的震动及蠕变、密封防泄漏等多种因素</w:t>
      </w:r>
      <w:r>
        <w:rPr>
          <w:spacing w:val="-19"/>
          <w:sz w:val="24"/>
        </w:rPr>
        <w:t>，并采取设置膨胀节及固定管架等安全措施。</w:t>
      </w:r>
    </w:p>
    <w:p>
      <w:pPr>
        <w:pStyle w:val="19"/>
        <w:numPr>
          <w:ilvl w:val="0"/>
          <w:numId w:val="35"/>
        </w:numPr>
        <w:tabs>
          <w:tab w:val="left" w:pos="2681"/>
        </w:tabs>
        <w:spacing w:before="1" w:after="0" w:line="240" w:lineRule="auto"/>
        <w:ind w:left="2681" w:right="0" w:hanging="575"/>
        <w:jc w:val="left"/>
        <w:rPr>
          <w:sz w:val="24"/>
        </w:rPr>
      </w:pPr>
      <w:r>
        <w:rPr>
          <w:spacing w:val="-21"/>
          <w:sz w:val="24"/>
        </w:rPr>
        <w:t>在各类风险物质存放处设置检测及报警器，并将报警信号引入中央控制室。</w:t>
      </w:r>
    </w:p>
    <w:p>
      <w:pPr>
        <w:pStyle w:val="7"/>
        <w:spacing w:before="8"/>
        <w:rPr>
          <w:sz w:val="25"/>
        </w:rPr>
      </w:pPr>
    </w:p>
    <w:p>
      <w:pPr>
        <w:pStyle w:val="19"/>
        <w:numPr>
          <w:ilvl w:val="0"/>
          <w:numId w:val="35"/>
        </w:numPr>
        <w:tabs>
          <w:tab w:val="left" w:pos="2686"/>
        </w:tabs>
        <w:spacing w:before="0" w:after="0" w:line="240" w:lineRule="auto"/>
        <w:ind w:left="2685" w:right="0" w:hanging="580"/>
        <w:jc w:val="left"/>
        <w:rPr>
          <w:sz w:val="24"/>
        </w:rPr>
      </w:pPr>
      <w:r>
        <w:rPr>
          <w:spacing w:val="-17"/>
          <w:sz w:val="24"/>
        </w:rPr>
        <w:t>强化安全生产管理，必须制定岗位责任制，严格遵守操作规程，严格遵守</w:t>
      </w:r>
    </w:p>
    <w:p>
      <w:pPr>
        <w:pStyle w:val="7"/>
        <w:spacing w:before="5"/>
        <w:rPr>
          <w:sz w:val="25"/>
        </w:rPr>
      </w:pPr>
    </w:p>
    <w:p>
      <w:pPr>
        <w:pStyle w:val="7"/>
        <w:spacing w:before="1"/>
        <w:ind w:left="1540"/>
      </w:pPr>
      <w:r>
        <w:t>《化学危险品管理条例》及国家、地方关于有毒有害物料的储运安全规定。</w:t>
      </w:r>
    </w:p>
    <w:p>
      <w:pPr>
        <w:pStyle w:val="7"/>
        <w:spacing w:before="5"/>
        <w:rPr>
          <w:sz w:val="25"/>
        </w:rPr>
      </w:pPr>
    </w:p>
    <w:p>
      <w:pPr>
        <w:pStyle w:val="19"/>
        <w:numPr>
          <w:ilvl w:val="0"/>
          <w:numId w:val="35"/>
        </w:numPr>
        <w:tabs>
          <w:tab w:val="left" w:pos="2686"/>
        </w:tabs>
        <w:spacing w:before="0" w:after="0" w:line="240" w:lineRule="auto"/>
        <w:ind w:left="2685" w:right="0" w:hanging="580"/>
        <w:jc w:val="left"/>
        <w:rPr>
          <w:sz w:val="8"/>
        </w:rPr>
      </w:pPr>
      <w:r>
        <w:rPr>
          <w:spacing w:val="-17"/>
          <w:sz w:val="24"/>
        </w:rPr>
        <w:t>强化安全生产和环境保护的教育，提高职工素质，加强操作人员的上岗前</w:t>
      </w:r>
    </w:p>
    <w:p>
      <w:pPr>
        <w:pStyle w:val="7"/>
        <w:spacing w:before="66"/>
        <w:ind w:left="1540"/>
      </w:pPr>
      <w:r>
        <w:t>的培训，进行安全生产、消防、环保、工业卫生等方面的技术培训教育。</w:t>
      </w:r>
    </w:p>
    <w:p>
      <w:pPr>
        <w:pStyle w:val="7"/>
        <w:spacing w:before="7"/>
        <w:rPr>
          <w:sz w:val="19"/>
        </w:rPr>
      </w:pPr>
    </w:p>
    <w:p>
      <w:pPr>
        <w:pStyle w:val="19"/>
        <w:numPr>
          <w:ilvl w:val="2"/>
          <w:numId w:val="0"/>
        </w:numPr>
        <w:tabs>
          <w:tab w:val="left" w:pos="2503"/>
        </w:tabs>
        <w:spacing w:before="0" w:after="0" w:line="240" w:lineRule="auto"/>
        <w:ind w:left="2502" w:leftChars="0" w:right="0" w:rightChars="0" w:hanging="846" w:firstLineChars="0"/>
        <w:jc w:val="left"/>
        <w:rPr>
          <w:b/>
          <w:sz w:val="28"/>
        </w:rPr>
      </w:pPr>
      <w:bookmarkStart w:id="80" w:name="3.4.2 事故应急池设计"/>
      <w:bookmarkEnd w:id="80"/>
      <w:bookmarkStart w:id="81" w:name="3.4.2 事故应急池设计"/>
      <w:bookmarkEnd w:id="81"/>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4</w:t>
      </w:r>
      <w:r>
        <w:rPr>
          <w:rFonts w:hint="default" w:ascii="宋体" w:hAnsi="宋体" w:eastAsia="宋体" w:cs="宋体"/>
          <w:b/>
          <w:bCs/>
          <w:spacing w:val="0"/>
          <w:w w:val="93"/>
          <w:sz w:val="28"/>
          <w:szCs w:val="22"/>
          <w:lang w:val="zh-CN" w:eastAsia="zh-CN" w:bidi="zh-CN"/>
        </w:rPr>
        <w:t>.2</w:t>
      </w:r>
      <w:r>
        <w:rPr>
          <w:b/>
          <w:sz w:val="28"/>
        </w:rPr>
        <w:t>事故应急池设计</w:t>
      </w:r>
    </w:p>
    <w:p>
      <w:pPr>
        <w:pStyle w:val="7"/>
        <w:spacing w:before="195" w:line="496" w:lineRule="auto"/>
        <w:ind w:left="1540" w:right="1704" w:firstLine="566"/>
      </w:pPr>
      <w:r>
        <w:rPr>
          <w:spacing w:val="-23"/>
        </w:rPr>
        <w:t>公司设置应急事故废水水池，主要用于收集事故状态下的消防废水等，防止事故</w:t>
      </w:r>
      <w:r>
        <w:rPr>
          <w:spacing w:val="-19"/>
        </w:rPr>
        <w:t>废水进入雨水系统污染地下水。</w:t>
      </w:r>
    </w:p>
    <w:p>
      <w:pPr>
        <w:pStyle w:val="7"/>
        <w:spacing w:line="496" w:lineRule="auto"/>
        <w:ind w:left="1540" w:right="1702" w:firstLine="566"/>
      </w:pPr>
      <w:r>
        <w:rPr>
          <w:spacing w:val="-24"/>
        </w:rPr>
        <w:t>储罐区设置了备用储罐，发生事故时，可将储罐中物料转移至备用储罐，因此事</w:t>
      </w:r>
      <w:r>
        <w:rPr>
          <w:spacing w:val="-18"/>
        </w:rPr>
        <w:t>故池不考虑储罐容积。</w:t>
      </w:r>
    </w:p>
    <w:p>
      <w:pPr>
        <w:pStyle w:val="19"/>
        <w:numPr>
          <w:ilvl w:val="2"/>
          <w:numId w:val="0"/>
        </w:numPr>
        <w:tabs>
          <w:tab w:val="left" w:pos="2433"/>
        </w:tabs>
        <w:spacing w:before="0" w:after="0" w:line="279" w:lineRule="exact"/>
        <w:ind w:left="2432" w:leftChars="0" w:right="0" w:rightChars="0" w:hanging="776" w:firstLineChars="0"/>
        <w:jc w:val="left"/>
        <w:rPr>
          <w:b/>
          <w:sz w:val="28"/>
        </w:rPr>
      </w:pPr>
      <w:bookmarkStart w:id="82" w:name="3.4.3危险化学品的风险管理对策"/>
      <w:bookmarkEnd w:id="82"/>
      <w:bookmarkStart w:id="83" w:name="3.4.3危险化学品的风险管理对策"/>
      <w:bookmarkEnd w:id="83"/>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4</w:t>
      </w:r>
      <w:r>
        <w:rPr>
          <w:rFonts w:hint="default" w:ascii="宋体" w:hAnsi="宋体" w:eastAsia="宋体" w:cs="宋体"/>
          <w:b/>
          <w:bCs/>
          <w:spacing w:val="0"/>
          <w:w w:val="93"/>
          <w:sz w:val="28"/>
          <w:szCs w:val="22"/>
          <w:lang w:val="zh-CN" w:eastAsia="zh-CN" w:bidi="zh-CN"/>
        </w:rPr>
        <w:t>.3</w:t>
      </w:r>
      <w:r>
        <w:rPr>
          <w:b/>
          <w:sz w:val="28"/>
        </w:rPr>
        <w:t>危险化学品的风险管理对策</w:t>
      </w:r>
    </w:p>
    <w:p>
      <w:pPr>
        <w:pStyle w:val="7"/>
        <w:spacing w:before="11"/>
        <w:rPr>
          <w:b/>
        </w:rPr>
      </w:pPr>
    </w:p>
    <w:p>
      <w:pPr>
        <w:pStyle w:val="7"/>
        <w:spacing w:line="484" w:lineRule="auto"/>
        <w:ind w:left="1657" w:right="1798" w:firstLine="480"/>
        <w:jc w:val="both"/>
      </w:pPr>
      <w:r>
        <w:rPr>
          <w:spacing w:val="-12"/>
        </w:rPr>
        <w:t>危险化学品由于具有危害和有用双重属性，涉及面广，接触人员多，专业要</w:t>
      </w:r>
      <w:r>
        <w:rPr>
          <w:spacing w:val="-15"/>
        </w:rPr>
        <w:t>求相对较高。为加强对化学危险品的管理，国务院于</w:t>
      </w:r>
      <w:r>
        <w:t>2002</w:t>
      </w:r>
      <w:r>
        <w:rPr>
          <w:spacing w:val="-23"/>
        </w:rPr>
        <w:t xml:space="preserve"> 年</w:t>
      </w:r>
      <w:r>
        <w:t>1</w:t>
      </w:r>
      <w:r>
        <w:rPr>
          <w:spacing w:val="-23"/>
        </w:rPr>
        <w:t xml:space="preserve"> 月</w:t>
      </w:r>
      <w:r>
        <w:t>8</w:t>
      </w:r>
      <w:r>
        <w:rPr>
          <w:spacing w:val="-9"/>
        </w:rPr>
        <w:t xml:space="preserve"> 日颁发《危险</w:t>
      </w:r>
      <w:r>
        <w:rPr>
          <w:spacing w:val="-33"/>
        </w:rPr>
        <w:t>化学品安全管理条例》，国家安全局、公安、交通、环保、质检、卫生、工商、邮政等</w:t>
      </w:r>
      <w:r>
        <w:rPr>
          <w:spacing w:val="-38"/>
        </w:rPr>
        <w:t>部门也制订了相应的部门管理规章、规程和标准。但是，由于一些单位和个人在化学品的</w:t>
      </w:r>
      <w:r>
        <w:rPr>
          <w:spacing w:val="-29"/>
        </w:rPr>
        <w:t>生产、使用、储存、经营、运输、进出口直至处置过程中，不按章办事，违规操作，致</w:t>
      </w:r>
      <w:r>
        <w:rPr>
          <w:spacing w:val="-30"/>
        </w:rPr>
        <w:t>使化学品引发的事故时有发生。</w:t>
      </w:r>
    </w:p>
    <w:p>
      <w:pPr>
        <w:pStyle w:val="7"/>
        <w:spacing w:before="36" w:line="489" w:lineRule="auto"/>
        <w:ind w:left="1657" w:right="1716" w:firstLine="480"/>
      </w:pPr>
      <w:r>
        <w:rPr>
          <w:spacing w:val="-7"/>
        </w:rPr>
        <w:t>为加强对公司化学品，特别是危险化学品的管理，避免或减少化学品引发</w:t>
      </w:r>
      <w:r>
        <w:rPr>
          <w:spacing w:val="-11"/>
        </w:rPr>
        <w:t>的事故，保证对化学品的生产、储存、经营、运输、使用、进出口及处置的整</w:t>
      </w:r>
      <w:r>
        <w:rPr>
          <w:spacing w:val="-20"/>
        </w:rPr>
        <w:t>个过程进行全面的监督与管理，国家环境保护总局、经济贸易委员会、公安部、</w:t>
      </w:r>
      <w:r>
        <w:rPr>
          <w:spacing w:val="-7"/>
        </w:rPr>
        <w:t xml:space="preserve">交通部、质量技术监督局于 </w:t>
      </w:r>
      <w:r>
        <w:t>1999 年 12</w:t>
      </w:r>
      <w:r>
        <w:rPr>
          <w:spacing w:val="-7"/>
        </w:rPr>
        <w:t xml:space="preserve"> 月联合颁发了《关于加强化学危险品管理的通知》。</w:t>
      </w:r>
    </w:p>
    <w:p>
      <w:pPr>
        <w:pStyle w:val="7"/>
        <w:spacing w:before="46" w:line="489" w:lineRule="auto"/>
        <w:ind w:left="1657" w:right="1836" w:firstLine="480"/>
        <w:jc w:val="both"/>
      </w:pPr>
      <w:r>
        <w:rPr>
          <w:spacing w:val="-10"/>
        </w:rPr>
        <w:t>对公司而言，环境风险防范措施是环境风险管理的核心，通过实施环境风</w:t>
      </w:r>
      <w:r>
        <w:t>险防范措施来降低环境风险的发生概率，并减轻环境风险抵押事故的危害强</w:t>
      </w:r>
      <w:r>
        <w:rPr>
          <w:spacing w:val="-10"/>
        </w:rPr>
        <w:t>度。环境风险防范措施包括管理措施和技术措施二个方面。针对本项目具体情</w:t>
      </w:r>
      <w:r>
        <w:t>况提出以下环境风险管理对策。</w:t>
      </w:r>
    </w:p>
    <w:p>
      <w:pPr>
        <w:pStyle w:val="7"/>
        <w:spacing w:before="3"/>
        <w:rPr>
          <w:sz w:val="8"/>
        </w:rPr>
      </w:pPr>
    </w:p>
    <w:p>
      <w:pPr>
        <w:pStyle w:val="7"/>
        <w:spacing w:before="66" w:line="489" w:lineRule="auto"/>
        <w:ind w:left="1657" w:right="1740" w:firstLine="480"/>
      </w:pPr>
      <w:r>
        <w:rPr>
          <w:spacing w:val="-1"/>
        </w:rPr>
        <w:t xml:space="preserve">①加强安全、消防和环保管理，建立健全环保、安全、消防、各项制度， </w:t>
      </w:r>
      <w:r>
        <w:rPr>
          <w:spacing w:val="-11"/>
        </w:rPr>
        <w:t>设置环保、安全、消防设施专职管理人员，保证环保设施正常运行或处理于良好的待命状态。</w:t>
      </w:r>
    </w:p>
    <w:p>
      <w:pPr>
        <w:pStyle w:val="7"/>
        <w:spacing w:before="40" w:line="489" w:lineRule="auto"/>
        <w:ind w:left="1657" w:right="1836" w:firstLine="480"/>
        <w:jc w:val="both"/>
      </w:pPr>
      <w:r>
        <w:rPr>
          <w:spacing w:val="-8"/>
        </w:rPr>
        <w:t>②加强事故安全教育，企业内全体人员都应认识到消灭事故苗头、安全生</w:t>
      </w:r>
      <w:r>
        <w:rPr>
          <w:spacing w:val="-10"/>
        </w:rPr>
        <w:t>产、杜绝事故的意义和重要性；都应了解风险事故处理程序和要求，了解处理</w:t>
      </w:r>
      <w:r>
        <w:t>事故的措施和器材的使用方法，特别是明确自己在处理事故中的职责。</w:t>
      </w:r>
    </w:p>
    <w:p>
      <w:pPr>
        <w:pStyle w:val="7"/>
        <w:spacing w:before="43" w:line="489" w:lineRule="auto"/>
        <w:ind w:left="1657" w:right="1836" w:firstLine="480"/>
        <w:jc w:val="both"/>
      </w:pPr>
      <w:r>
        <w:rPr>
          <w:spacing w:val="-8"/>
        </w:rPr>
        <w:t>③在危险品仓库中，化学药品应分门别类单独存放，特别是互相干扰、互</w:t>
      </w:r>
      <w:r>
        <w:rPr>
          <w:spacing w:val="-7"/>
        </w:rPr>
        <w:t>相影响的物品应隔离存放；非操作人员不得随意进出；特殊化学品存放应有标</w:t>
      </w:r>
      <w:r>
        <w:t>示牌和安全使用说明。</w:t>
      </w:r>
    </w:p>
    <w:p>
      <w:pPr>
        <w:pStyle w:val="7"/>
        <w:spacing w:before="41" w:line="489" w:lineRule="auto"/>
        <w:ind w:left="1657" w:right="1715" w:firstLine="480"/>
      </w:pPr>
      <w:r>
        <w:rPr>
          <w:spacing w:val="-13"/>
        </w:rPr>
        <w:t>④加强高毒药品的严格管理，必须有专人管理，制定严格的制度，进、出、</w:t>
      </w:r>
      <w:r>
        <w:rPr>
          <w:spacing w:val="-6"/>
        </w:rPr>
        <w:t>存放和使用都必须有严格的记录，防止流失造成危害。另一方面，需尽可能减</w:t>
      </w:r>
      <w:r>
        <w:rPr>
          <w:spacing w:val="-11"/>
        </w:rPr>
        <w:t>少危废及产品在厂内的贮存量，可能情况下与当地供应商签订协议，实现日用日送。</w:t>
      </w:r>
    </w:p>
    <w:p>
      <w:pPr>
        <w:pStyle w:val="7"/>
        <w:spacing w:before="44" w:line="489" w:lineRule="auto"/>
        <w:ind w:left="1657" w:right="1836" w:firstLine="480"/>
      </w:pPr>
      <w:r>
        <w:rPr>
          <w:spacing w:val="-6"/>
        </w:rPr>
        <w:t>⑤危险化学品必须由专门的运输车辆运输，要求押运人员持有押运证，并</w:t>
      </w:r>
      <w:r>
        <w:t>携带安全资料表。装卸过程要轻装轻放，避免撞击、重压和摩擦。</w:t>
      </w:r>
    </w:p>
    <w:p>
      <w:pPr>
        <w:pStyle w:val="7"/>
        <w:spacing w:before="39"/>
        <w:ind w:right="82"/>
        <w:jc w:val="center"/>
      </w:pPr>
      <w:r>
        <w:t>⑥建立事故应急预案，包括预防措施、应急措施及事故处理三方面。</w:t>
      </w:r>
    </w:p>
    <w:p>
      <w:pPr>
        <w:pStyle w:val="7"/>
        <w:spacing w:before="11"/>
        <w:rPr>
          <w:sz w:val="27"/>
        </w:rPr>
      </w:pPr>
    </w:p>
    <w:p>
      <w:pPr>
        <w:pStyle w:val="7"/>
        <w:spacing w:before="39" w:line="489" w:lineRule="auto"/>
        <w:ind w:left="1657" w:right="1836" w:firstLine="480"/>
        <w:rPr>
          <w:rFonts w:ascii="宋体" w:hAnsi="宋体" w:eastAsia="宋体" w:cs="宋体"/>
          <w:spacing w:val="-8"/>
        </w:rPr>
      </w:pPr>
      <w:r>
        <w:rPr>
          <w:spacing w:val="-18"/>
        </w:rPr>
        <w:t xml:space="preserve">预防措施内容：预防事故的各种措施，包括防止泄漏的化学品向四周扩散， </w:t>
      </w:r>
      <w:r>
        <w:t>并</w:t>
      </w:r>
      <w:r>
        <w:rPr>
          <w:rFonts w:ascii="宋体" w:hAnsi="宋体" w:eastAsia="宋体" w:cs="宋体"/>
          <w:spacing w:val="-8"/>
        </w:rPr>
        <w:t>起到隔离作用的具体措施。各装置含有毒物料的工段现场设有喷淋洗眼器、洗手池，配备防毒面具和自给式呼吸器等防范用品。</w:t>
      </w:r>
    </w:p>
    <w:p>
      <w:pPr>
        <w:pStyle w:val="7"/>
        <w:spacing w:before="39" w:line="489" w:lineRule="auto"/>
        <w:ind w:left="1657" w:right="1836" w:firstLine="480"/>
        <w:rPr>
          <w:rFonts w:ascii="宋体" w:hAnsi="宋体" w:eastAsia="宋体" w:cs="宋体"/>
          <w:spacing w:val="-8"/>
        </w:rPr>
      </w:pPr>
      <w:r>
        <w:rPr>
          <w:rFonts w:ascii="宋体" w:hAnsi="宋体" w:eastAsia="宋体" w:cs="宋体"/>
          <w:spacing w:val="-8"/>
        </w:rPr>
        <w:t>应急措施内容：一旦出事故，立即由平时的生产管理体制转为事故处理管理体制，应付处理事故的指挥决策。对于化学品泄漏事故，主要应急措施是断源(减少泄出量)、隔离(将事故区域与其它区域隔离，避免影响扩大)、回收(尽</w:t>
      </w:r>
    </w:p>
    <w:p>
      <w:pPr>
        <w:pStyle w:val="7"/>
        <w:spacing w:before="39" w:line="489" w:lineRule="auto"/>
        <w:ind w:left="1657" w:right="1836" w:firstLine="480"/>
        <w:rPr>
          <w:rFonts w:ascii="宋体" w:hAnsi="宋体" w:eastAsia="宋体" w:cs="宋体"/>
          <w:spacing w:val="-8"/>
        </w:rPr>
      </w:pPr>
      <w:r>
        <w:rPr>
          <w:rFonts w:ascii="宋体" w:hAnsi="宋体" w:eastAsia="宋体" w:cs="宋体"/>
          <w:spacing w:val="-8"/>
        </w:rPr>
        <w:t>可能将泄出的化学品收集起来处理)、清污(处理已泄出化学品造成的后果)和上报(上报有关部门)。</w:t>
      </w:r>
    </w:p>
    <w:p>
      <w:pPr>
        <w:pStyle w:val="7"/>
        <w:spacing w:before="39" w:line="489" w:lineRule="auto"/>
        <w:ind w:left="1657" w:right="1836" w:firstLine="480"/>
      </w:pPr>
      <w:r>
        <w:rPr>
          <w:spacing w:val="-8"/>
        </w:rPr>
        <w:t>事故处理有关内容：清理现场，维修设备厂，查清事故原因，处理人员伤</w:t>
      </w:r>
      <w:r>
        <w:t>亡事件，了解现场及周围环境污染程度并及时处理污染事故。</w:t>
      </w:r>
    </w:p>
    <w:p>
      <w:pPr>
        <w:pStyle w:val="7"/>
        <w:spacing w:before="39" w:line="489" w:lineRule="auto"/>
        <w:ind w:left="1657" w:right="1836" w:firstLine="480"/>
      </w:pPr>
      <w:r>
        <w:rPr>
          <w:spacing w:val="-7"/>
        </w:rPr>
        <w:t>有毒有害原料的贮存区设置事故收集池，以收集事故时流失入外环境的有</w:t>
      </w:r>
      <w:r>
        <w:t>害化学药品，防止流失进入环境中。</w:t>
      </w:r>
    </w:p>
    <w:p>
      <w:pPr>
        <w:pStyle w:val="7"/>
        <w:spacing w:before="41" w:line="489" w:lineRule="auto"/>
        <w:ind w:left="1657" w:right="1836" w:firstLine="480"/>
        <w:jc w:val="both"/>
      </w:pPr>
      <w:r>
        <w:rPr>
          <w:spacing w:val="-6"/>
        </w:rPr>
        <w:t xml:space="preserve">公司生产车间地面采取 </w:t>
      </w:r>
      <w:r>
        <w:t>5</w:t>
      </w:r>
      <w:r>
        <w:rPr>
          <w:spacing w:val="-15"/>
        </w:rPr>
        <w:t xml:space="preserve"> 层环氧树脂防渗防腐处理，产生的固体废物暂存</w:t>
      </w:r>
      <w:r>
        <w:rPr>
          <w:spacing w:val="-10"/>
        </w:rPr>
        <w:t>固体废物暂存房内，并采取防渗防腐措施；污水处理厂及排污管道采取防渗防</w:t>
      </w:r>
      <w:r>
        <w:rPr>
          <w:spacing w:val="-16"/>
        </w:rPr>
        <w:t>腐措施。原料区四周需设置围堰和导流地沟，在原料区内安排备用反应釜， 当</w:t>
      </w:r>
      <w:r>
        <w:rPr>
          <w:spacing w:val="-6"/>
        </w:rPr>
        <w:t>发生泄漏时可分别将原料转入备用反应釜中，事故池和污水处理站采取防渗处</w:t>
      </w:r>
      <w:r>
        <w:t>理。</w:t>
      </w:r>
    </w:p>
    <w:p>
      <w:pPr>
        <w:pStyle w:val="19"/>
        <w:numPr>
          <w:ilvl w:val="2"/>
          <w:numId w:val="0"/>
        </w:numPr>
        <w:tabs>
          <w:tab w:val="left" w:pos="2392"/>
        </w:tabs>
        <w:spacing w:before="78" w:after="0" w:line="240" w:lineRule="auto"/>
        <w:ind w:left="2392" w:leftChars="0" w:right="0" w:rightChars="0" w:hanging="735" w:firstLineChars="0"/>
        <w:jc w:val="both"/>
        <w:rPr>
          <w:b/>
          <w:sz w:val="28"/>
        </w:rPr>
      </w:pPr>
      <w:bookmarkStart w:id="84" w:name="3.4.4危险品储运安全防护措施"/>
      <w:bookmarkEnd w:id="84"/>
      <w:bookmarkStart w:id="85" w:name="3.4.4危险品储运安全防护措施"/>
      <w:bookmarkEnd w:id="85"/>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4</w:t>
      </w:r>
      <w:r>
        <w:rPr>
          <w:rFonts w:hint="default" w:ascii="宋体" w:hAnsi="宋体" w:eastAsia="宋体" w:cs="宋体"/>
          <w:b/>
          <w:bCs/>
          <w:spacing w:val="0"/>
          <w:w w:val="93"/>
          <w:sz w:val="28"/>
          <w:szCs w:val="22"/>
          <w:lang w:val="zh-CN" w:eastAsia="zh-CN" w:bidi="zh-CN"/>
        </w:rPr>
        <w:t>.4</w:t>
      </w:r>
      <w:r>
        <w:rPr>
          <w:b/>
          <w:sz w:val="28"/>
        </w:rPr>
        <w:t>危险品储运安全防护措施</w:t>
      </w:r>
    </w:p>
    <w:p>
      <w:pPr>
        <w:pStyle w:val="7"/>
        <w:spacing w:before="241"/>
        <w:ind w:left="2137"/>
      </w:pPr>
      <w:r>
        <w:t>一、运输运输过程中的安全防范措施</w:t>
      </w:r>
    </w:p>
    <w:p>
      <w:pPr>
        <w:pStyle w:val="7"/>
        <w:spacing w:before="5"/>
        <w:rPr>
          <w:sz w:val="28"/>
        </w:rPr>
      </w:pPr>
    </w:p>
    <w:p>
      <w:pPr>
        <w:pStyle w:val="7"/>
        <w:spacing w:line="482" w:lineRule="auto"/>
        <w:ind w:left="1657" w:right="1853" w:firstLine="480"/>
      </w:pPr>
      <w:r>
        <w:rPr>
          <w:spacing w:val="-20"/>
        </w:rPr>
        <w:t>由于危险品的运输较其它货物的运输有更大的危险性，因此在运输过程中应小</w:t>
      </w:r>
      <w:r>
        <w:rPr>
          <w:spacing w:val="-17"/>
        </w:rPr>
        <w:t>心谨慎，确保安全。为此注意以下几个问题：</w:t>
      </w:r>
    </w:p>
    <w:p>
      <w:pPr>
        <w:pStyle w:val="19"/>
        <w:numPr>
          <w:ilvl w:val="0"/>
          <w:numId w:val="36"/>
        </w:numPr>
        <w:tabs>
          <w:tab w:val="left" w:pos="2487"/>
        </w:tabs>
        <w:spacing w:before="53" w:after="0" w:line="240" w:lineRule="auto"/>
        <w:ind w:left="2486" w:right="0" w:hanging="350"/>
        <w:jc w:val="left"/>
        <w:rPr>
          <w:sz w:val="24"/>
        </w:rPr>
      </w:pPr>
      <w:r>
        <w:rPr>
          <w:spacing w:val="-16"/>
          <w:sz w:val="24"/>
        </w:rPr>
        <w:t>合理规划运输路线及运输时间。</w:t>
      </w:r>
    </w:p>
    <w:p>
      <w:pPr>
        <w:pStyle w:val="7"/>
        <w:spacing w:before="6"/>
        <w:rPr>
          <w:sz w:val="28"/>
        </w:rPr>
      </w:pPr>
    </w:p>
    <w:p>
      <w:pPr>
        <w:pStyle w:val="19"/>
        <w:numPr>
          <w:ilvl w:val="0"/>
          <w:numId w:val="36"/>
        </w:numPr>
        <w:tabs>
          <w:tab w:val="left" w:pos="2487"/>
        </w:tabs>
        <w:spacing w:before="164" w:after="0" w:line="482" w:lineRule="auto"/>
        <w:ind w:left="1657" w:right="1853" w:firstLine="480"/>
        <w:jc w:val="both"/>
        <w:rPr>
          <w:sz w:val="24"/>
        </w:rPr>
      </w:pPr>
      <w:r>
        <w:rPr>
          <w:spacing w:val="-17"/>
          <w:sz w:val="24"/>
        </w:rPr>
        <w:t>危险品的装运应做到定车、定人。定车就是要把装运危险品的车辆，相对</w:t>
      </w:r>
      <w:r>
        <w:rPr>
          <w:spacing w:val="-21"/>
          <w:sz w:val="24"/>
        </w:rPr>
        <w:t>固定，专车专用。凡用来盛装危险物质的容器，包括槽(罐)车不得用来盛装其它物</w:t>
      </w:r>
      <w:r>
        <w:rPr>
          <w:spacing w:val="-22"/>
          <w:sz w:val="24"/>
        </w:rPr>
        <w:t>品，更不许盛装食品。而车辆必须是专用车，不能在任务紧急、车辆紧张的情况下</w:t>
      </w:r>
      <w:r>
        <w:rPr>
          <w:spacing w:val="-23"/>
          <w:sz w:val="24"/>
        </w:rPr>
        <w:t>使用两轮摩托车或三轮摩托车等担任危险物品的运输任务。定人就是把管理、驾驶、</w:t>
      </w:r>
      <w:r>
        <w:rPr>
          <w:spacing w:val="-20"/>
          <w:sz w:val="24"/>
        </w:rPr>
        <w:t>押运及装卸等工作的人员加以固定，这就保证了危险品的运输任务始终是由专业人</w:t>
      </w:r>
      <w:r>
        <w:rPr>
          <w:spacing w:val="-17"/>
          <w:sz w:val="24"/>
        </w:rPr>
        <w:t>员来担负，从人员上保障危险品运输过程中的安全。</w:t>
      </w:r>
    </w:p>
    <w:p>
      <w:pPr>
        <w:pStyle w:val="19"/>
        <w:numPr>
          <w:ilvl w:val="0"/>
          <w:numId w:val="36"/>
        </w:numPr>
        <w:tabs>
          <w:tab w:val="left" w:pos="2487"/>
        </w:tabs>
        <w:spacing w:before="164" w:after="0" w:line="482" w:lineRule="auto"/>
        <w:ind w:left="1657" w:right="1853" w:firstLine="480"/>
        <w:jc w:val="both"/>
        <w:rPr>
          <w:sz w:val="24"/>
        </w:rPr>
      </w:pPr>
      <w:r>
        <w:rPr>
          <w:spacing w:val="-17"/>
          <w:sz w:val="24"/>
        </w:rPr>
        <w:t>担负长途运输爆炸品的列车，途中不得停车住宿，如果途中因气候恶劣、</w:t>
      </w:r>
      <w:r>
        <w:rPr>
          <w:spacing w:val="-25"/>
          <w:sz w:val="24"/>
        </w:rPr>
        <w:t>运输工具严重故障等原因不能按《爆炸物品运输证》准许时间内达到目的地时， 必</w:t>
      </w:r>
      <w:r>
        <w:rPr>
          <w:spacing w:val="-20"/>
          <w:sz w:val="24"/>
        </w:rPr>
        <w:t>须在准运时间内途中向所在地(市、区)公关报告，由公安机关指定临时停靠站或暂</w:t>
      </w:r>
      <w:r>
        <w:rPr>
          <w:spacing w:val="-17"/>
          <w:sz w:val="24"/>
        </w:rPr>
        <w:t>存库，并凭《爆炸物品运输证》到当地公安机关签到延期证明。</w:t>
      </w:r>
    </w:p>
    <w:p>
      <w:pPr>
        <w:pStyle w:val="19"/>
        <w:numPr>
          <w:ilvl w:val="0"/>
          <w:numId w:val="36"/>
        </w:numPr>
        <w:tabs>
          <w:tab w:val="left" w:pos="2487"/>
        </w:tabs>
        <w:spacing w:before="50" w:after="0" w:line="482" w:lineRule="auto"/>
        <w:ind w:left="1657" w:right="1853" w:firstLine="480"/>
        <w:jc w:val="both"/>
        <w:rPr>
          <w:sz w:val="24"/>
        </w:rPr>
      </w:pPr>
      <w:r>
        <w:rPr>
          <w:spacing w:val="-15"/>
          <w:sz w:val="24"/>
        </w:rPr>
        <w:t>被装运的危险物品（</w:t>
      </w:r>
      <w:r>
        <w:rPr>
          <w:spacing w:val="-16"/>
          <w:sz w:val="24"/>
        </w:rPr>
        <w:t>包括废槽液</w:t>
      </w:r>
      <w:r>
        <w:rPr>
          <w:spacing w:val="-15"/>
          <w:sz w:val="24"/>
        </w:rPr>
        <w:t>）</w:t>
      </w:r>
      <w:r>
        <w:rPr>
          <w:spacing w:val="-16"/>
          <w:sz w:val="24"/>
        </w:rPr>
        <w:t>必须在其外包装的明显部位按《危险货</w:t>
      </w:r>
      <w:r>
        <w:rPr>
          <w:spacing w:val="-18"/>
          <w:sz w:val="24"/>
        </w:rPr>
        <w:t>物包装标志》(</w:t>
      </w:r>
      <w:r>
        <w:rPr>
          <w:spacing w:val="-9"/>
          <w:sz w:val="24"/>
        </w:rPr>
        <w:t>GB190-2009</w:t>
      </w:r>
      <w:r>
        <w:rPr>
          <w:spacing w:val="-20"/>
          <w:sz w:val="24"/>
        </w:rPr>
        <w:t>)规定的危险物品标志，包装标志要粘牢固、正确。具有</w:t>
      </w:r>
      <w:r>
        <w:rPr>
          <w:spacing w:val="-21"/>
          <w:sz w:val="24"/>
        </w:rPr>
        <w:t>易燃、有毒等多种危险特性的化学品，则应该根据其不同危险特性而同时粘贴相应</w:t>
      </w:r>
      <w:r>
        <w:rPr>
          <w:spacing w:val="-17"/>
          <w:sz w:val="24"/>
        </w:rPr>
        <w:t>的几个包装标志，以便一旦发生问题，可以进行多种防护。</w:t>
      </w:r>
    </w:p>
    <w:p>
      <w:pPr>
        <w:pStyle w:val="19"/>
        <w:numPr>
          <w:ilvl w:val="0"/>
          <w:numId w:val="36"/>
        </w:numPr>
        <w:tabs>
          <w:tab w:val="left" w:pos="2487"/>
        </w:tabs>
        <w:spacing w:before="51" w:after="0" w:line="482" w:lineRule="auto"/>
        <w:ind w:left="1657" w:right="1855" w:firstLine="480"/>
        <w:jc w:val="both"/>
        <w:rPr>
          <w:sz w:val="24"/>
        </w:rPr>
      </w:pPr>
      <w:r>
        <w:rPr>
          <w:spacing w:val="-17"/>
          <w:sz w:val="24"/>
        </w:rPr>
        <w:t>在危险品运输过程中，一旦发生意外，在采取应急处理的同时，迅速报告</w:t>
      </w:r>
      <w:r>
        <w:rPr>
          <w:spacing w:val="-20"/>
          <w:sz w:val="24"/>
        </w:rPr>
        <w:t>公安机关和环保等有关部门，疏散群众，防止事态进一步扩大，并积极协助前来救</w:t>
      </w:r>
      <w:r>
        <w:rPr>
          <w:spacing w:val="-17"/>
          <w:sz w:val="24"/>
        </w:rPr>
        <w:t>助的公安交通和消防人员抢救伤者和物资，使损失降低到最小范围。</w:t>
      </w:r>
    </w:p>
    <w:p>
      <w:pPr>
        <w:pStyle w:val="19"/>
        <w:numPr>
          <w:ilvl w:val="0"/>
          <w:numId w:val="36"/>
        </w:numPr>
        <w:tabs>
          <w:tab w:val="left" w:pos="2487"/>
        </w:tabs>
        <w:spacing w:before="51" w:after="0" w:line="482" w:lineRule="auto"/>
        <w:ind w:left="1657" w:right="1742" w:firstLine="480"/>
        <w:jc w:val="left"/>
        <w:rPr>
          <w:sz w:val="24"/>
        </w:rPr>
      </w:pPr>
      <w:r>
        <w:rPr>
          <w:spacing w:val="-20"/>
          <w:sz w:val="24"/>
        </w:rPr>
        <w:t>运输有毒和腐蚀性物品汽车的驾驶员和押运人员，在出车前必须检查防毒、</w:t>
      </w:r>
      <w:r>
        <w:rPr>
          <w:spacing w:val="-17"/>
          <w:sz w:val="24"/>
        </w:rPr>
        <w:t xml:space="preserve">防护用品和检查是否携带齐全有效，在运输途中发现泄漏时应主动采取处理措施， </w:t>
      </w:r>
      <w:r>
        <w:rPr>
          <w:spacing w:val="-20"/>
          <w:sz w:val="24"/>
        </w:rPr>
        <w:t>防止事态进一步扩大，在切断泄漏源后，应将情况及时向当地公安机关和有关部门</w:t>
      </w:r>
      <w:r>
        <w:rPr>
          <w:spacing w:val="-17"/>
          <w:sz w:val="24"/>
        </w:rPr>
        <w:t>报告，若处理不了，应立即报告当地公安机关和有关部门，请求支援。</w:t>
      </w:r>
    </w:p>
    <w:p>
      <w:pPr>
        <w:pStyle w:val="7"/>
        <w:spacing w:before="50"/>
        <w:ind w:left="2137"/>
      </w:pPr>
      <w:r>
        <w:t>二、存贮过程中的安全防范措施</w:t>
      </w:r>
    </w:p>
    <w:p>
      <w:pPr>
        <w:pStyle w:val="7"/>
        <w:spacing w:before="6"/>
        <w:rPr>
          <w:sz w:val="28"/>
        </w:rPr>
      </w:pPr>
    </w:p>
    <w:p>
      <w:pPr>
        <w:pStyle w:val="19"/>
        <w:numPr>
          <w:ilvl w:val="0"/>
          <w:numId w:val="37"/>
        </w:numPr>
        <w:tabs>
          <w:tab w:val="left" w:pos="2487"/>
        </w:tabs>
        <w:spacing w:before="0" w:after="0" w:line="482" w:lineRule="auto"/>
        <w:ind w:left="1657" w:right="1855" w:firstLine="480"/>
        <w:jc w:val="left"/>
        <w:rPr>
          <w:sz w:val="24"/>
        </w:rPr>
      </w:pPr>
      <w:r>
        <w:rPr>
          <w:spacing w:val="-17"/>
          <w:sz w:val="24"/>
        </w:rPr>
        <w:t>设立专门的危化品仓库，根据化学品不同特性，分别采用袋、桶和瓶等贮存，危化品库安装通风设备，并注意设备的防静电措施。</w:t>
      </w:r>
    </w:p>
    <w:p>
      <w:pPr>
        <w:pStyle w:val="19"/>
        <w:numPr>
          <w:ilvl w:val="0"/>
          <w:numId w:val="37"/>
        </w:numPr>
        <w:tabs>
          <w:tab w:val="left" w:pos="2487"/>
        </w:tabs>
        <w:spacing w:before="52" w:after="0" w:line="482" w:lineRule="auto"/>
        <w:ind w:left="1657" w:right="1853" w:firstLine="480"/>
        <w:jc w:val="both"/>
        <w:rPr>
          <w:sz w:val="24"/>
        </w:rPr>
      </w:pPr>
      <w:r>
        <w:rPr>
          <w:spacing w:val="-17"/>
          <w:sz w:val="24"/>
        </w:rPr>
        <w:t>在装卸化学危险物品前，要预先做好准备工作，了解物品性质，检查装卸</w:t>
      </w:r>
      <w:r>
        <w:rPr>
          <w:spacing w:val="-21"/>
          <w:sz w:val="24"/>
        </w:rPr>
        <w:t>搬运的工具是否牢固，不牢固的应予以更换或修理。如工具上曾被易燃物、酸等污</w:t>
      </w:r>
      <w:r>
        <w:rPr>
          <w:spacing w:val="-16"/>
          <w:sz w:val="24"/>
        </w:rPr>
        <w:t>染的，必须清洗后方可使用。</w:t>
      </w:r>
    </w:p>
    <w:p>
      <w:pPr>
        <w:pStyle w:val="7"/>
        <w:spacing w:before="164" w:line="482" w:lineRule="auto"/>
        <w:ind w:left="1657" w:right="1739"/>
      </w:pPr>
      <w:r>
        <w:rPr>
          <w:spacing w:val="-17"/>
          <w:sz w:val="24"/>
        </w:rPr>
        <w:t>操作人员应根据不同物资的危险特性，分别穿戴相应的防护用具。防护用</w:t>
      </w:r>
      <w:r>
        <w:rPr>
          <w:spacing w:val="-27"/>
        </w:rPr>
        <w:t>具包括工作服、橡皮围裙、橡皮袖罩、橡皮手套、长筒胶靴、防毒面具、滤毒口罩、</w:t>
      </w:r>
      <w:r>
        <w:rPr>
          <w:spacing w:val="-17"/>
        </w:rPr>
        <w:t>纱口罩、纱手套和护目镜等。操作前应由专人检查用具是否妥善，穿戴是否合适。操作后应进行清洗或消毒，放在专用的箱柜中保管。</w:t>
      </w:r>
    </w:p>
    <w:p>
      <w:pPr>
        <w:pStyle w:val="19"/>
        <w:numPr>
          <w:ilvl w:val="0"/>
          <w:numId w:val="37"/>
        </w:numPr>
        <w:tabs>
          <w:tab w:val="left" w:pos="2487"/>
        </w:tabs>
        <w:spacing w:before="52" w:after="0" w:line="482" w:lineRule="auto"/>
        <w:ind w:left="1657" w:right="1855" w:firstLine="480"/>
        <w:jc w:val="left"/>
        <w:rPr>
          <w:sz w:val="24"/>
        </w:rPr>
      </w:pPr>
      <w:r>
        <w:rPr>
          <w:spacing w:val="-17"/>
          <w:sz w:val="24"/>
        </w:rPr>
        <w:t>化学危险物品撒落在地面、车板上时，应及时扫除，对易燃易爆物品应用</w:t>
      </w:r>
      <w:r>
        <w:rPr>
          <w:spacing w:val="-16"/>
          <w:sz w:val="24"/>
        </w:rPr>
        <w:t>松软物经水浸湿后扫除。</w:t>
      </w:r>
    </w:p>
    <w:p>
      <w:pPr>
        <w:pStyle w:val="19"/>
        <w:numPr>
          <w:ilvl w:val="0"/>
          <w:numId w:val="37"/>
        </w:numPr>
        <w:tabs>
          <w:tab w:val="left" w:pos="2487"/>
        </w:tabs>
        <w:spacing w:before="52" w:after="0" w:line="482" w:lineRule="auto"/>
        <w:ind w:left="1657" w:right="1853" w:firstLine="480"/>
        <w:jc w:val="both"/>
        <w:rPr>
          <w:sz w:val="24"/>
        </w:rPr>
      </w:pPr>
      <w:r>
        <w:rPr>
          <w:spacing w:val="-17"/>
          <w:sz w:val="24"/>
        </w:rPr>
        <w:t>在装卸化学危险物品时，不得饮酒、吸烟。工作完毕后根据工作情况和危</w:t>
      </w:r>
      <w:r>
        <w:rPr>
          <w:spacing w:val="-22"/>
          <w:sz w:val="24"/>
        </w:rPr>
        <w:t>险品的性质，及时清洗手、脸、漱口或淋浴。必须保持现场空气流通，如果发现恶</w:t>
      </w:r>
      <w:r>
        <w:rPr>
          <w:spacing w:val="-16"/>
          <w:sz w:val="24"/>
        </w:rPr>
        <w:t>心、头晕等中毒现象，应立即到新鲜空气处休息，脱去工作服和防护用具， 清洗皮肤沾染部分，重者送医院诊治。</w:t>
      </w:r>
    </w:p>
    <w:p>
      <w:pPr>
        <w:pStyle w:val="19"/>
        <w:numPr>
          <w:ilvl w:val="0"/>
          <w:numId w:val="37"/>
        </w:numPr>
        <w:tabs>
          <w:tab w:val="left" w:pos="2487"/>
        </w:tabs>
        <w:spacing w:before="50" w:after="0" w:line="482" w:lineRule="auto"/>
        <w:ind w:left="1657" w:right="1855" w:firstLine="480"/>
        <w:jc w:val="left"/>
        <w:rPr>
          <w:sz w:val="24"/>
        </w:rPr>
      </w:pPr>
      <w:r>
        <w:rPr>
          <w:spacing w:val="-17"/>
          <w:sz w:val="24"/>
        </w:rPr>
        <w:t>晚间作业应用防爆式或封闭式的安全照明。雨、雪、冰封时作业，应有防</w:t>
      </w:r>
      <w:r>
        <w:rPr>
          <w:spacing w:val="-13"/>
          <w:sz w:val="24"/>
        </w:rPr>
        <w:t>滑措施。</w:t>
      </w:r>
    </w:p>
    <w:p>
      <w:pPr>
        <w:pStyle w:val="19"/>
        <w:numPr>
          <w:ilvl w:val="0"/>
          <w:numId w:val="37"/>
        </w:numPr>
        <w:tabs>
          <w:tab w:val="left" w:pos="2487"/>
        </w:tabs>
        <w:spacing w:before="53" w:after="0" w:line="240" w:lineRule="auto"/>
        <w:ind w:left="2486" w:right="0" w:hanging="350"/>
        <w:jc w:val="left"/>
        <w:rPr>
          <w:sz w:val="24"/>
        </w:rPr>
      </w:pPr>
      <w:r>
        <w:rPr>
          <w:spacing w:val="-17"/>
          <w:sz w:val="24"/>
        </w:rPr>
        <w:t>在现场须备有清水、苏打水或醋酸等，以备急救时应用。</w:t>
      </w:r>
    </w:p>
    <w:p>
      <w:pPr>
        <w:pStyle w:val="19"/>
        <w:numPr>
          <w:ilvl w:val="0"/>
          <w:numId w:val="37"/>
        </w:numPr>
        <w:tabs>
          <w:tab w:val="left" w:pos="2487"/>
        </w:tabs>
        <w:spacing w:before="62" w:after="0" w:line="610" w:lineRule="atLeast"/>
        <w:ind w:left="1657" w:right="1850" w:firstLine="480"/>
        <w:jc w:val="both"/>
        <w:rPr>
          <w:sz w:val="24"/>
        </w:rPr>
      </w:pPr>
      <w:r>
        <w:rPr>
          <w:spacing w:val="-17"/>
          <w:sz w:val="24"/>
        </w:rPr>
        <w:t>尽量减少人体与物品包装的接触，工作完毕后以肥皂和水清洗手脸和淋浴</w:t>
      </w:r>
      <w:r>
        <w:rPr>
          <w:spacing w:val="-28"/>
          <w:sz w:val="24"/>
        </w:rPr>
        <w:t>后才可进食饮水。对防护用具和使用工具，须经仔细洗刷，污水不得随便流散， 应</w:t>
      </w:r>
      <w:r>
        <w:rPr>
          <w:spacing w:val="-16"/>
          <w:sz w:val="24"/>
        </w:rPr>
        <w:t>引入污水站进行处理。</w:t>
      </w:r>
    </w:p>
    <w:p>
      <w:pPr>
        <w:pStyle w:val="7"/>
        <w:spacing w:before="3"/>
        <w:rPr>
          <w:sz w:val="17"/>
        </w:rPr>
      </w:pPr>
    </w:p>
    <w:p>
      <w:pPr>
        <w:pStyle w:val="19"/>
        <w:numPr>
          <w:ilvl w:val="2"/>
          <w:numId w:val="0"/>
        </w:numPr>
        <w:tabs>
          <w:tab w:val="left" w:pos="2392"/>
        </w:tabs>
        <w:spacing w:before="0" w:after="0" w:line="240" w:lineRule="auto"/>
        <w:ind w:left="2392" w:leftChars="0" w:right="0" w:rightChars="0" w:hanging="735" w:firstLineChars="0"/>
        <w:jc w:val="both"/>
        <w:rPr>
          <w:b/>
          <w:sz w:val="28"/>
        </w:rPr>
      </w:pPr>
      <w:bookmarkStart w:id="86" w:name="3.4.5事故排放防范措施"/>
      <w:bookmarkEnd w:id="86"/>
      <w:bookmarkStart w:id="87" w:name="3.4.5事故排放防范措施"/>
      <w:bookmarkEnd w:id="87"/>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4</w:t>
      </w:r>
      <w:r>
        <w:rPr>
          <w:rFonts w:hint="default" w:ascii="宋体" w:hAnsi="宋体" w:eastAsia="宋体" w:cs="宋体"/>
          <w:b/>
          <w:bCs/>
          <w:spacing w:val="0"/>
          <w:w w:val="93"/>
          <w:sz w:val="28"/>
          <w:szCs w:val="22"/>
          <w:lang w:val="zh-CN" w:eastAsia="zh-CN" w:bidi="zh-CN"/>
        </w:rPr>
        <w:t>.5</w:t>
      </w:r>
      <w:r>
        <w:rPr>
          <w:b/>
          <w:sz w:val="28"/>
        </w:rPr>
        <w:t>事故排放防范措施</w:t>
      </w:r>
    </w:p>
    <w:p>
      <w:pPr>
        <w:pStyle w:val="19"/>
        <w:numPr>
          <w:ilvl w:val="0"/>
          <w:numId w:val="38"/>
        </w:numPr>
        <w:tabs>
          <w:tab w:val="left" w:pos="2739"/>
        </w:tabs>
        <w:spacing w:before="226" w:after="0" w:line="240" w:lineRule="auto"/>
        <w:ind w:left="2738" w:right="0" w:hanging="602"/>
        <w:jc w:val="left"/>
        <w:rPr>
          <w:b/>
          <w:sz w:val="24"/>
        </w:rPr>
      </w:pPr>
      <w:r>
        <w:rPr>
          <w:b/>
          <w:sz w:val="24"/>
        </w:rPr>
        <w:t>废气</w:t>
      </w:r>
    </w:p>
    <w:p>
      <w:pPr>
        <w:pStyle w:val="7"/>
        <w:spacing w:before="6"/>
        <w:rPr>
          <w:b/>
          <w:sz w:val="27"/>
        </w:rPr>
      </w:pPr>
    </w:p>
    <w:p>
      <w:pPr>
        <w:pStyle w:val="7"/>
        <w:spacing w:line="489" w:lineRule="auto"/>
        <w:ind w:left="1657" w:right="1949" w:firstLine="480"/>
      </w:pPr>
      <w:r>
        <w:rPr>
          <w:spacing w:val="-9"/>
        </w:rPr>
        <w:t>①为避免项目废气事故排放时对周围环境空气质量造成严重影响，对废气</w:t>
      </w:r>
      <w:r>
        <w:rPr>
          <w:spacing w:val="-8"/>
        </w:rPr>
        <w:t>净化系统应定期检修、保养；</w:t>
      </w:r>
    </w:p>
    <w:p>
      <w:pPr>
        <w:pStyle w:val="7"/>
        <w:spacing w:line="246" w:lineRule="exact"/>
        <w:ind w:left="2137"/>
      </w:pPr>
      <w:r>
        <w:t>②废气处理设施中，应设相应的备用设备，主要是风机；</w:t>
      </w:r>
    </w:p>
    <w:p>
      <w:pPr>
        <w:pStyle w:val="7"/>
        <w:rPr>
          <w:sz w:val="29"/>
        </w:rPr>
      </w:pPr>
    </w:p>
    <w:p>
      <w:pPr>
        <w:pStyle w:val="19"/>
        <w:numPr>
          <w:numId w:val="0"/>
        </w:numPr>
        <w:tabs>
          <w:tab w:val="left" w:pos="2739"/>
        </w:tabs>
        <w:spacing w:before="68" w:after="0" w:line="240" w:lineRule="auto"/>
        <w:ind w:left="2136" w:leftChars="0" w:right="0" w:rightChars="0"/>
        <w:jc w:val="left"/>
        <w:rPr>
          <w:b/>
          <w:sz w:val="24"/>
        </w:rPr>
      </w:pPr>
      <w:r>
        <w:rPr>
          <w:spacing w:val="-13"/>
        </w:rPr>
        <w:t>③废气处理设施一旦发生故障，应立即停产，并应及时检修，尽快使其恢复</w:t>
      </w:r>
      <w:r>
        <w:rPr>
          <w:spacing w:val="-15"/>
        </w:rPr>
        <w:t>运行。</w:t>
      </w:r>
    </w:p>
    <w:p>
      <w:pPr>
        <w:pStyle w:val="19"/>
        <w:numPr>
          <w:ilvl w:val="0"/>
          <w:numId w:val="38"/>
        </w:numPr>
        <w:tabs>
          <w:tab w:val="left" w:pos="2739"/>
        </w:tabs>
        <w:spacing w:before="68" w:after="0" w:line="240" w:lineRule="auto"/>
        <w:ind w:left="2738" w:right="0" w:hanging="602"/>
        <w:jc w:val="left"/>
        <w:rPr>
          <w:b/>
          <w:sz w:val="24"/>
        </w:rPr>
      </w:pPr>
      <w:r>
        <w:rPr>
          <w:b/>
          <w:sz w:val="24"/>
        </w:rPr>
        <w:t>废水</w:t>
      </w:r>
    </w:p>
    <w:p>
      <w:pPr>
        <w:pStyle w:val="7"/>
        <w:spacing w:before="9"/>
        <w:rPr>
          <w:b/>
          <w:sz w:val="27"/>
        </w:rPr>
      </w:pPr>
    </w:p>
    <w:p>
      <w:pPr>
        <w:pStyle w:val="7"/>
        <w:spacing w:line="489" w:lineRule="auto"/>
        <w:ind w:left="1657" w:right="1943" w:firstLine="480"/>
      </w:pPr>
      <w:r>
        <w:rPr>
          <w:spacing w:val="-17"/>
        </w:rPr>
        <w:t>废水处理设施一旦发生故障，就可能产生废水的事故排放，对周围水环境产</w:t>
      </w:r>
      <w:r>
        <w:rPr>
          <w:spacing w:val="-11"/>
        </w:rPr>
        <w:t>生污染冲击和较大影响。</w:t>
      </w:r>
    </w:p>
    <w:p>
      <w:pPr>
        <w:pStyle w:val="7"/>
        <w:spacing w:line="243" w:lineRule="exact"/>
        <w:ind w:left="2137"/>
      </w:pPr>
      <w:r>
        <w:t>为确保不发生废水事故排放，从废水处理角度可采取以下预防措施：</w:t>
      </w:r>
    </w:p>
    <w:p>
      <w:pPr>
        <w:pStyle w:val="7"/>
        <w:spacing w:before="12"/>
        <w:rPr>
          <w:sz w:val="20"/>
        </w:rPr>
      </w:pPr>
    </w:p>
    <w:p>
      <w:pPr>
        <w:pStyle w:val="7"/>
        <w:spacing w:before="1"/>
        <w:ind w:left="2137"/>
      </w:pPr>
      <w:r>
        <w:t>①废水处理设施中，应设相应的备用设备，如备用泵、</w:t>
      </w:r>
      <w:r>
        <w:rPr>
          <w:rFonts w:hint="eastAsia"/>
          <w:color w:val="FF0000"/>
          <w:lang w:eastAsia="zh-CN"/>
        </w:rPr>
        <w:t>事故应急池</w:t>
      </w:r>
      <w:r>
        <w:t>等。</w:t>
      </w:r>
    </w:p>
    <w:p>
      <w:pPr>
        <w:pStyle w:val="7"/>
        <w:spacing w:before="12"/>
        <w:rPr>
          <w:sz w:val="28"/>
        </w:rPr>
      </w:pPr>
    </w:p>
    <w:p>
      <w:pPr>
        <w:pStyle w:val="7"/>
        <w:spacing w:line="489" w:lineRule="auto"/>
        <w:ind w:left="1657" w:right="1812" w:firstLine="480"/>
        <w:jc w:val="both"/>
      </w:pPr>
      <w:r>
        <w:rPr>
          <w:spacing w:val="-29"/>
        </w:rPr>
        <w:t>②废水处理设施一旦发生故障，应将产生的废水储存于事故池中，不得外排， 并及时检修，尽快使其恢复运行；若</w:t>
      </w:r>
      <w:r>
        <w:rPr>
          <w:rFonts w:hint="eastAsia"/>
          <w:color w:val="FF0000"/>
          <w:spacing w:val="-29"/>
          <w:lang w:eastAsia="zh-CN"/>
        </w:rPr>
        <w:t>事故应急池</w:t>
      </w:r>
      <w:r>
        <w:rPr>
          <w:spacing w:val="-29"/>
        </w:rPr>
        <w:t>蓄满水时，废水处理设施仍未修复， 应立即</w:t>
      </w:r>
      <w:r>
        <w:rPr>
          <w:spacing w:val="-20"/>
        </w:rPr>
        <w:t>停产检修。</w:t>
      </w:r>
    </w:p>
    <w:p>
      <w:pPr>
        <w:pStyle w:val="7"/>
        <w:spacing w:before="41" w:line="489" w:lineRule="auto"/>
        <w:ind w:left="1657" w:right="1942" w:firstLine="480"/>
      </w:pPr>
      <w:r>
        <w:rPr>
          <w:spacing w:val="-15"/>
        </w:rPr>
        <w:t>③厂区应按清污分流、雨污分流的原则建立一个完善的排水系统，确保各类废水得到有效收集、监测监督和处理。</w:t>
      </w:r>
    </w:p>
    <w:p>
      <w:pPr>
        <w:pStyle w:val="7"/>
        <w:spacing w:before="41" w:line="489" w:lineRule="auto"/>
        <w:ind w:left="1657" w:right="1925" w:firstLine="480"/>
      </w:pPr>
      <w:r>
        <w:rPr>
          <w:spacing w:val="-28"/>
        </w:rPr>
        <w:t>事故风险应急监测：事故发生时应委托丰城市环境监测站对项目所在地及周边</w:t>
      </w:r>
      <w:r>
        <w:rPr>
          <w:spacing w:val="-33"/>
        </w:rPr>
        <w:t>地下水、地表水进行监测，发现问题后应立即启动应急预案，防止物料及污水渗漏造</w:t>
      </w:r>
    </w:p>
    <w:p>
      <w:pPr>
        <w:pStyle w:val="7"/>
        <w:spacing w:before="3"/>
        <w:ind w:left="1657"/>
      </w:pPr>
      <w:r>
        <w:t>成地下水污染，监控因子为 pH、COD、NH</w:t>
      </w:r>
      <w:r>
        <w:rPr>
          <w:position w:val="-2"/>
          <w:sz w:val="12"/>
        </w:rPr>
        <w:t>3</w:t>
      </w:r>
      <w:r>
        <w:t>-N、有机物等。</w:t>
      </w:r>
    </w:p>
    <w:p>
      <w:pPr>
        <w:pStyle w:val="19"/>
        <w:numPr>
          <w:ilvl w:val="2"/>
          <w:numId w:val="0"/>
        </w:numPr>
        <w:tabs>
          <w:tab w:val="left" w:pos="2392"/>
        </w:tabs>
        <w:spacing w:before="214" w:after="0" w:line="240" w:lineRule="auto"/>
        <w:ind w:left="2392" w:leftChars="0" w:right="0" w:rightChars="0" w:hanging="735" w:firstLineChars="0"/>
        <w:jc w:val="left"/>
        <w:rPr>
          <w:b/>
          <w:sz w:val="28"/>
        </w:rPr>
      </w:pPr>
      <w:bookmarkStart w:id="88" w:name="3.4.6避难场所设置"/>
      <w:bookmarkEnd w:id="88"/>
      <w:bookmarkStart w:id="89" w:name="3.4.6避难场所设置"/>
      <w:bookmarkEnd w:id="89"/>
      <w:r>
        <w:rPr>
          <w:rFonts w:hint="default" w:ascii="宋体" w:hAnsi="宋体" w:eastAsia="宋体" w:cs="宋体"/>
          <w:b/>
          <w:bCs/>
          <w:spacing w:val="0"/>
          <w:w w:val="93"/>
          <w:sz w:val="28"/>
          <w:szCs w:val="22"/>
          <w:lang w:val="zh-CN" w:eastAsia="zh-CN" w:bidi="zh-CN"/>
        </w:rPr>
        <w:t>3.</w:t>
      </w:r>
      <w:r>
        <w:rPr>
          <w:rFonts w:hint="eastAsia" w:cs="宋体"/>
          <w:b/>
          <w:bCs/>
          <w:spacing w:val="0"/>
          <w:w w:val="93"/>
          <w:sz w:val="28"/>
          <w:szCs w:val="22"/>
          <w:lang w:val="en-US" w:eastAsia="zh-CN" w:bidi="zh-CN"/>
        </w:rPr>
        <w:t>4</w:t>
      </w:r>
      <w:r>
        <w:rPr>
          <w:rFonts w:hint="default" w:ascii="宋体" w:hAnsi="宋体" w:eastAsia="宋体" w:cs="宋体"/>
          <w:b/>
          <w:bCs/>
          <w:spacing w:val="0"/>
          <w:w w:val="93"/>
          <w:sz w:val="28"/>
          <w:szCs w:val="22"/>
          <w:lang w:val="zh-CN" w:eastAsia="zh-CN" w:bidi="zh-CN"/>
        </w:rPr>
        <w:t>.6</w:t>
      </w:r>
      <w:r>
        <w:rPr>
          <w:b/>
          <w:sz w:val="28"/>
        </w:rPr>
        <w:t>避难场所设置</w:t>
      </w:r>
    </w:p>
    <w:p>
      <w:pPr>
        <w:pStyle w:val="7"/>
        <w:spacing w:before="229" w:line="489" w:lineRule="auto"/>
        <w:ind w:left="1657" w:right="1954" w:firstLine="480"/>
      </w:pPr>
      <w:r>
        <w:t>为了减少企业的风险，在二期项目预留地作为公司的临时避难场所，厂区两条主要通道作为疏散通道，及时撤离生产区。</w:t>
      </w:r>
    </w:p>
    <w:p>
      <w:pPr>
        <w:spacing w:after="0"/>
        <w:jc w:val="both"/>
        <w:rPr>
          <w:rFonts w:hint="default" w:ascii="宋体" w:eastAsia="宋体"/>
          <w:sz w:val="21"/>
          <w:lang w:val="en-US" w:eastAsia="zh-CN"/>
        </w:rPr>
        <w:sectPr>
          <w:headerReference r:id="rId12" w:type="default"/>
          <w:footerReference r:id="rId13" w:type="default"/>
          <w:pgSz w:w="11900" w:h="16840"/>
          <w:pgMar w:top="1420" w:right="80" w:bottom="0" w:left="260" w:header="882" w:footer="567" w:gutter="0"/>
          <w:pgNumType w:fmt="decimal"/>
          <w:cols w:space="720" w:num="1"/>
        </w:sectPr>
      </w:pPr>
      <w:bookmarkStart w:id="90" w:name="3.5环境风险评价结果"/>
      <w:bookmarkEnd w:id="90"/>
      <w:bookmarkStart w:id="91" w:name="_bookmark17"/>
      <w:bookmarkEnd w:id="91"/>
      <w:bookmarkStart w:id="92" w:name="_bookmark17"/>
      <w:bookmarkEnd w:id="92"/>
      <w:r>
        <w:rPr>
          <w:rFonts w:hint="eastAsia"/>
          <w:sz w:val="21"/>
          <w:lang w:val="en-US" w:eastAsia="zh-CN"/>
        </w:rPr>
        <w:t xml:space="preserve">                                            </w:t>
      </w:r>
    </w:p>
    <w:p>
      <w:pPr>
        <w:pStyle w:val="7"/>
        <w:rPr>
          <w:b/>
          <w:sz w:val="20"/>
        </w:rPr>
      </w:pPr>
    </w:p>
    <w:p>
      <w:pPr>
        <w:pStyle w:val="7"/>
        <w:spacing w:before="3"/>
        <w:rPr>
          <w:b/>
          <w:sz w:val="20"/>
        </w:rPr>
      </w:pPr>
    </w:p>
    <w:p>
      <w:pPr>
        <w:pStyle w:val="4"/>
        <w:tabs>
          <w:tab w:val="left" w:pos="1679"/>
        </w:tabs>
        <w:spacing w:before="33"/>
      </w:pPr>
      <w:r>
        <w:t>第四章</w:t>
      </w:r>
      <w:r>
        <w:tab/>
      </w:r>
      <w:bookmarkStart w:id="93" w:name="_bookmark18"/>
      <w:bookmarkEnd w:id="93"/>
      <w:bookmarkStart w:id="94" w:name="第四章应急组织机构及职责"/>
      <w:bookmarkEnd w:id="94"/>
      <w:r>
        <w:t>应急组织机构及职责</w:t>
      </w:r>
    </w:p>
    <w:p>
      <w:pPr>
        <w:pStyle w:val="7"/>
        <w:spacing w:before="11"/>
        <w:rPr>
          <w:sz w:val="33"/>
        </w:rPr>
      </w:pPr>
    </w:p>
    <w:p>
      <w:pPr>
        <w:pStyle w:val="5"/>
        <w:numPr>
          <w:ilvl w:val="1"/>
          <w:numId w:val="39"/>
        </w:numPr>
        <w:bidi w:val="0"/>
      </w:pPr>
      <w:bookmarkStart w:id="95" w:name="4.1 应急组织体系及职责 "/>
      <w:bookmarkEnd w:id="95"/>
      <w:bookmarkStart w:id="96" w:name="_bookmark19"/>
      <w:bookmarkEnd w:id="96"/>
      <w:bookmarkStart w:id="97" w:name="_bookmark19"/>
      <w:bookmarkEnd w:id="97"/>
      <w:r>
        <w:t>应急组织体系及职责</w:t>
      </w:r>
    </w:p>
    <w:p>
      <w:pPr>
        <w:pStyle w:val="7"/>
        <w:spacing w:before="166" w:line="494" w:lineRule="auto"/>
        <w:ind w:left="1540" w:right="1721" w:firstLine="561"/>
        <w:jc w:val="both"/>
      </w:pPr>
      <w:r>
        <w:t>公司成立应急救援指挥中心。公司负责人为总指挥，其他分管领导为副总</w:t>
      </w:r>
      <w:r>
        <w:rPr>
          <w:spacing w:val="-11"/>
        </w:rPr>
        <w:t>指挥，各处室负责人及其他环保人员为指挥部成员，负责现场指挥和相关救援工</w:t>
      </w:r>
      <w:r>
        <w:t>作。</w:t>
      </w:r>
    </w:p>
    <w:p>
      <w:pPr>
        <w:pStyle w:val="7"/>
        <w:spacing w:before="2" w:line="494" w:lineRule="auto"/>
        <w:ind w:left="2101" w:right="7536"/>
        <w:jc w:val="both"/>
      </w:pPr>
      <w:r>
        <w:t>总 指 挥：郭振华副总指挥：缪雯</w:t>
      </w:r>
    </w:p>
    <w:p>
      <w:pPr>
        <w:pStyle w:val="7"/>
        <w:spacing w:before="3"/>
        <w:ind w:left="2101"/>
      </w:pPr>
      <w:r>
        <w:t>指挥部成员： 张军红、张玉海、罗艳菊、黄国华、许栋、李征胜</w:t>
      </w:r>
    </w:p>
    <w:p>
      <w:pPr>
        <w:pStyle w:val="7"/>
        <w:spacing w:before="6"/>
        <w:rPr>
          <w:sz w:val="25"/>
        </w:rPr>
      </w:pPr>
    </w:p>
    <w:p>
      <w:pPr>
        <w:pStyle w:val="7"/>
        <w:spacing w:line="494" w:lineRule="auto"/>
        <w:ind w:left="1540" w:right="1721" w:firstLine="561"/>
        <w:jc w:val="both"/>
      </w:pPr>
      <w:r>
        <w:t>应急救援指挥中心职责：组织制定环境污染应急处理预案，统一安排、组</w:t>
      </w:r>
      <w:r>
        <w:rPr>
          <w:spacing w:val="-1"/>
        </w:rPr>
        <w:t>织救援预案的实施。下达公司应急预案启动及关闭的命令,同时负责事故抢险救</w:t>
      </w:r>
      <w:r>
        <w:rPr>
          <w:spacing w:val="-9"/>
        </w:rPr>
        <w:t>援指挥工作，根据抢险救援需要合理配置人、财、物资源，积极组织抢险救援工</w:t>
      </w:r>
      <w:r>
        <w:rPr>
          <w:spacing w:val="-11"/>
        </w:rPr>
        <w:t>作，防止事故扩大。核实遇险、遇难人员，汇报和通报事故有关情况，向上级救</w:t>
      </w:r>
      <w:r>
        <w:rPr>
          <w:spacing w:val="-8"/>
        </w:rPr>
        <w:t>援机构发出救援请求。随时和事故现场指挥人员保持联系，发布救援指令。宣布</w:t>
      </w:r>
      <w:r>
        <w:rPr>
          <w:spacing w:val="-1"/>
        </w:rPr>
        <w:t>现场抢险工作结 束，制定恢复生产安全措施。做好稳定社会秩序、伤亡人员的</w:t>
      </w:r>
      <w:r>
        <w:rPr>
          <w:spacing w:val="-11"/>
        </w:rPr>
        <w:t>善后和安抚工作。接受上级有关部门的指导，配合有关部门进行事故调查处理工</w:t>
      </w:r>
      <w:r>
        <w:t>作。</w:t>
      </w:r>
    </w:p>
    <w:p>
      <w:pPr>
        <w:pStyle w:val="7"/>
        <w:spacing w:before="8"/>
        <w:ind w:left="2101"/>
      </w:pPr>
      <w:r>
        <w:t>公司应急组织体系图4.1-1：</w:t>
      </w:r>
    </w:p>
    <w:p>
      <w:pPr>
        <w:spacing w:after="0"/>
        <w:sectPr>
          <w:footerReference r:id="rId14" w:type="default"/>
          <w:pgSz w:w="11900" w:h="16840"/>
          <w:pgMar w:top="1420" w:right="80" w:bottom="1200" w:left="260" w:header="882" w:footer="1004" w:gutter="0"/>
          <w:pgNumType w:start="54"/>
          <w:cols w:space="720" w:num="1"/>
        </w:sectPr>
      </w:pPr>
    </w:p>
    <w:p>
      <w:pPr>
        <w:pStyle w:val="7"/>
        <w:spacing w:before="8" w:after="1"/>
        <w:rPr>
          <w:sz w:val="25"/>
        </w:rPr>
      </w:pPr>
    </w:p>
    <w:p>
      <w:pPr>
        <w:pStyle w:val="7"/>
        <w:ind w:left="2138"/>
        <w:rPr>
          <w:sz w:val="20"/>
        </w:rPr>
      </w:pPr>
      <w:r>
        <w:rPr>
          <w:sz w:val="20"/>
        </w:rPr>
        <mc:AlternateContent>
          <mc:Choice Requires="wps">
            <w:drawing>
              <wp:anchor distT="0" distB="0" distL="114300" distR="114300" simplePos="0" relativeHeight="251661312" behindDoc="0" locked="0" layoutInCell="1" allowOverlap="1">
                <wp:simplePos x="0" y="0"/>
                <wp:positionH relativeFrom="column">
                  <wp:posOffset>5618480</wp:posOffset>
                </wp:positionH>
                <wp:positionV relativeFrom="paragraph">
                  <wp:posOffset>1587500</wp:posOffset>
                </wp:positionV>
                <wp:extent cx="476250" cy="1228090"/>
                <wp:effectExtent l="12700" t="12700" r="25400" b="16510"/>
                <wp:wrapNone/>
                <wp:docPr id="52" name="矩形 52"/>
                <wp:cNvGraphicFramePr/>
                <a:graphic xmlns:a="http://schemas.openxmlformats.org/drawingml/2006/main">
                  <a:graphicData uri="http://schemas.microsoft.com/office/word/2010/wordprocessingShape">
                    <wps:wsp>
                      <wps:cNvSpPr/>
                      <wps:spPr>
                        <a:xfrm>
                          <a:off x="5802630" y="2700655"/>
                          <a:ext cx="476250" cy="1228090"/>
                        </a:xfrm>
                        <a:prstGeom prst="rect">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宋体"/>
                                <w:color w:val="FF0000"/>
                                <w:lang w:val="en-US" w:eastAsia="zh-CN"/>
                              </w:rPr>
                            </w:pPr>
                            <w:r>
                              <w:rPr>
                                <w:rFonts w:hint="eastAsia"/>
                                <w:color w:val="FF0000"/>
                                <w:lang w:val="en-US" w:eastAsia="zh-CN"/>
                              </w:rPr>
                              <w:t>应急检测组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2.4pt;margin-top:125pt;height:96.7pt;width:37.5pt;z-index:251661312;v-text-anchor:middle;mso-width-relative:page;mso-height-relative:page;" fillcolor="#FFFFFF [3212]" filled="t" stroked="t" coordsize="21600,21600" o:gfxdata="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WRFWD9kAAAALAQAADwAAAAAAAAABACAAAAAiAAAA&#10;ZHJzL2Rvd25yZXYueG1sUEsBAhQAFAAAAAgAh07iQENMHPl4AgAA9gQAAA4AAAAAAAAAAQAgAAAA&#10;KAEAAGRycy9lMm9Eb2MueG1sUEsFBgAAAAAGAAYAWQEAABIGAAAAAA==&#10;">
                <v:fill on="t" focussize="0,0"/>
                <v:stroke weight="2pt" color="#000000 [3213]" joinstyle="round"/>
                <v:imagedata o:title=""/>
                <o:lock v:ext="edit" aspectratio="f"/>
                <v:textbox>
                  <w:txbxContent>
                    <w:p>
                      <w:pPr>
                        <w:jc w:val="center"/>
                        <w:rPr>
                          <w:rFonts w:hint="default" w:eastAsia="宋体"/>
                          <w:color w:val="FF0000"/>
                          <w:lang w:val="en-US" w:eastAsia="zh-CN"/>
                        </w:rPr>
                      </w:pPr>
                      <w:r>
                        <w:rPr>
                          <w:rFonts w:hint="eastAsia"/>
                          <w:color w:val="FF0000"/>
                          <w:lang w:val="en-US" w:eastAsia="zh-CN"/>
                        </w:rPr>
                        <w:t>应急检测组</w:t>
                      </w:r>
                    </w:p>
                  </w:txbxContent>
                </v:textbox>
              </v:rect>
            </w:pict>
          </mc:Fallback>
        </mc:AlternateContent>
      </w:r>
      <w:r>
        <w:rPr>
          <w:sz w:val="20"/>
        </w:rPr>
        <w:drawing>
          <wp:inline distT="0" distB="0" distL="0" distR="0">
            <wp:extent cx="4746625" cy="2819400"/>
            <wp:effectExtent l="0" t="0" r="0" b="0"/>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jpeg"/>
                    <pic:cNvPicPr>
                      <a:picLocks noChangeAspect="1"/>
                    </pic:cNvPicPr>
                  </pic:nvPicPr>
                  <pic:blipFill>
                    <a:blip r:embed="rId38" cstate="print"/>
                    <a:stretch>
                      <a:fillRect/>
                    </a:stretch>
                  </pic:blipFill>
                  <pic:spPr>
                    <a:xfrm>
                      <a:off x="0" y="0"/>
                      <a:ext cx="4746751" cy="2819400"/>
                    </a:xfrm>
                    <a:prstGeom prst="rect">
                      <a:avLst/>
                    </a:prstGeom>
                  </pic:spPr>
                </pic:pic>
              </a:graphicData>
            </a:graphic>
          </wp:inline>
        </w:drawing>
      </w:r>
    </w:p>
    <w:p>
      <w:pPr>
        <w:pStyle w:val="7"/>
        <w:spacing w:before="3"/>
        <w:rPr>
          <w:sz w:val="25"/>
        </w:rPr>
      </w:pPr>
    </w:p>
    <w:p>
      <w:pPr>
        <w:spacing w:before="70"/>
        <w:ind w:left="397" w:right="2" w:firstLine="0"/>
        <w:jc w:val="center"/>
        <w:rPr>
          <w:b/>
          <w:sz w:val="21"/>
        </w:rPr>
      </w:pPr>
      <w:r>
        <w:rPr>
          <w:b/>
          <w:sz w:val="21"/>
        </w:rPr>
        <w:t>图 4.1-1 公司应急组织体系图</w:t>
      </w:r>
    </w:p>
    <w:p>
      <w:pPr>
        <w:pStyle w:val="7"/>
        <w:spacing w:before="2"/>
        <w:rPr>
          <w:b/>
          <w:sz w:val="16"/>
        </w:rPr>
      </w:pPr>
    </w:p>
    <w:p>
      <w:pPr>
        <w:pStyle w:val="19"/>
        <w:numPr>
          <w:ilvl w:val="1"/>
          <w:numId w:val="39"/>
        </w:numPr>
        <w:tabs>
          <w:tab w:val="left" w:pos="2023"/>
        </w:tabs>
        <w:spacing w:before="0" w:after="0" w:line="240" w:lineRule="auto"/>
        <w:ind w:left="2022" w:right="0" w:hanging="483"/>
        <w:jc w:val="left"/>
        <w:rPr>
          <w:b/>
          <w:sz w:val="24"/>
        </w:rPr>
      </w:pPr>
      <w:bookmarkStart w:id="98" w:name="_bookmark20"/>
      <w:bookmarkEnd w:id="98"/>
      <w:bookmarkStart w:id="99" w:name="4.2 应急救援指挥部下设机构 "/>
      <w:bookmarkEnd w:id="99"/>
      <w:bookmarkStart w:id="100" w:name="_bookmark20"/>
      <w:bookmarkEnd w:id="100"/>
      <w:r>
        <w:rPr>
          <w:b/>
          <w:sz w:val="24"/>
        </w:rPr>
        <w:t>应急救援指挥部下设机构</w:t>
      </w:r>
    </w:p>
    <w:p>
      <w:pPr>
        <w:pStyle w:val="7"/>
        <w:spacing w:before="165" w:line="494" w:lineRule="auto"/>
        <w:ind w:left="1540" w:right="1721" w:firstLine="561"/>
        <w:jc w:val="both"/>
      </w:pPr>
      <w:r>
        <w:t>现场应急救援指挥部下设机构由治安警戒疏散组、抢险救援组、物资供应</w:t>
      </w:r>
      <w:r>
        <w:rPr>
          <w:spacing w:val="-12"/>
        </w:rPr>
        <w:t>组、后勤保障组、善后处理组、技术专家组以及</w:t>
      </w:r>
      <w:r>
        <w:rPr>
          <w:rFonts w:hint="eastAsia"/>
          <w:spacing w:val="-12"/>
          <w:lang w:eastAsia="zh-CN"/>
        </w:rPr>
        <w:t>监测组</w:t>
      </w:r>
      <w:r>
        <w:rPr>
          <w:spacing w:val="-12"/>
        </w:rPr>
        <w:t>等七个组构成，由现场应</w:t>
      </w:r>
      <w:r>
        <w:t>急救援指挥部决定其补充和完善方案。</w:t>
      </w:r>
    </w:p>
    <w:p>
      <w:pPr>
        <w:pStyle w:val="19"/>
        <w:numPr>
          <w:ilvl w:val="2"/>
          <w:numId w:val="39"/>
        </w:numPr>
        <w:tabs>
          <w:tab w:val="left" w:pos="2265"/>
        </w:tabs>
        <w:spacing w:before="0" w:after="0" w:line="279" w:lineRule="exact"/>
        <w:ind w:left="2264" w:right="0" w:hanging="725"/>
        <w:jc w:val="left"/>
        <w:rPr>
          <w:b/>
          <w:sz w:val="24"/>
        </w:rPr>
      </w:pPr>
      <w:r>
        <w:rPr>
          <w:b/>
          <w:w w:val="95"/>
          <w:sz w:val="24"/>
        </w:rPr>
        <w:t>抢险救援组</w:t>
      </w:r>
    </w:p>
    <w:p>
      <w:pPr>
        <w:pStyle w:val="7"/>
        <w:spacing w:before="166"/>
        <w:ind w:left="2101"/>
      </w:pPr>
      <w:r>
        <w:t>组 长：张军红</w:t>
      </w:r>
    </w:p>
    <w:p>
      <w:pPr>
        <w:pStyle w:val="7"/>
        <w:spacing w:before="5"/>
        <w:rPr>
          <w:sz w:val="25"/>
        </w:rPr>
      </w:pPr>
    </w:p>
    <w:p>
      <w:pPr>
        <w:pStyle w:val="7"/>
        <w:ind w:left="2101"/>
      </w:pPr>
      <w:r>
        <w:t>成 员：徐伟林、程望</w:t>
      </w:r>
    </w:p>
    <w:p>
      <w:pPr>
        <w:pStyle w:val="7"/>
        <w:spacing w:before="6"/>
        <w:rPr>
          <w:sz w:val="25"/>
        </w:rPr>
      </w:pPr>
    </w:p>
    <w:p>
      <w:pPr>
        <w:pStyle w:val="7"/>
        <w:spacing w:line="496" w:lineRule="auto"/>
        <w:ind w:left="1540" w:right="1601" w:firstLine="561"/>
      </w:pPr>
      <w:r>
        <w:rPr>
          <w:spacing w:val="-15"/>
        </w:rPr>
        <w:t>职 责：按照救援方案组织指挥救援队伍实施救援行动。紧</w:t>
      </w:r>
      <w:r>
        <w:rPr>
          <w:color w:val="0000FF"/>
        </w:rPr>
        <w:t>急</w:t>
      </w:r>
      <w:r>
        <w:rPr>
          <w:spacing w:val="-3"/>
        </w:rPr>
        <w:t>调用抢险物资、</w:t>
      </w:r>
      <w:r>
        <w:t xml:space="preserve">设备、人员和占用场地。根据事故情况，有危及周边工作地点和人员的险情时， </w:t>
      </w:r>
      <w:r>
        <w:rPr>
          <w:spacing w:val="-7"/>
        </w:rPr>
        <w:t>组织人员和物资的疏散工作。负责记录、保存救援过程资料。总结应急救援经验教训。参与和配合现场应急救援指挥部的工作。</w:t>
      </w:r>
    </w:p>
    <w:p>
      <w:pPr>
        <w:pStyle w:val="19"/>
        <w:numPr>
          <w:ilvl w:val="2"/>
          <w:numId w:val="39"/>
        </w:numPr>
        <w:tabs>
          <w:tab w:val="left" w:pos="2265"/>
        </w:tabs>
        <w:spacing w:before="0" w:after="0" w:line="267" w:lineRule="exact"/>
        <w:ind w:left="2264" w:right="0" w:hanging="725"/>
        <w:jc w:val="left"/>
        <w:rPr>
          <w:b/>
          <w:sz w:val="24"/>
        </w:rPr>
      </w:pPr>
      <w:r>
        <w:rPr>
          <w:b/>
          <w:sz w:val="24"/>
        </w:rPr>
        <w:t>治安警戒疏散组</w:t>
      </w:r>
    </w:p>
    <w:p>
      <w:pPr>
        <w:pStyle w:val="7"/>
        <w:spacing w:before="166"/>
        <w:ind w:left="2101"/>
      </w:pPr>
      <w:r>
        <w:t>组 长：张玉海</w:t>
      </w:r>
    </w:p>
    <w:p>
      <w:pPr>
        <w:pStyle w:val="7"/>
        <w:spacing w:before="8"/>
        <w:rPr>
          <w:sz w:val="25"/>
        </w:rPr>
      </w:pPr>
    </w:p>
    <w:p>
      <w:pPr>
        <w:pStyle w:val="7"/>
        <w:ind w:left="2101"/>
      </w:pPr>
      <w:r>
        <w:t>成 员：曾新军、陈琦光</w:t>
      </w:r>
    </w:p>
    <w:p>
      <w:pPr>
        <w:spacing w:after="0"/>
        <w:sectPr>
          <w:pgSz w:w="11900" w:h="16840"/>
          <w:pgMar w:top="1420" w:right="80" w:bottom="1200" w:left="260" w:header="882" w:footer="1004" w:gutter="0"/>
          <w:cols w:space="720" w:num="1"/>
        </w:sectPr>
      </w:pPr>
    </w:p>
    <w:p>
      <w:pPr>
        <w:pStyle w:val="7"/>
        <w:spacing w:before="5"/>
        <w:rPr>
          <w:sz w:val="8"/>
        </w:rPr>
      </w:pPr>
    </w:p>
    <w:p>
      <w:pPr>
        <w:pStyle w:val="7"/>
        <w:spacing w:before="66" w:line="494" w:lineRule="auto"/>
        <w:ind w:left="1540" w:right="1619" w:firstLine="561"/>
      </w:pPr>
      <w:r>
        <w:rPr>
          <w:spacing w:val="-8"/>
        </w:rPr>
        <w:t>职 责：维护公司区治安，做好事故发生后的人员疏散、封闭相关场所，维</w:t>
      </w:r>
      <w:r>
        <w:rPr>
          <w:spacing w:val="-13"/>
        </w:rPr>
        <w:t>护交通秩序，事故设备抢修。提供消防灭火技术支持，参与抢险方案拟定。搜集</w:t>
      </w:r>
      <w:r>
        <w:rPr>
          <w:spacing w:val="-17"/>
        </w:rPr>
        <w:t>整理救援过程中的技术资料，为指挥部提出建议意见及相关依据，参与分析事故</w:t>
      </w:r>
      <w:r>
        <w:rPr>
          <w:spacing w:val="-18"/>
        </w:rPr>
        <w:t xml:space="preserve">原因和责任。杜绝无关人员进入事故救援现场，确保事故救援的一切顺利进行， </w:t>
      </w:r>
      <w:r>
        <w:t>完成指挥部赋予的其它工作任务。</w:t>
      </w:r>
    </w:p>
    <w:p>
      <w:pPr>
        <w:pStyle w:val="19"/>
        <w:numPr>
          <w:ilvl w:val="2"/>
          <w:numId w:val="39"/>
        </w:numPr>
        <w:tabs>
          <w:tab w:val="left" w:pos="2265"/>
        </w:tabs>
        <w:spacing w:before="0" w:after="0" w:line="279" w:lineRule="exact"/>
        <w:ind w:left="2264" w:right="0" w:hanging="725"/>
        <w:jc w:val="left"/>
        <w:rPr>
          <w:b/>
          <w:sz w:val="24"/>
        </w:rPr>
      </w:pPr>
      <w:r>
        <w:rPr>
          <w:b/>
          <w:sz w:val="24"/>
        </w:rPr>
        <w:t>物资供应组</w:t>
      </w:r>
    </w:p>
    <w:p>
      <w:pPr>
        <w:pStyle w:val="7"/>
        <w:spacing w:before="166"/>
        <w:ind w:left="2101"/>
      </w:pPr>
      <w:r>
        <w:t>组 长：缪雯</w:t>
      </w:r>
    </w:p>
    <w:p>
      <w:pPr>
        <w:pStyle w:val="7"/>
        <w:spacing w:before="5"/>
        <w:rPr>
          <w:sz w:val="25"/>
        </w:rPr>
      </w:pPr>
    </w:p>
    <w:p>
      <w:pPr>
        <w:pStyle w:val="7"/>
        <w:ind w:left="2101"/>
      </w:pPr>
      <w:r>
        <w:t>成 员：唐义如、徐智英</w:t>
      </w:r>
    </w:p>
    <w:p>
      <w:pPr>
        <w:pStyle w:val="7"/>
        <w:spacing w:before="8"/>
        <w:rPr>
          <w:sz w:val="25"/>
        </w:rPr>
      </w:pPr>
    </w:p>
    <w:p>
      <w:pPr>
        <w:pStyle w:val="7"/>
        <w:spacing w:before="1" w:line="494" w:lineRule="auto"/>
        <w:ind w:left="1540" w:right="1721" w:firstLine="561"/>
      </w:pPr>
      <w:r>
        <w:rPr>
          <w:spacing w:val="-8"/>
        </w:rPr>
        <w:t>职 责：负责组织抢险救援所需各种物资装备、器材、人员和资金的调集和</w:t>
      </w:r>
      <w:r>
        <w:t>筹备，完成指挥部赋予的其它工作任务。</w:t>
      </w:r>
    </w:p>
    <w:p>
      <w:pPr>
        <w:pStyle w:val="19"/>
        <w:numPr>
          <w:ilvl w:val="2"/>
          <w:numId w:val="39"/>
        </w:numPr>
        <w:tabs>
          <w:tab w:val="left" w:pos="2265"/>
        </w:tabs>
        <w:spacing w:before="0" w:after="0" w:line="277" w:lineRule="exact"/>
        <w:ind w:left="2264" w:right="0" w:hanging="725"/>
        <w:jc w:val="left"/>
        <w:rPr>
          <w:b/>
          <w:sz w:val="24"/>
        </w:rPr>
      </w:pPr>
      <w:r>
        <w:rPr>
          <w:b/>
          <w:sz w:val="24"/>
        </w:rPr>
        <w:t>善后处理组</w:t>
      </w:r>
    </w:p>
    <w:p>
      <w:pPr>
        <w:pStyle w:val="7"/>
        <w:spacing w:before="165"/>
        <w:ind w:left="2101"/>
      </w:pPr>
      <w:r>
        <w:t>组 长：罗艳菊</w:t>
      </w:r>
    </w:p>
    <w:p>
      <w:pPr>
        <w:pStyle w:val="7"/>
        <w:spacing w:before="6"/>
        <w:rPr>
          <w:sz w:val="25"/>
        </w:rPr>
      </w:pPr>
    </w:p>
    <w:p>
      <w:pPr>
        <w:pStyle w:val="7"/>
        <w:ind w:left="2101"/>
      </w:pPr>
      <w:r>
        <w:t>成 员：彭四维、鄢菲</w:t>
      </w:r>
    </w:p>
    <w:p>
      <w:pPr>
        <w:pStyle w:val="7"/>
        <w:spacing w:before="5"/>
        <w:rPr>
          <w:sz w:val="25"/>
        </w:rPr>
      </w:pPr>
    </w:p>
    <w:p>
      <w:pPr>
        <w:pStyle w:val="7"/>
        <w:spacing w:before="1" w:line="494" w:lineRule="auto"/>
        <w:ind w:left="1540" w:right="1718" w:firstLine="561"/>
        <w:jc w:val="both"/>
      </w:pPr>
      <w:r>
        <w:rPr>
          <w:spacing w:val="-9"/>
        </w:rPr>
        <w:t>职 责：负责核实遇难者身份，了解掌握家庭情况并通知其遇难者亲属。安</w:t>
      </w:r>
      <w:r>
        <w:rPr>
          <w:spacing w:val="-6"/>
        </w:rPr>
        <w:t>排遇难者亲属善后处理期间的生活和遇难者丧葬事宜，负责洽谈抚恤条件。完成</w:t>
      </w:r>
      <w:r>
        <w:t>指挥部赋予的其它工作任务。</w:t>
      </w:r>
    </w:p>
    <w:p>
      <w:pPr>
        <w:pStyle w:val="19"/>
        <w:numPr>
          <w:ilvl w:val="2"/>
          <w:numId w:val="39"/>
        </w:numPr>
        <w:tabs>
          <w:tab w:val="left" w:pos="2265"/>
        </w:tabs>
        <w:spacing w:before="0" w:after="0" w:line="279" w:lineRule="exact"/>
        <w:ind w:left="2264" w:right="0" w:hanging="725"/>
        <w:jc w:val="left"/>
        <w:rPr>
          <w:b/>
          <w:sz w:val="24"/>
        </w:rPr>
      </w:pPr>
      <w:r>
        <w:rPr>
          <w:b/>
          <w:sz w:val="24"/>
        </w:rPr>
        <w:t>后勤保障组</w:t>
      </w:r>
    </w:p>
    <w:p>
      <w:pPr>
        <w:pStyle w:val="7"/>
        <w:spacing w:before="165"/>
        <w:ind w:left="2101"/>
      </w:pPr>
      <w:r>
        <w:t>组 长：黄国华</w:t>
      </w:r>
    </w:p>
    <w:p>
      <w:pPr>
        <w:pStyle w:val="7"/>
        <w:spacing w:before="5"/>
        <w:rPr>
          <w:sz w:val="25"/>
        </w:rPr>
      </w:pPr>
    </w:p>
    <w:p>
      <w:pPr>
        <w:pStyle w:val="7"/>
        <w:spacing w:before="1"/>
        <w:ind w:left="2101"/>
      </w:pPr>
      <w:r>
        <w:t>成 员：刘华清、宋灿</w:t>
      </w:r>
    </w:p>
    <w:p>
      <w:pPr>
        <w:pStyle w:val="7"/>
        <w:spacing w:before="8"/>
        <w:rPr>
          <w:sz w:val="25"/>
        </w:rPr>
      </w:pPr>
    </w:p>
    <w:p>
      <w:pPr>
        <w:pStyle w:val="7"/>
        <w:spacing w:line="494" w:lineRule="auto"/>
        <w:ind w:left="1540" w:right="1718" w:firstLine="561"/>
        <w:jc w:val="both"/>
      </w:pPr>
      <w:r>
        <w:rPr>
          <w:spacing w:val="-8"/>
        </w:rPr>
        <w:t>职 责：保障有关抢险救援人员的日常生活需要，保证公司的正常秩序。组</w:t>
      </w:r>
      <w:r>
        <w:rPr>
          <w:spacing w:val="-11"/>
        </w:rPr>
        <w:t>织医疗救治。负责灾区消毒防疾，确保灾区饮食卫生。完成指挥部赋予的其它工</w:t>
      </w:r>
      <w:r>
        <w:t>作任务。</w:t>
      </w:r>
    </w:p>
    <w:p>
      <w:pPr>
        <w:pStyle w:val="19"/>
        <w:numPr>
          <w:ilvl w:val="2"/>
          <w:numId w:val="39"/>
        </w:numPr>
        <w:tabs>
          <w:tab w:val="left" w:pos="2265"/>
        </w:tabs>
        <w:spacing w:before="0" w:after="0" w:line="277" w:lineRule="exact"/>
        <w:ind w:left="2264" w:right="0" w:hanging="725"/>
        <w:jc w:val="left"/>
        <w:rPr>
          <w:b/>
          <w:sz w:val="24"/>
        </w:rPr>
      </w:pPr>
      <w:r>
        <w:rPr>
          <w:b/>
          <w:sz w:val="24"/>
        </w:rPr>
        <w:t>技术专家组</w:t>
      </w:r>
    </w:p>
    <w:p>
      <w:pPr>
        <w:spacing w:after="0" w:line="277" w:lineRule="exact"/>
        <w:jc w:val="left"/>
        <w:rPr>
          <w:sz w:val="24"/>
        </w:rPr>
        <w:sectPr>
          <w:pgSz w:w="11900" w:h="16840"/>
          <w:pgMar w:top="1420" w:right="80" w:bottom="1200" w:left="260" w:header="882" w:footer="1004" w:gutter="0"/>
          <w:cols w:space="720" w:num="1"/>
        </w:sectPr>
      </w:pPr>
    </w:p>
    <w:p>
      <w:pPr>
        <w:pStyle w:val="7"/>
        <w:spacing w:before="5"/>
        <w:rPr>
          <w:b/>
          <w:sz w:val="8"/>
        </w:rPr>
      </w:pPr>
    </w:p>
    <w:p>
      <w:pPr>
        <w:pStyle w:val="7"/>
        <w:spacing w:before="66"/>
        <w:ind w:left="2101"/>
      </w:pPr>
      <w:r>
        <w:rPr>
          <w:color w:val="0000FF"/>
        </w:rPr>
        <w:t xml:space="preserve">组 </w:t>
      </w:r>
      <w:r>
        <w:t>长：许栋</w:t>
      </w:r>
    </w:p>
    <w:p>
      <w:pPr>
        <w:pStyle w:val="7"/>
        <w:spacing w:before="6"/>
        <w:rPr>
          <w:sz w:val="25"/>
        </w:rPr>
      </w:pPr>
    </w:p>
    <w:p>
      <w:pPr>
        <w:pStyle w:val="7"/>
        <w:ind w:left="2101"/>
      </w:pPr>
      <w:r>
        <w:t>成 员：黄明亮、汪理平</w:t>
      </w:r>
    </w:p>
    <w:p>
      <w:pPr>
        <w:pStyle w:val="7"/>
        <w:spacing w:before="8"/>
        <w:rPr>
          <w:sz w:val="25"/>
        </w:rPr>
      </w:pPr>
    </w:p>
    <w:p>
      <w:pPr>
        <w:pStyle w:val="7"/>
        <w:spacing w:line="494" w:lineRule="auto"/>
        <w:ind w:left="1540" w:right="1721" w:firstLine="561"/>
        <w:jc w:val="both"/>
      </w:pPr>
      <w:r>
        <w:rPr>
          <w:spacing w:val="-9"/>
        </w:rPr>
        <w:t>职 责：提供救援技术支持，参与抢险方案拟定。搜集整理救援过程中的技</w:t>
      </w:r>
      <w:r>
        <w:rPr>
          <w:spacing w:val="-10"/>
        </w:rPr>
        <w:t>术资料，为指挥部提出建议意见及相关依据，参与分析事故原因和责任。完成指</w:t>
      </w:r>
      <w:r>
        <w:t>挥部赋予的其它工作任务。</w:t>
      </w:r>
    </w:p>
    <w:p>
      <w:pPr>
        <w:pStyle w:val="19"/>
        <w:numPr>
          <w:ilvl w:val="2"/>
          <w:numId w:val="39"/>
        </w:numPr>
        <w:tabs>
          <w:tab w:val="left" w:pos="2265"/>
        </w:tabs>
        <w:spacing w:before="0" w:after="0" w:line="277" w:lineRule="exact"/>
        <w:ind w:left="2264" w:right="0" w:hanging="725"/>
        <w:jc w:val="left"/>
        <w:rPr>
          <w:b/>
          <w:color w:val="FF0000"/>
          <w:sz w:val="24"/>
        </w:rPr>
      </w:pPr>
      <w:r>
        <w:rPr>
          <w:rFonts w:hint="eastAsia"/>
          <w:b/>
          <w:color w:val="FF0000"/>
          <w:sz w:val="24"/>
          <w:lang w:eastAsia="zh-CN"/>
        </w:rPr>
        <w:t>监测组</w:t>
      </w:r>
    </w:p>
    <w:p>
      <w:pPr>
        <w:pStyle w:val="7"/>
        <w:spacing w:before="166"/>
        <w:ind w:left="2101"/>
        <w:rPr>
          <w:color w:val="FF0000"/>
        </w:rPr>
      </w:pPr>
      <w:r>
        <w:rPr>
          <w:color w:val="FF0000"/>
        </w:rPr>
        <w:t>组 长：李征胜</w:t>
      </w:r>
    </w:p>
    <w:p>
      <w:pPr>
        <w:pStyle w:val="7"/>
        <w:spacing w:before="5"/>
        <w:rPr>
          <w:color w:val="FF0000"/>
          <w:sz w:val="25"/>
        </w:rPr>
      </w:pPr>
    </w:p>
    <w:p>
      <w:pPr>
        <w:pStyle w:val="7"/>
        <w:ind w:left="2101"/>
        <w:rPr>
          <w:color w:val="FF0000"/>
        </w:rPr>
      </w:pPr>
      <w:r>
        <w:rPr>
          <w:color w:val="FF0000"/>
        </w:rPr>
        <w:t>成 员：徐满连、赵克云、左安阳</w:t>
      </w:r>
    </w:p>
    <w:p>
      <w:pPr>
        <w:pStyle w:val="7"/>
        <w:spacing w:before="8"/>
        <w:rPr>
          <w:color w:val="FF0000"/>
          <w:sz w:val="25"/>
        </w:rPr>
      </w:pPr>
    </w:p>
    <w:p>
      <w:pPr>
        <w:pStyle w:val="7"/>
        <w:spacing w:before="1" w:line="494" w:lineRule="auto"/>
        <w:ind w:left="1540" w:right="1718" w:firstLine="561"/>
        <w:jc w:val="both"/>
        <w:rPr>
          <w:rFonts w:hint="default" w:ascii="宋体" w:hAnsi="宋体" w:eastAsia="宋体" w:cs="宋体"/>
          <w:color w:val="FF0000"/>
          <w:spacing w:val="-9"/>
        </w:rPr>
      </w:pPr>
      <w:r>
        <w:rPr>
          <w:rFonts w:ascii="宋体" w:hAnsi="宋体" w:eastAsia="宋体" w:cs="宋体"/>
          <w:color w:val="FF0000"/>
          <w:spacing w:val="-9"/>
        </w:rPr>
        <w:t>职 责：</w:t>
      </w:r>
      <w:r>
        <w:rPr>
          <w:rFonts w:hint="eastAsia" w:ascii="宋体" w:hAnsi="宋体" w:eastAsia="宋体" w:cs="宋体"/>
          <w:color w:val="FF0000"/>
          <w:spacing w:val="-9"/>
          <w:lang w:eastAsia="zh-CN"/>
        </w:rPr>
        <w:t>（</w:t>
      </w:r>
      <w:r>
        <w:rPr>
          <w:rFonts w:hint="default" w:ascii="宋体" w:hAnsi="宋体" w:eastAsia="宋体" w:cs="宋体"/>
          <w:color w:val="FF0000"/>
          <w:spacing w:val="-9"/>
        </w:rPr>
        <w:t>1）负责联系第三方专业环境监测单位对应急事故进行应急监测。负责协助副</w:t>
      </w:r>
      <w:r>
        <w:rPr>
          <w:rFonts w:hint="eastAsia" w:ascii="宋体" w:hAnsi="宋体" w:eastAsia="宋体" w:cs="宋体"/>
          <w:color w:val="FF0000"/>
          <w:spacing w:val="-9"/>
          <w:lang w:eastAsia="zh-CN"/>
        </w:rPr>
        <w:t>总</w:t>
      </w:r>
      <w:r>
        <w:rPr>
          <w:rFonts w:hint="default" w:ascii="宋体" w:hAnsi="宋体" w:eastAsia="宋体" w:cs="宋体"/>
          <w:color w:val="FF0000"/>
          <w:spacing w:val="-9"/>
        </w:rPr>
        <w:t>指挥进行应急演练。</w:t>
      </w:r>
    </w:p>
    <w:p>
      <w:pPr>
        <w:pStyle w:val="7"/>
        <w:spacing w:before="1" w:line="494" w:lineRule="auto"/>
        <w:ind w:left="1540" w:right="1718" w:firstLine="561"/>
        <w:jc w:val="both"/>
        <w:rPr>
          <w:rFonts w:ascii="宋体" w:hAnsi="宋体" w:eastAsia="宋体" w:cs="宋体"/>
          <w:color w:val="FF0000"/>
          <w:spacing w:val="-9"/>
        </w:rPr>
      </w:pPr>
      <w:r>
        <w:rPr>
          <w:rFonts w:hint="eastAsia" w:ascii="宋体" w:hAnsi="宋体" w:eastAsia="宋体" w:cs="宋体"/>
          <w:color w:val="FF0000"/>
          <w:spacing w:val="-9"/>
          <w:lang w:eastAsia="zh-CN"/>
        </w:rPr>
        <w:t>（</w:t>
      </w:r>
      <w:r>
        <w:rPr>
          <w:rFonts w:hint="default" w:ascii="宋体" w:hAnsi="宋体" w:eastAsia="宋体" w:cs="宋体"/>
          <w:color w:val="FF0000"/>
          <w:spacing w:val="-9"/>
        </w:rPr>
        <w:t>2）</w:t>
      </w:r>
      <w:r>
        <w:rPr>
          <w:rFonts w:ascii="宋体" w:hAnsi="宋体" w:eastAsia="宋体" w:cs="宋体"/>
          <w:color w:val="FF0000"/>
          <w:spacing w:val="-9"/>
        </w:rPr>
        <w:t>协调配合环境监测单位进行监测；负责协调应急处理过程中应急监测工作；负责应急处置中的监测工作，并将结果报</w:t>
      </w:r>
      <w:r>
        <w:rPr>
          <w:rFonts w:hint="eastAsia" w:ascii="宋体" w:hAnsi="宋体" w:eastAsia="宋体" w:cs="宋体"/>
          <w:color w:val="FF0000"/>
          <w:spacing w:val="-9"/>
          <w:lang w:eastAsia="zh-CN"/>
        </w:rPr>
        <w:t>应急领导小组</w:t>
      </w:r>
      <w:r>
        <w:rPr>
          <w:rFonts w:ascii="宋体" w:hAnsi="宋体" w:eastAsia="宋体" w:cs="宋体"/>
          <w:color w:val="FF0000"/>
          <w:spacing w:val="-9"/>
        </w:rPr>
        <w:t>做决策参考。</w:t>
      </w:r>
    </w:p>
    <w:p>
      <w:pPr>
        <w:pStyle w:val="7"/>
        <w:spacing w:before="1" w:line="494" w:lineRule="auto"/>
        <w:ind w:left="1540" w:right="1718" w:firstLine="561"/>
        <w:jc w:val="both"/>
        <w:rPr>
          <w:color w:val="FF0000"/>
        </w:rPr>
      </w:pPr>
      <w:r>
        <w:rPr>
          <w:rFonts w:hint="eastAsia" w:ascii="宋体" w:hAnsi="宋体" w:eastAsia="宋体" w:cs="宋体"/>
          <w:color w:val="FF0000"/>
          <w:spacing w:val="-9"/>
          <w:lang w:val="en-US" w:eastAsia="zh-CN"/>
        </w:rPr>
        <w:t>（3</w:t>
      </w:r>
      <w:r>
        <w:rPr>
          <w:rFonts w:hint="default" w:ascii="宋体" w:hAnsi="宋体" w:eastAsia="宋体" w:cs="宋体"/>
          <w:color w:val="FF0000"/>
          <w:spacing w:val="-9"/>
        </w:rPr>
        <w:t>）配合应急监测机构，对事故现场及周边环境的气象条件、空气、土壤和水体等污染情况进行定性、定量检测，确定</w:t>
      </w:r>
      <w:r>
        <w:rPr>
          <w:rFonts w:hint="eastAsia" w:ascii="宋体" w:hAnsi="宋体" w:eastAsia="宋体" w:cs="宋体"/>
          <w:color w:val="FF0000"/>
          <w:spacing w:val="-9"/>
          <w:lang w:eastAsia="zh-CN"/>
        </w:rPr>
        <w:t>化学品</w:t>
      </w:r>
      <w:r>
        <w:rPr>
          <w:rFonts w:hint="default" w:ascii="宋体" w:hAnsi="宋体" w:eastAsia="宋体" w:cs="宋体"/>
          <w:color w:val="FF0000"/>
          <w:spacing w:val="-9"/>
        </w:rPr>
        <w:t>的成分、浓度及相应的扩散模式，确定污染区域范围，对事故造成的环境影响进行准确监测和评估，制定环境修复方案并组织实施，为事故处理提供科学依据。</w:t>
      </w:r>
    </w:p>
    <w:p>
      <w:pPr>
        <w:pStyle w:val="19"/>
        <w:numPr>
          <w:ilvl w:val="1"/>
          <w:numId w:val="39"/>
        </w:numPr>
        <w:tabs>
          <w:tab w:val="left" w:pos="2023"/>
        </w:tabs>
        <w:spacing w:before="0" w:after="0" w:line="277" w:lineRule="exact"/>
        <w:ind w:left="2022" w:right="0" w:hanging="483"/>
        <w:jc w:val="left"/>
        <w:rPr>
          <w:b/>
          <w:sz w:val="24"/>
        </w:rPr>
      </w:pPr>
      <w:bookmarkStart w:id="101" w:name="_bookmark21"/>
      <w:bookmarkEnd w:id="101"/>
      <w:bookmarkStart w:id="102" w:name="_bookmark21"/>
      <w:bookmarkEnd w:id="102"/>
      <w:bookmarkStart w:id="103" w:name="4.3 应急救援指挥部办公室及其职责 "/>
      <w:bookmarkEnd w:id="103"/>
      <w:r>
        <w:rPr>
          <w:b/>
          <w:sz w:val="24"/>
        </w:rPr>
        <w:t>应急救援指挥部办公室及其职责</w:t>
      </w:r>
    </w:p>
    <w:p>
      <w:pPr>
        <w:pStyle w:val="7"/>
        <w:spacing w:before="165"/>
        <w:ind w:left="2101"/>
      </w:pPr>
      <w:r>
        <w:t>应急救援指挥部下设应急救援办公室，负责应急救援指挥部的具体事务工</w:t>
      </w:r>
    </w:p>
    <w:p>
      <w:pPr>
        <w:pStyle w:val="7"/>
        <w:spacing w:before="6"/>
        <w:rPr>
          <w:sz w:val="25"/>
        </w:rPr>
      </w:pPr>
    </w:p>
    <w:p>
      <w:pPr>
        <w:pStyle w:val="7"/>
        <w:ind w:left="1540"/>
      </w:pPr>
      <w:r>
        <w:t>作。</w:t>
      </w:r>
    </w:p>
    <w:p>
      <w:pPr>
        <w:pStyle w:val="7"/>
        <w:spacing w:before="8"/>
        <w:rPr>
          <w:sz w:val="25"/>
        </w:rPr>
      </w:pPr>
    </w:p>
    <w:p>
      <w:pPr>
        <w:pStyle w:val="7"/>
        <w:ind w:left="2101"/>
      </w:pPr>
      <w:r>
        <w:t>办公室设在安全环保部。成员由有关部门人员共同组成。</w:t>
      </w:r>
    </w:p>
    <w:p>
      <w:pPr>
        <w:pStyle w:val="7"/>
        <w:spacing w:before="6"/>
        <w:rPr>
          <w:sz w:val="25"/>
        </w:rPr>
      </w:pPr>
    </w:p>
    <w:p>
      <w:pPr>
        <w:pStyle w:val="19"/>
        <w:numPr>
          <w:ilvl w:val="0"/>
          <w:numId w:val="40"/>
        </w:numPr>
        <w:tabs>
          <w:tab w:val="left" w:pos="2463"/>
        </w:tabs>
        <w:spacing w:before="0" w:after="0" w:line="496" w:lineRule="auto"/>
        <w:ind w:left="1540" w:right="1721" w:firstLine="561"/>
        <w:jc w:val="left"/>
        <w:rPr>
          <w:sz w:val="24"/>
        </w:rPr>
      </w:pPr>
      <w:r>
        <w:rPr>
          <w:spacing w:val="-5"/>
          <w:sz w:val="24"/>
        </w:rPr>
        <w:t>负责公司应急指挥工作的综合协调和管理，根据事故灾难情况和救援工</w:t>
      </w:r>
      <w:r>
        <w:rPr>
          <w:sz w:val="24"/>
        </w:rPr>
        <w:t>作进展情况，及时向应急救援指挥部报告；</w:t>
      </w:r>
    </w:p>
    <w:p>
      <w:pPr>
        <w:pStyle w:val="19"/>
        <w:numPr>
          <w:ilvl w:val="0"/>
          <w:numId w:val="40"/>
        </w:numPr>
        <w:tabs>
          <w:tab w:val="left" w:pos="2463"/>
        </w:tabs>
        <w:spacing w:before="0" w:after="0" w:line="304" w:lineRule="exact"/>
        <w:ind w:left="2462" w:right="0" w:hanging="362"/>
        <w:jc w:val="left"/>
        <w:rPr>
          <w:sz w:val="24"/>
        </w:rPr>
      </w:pPr>
      <w:r>
        <w:rPr>
          <w:sz w:val="24"/>
        </w:rPr>
        <w:t>与现场抢险指挥部保持联系，传达公司应急指挥部命令；</w:t>
      </w:r>
    </w:p>
    <w:p>
      <w:pPr>
        <w:pStyle w:val="7"/>
        <w:spacing w:before="8"/>
        <w:rPr>
          <w:sz w:val="25"/>
        </w:rPr>
      </w:pPr>
    </w:p>
    <w:p>
      <w:pPr>
        <w:pStyle w:val="19"/>
        <w:numPr>
          <w:ilvl w:val="0"/>
          <w:numId w:val="40"/>
        </w:numPr>
        <w:tabs>
          <w:tab w:val="left" w:pos="2463"/>
        </w:tabs>
        <w:spacing w:before="0" w:after="0" w:line="494" w:lineRule="auto"/>
        <w:ind w:left="2101" w:right="2136" w:firstLine="0"/>
        <w:jc w:val="left"/>
        <w:rPr>
          <w:sz w:val="24"/>
        </w:rPr>
      </w:pPr>
      <w:r>
        <w:rPr>
          <w:spacing w:val="-1"/>
          <w:sz w:val="24"/>
        </w:rPr>
        <w:t>负责事故救援情况的记录和资料、信息的收集以及发布救援命令。</w:t>
      </w:r>
      <w:r>
        <w:rPr>
          <w:sz w:val="24"/>
        </w:rPr>
        <w:t>(4)调动公司应急救援力量，调配公司应急救援资源；</w:t>
      </w:r>
    </w:p>
    <w:p>
      <w:pPr>
        <w:pStyle w:val="19"/>
        <w:numPr>
          <w:ilvl w:val="0"/>
          <w:numId w:val="41"/>
        </w:numPr>
        <w:tabs>
          <w:tab w:val="left" w:pos="2463"/>
        </w:tabs>
        <w:spacing w:before="0" w:after="0" w:line="494" w:lineRule="auto"/>
        <w:ind w:left="1540" w:right="1721" w:firstLine="561"/>
        <w:jc w:val="left"/>
        <w:rPr>
          <w:sz w:val="8"/>
        </w:rPr>
      </w:pPr>
      <w:r>
        <w:rPr>
          <w:spacing w:val="-8"/>
          <w:sz w:val="24"/>
        </w:rPr>
        <w:t>提供技术支持，组织公司应急救援技术组参加救援工作，协调医疗救护</w:t>
      </w:r>
      <w:r>
        <w:rPr>
          <w:sz w:val="24"/>
        </w:rPr>
        <w:t>工作；</w:t>
      </w:r>
    </w:p>
    <w:p>
      <w:pPr>
        <w:pStyle w:val="19"/>
        <w:numPr>
          <w:ilvl w:val="0"/>
          <w:numId w:val="41"/>
        </w:numPr>
        <w:tabs>
          <w:tab w:val="left" w:pos="2463"/>
        </w:tabs>
        <w:spacing w:before="66" w:after="0" w:line="240" w:lineRule="auto"/>
        <w:ind w:left="2462" w:right="0" w:hanging="362"/>
        <w:jc w:val="left"/>
        <w:rPr>
          <w:sz w:val="24"/>
        </w:rPr>
      </w:pPr>
      <w:r>
        <w:rPr>
          <w:sz w:val="24"/>
        </w:rPr>
        <w:t>调用公司应急救援基础资料与信息；</w:t>
      </w:r>
    </w:p>
    <w:p>
      <w:pPr>
        <w:pStyle w:val="7"/>
        <w:spacing w:before="6"/>
        <w:rPr>
          <w:sz w:val="25"/>
        </w:rPr>
      </w:pPr>
    </w:p>
    <w:p>
      <w:pPr>
        <w:pStyle w:val="19"/>
        <w:numPr>
          <w:ilvl w:val="0"/>
          <w:numId w:val="41"/>
        </w:numPr>
        <w:tabs>
          <w:tab w:val="left" w:pos="2463"/>
        </w:tabs>
        <w:spacing w:before="0" w:after="0" w:line="496" w:lineRule="auto"/>
        <w:ind w:left="1540" w:right="1721" w:firstLine="561"/>
        <w:jc w:val="left"/>
        <w:rPr>
          <w:sz w:val="24"/>
        </w:rPr>
      </w:pPr>
      <w:r>
        <w:rPr>
          <w:spacing w:val="-6"/>
          <w:sz w:val="24"/>
        </w:rPr>
        <w:t>公司事故灾难扩大或专业救援力量、资源不足时，协调相关救援力量及</w:t>
      </w:r>
      <w:r>
        <w:rPr>
          <w:sz w:val="24"/>
        </w:rPr>
        <w:t>设备增援；</w:t>
      </w:r>
    </w:p>
    <w:p>
      <w:pPr>
        <w:pStyle w:val="19"/>
        <w:numPr>
          <w:ilvl w:val="0"/>
          <w:numId w:val="41"/>
        </w:numPr>
        <w:tabs>
          <w:tab w:val="left" w:pos="2463"/>
        </w:tabs>
        <w:spacing w:before="0" w:after="0" w:line="304" w:lineRule="exact"/>
        <w:ind w:left="2462" w:right="0" w:hanging="362"/>
        <w:jc w:val="left"/>
        <w:rPr>
          <w:sz w:val="24"/>
        </w:rPr>
      </w:pPr>
      <w:r>
        <w:rPr>
          <w:sz w:val="24"/>
        </w:rPr>
        <w:t>完成应急指挥部交办的其他事项。</w:t>
      </w:r>
    </w:p>
    <w:p>
      <w:pPr>
        <w:spacing w:after="0" w:line="304" w:lineRule="exact"/>
        <w:jc w:val="left"/>
        <w:rPr>
          <w:sz w:val="24"/>
        </w:rPr>
        <w:sectPr>
          <w:pgSz w:w="11900" w:h="16840"/>
          <w:pgMar w:top="1420" w:right="80" w:bottom="1200" w:left="260" w:header="882" w:footer="1004" w:gutter="0"/>
          <w:cols w:space="720" w:num="1"/>
        </w:sectPr>
      </w:pPr>
    </w:p>
    <w:p>
      <w:pPr>
        <w:pStyle w:val="4"/>
        <w:tabs>
          <w:tab w:val="left" w:pos="1679"/>
        </w:tabs>
      </w:pPr>
      <w:r>
        <w:t>第五章</w:t>
      </w:r>
      <w:r>
        <w:tab/>
      </w:r>
      <w:bookmarkStart w:id="104" w:name="_bookmark22"/>
      <w:bookmarkEnd w:id="104"/>
      <w:bookmarkStart w:id="105" w:name="第五章预防与预警机制 "/>
      <w:bookmarkEnd w:id="105"/>
      <w:r>
        <w:t>预防与预警机制</w:t>
      </w:r>
    </w:p>
    <w:p>
      <w:pPr>
        <w:pStyle w:val="7"/>
        <w:spacing w:before="1"/>
        <w:rPr>
          <w:sz w:val="34"/>
        </w:rPr>
      </w:pPr>
    </w:p>
    <w:p>
      <w:pPr>
        <w:pStyle w:val="5"/>
        <w:numPr>
          <w:ilvl w:val="1"/>
          <w:numId w:val="42"/>
        </w:numPr>
        <w:bidi w:val="0"/>
      </w:pPr>
      <w:bookmarkStart w:id="106" w:name="_bookmark23"/>
      <w:bookmarkEnd w:id="106"/>
      <w:bookmarkStart w:id="107" w:name="_bookmark23"/>
      <w:bookmarkEnd w:id="107"/>
      <w:bookmarkStart w:id="108" w:name="5.1 预防措施 "/>
      <w:bookmarkEnd w:id="108"/>
      <w:r>
        <w:t>预防措施</w:t>
      </w:r>
    </w:p>
    <w:p>
      <w:pPr>
        <w:pStyle w:val="7"/>
        <w:spacing w:before="166" w:line="494" w:lineRule="auto"/>
        <w:ind w:left="2101" w:right="1776"/>
      </w:pPr>
      <w:r>
        <w:t>本公司主要危险场所有原料储存场所及生产车间，其常规预防措施如下： (1)建立健全各种规章制度，落实安全生产责任制。</w:t>
      </w:r>
    </w:p>
    <w:p>
      <w:pPr>
        <w:pStyle w:val="19"/>
        <w:numPr>
          <w:ilvl w:val="0"/>
          <w:numId w:val="43"/>
        </w:numPr>
        <w:tabs>
          <w:tab w:val="left" w:pos="2463"/>
        </w:tabs>
        <w:spacing w:before="0" w:after="0" w:line="494" w:lineRule="auto"/>
        <w:ind w:left="1540" w:right="1619" w:firstLine="561"/>
        <w:jc w:val="both"/>
        <w:rPr>
          <w:sz w:val="24"/>
        </w:rPr>
      </w:pPr>
      <w:r>
        <w:rPr>
          <w:spacing w:val="-4"/>
          <w:sz w:val="24"/>
        </w:rPr>
        <w:t>定期进行安全环境检查。为了及时发现事故隐患，堵塞事故漏洞，防患</w:t>
      </w:r>
      <w:r>
        <w:rPr>
          <w:spacing w:val="-10"/>
          <w:sz w:val="24"/>
        </w:rPr>
        <w:t>于未然，建立安全环保检查制度，每月组织检查一次，工段每月检查两次，以自</w:t>
      </w:r>
      <w:r>
        <w:rPr>
          <w:spacing w:val="-11"/>
          <w:sz w:val="24"/>
        </w:rPr>
        <w:t>查为主，互查为辅，以查思想、查制度、查记录、查隐患、查领导为主要内容。</w:t>
      </w:r>
    </w:p>
    <w:p>
      <w:pPr>
        <w:pStyle w:val="19"/>
        <w:numPr>
          <w:ilvl w:val="0"/>
          <w:numId w:val="43"/>
        </w:numPr>
        <w:tabs>
          <w:tab w:val="left" w:pos="2467"/>
        </w:tabs>
        <w:spacing w:before="3" w:after="0" w:line="494" w:lineRule="auto"/>
        <w:ind w:left="1540" w:right="1721" w:firstLine="561"/>
        <w:jc w:val="both"/>
        <w:rPr>
          <w:sz w:val="24"/>
        </w:rPr>
      </w:pPr>
      <w:r>
        <w:rPr>
          <w:spacing w:val="3"/>
          <w:sz w:val="24"/>
        </w:rPr>
        <w:t>强化安全环保生产教育。公司所有职工必须具备安全环保生产基本知</w:t>
      </w:r>
      <w:r>
        <w:rPr>
          <w:spacing w:val="-10"/>
          <w:sz w:val="24"/>
        </w:rPr>
        <w:t>识，必须接受安全环保生产知识教育和安全知识培训，熟知生产的各个环节、各</w:t>
      </w:r>
      <w:r>
        <w:rPr>
          <w:spacing w:val="-11"/>
          <w:sz w:val="24"/>
        </w:rPr>
        <w:t>个流程、生产危险区域及其安全防护的基本知识和注意事项、机械设备输送运转</w:t>
      </w:r>
      <w:r>
        <w:rPr>
          <w:spacing w:val="-9"/>
          <w:sz w:val="24"/>
        </w:rPr>
        <w:t>的有关知识、环保设施设备的正常运转知识、有关消防知识、消防器材知识、有</w:t>
      </w:r>
      <w:r>
        <w:rPr>
          <w:sz w:val="24"/>
        </w:rPr>
        <w:t>关有毒气体知识、个人防护用品使用知识等。</w:t>
      </w:r>
    </w:p>
    <w:p>
      <w:pPr>
        <w:pStyle w:val="19"/>
        <w:numPr>
          <w:ilvl w:val="0"/>
          <w:numId w:val="43"/>
        </w:numPr>
        <w:tabs>
          <w:tab w:val="left" w:pos="2463"/>
        </w:tabs>
        <w:spacing w:before="6" w:after="0" w:line="240" w:lineRule="auto"/>
        <w:ind w:left="2462" w:right="0" w:hanging="362"/>
        <w:jc w:val="left"/>
        <w:rPr>
          <w:sz w:val="24"/>
        </w:rPr>
      </w:pPr>
      <w:r>
        <w:rPr>
          <w:sz w:val="24"/>
        </w:rPr>
        <w:t>采用便捷有效的消防、治安报警措施。</w:t>
      </w:r>
    </w:p>
    <w:p>
      <w:pPr>
        <w:pStyle w:val="7"/>
        <w:spacing w:before="8"/>
        <w:rPr>
          <w:sz w:val="25"/>
        </w:rPr>
      </w:pPr>
    </w:p>
    <w:p>
      <w:pPr>
        <w:pStyle w:val="19"/>
        <w:numPr>
          <w:ilvl w:val="0"/>
          <w:numId w:val="43"/>
        </w:numPr>
        <w:tabs>
          <w:tab w:val="left" w:pos="2463"/>
        </w:tabs>
        <w:spacing w:before="0" w:after="0" w:line="240" w:lineRule="auto"/>
        <w:ind w:left="2462" w:right="0" w:hanging="362"/>
        <w:jc w:val="left"/>
        <w:rPr>
          <w:sz w:val="24"/>
        </w:rPr>
      </w:pPr>
      <w:r>
        <w:rPr>
          <w:sz w:val="24"/>
        </w:rPr>
        <w:t>每年定期进行检验和维修，保证消防设备、设施、器材的有效使用。</w:t>
      </w:r>
    </w:p>
    <w:p>
      <w:pPr>
        <w:pStyle w:val="7"/>
        <w:spacing w:before="5"/>
        <w:rPr>
          <w:sz w:val="25"/>
        </w:rPr>
      </w:pPr>
    </w:p>
    <w:p>
      <w:pPr>
        <w:pStyle w:val="7"/>
        <w:spacing w:before="1"/>
        <w:ind w:left="2101"/>
      </w:pPr>
      <w:r>
        <w:rPr>
          <w:color w:val="0000FF"/>
        </w:rPr>
        <w:t>（6）设定应急避难标识指引路线线牌及应急疏散路线图等基本保障设施。</w:t>
      </w:r>
    </w:p>
    <w:p>
      <w:pPr>
        <w:pStyle w:val="7"/>
        <w:spacing w:before="12"/>
        <w:rPr>
          <w:sz w:val="18"/>
        </w:rPr>
      </w:pPr>
    </w:p>
    <w:p>
      <w:pPr>
        <w:pStyle w:val="5"/>
        <w:numPr>
          <w:ilvl w:val="1"/>
          <w:numId w:val="42"/>
        </w:numPr>
        <w:bidi w:val="0"/>
      </w:pPr>
      <w:bookmarkStart w:id="109" w:name="_bookmark24"/>
      <w:bookmarkEnd w:id="109"/>
      <w:bookmarkStart w:id="110" w:name="_bookmark24"/>
      <w:bookmarkEnd w:id="110"/>
      <w:bookmarkStart w:id="111" w:name="5.2 预警行动 "/>
      <w:bookmarkEnd w:id="111"/>
      <w:r>
        <w:t>预警行动</w:t>
      </w:r>
    </w:p>
    <w:p>
      <w:pPr>
        <w:pStyle w:val="19"/>
        <w:numPr>
          <w:ilvl w:val="2"/>
          <w:numId w:val="42"/>
        </w:numPr>
        <w:tabs>
          <w:tab w:val="left" w:pos="2265"/>
        </w:tabs>
        <w:spacing w:before="132" w:after="0" w:line="240" w:lineRule="auto"/>
        <w:ind w:left="2264" w:right="0" w:hanging="725"/>
        <w:jc w:val="left"/>
        <w:rPr>
          <w:b/>
          <w:sz w:val="24"/>
        </w:rPr>
      </w:pPr>
      <w:r>
        <w:rPr>
          <w:b/>
          <w:sz w:val="24"/>
        </w:rPr>
        <w:t>预警分级指标</w:t>
      </w:r>
    </w:p>
    <w:p>
      <w:pPr>
        <w:pStyle w:val="7"/>
        <w:spacing w:before="166" w:line="494" w:lineRule="auto"/>
        <w:ind w:left="1540" w:right="1619" w:firstLine="561"/>
        <w:rPr>
          <w:spacing w:val="-12"/>
        </w:rPr>
      </w:pPr>
      <w:r>
        <w:t>按照突发环境污染事故的严重性、紧急程度和可能涉及的范围，将突发环</w:t>
      </w:r>
      <w:r>
        <w:rPr>
          <w:spacing w:val="-1"/>
        </w:rPr>
        <w:t>境污染事故的预警级别分为四级，预警级别由低到高，颜色依次为蓝色、黄色、</w:t>
      </w:r>
      <w:r>
        <w:rPr>
          <w:spacing w:val="-10"/>
        </w:rPr>
        <w:t>橙色、红色。根据事态的发展情况和采取措施的效果，预警颜色可以升级、降级</w:t>
      </w:r>
      <w:r>
        <w:rPr>
          <w:spacing w:val="-12"/>
        </w:rPr>
        <w:t>或解除，突发环境污染事故的预警的发布由地方政府负责。收集到的有关信息证</w:t>
      </w:r>
    </w:p>
    <w:p>
      <w:pPr>
        <w:pStyle w:val="7"/>
        <w:spacing w:before="5"/>
        <w:rPr>
          <w:sz w:val="8"/>
        </w:rPr>
      </w:pPr>
    </w:p>
    <w:p>
      <w:pPr>
        <w:pStyle w:val="7"/>
        <w:spacing w:before="66" w:line="494" w:lineRule="auto"/>
        <w:ind w:left="1540" w:right="1721"/>
      </w:pPr>
      <w:r>
        <w:t>明突发环境污染事故即将发生或者发生的可能性增大时，按照相关应急预案执行。</w:t>
      </w:r>
    </w:p>
    <w:p>
      <w:pPr>
        <w:pStyle w:val="19"/>
        <w:numPr>
          <w:ilvl w:val="2"/>
          <w:numId w:val="42"/>
        </w:numPr>
        <w:tabs>
          <w:tab w:val="left" w:pos="2265"/>
        </w:tabs>
        <w:spacing w:before="0" w:after="0" w:line="277" w:lineRule="exact"/>
        <w:ind w:left="2264" w:right="0" w:hanging="725"/>
        <w:jc w:val="left"/>
        <w:rPr>
          <w:b/>
          <w:sz w:val="24"/>
        </w:rPr>
      </w:pPr>
      <w:r>
        <w:rPr>
          <w:b/>
          <w:sz w:val="24"/>
        </w:rPr>
        <w:t>进入预警状态后采取措施</w:t>
      </w:r>
    </w:p>
    <w:p>
      <w:pPr>
        <w:pStyle w:val="19"/>
        <w:numPr>
          <w:ilvl w:val="3"/>
          <w:numId w:val="42"/>
        </w:numPr>
        <w:tabs>
          <w:tab w:val="left" w:pos="2463"/>
        </w:tabs>
        <w:spacing w:before="166" w:after="0" w:line="240" w:lineRule="auto"/>
        <w:ind w:left="2462" w:right="0" w:hanging="362"/>
        <w:jc w:val="left"/>
        <w:rPr>
          <w:sz w:val="24"/>
        </w:rPr>
      </w:pPr>
      <w:r>
        <w:rPr>
          <w:sz w:val="24"/>
        </w:rPr>
        <w:t>立即启动相关应急预案。</w:t>
      </w:r>
    </w:p>
    <w:p>
      <w:pPr>
        <w:pStyle w:val="7"/>
        <w:spacing w:before="5"/>
        <w:rPr>
          <w:sz w:val="25"/>
        </w:rPr>
      </w:pPr>
    </w:p>
    <w:p>
      <w:pPr>
        <w:pStyle w:val="19"/>
        <w:numPr>
          <w:ilvl w:val="3"/>
          <w:numId w:val="42"/>
        </w:numPr>
        <w:tabs>
          <w:tab w:val="left" w:pos="2463"/>
        </w:tabs>
        <w:spacing w:before="0" w:after="0" w:line="494" w:lineRule="auto"/>
        <w:ind w:left="1540" w:right="1721" w:firstLine="561"/>
        <w:jc w:val="both"/>
        <w:rPr>
          <w:sz w:val="24"/>
        </w:rPr>
      </w:pPr>
      <w:r>
        <w:rPr>
          <w:spacing w:val="-8"/>
          <w:sz w:val="24"/>
        </w:rPr>
        <w:t>发布预警公告，蓝色预警由生产技术处负责发布，黄色预警由公司安环</w:t>
      </w:r>
      <w:r>
        <w:rPr>
          <w:spacing w:val="-10"/>
          <w:sz w:val="24"/>
        </w:rPr>
        <w:t>科负责发布，橙色预警由公司应急指挥中心负责发布，红色预警由事故发生地环</w:t>
      </w:r>
      <w:r>
        <w:rPr>
          <w:sz w:val="24"/>
        </w:rPr>
        <w:t>保部门负责发布。</w:t>
      </w:r>
    </w:p>
    <w:p>
      <w:pPr>
        <w:pStyle w:val="19"/>
        <w:numPr>
          <w:ilvl w:val="3"/>
          <w:numId w:val="42"/>
        </w:numPr>
        <w:tabs>
          <w:tab w:val="left" w:pos="2463"/>
        </w:tabs>
        <w:spacing w:before="3" w:after="0" w:line="240" w:lineRule="auto"/>
        <w:ind w:left="2462" w:right="0" w:hanging="362"/>
        <w:jc w:val="left"/>
        <w:rPr>
          <w:sz w:val="24"/>
        </w:rPr>
      </w:pPr>
      <w:r>
        <w:rPr>
          <w:sz w:val="24"/>
        </w:rPr>
        <w:t>转移、撤离或者疏散可能受到危害的人员，并进行妥善安置。</w:t>
      </w:r>
    </w:p>
    <w:p>
      <w:pPr>
        <w:pStyle w:val="7"/>
        <w:spacing w:before="8"/>
        <w:rPr>
          <w:sz w:val="25"/>
        </w:rPr>
      </w:pPr>
    </w:p>
    <w:p>
      <w:pPr>
        <w:pStyle w:val="19"/>
        <w:numPr>
          <w:ilvl w:val="3"/>
          <w:numId w:val="42"/>
        </w:numPr>
        <w:tabs>
          <w:tab w:val="left" w:pos="2463"/>
        </w:tabs>
        <w:spacing w:before="1" w:after="0" w:line="494" w:lineRule="auto"/>
        <w:ind w:left="1540" w:right="1721" w:firstLine="561"/>
        <w:jc w:val="left"/>
        <w:rPr>
          <w:sz w:val="24"/>
        </w:rPr>
      </w:pPr>
      <w:r>
        <w:rPr>
          <w:spacing w:val="-5"/>
          <w:sz w:val="24"/>
        </w:rPr>
        <w:t>指令各环境应急救援队伍进入应急状态，环境监测部门立即开展应急监</w:t>
      </w:r>
      <w:r>
        <w:rPr>
          <w:sz w:val="24"/>
        </w:rPr>
        <w:t>测，随时掌握并报告事态进展情况。</w:t>
      </w:r>
    </w:p>
    <w:p>
      <w:pPr>
        <w:pStyle w:val="19"/>
        <w:numPr>
          <w:ilvl w:val="3"/>
          <w:numId w:val="42"/>
        </w:numPr>
        <w:tabs>
          <w:tab w:val="left" w:pos="2463"/>
        </w:tabs>
        <w:spacing w:before="0" w:after="0" w:line="496" w:lineRule="auto"/>
        <w:ind w:left="1540" w:right="1721" w:firstLine="561"/>
        <w:jc w:val="left"/>
        <w:rPr>
          <w:sz w:val="24"/>
        </w:rPr>
      </w:pPr>
      <w:r>
        <w:rPr>
          <w:spacing w:val="-5"/>
          <w:sz w:val="24"/>
        </w:rPr>
        <w:t>针对突发环境污染事故可能造成的危害，封闭、隔离或者限制使用个别</w:t>
      </w:r>
      <w:r>
        <w:rPr>
          <w:sz w:val="24"/>
        </w:rPr>
        <w:t>场所，终止可能导致危害扩大的行为和活动。</w:t>
      </w:r>
    </w:p>
    <w:p>
      <w:pPr>
        <w:pStyle w:val="19"/>
        <w:numPr>
          <w:ilvl w:val="3"/>
          <w:numId w:val="42"/>
        </w:numPr>
        <w:tabs>
          <w:tab w:val="left" w:pos="2463"/>
        </w:tabs>
        <w:spacing w:before="0" w:after="0" w:line="304" w:lineRule="exact"/>
        <w:ind w:left="2462" w:right="0" w:hanging="362"/>
        <w:jc w:val="left"/>
        <w:rPr>
          <w:sz w:val="24"/>
        </w:rPr>
      </w:pPr>
      <w:r>
        <w:rPr>
          <w:sz w:val="24"/>
        </w:rPr>
        <w:t>调集环境应急所需物资和设备、确保应急保障工作。</w:t>
      </w:r>
    </w:p>
    <w:p>
      <w:pPr>
        <w:pStyle w:val="7"/>
        <w:rPr>
          <w:sz w:val="23"/>
        </w:rPr>
      </w:pPr>
    </w:p>
    <w:p>
      <w:pPr>
        <w:pStyle w:val="19"/>
        <w:numPr>
          <w:ilvl w:val="2"/>
          <w:numId w:val="42"/>
        </w:numPr>
        <w:tabs>
          <w:tab w:val="left" w:pos="2265"/>
        </w:tabs>
        <w:spacing w:before="0" w:after="0" w:line="240" w:lineRule="auto"/>
        <w:ind w:left="2264" w:right="0" w:hanging="725"/>
        <w:jc w:val="left"/>
        <w:rPr>
          <w:b/>
          <w:sz w:val="24"/>
        </w:rPr>
      </w:pPr>
      <w:r>
        <w:rPr>
          <w:b/>
          <w:sz w:val="24"/>
        </w:rPr>
        <w:t>预警支持系统</w:t>
      </w:r>
    </w:p>
    <w:p>
      <w:pPr>
        <w:pStyle w:val="19"/>
        <w:numPr>
          <w:ilvl w:val="3"/>
          <w:numId w:val="42"/>
        </w:numPr>
        <w:tabs>
          <w:tab w:val="left" w:pos="2463"/>
        </w:tabs>
        <w:spacing w:before="165" w:after="0" w:line="494" w:lineRule="auto"/>
        <w:ind w:left="1540" w:right="1721" w:firstLine="561"/>
        <w:jc w:val="left"/>
        <w:rPr>
          <w:sz w:val="24"/>
        </w:rPr>
      </w:pPr>
      <w:r>
        <w:rPr>
          <w:spacing w:val="-7"/>
          <w:sz w:val="24"/>
        </w:rPr>
        <w:t>建立环境安全预警系统。建立突发事故预警系统、区域环境安全评价科</w:t>
      </w:r>
      <w:r>
        <w:rPr>
          <w:sz w:val="24"/>
        </w:rPr>
        <w:t>学预警系统。</w:t>
      </w:r>
    </w:p>
    <w:p>
      <w:pPr>
        <w:pStyle w:val="19"/>
        <w:numPr>
          <w:ilvl w:val="3"/>
          <w:numId w:val="42"/>
        </w:numPr>
        <w:tabs>
          <w:tab w:val="left" w:pos="2463"/>
        </w:tabs>
        <w:spacing w:before="3" w:after="0" w:line="494" w:lineRule="auto"/>
        <w:ind w:left="1540" w:right="1721" w:firstLine="561"/>
        <w:jc w:val="both"/>
        <w:rPr>
          <w:sz w:val="24"/>
        </w:rPr>
      </w:pPr>
      <w:r>
        <w:rPr>
          <w:spacing w:val="-6"/>
          <w:sz w:val="24"/>
        </w:rPr>
        <w:t>建立环境应急资料库。建立突发环境污染事故应急处置数据库系统、生</w:t>
      </w:r>
      <w:r>
        <w:rPr>
          <w:spacing w:val="-9"/>
          <w:sz w:val="24"/>
        </w:rPr>
        <w:t>态安全数据库系统、突发环境污染事故专家决策支持系统、环境恢复周期检测反</w:t>
      </w:r>
      <w:r>
        <w:rPr>
          <w:sz w:val="24"/>
        </w:rPr>
        <w:t>馈评估系统。</w:t>
      </w:r>
    </w:p>
    <w:p>
      <w:pPr>
        <w:pStyle w:val="19"/>
        <w:numPr>
          <w:ilvl w:val="3"/>
          <w:numId w:val="42"/>
        </w:numPr>
        <w:tabs>
          <w:tab w:val="left" w:pos="2463"/>
        </w:tabs>
        <w:spacing w:before="3" w:after="0" w:line="494" w:lineRule="auto"/>
        <w:ind w:left="1540" w:right="1721" w:firstLine="561"/>
        <w:jc w:val="both"/>
        <w:rPr>
          <w:sz w:val="24"/>
        </w:rPr>
      </w:pPr>
      <w:r>
        <w:rPr>
          <w:spacing w:val="-6"/>
          <w:sz w:val="24"/>
        </w:rPr>
        <w:t>建立应急指挥技术平台系统。根据需要，结合实际情况，建立有关类别</w:t>
      </w:r>
      <w:r>
        <w:rPr>
          <w:sz w:val="24"/>
        </w:rPr>
        <w:t>环境 事故专业协调指挥中心及通讯技术保障系统。</w:t>
      </w:r>
    </w:p>
    <w:p>
      <w:pPr>
        <w:spacing w:after="0" w:line="494" w:lineRule="auto"/>
        <w:jc w:val="both"/>
        <w:rPr>
          <w:sz w:val="24"/>
        </w:rPr>
        <w:sectPr>
          <w:footerReference r:id="rId15" w:type="default"/>
          <w:pgSz w:w="11900" w:h="16840"/>
          <w:pgMar w:top="1420" w:right="80" w:bottom="1200" w:left="260" w:header="882" w:footer="1004" w:gutter="0"/>
          <w:pgNumType w:start="60"/>
          <w:cols w:space="720" w:num="1"/>
        </w:sectPr>
      </w:pPr>
    </w:p>
    <w:p>
      <w:pPr>
        <w:pStyle w:val="7"/>
        <w:spacing w:before="5"/>
        <w:rPr>
          <w:sz w:val="8"/>
        </w:rPr>
      </w:pPr>
    </w:p>
    <w:p>
      <w:pPr>
        <w:pStyle w:val="7"/>
        <w:spacing w:before="66"/>
        <w:ind w:left="397" w:right="19"/>
        <w:jc w:val="center"/>
      </w:pPr>
      <w:r>
        <w:t>公司生产安全应急救援指挥机构及其办公室负责突发环境污染事故监测报</w:t>
      </w:r>
    </w:p>
    <w:p>
      <w:pPr>
        <w:pStyle w:val="7"/>
        <w:spacing w:before="4"/>
        <w:rPr>
          <w:sz w:val="20"/>
        </w:rPr>
      </w:pPr>
    </w:p>
    <w:p>
      <w:pPr>
        <w:pStyle w:val="7"/>
        <w:spacing w:before="66"/>
        <w:ind w:left="1540"/>
      </w:pPr>
      <w:r>
        <w:t>告。</w:t>
      </w:r>
    </w:p>
    <w:p>
      <w:pPr>
        <w:pStyle w:val="7"/>
        <w:spacing w:before="6"/>
        <w:rPr>
          <w:sz w:val="20"/>
        </w:rPr>
      </w:pPr>
    </w:p>
    <w:p>
      <w:pPr>
        <w:pStyle w:val="7"/>
        <w:spacing w:before="67" w:line="494" w:lineRule="auto"/>
        <w:ind w:left="1540" w:right="1721" w:firstLine="561"/>
        <w:jc w:val="both"/>
      </w:pPr>
      <w:r>
        <w:t>主要职责：任何单位或当事人发现突发事件发生时，员工有义务立即通过</w:t>
      </w:r>
      <w:r>
        <w:rPr>
          <w:spacing w:val="-6"/>
        </w:rPr>
        <w:t>公司内部电话或手机等报警电话和其他各种途径，迅速向公司生产应急领导小组</w:t>
      </w:r>
      <w:r>
        <w:t>办公室及有关部门报告和反映事故的信息；领导组对突发事故征兆动态进行收</w:t>
      </w:r>
      <w:r>
        <w:rPr>
          <w:spacing w:val="-11"/>
        </w:rPr>
        <w:t>集、汇总和分析，进行实时监测并做出预警。应急预案启动后，指挥中心成员未</w:t>
      </w:r>
      <w:r>
        <w:rPr>
          <w:spacing w:val="-9"/>
        </w:rPr>
        <w:t>经批准不得外出。指挥中心办公室进入紧急状态，密切监视事故发展动态，注意</w:t>
      </w:r>
      <w:r>
        <w:t>异常情况，提出 分析意见，并随时报告事故变化。</w:t>
      </w:r>
    </w:p>
    <w:p>
      <w:pPr>
        <w:pStyle w:val="19"/>
        <w:numPr>
          <w:ilvl w:val="2"/>
          <w:numId w:val="42"/>
        </w:numPr>
        <w:tabs>
          <w:tab w:val="left" w:pos="2265"/>
        </w:tabs>
        <w:spacing w:before="0" w:after="0" w:line="280" w:lineRule="exact"/>
        <w:ind w:left="2264" w:right="0" w:hanging="725"/>
        <w:jc w:val="left"/>
        <w:rPr>
          <w:b/>
          <w:sz w:val="24"/>
        </w:rPr>
      </w:pPr>
      <w:r>
        <w:rPr>
          <w:b/>
          <w:sz w:val="24"/>
        </w:rPr>
        <w:t>预警处置</w:t>
      </w:r>
    </w:p>
    <w:p>
      <w:pPr>
        <w:pStyle w:val="19"/>
        <w:numPr>
          <w:ilvl w:val="3"/>
          <w:numId w:val="44"/>
        </w:numPr>
        <w:tabs>
          <w:tab w:val="left" w:pos="2508"/>
        </w:tabs>
        <w:spacing w:before="131" w:after="0" w:line="240" w:lineRule="auto"/>
        <w:ind w:left="2507" w:right="0" w:hanging="968"/>
        <w:jc w:val="left"/>
        <w:rPr>
          <w:b/>
          <w:sz w:val="24"/>
        </w:rPr>
      </w:pPr>
      <w:r>
        <w:rPr>
          <w:b/>
          <w:sz w:val="24"/>
        </w:rPr>
        <w:t>预警信息发布程序</w:t>
      </w:r>
    </w:p>
    <w:p>
      <w:pPr>
        <w:pStyle w:val="7"/>
        <w:spacing w:before="168" w:line="494" w:lineRule="auto"/>
        <w:ind w:left="2101" w:right="5256"/>
      </w:pPr>
      <w:r>
        <w:t>进入预警状态后，应当采取以下措施： 1</w:t>
      </w:r>
      <w:r>
        <w:rPr>
          <w:spacing w:val="-1"/>
        </w:rPr>
        <w:t>、立即启动相应级别的应急救援预案。</w:t>
      </w:r>
    </w:p>
    <w:p>
      <w:pPr>
        <w:pStyle w:val="7"/>
        <w:ind w:left="2101"/>
      </w:pPr>
      <w:r>
        <w:t>2、发布预警公告。</w:t>
      </w:r>
    </w:p>
    <w:p>
      <w:pPr>
        <w:pStyle w:val="7"/>
        <w:spacing w:before="6"/>
        <w:rPr>
          <w:sz w:val="25"/>
        </w:rPr>
      </w:pPr>
    </w:p>
    <w:p>
      <w:pPr>
        <w:pStyle w:val="7"/>
        <w:ind w:left="2101"/>
      </w:pPr>
      <w:r>
        <w:t>3、指令应急救援人员进入应急状态。</w:t>
      </w:r>
    </w:p>
    <w:p>
      <w:pPr>
        <w:pStyle w:val="7"/>
        <w:spacing w:before="8"/>
        <w:rPr>
          <w:sz w:val="25"/>
        </w:rPr>
      </w:pPr>
    </w:p>
    <w:p>
      <w:pPr>
        <w:pStyle w:val="7"/>
        <w:ind w:left="2101"/>
      </w:pPr>
      <w:r>
        <w:t>4、转移、撤离或者疏散可能受到危害的人员，并进行妥善安置。</w:t>
      </w:r>
    </w:p>
    <w:p>
      <w:pPr>
        <w:pStyle w:val="7"/>
        <w:spacing w:before="6"/>
        <w:rPr>
          <w:sz w:val="25"/>
        </w:rPr>
      </w:pPr>
    </w:p>
    <w:p>
      <w:pPr>
        <w:pStyle w:val="7"/>
        <w:spacing w:line="496" w:lineRule="auto"/>
        <w:ind w:left="1540" w:right="1721" w:firstLine="561"/>
      </w:pPr>
      <w:r>
        <w:t>5</w:t>
      </w:r>
      <w:r>
        <w:rPr>
          <w:spacing w:val="-8"/>
        </w:rPr>
        <w:t>、针对重大事故可能造成的危害，封闭、隔离或者限制使用有关场所，中</w:t>
      </w:r>
      <w:r>
        <w:t>止可能导致危害扩大的行为和活动。</w:t>
      </w:r>
    </w:p>
    <w:p>
      <w:pPr>
        <w:pStyle w:val="7"/>
        <w:spacing w:line="496" w:lineRule="auto"/>
        <w:ind w:left="1540" w:right="1601" w:firstLine="561"/>
      </w:pPr>
      <w:r>
        <w:t>6</w:t>
      </w:r>
      <w:r>
        <w:rPr>
          <w:spacing w:val="-16"/>
        </w:rPr>
        <w:t>、调集应急所需物资和设备，确保应急物资充分有效和其他保障工作畅通。</w:t>
      </w:r>
      <w:r>
        <w:t>预警信息发布程序为：</w:t>
      </w:r>
    </w:p>
    <w:p>
      <w:pPr>
        <w:pStyle w:val="19"/>
        <w:numPr>
          <w:ilvl w:val="4"/>
          <w:numId w:val="44"/>
        </w:numPr>
        <w:tabs>
          <w:tab w:val="left" w:pos="2463"/>
        </w:tabs>
        <w:spacing w:before="0" w:after="0" w:line="494" w:lineRule="auto"/>
        <w:ind w:left="1540" w:right="1656" w:firstLine="561"/>
        <w:jc w:val="left"/>
        <w:rPr>
          <w:sz w:val="24"/>
        </w:rPr>
      </w:pPr>
      <w:r>
        <w:rPr>
          <w:spacing w:val="-1"/>
          <w:sz w:val="24"/>
        </w:rPr>
        <w:t xml:space="preserve">对橙色以下预警信息，事故所在单位立即报告本单位负责人和安环部， </w:t>
      </w:r>
      <w:r>
        <w:rPr>
          <w:sz w:val="24"/>
        </w:rPr>
        <w:t>并启动相应应急预案进行处置。</w:t>
      </w:r>
    </w:p>
    <w:p>
      <w:pPr>
        <w:spacing w:after="0" w:line="494" w:lineRule="auto"/>
        <w:jc w:val="left"/>
        <w:rPr>
          <w:sz w:val="24"/>
        </w:rPr>
        <w:sectPr>
          <w:pgSz w:w="11900" w:h="16840"/>
          <w:pgMar w:top="1420" w:right="80" w:bottom="1200" w:left="260" w:header="882" w:footer="1004" w:gutter="0"/>
          <w:cols w:space="720" w:num="1"/>
        </w:sectPr>
      </w:pPr>
    </w:p>
    <w:p>
      <w:pPr>
        <w:pStyle w:val="7"/>
        <w:spacing w:before="5"/>
        <w:rPr>
          <w:sz w:val="8"/>
        </w:rPr>
      </w:pPr>
    </w:p>
    <w:p>
      <w:pPr>
        <w:pStyle w:val="19"/>
        <w:numPr>
          <w:ilvl w:val="4"/>
          <w:numId w:val="44"/>
        </w:numPr>
        <w:tabs>
          <w:tab w:val="left" w:pos="2463"/>
        </w:tabs>
        <w:spacing w:before="66" w:after="0" w:line="494" w:lineRule="auto"/>
        <w:ind w:left="1540" w:right="1721" w:firstLine="561"/>
        <w:jc w:val="left"/>
        <w:rPr>
          <w:sz w:val="24"/>
        </w:rPr>
      </w:pPr>
      <w:r>
        <w:rPr>
          <w:spacing w:val="-9"/>
          <w:sz w:val="24"/>
        </w:rPr>
        <w:t>对红色预警信息，事故所在部门负责人立即报告公司应急指挥中心和安</w:t>
      </w:r>
      <w:r>
        <w:rPr>
          <w:sz w:val="24"/>
        </w:rPr>
        <w:t>环部，经应急救援领导小组同意后启动公司应急预案进行先期处置。</w:t>
      </w:r>
    </w:p>
    <w:p>
      <w:pPr>
        <w:pStyle w:val="19"/>
        <w:numPr>
          <w:ilvl w:val="4"/>
          <w:numId w:val="44"/>
        </w:numPr>
        <w:tabs>
          <w:tab w:val="left" w:pos="2463"/>
        </w:tabs>
        <w:spacing w:before="3" w:after="0" w:line="494" w:lineRule="auto"/>
        <w:ind w:left="1540" w:right="1721" w:firstLine="561"/>
        <w:jc w:val="left"/>
        <w:rPr>
          <w:sz w:val="24"/>
        </w:rPr>
      </w:pPr>
      <w:r>
        <w:rPr>
          <w:spacing w:val="-8"/>
          <w:sz w:val="24"/>
        </w:rPr>
        <w:t>应急小组转移、撤离或者疏散可能受到危害的人员，及时联络公司周边</w:t>
      </w:r>
      <w:r>
        <w:rPr>
          <w:sz w:val="24"/>
        </w:rPr>
        <w:t>厂相关人员。</w:t>
      </w:r>
    </w:p>
    <w:p>
      <w:pPr>
        <w:pStyle w:val="19"/>
        <w:numPr>
          <w:ilvl w:val="4"/>
          <w:numId w:val="44"/>
        </w:numPr>
        <w:tabs>
          <w:tab w:val="left" w:pos="2463"/>
        </w:tabs>
        <w:spacing w:before="0" w:after="0" w:line="496" w:lineRule="auto"/>
        <w:ind w:left="1540" w:right="1721" w:firstLine="561"/>
        <w:jc w:val="left"/>
        <w:rPr>
          <w:sz w:val="24"/>
        </w:rPr>
      </w:pPr>
      <w:r>
        <w:rPr>
          <w:spacing w:val="-5"/>
          <w:sz w:val="24"/>
        </w:rPr>
        <w:t>指挥部指令各环境应急救援队伍进入应急状态，环境监测部门立即开展</w:t>
      </w:r>
      <w:r>
        <w:rPr>
          <w:sz w:val="24"/>
        </w:rPr>
        <w:t>应急监测，随时掌握并报告事态进展情况。</w:t>
      </w:r>
    </w:p>
    <w:p>
      <w:pPr>
        <w:pStyle w:val="19"/>
        <w:numPr>
          <w:ilvl w:val="4"/>
          <w:numId w:val="44"/>
        </w:numPr>
        <w:tabs>
          <w:tab w:val="left" w:pos="2463"/>
        </w:tabs>
        <w:spacing w:before="0" w:after="0" w:line="494" w:lineRule="auto"/>
        <w:ind w:left="1540" w:right="1721" w:firstLine="561"/>
        <w:jc w:val="left"/>
        <w:rPr>
          <w:sz w:val="24"/>
        </w:rPr>
      </w:pPr>
      <w:r>
        <w:rPr>
          <w:spacing w:val="-6"/>
          <w:sz w:val="24"/>
        </w:rPr>
        <w:t>针对突发事件可能造成的危害，封闭、隔离或者限制使用有关场所，终</w:t>
      </w:r>
      <w:r>
        <w:rPr>
          <w:sz w:val="24"/>
        </w:rPr>
        <w:t>止可能导致危害扩大的行为和活动。</w:t>
      </w:r>
    </w:p>
    <w:p>
      <w:pPr>
        <w:pStyle w:val="19"/>
        <w:numPr>
          <w:ilvl w:val="4"/>
          <w:numId w:val="44"/>
        </w:numPr>
        <w:tabs>
          <w:tab w:val="left" w:pos="2463"/>
        </w:tabs>
        <w:spacing w:before="0" w:after="0" w:line="494" w:lineRule="auto"/>
        <w:ind w:left="1540" w:right="1721" w:firstLine="561"/>
        <w:jc w:val="left"/>
        <w:rPr>
          <w:sz w:val="24"/>
        </w:rPr>
      </w:pPr>
      <w:r>
        <w:rPr>
          <w:spacing w:val="-6"/>
          <w:sz w:val="24"/>
        </w:rPr>
        <w:t>紧急调集环境应急所需物资和设备，确保应急物资充分有效和其他保障</w:t>
      </w:r>
      <w:r>
        <w:rPr>
          <w:sz w:val="24"/>
        </w:rPr>
        <w:t>工作畅通。</w:t>
      </w:r>
    </w:p>
    <w:p>
      <w:pPr>
        <w:pStyle w:val="19"/>
        <w:numPr>
          <w:ilvl w:val="3"/>
          <w:numId w:val="44"/>
        </w:numPr>
        <w:tabs>
          <w:tab w:val="left" w:pos="2508"/>
        </w:tabs>
        <w:spacing w:before="0" w:after="0" w:line="277" w:lineRule="exact"/>
        <w:ind w:left="2507" w:right="0" w:hanging="968"/>
        <w:jc w:val="left"/>
        <w:rPr>
          <w:b/>
          <w:sz w:val="24"/>
        </w:rPr>
      </w:pPr>
      <w:r>
        <w:rPr>
          <w:b/>
          <w:sz w:val="24"/>
        </w:rPr>
        <w:t>预警的升级与降级</w:t>
      </w:r>
    </w:p>
    <w:p>
      <w:pPr>
        <w:pStyle w:val="7"/>
        <w:spacing w:before="165" w:line="494" w:lineRule="auto"/>
        <w:ind w:left="1540" w:right="1601" w:firstLine="561"/>
      </w:pPr>
      <w:r>
        <w:rPr>
          <w:spacing w:val="-4"/>
        </w:rPr>
        <w:t>根据可能发生的突发环境事件的控制程度和发展态势，预警级别可以升级、</w:t>
      </w:r>
      <w:r>
        <w:rPr>
          <w:spacing w:val="-9"/>
        </w:rPr>
        <w:t>降级或解除。当危害程度超出已发布预警范围时，则应提高预警级别：当事故得到有效处置，危害程度明显小于已发布预警范围时，则应降低预警级别。</w:t>
      </w:r>
    </w:p>
    <w:p>
      <w:pPr>
        <w:pStyle w:val="19"/>
        <w:numPr>
          <w:ilvl w:val="2"/>
          <w:numId w:val="42"/>
        </w:numPr>
        <w:tabs>
          <w:tab w:val="left" w:pos="2265"/>
        </w:tabs>
        <w:spacing w:before="0" w:after="0" w:line="277" w:lineRule="exact"/>
        <w:ind w:left="2264" w:right="0" w:hanging="725"/>
        <w:jc w:val="left"/>
        <w:rPr>
          <w:b/>
          <w:sz w:val="24"/>
        </w:rPr>
      </w:pPr>
      <w:r>
        <w:rPr>
          <w:b/>
          <w:sz w:val="24"/>
        </w:rPr>
        <w:t>响应措施</w:t>
      </w:r>
    </w:p>
    <w:p>
      <w:pPr>
        <w:pStyle w:val="7"/>
        <w:spacing w:before="165" w:line="494" w:lineRule="auto"/>
        <w:ind w:left="1540" w:right="1601" w:firstLine="561"/>
      </w:pPr>
      <w:r>
        <w:rPr>
          <w:spacing w:val="-9"/>
        </w:rPr>
        <w:t xml:space="preserve">进入预警状态后，根据可能发生或者已经发生的突发环境事件的危害程度， </w:t>
      </w:r>
      <w:r>
        <w:rPr>
          <w:spacing w:val="-8"/>
        </w:rPr>
        <w:t>及时上报给园区管委会、丰城市政府相关部门，公司各部门应当迅速采取以下措施：</w:t>
      </w:r>
    </w:p>
    <w:p>
      <w:pPr>
        <w:pStyle w:val="19"/>
        <w:numPr>
          <w:ilvl w:val="3"/>
          <w:numId w:val="42"/>
        </w:numPr>
        <w:tabs>
          <w:tab w:val="left" w:pos="2463"/>
        </w:tabs>
        <w:spacing w:before="6" w:after="0" w:line="240" w:lineRule="auto"/>
        <w:ind w:left="2462" w:right="0" w:hanging="362"/>
        <w:jc w:val="left"/>
        <w:rPr>
          <w:sz w:val="24"/>
        </w:rPr>
      </w:pPr>
      <w:r>
        <w:rPr>
          <w:sz w:val="24"/>
        </w:rPr>
        <w:t>立即启动相关应急预案；</w:t>
      </w:r>
    </w:p>
    <w:p>
      <w:pPr>
        <w:pStyle w:val="7"/>
        <w:spacing w:before="5"/>
        <w:rPr>
          <w:sz w:val="25"/>
        </w:rPr>
      </w:pPr>
    </w:p>
    <w:p>
      <w:pPr>
        <w:pStyle w:val="19"/>
        <w:numPr>
          <w:ilvl w:val="3"/>
          <w:numId w:val="42"/>
        </w:numPr>
        <w:tabs>
          <w:tab w:val="left" w:pos="2463"/>
        </w:tabs>
        <w:spacing w:before="0" w:after="0" w:line="494" w:lineRule="auto"/>
        <w:ind w:left="1540" w:right="1601" w:firstLine="561"/>
        <w:jc w:val="left"/>
        <w:rPr>
          <w:sz w:val="24"/>
        </w:rPr>
      </w:pPr>
      <w:r>
        <w:rPr>
          <w:spacing w:val="-4"/>
          <w:sz w:val="24"/>
        </w:rPr>
        <w:t>抢险组及应急救援队伍应立即进入应急状态，现场负责人及监测人员根</w:t>
      </w:r>
      <w:r>
        <w:rPr>
          <w:spacing w:val="-17"/>
          <w:sz w:val="24"/>
        </w:rPr>
        <w:t>据事故变化动态和发展，监测结果，及时向指挥部领导报告危险情况及危险程度；</w:t>
      </w:r>
    </w:p>
    <w:p>
      <w:pPr>
        <w:spacing w:after="0" w:line="494" w:lineRule="auto"/>
        <w:jc w:val="left"/>
        <w:rPr>
          <w:sz w:val="24"/>
        </w:rPr>
        <w:sectPr>
          <w:pgSz w:w="11900" w:h="16840"/>
          <w:pgMar w:top="1420" w:right="80" w:bottom="1200" w:left="260" w:header="882" w:footer="1004" w:gutter="0"/>
          <w:cols w:space="720" w:num="1"/>
        </w:sectPr>
      </w:pPr>
    </w:p>
    <w:p>
      <w:pPr>
        <w:pStyle w:val="7"/>
        <w:spacing w:before="5"/>
        <w:rPr>
          <w:sz w:val="8"/>
        </w:rPr>
      </w:pPr>
    </w:p>
    <w:p>
      <w:pPr>
        <w:pStyle w:val="19"/>
        <w:numPr>
          <w:ilvl w:val="3"/>
          <w:numId w:val="42"/>
        </w:numPr>
        <w:tabs>
          <w:tab w:val="left" w:pos="2463"/>
        </w:tabs>
        <w:spacing w:before="66" w:after="0" w:line="494" w:lineRule="auto"/>
        <w:ind w:left="1540" w:right="1721" w:firstLine="561"/>
        <w:jc w:val="left"/>
        <w:rPr>
          <w:sz w:val="24"/>
        </w:rPr>
      </w:pPr>
      <w:r>
        <w:rPr>
          <w:spacing w:val="-9"/>
          <w:sz w:val="24"/>
        </w:rPr>
        <w:t>根据需要，采取措施疏散、撤离或转移者可能受到危害的人员，并进行</w:t>
      </w:r>
      <w:r>
        <w:rPr>
          <w:sz w:val="24"/>
        </w:rPr>
        <w:t>妥善安置；</w:t>
      </w:r>
    </w:p>
    <w:p>
      <w:pPr>
        <w:pStyle w:val="19"/>
        <w:numPr>
          <w:ilvl w:val="3"/>
          <w:numId w:val="42"/>
        </w:numPr>
        <w:tabs>
          <w:tab w:val="left" w:pos="2469"/>
        </w:tabs>
        <w:spacing w:before="3" w:after="0" w:line="494" w:lineRule="auto"/>
        <w:ind w:left="1540" w:right="1723" w:firstLine="561"/>
        <w:jc w:val="left"/>
        <w:rPr>
          <w:sz w:val="24"/>
        </w:rPr>
      </w:pPr>
      <w:r>
        <w:rPr>
          <w:spacing w:val="8"/>
          <w:sz w:val="24"/>
        </w:rPr>
        <w:t>在事故发生一定范围内，根据需要迅速设立危险警示牌(或设置隔离带)，禁止与事故无关人员进入，避免造成不必要的危害；</w:t>
      </w:r>
    </w:p>
    <w:p>
      <w:pPr>
        <w:pStyle w:val="19"/>
        <w:numPr>
          <w:ilvl w:val="3"/>
          <w:numId w:val="42"/>
        </w:numPr>
        <w:tabs>
          <w:tab w:val="left" w:pos="2463"/>
        </w:tabs>
        <w:spacing w:before="0" w:after="0" w:line="240" w:lineRule="auto"/>
        <w:ind w:left="2462" w:right="0" w:hanging="362"/>
        <w:jc w:val="left"/>
        <w:rPr>
          <w:sz w:val="24"/>
        </w:rPr>
      </w:pPr>
      <w:r>
        <w:rPr>
          <w:sz w:val="24"/>
        </w:rPr>
        <w:t>及时调集环境应急所需物资和设备，确保应急物资材料供应保障工作。</w:t>
      </w:r>
    </w:p>
    <w:p>
      <w:pPr>
        <w:pStyle w:val="7"/>
        <w:rPr>
          <w:sz w:val="23"/>
        </w:rPr>
      </w:pPr>
    </w:p>
    <w:p>
      <w:pPr>
        <w:pStyle w:val="19"/>
        <w:numPr>
          <w:ilvl w:val="2"/>
          <w:numId w:val="42"/>
        </w:numPr>
        <w:tabs>
          <w:tab w:val="left" w:pos="2265"/>
        </w:tabs>
        <w:spacing w:before="1" w:after="0" w:line="240" w:lineRule="auto"/>
        <w:ind w:left="2264" w:right="0" w:hanging="725"/>
        <w:jc w:val="left"/>
        <w:rPr>
          <w:b/>
          <w:sz w:val="24"/>
        </w:rPr>
      </w:pPr>
      <w:r>
        <w:rPr>
          <w:b/>
          <w:sz w:val="24"/>
        </w:rPr>
        <w:t>预警解除</w:t>
      </w:r>
    </w:p>
    <w:p>
      <w:pPr>
        <w:pStyle w:val="7"/>
        <w:spacing w:before="165" w:line="494" w:lineRule="auto"/>
        <w:ind w:left="1540" w:right="1619" w:firstLine="561"/>
      </w:pPr>
      <w:r>
        <w:t>事件现场污染隐患得到排除，事件发生条件已经消除，无继发可能。事件现场的各种专业应急排查行动已无继续的必要。采取了必要的抢修及防护措施， 并使事件可能引起的影响趋于合理且尽量低的水平。符合以上情况，预警可以解除。</w:t>
      </w:r>
    </w:p>
    <w:p>
      <w:pPr>
        <w:jc w:val="center"/>
        <w:rPr>
          <w:rFonts w:hint="default"/>
          <w:lang w:val="en-US" w:eastAsia="zh-CN"/>
        </w:rPr>
      </w:pPr>
      <w:r>
        <w:rPr>
          <w:b/>
          <w:bCs/>
          <w:color w:val="000000" w:themeColor="text1"/>
          <w:kern w:val="0"/>
          <w:szCs w:val="32"/>
          <w:lang w:val="zh-CN"/>
          <w14:textFill>
            <w14:solidFill>
              <w14:schemeClr w14:val="tx1"/>
            </w14:solidFill>
          </w14:textFill>
        </w:rPr>
        <w:object>
          <v:shape id="_x0000_i1028" o:spt="75" type="#_x0000_t75" style="height:148.75pt;width:438.55pt;" o:ole="t" filled="f" o:preferrelative="t" stroked="f" coordsize="21600,21600">
            <v:path/>
            <v:fill on="f" focussize="0,0"/>
            <v:stroke on="f"/>
            <v:imagedata r:id="rId40" o:title=""/>
            <o:lock v:ext="edit" aspectratio="t"/>
            <w10:wrap type="none"/>
            <w10:anchorlock/>
          </v:shape>
          <o:OLEObject Type="Embed" ProgID="Visio.Drawing.11" ShapeID="_x0000_i1028" DrawAspect="Content" ObjectID="_1468075725" r:id="rId39">
            <o:LockedField>false</o:LockedField>
          </o:OLEObject>
        </w:object>
      </w:r>
    </w:p>
    <w:p>
      <w:pPr>
        <w:pStyle w:val="2"/>
        <w:ind w:firstLine="960" w:firstLineChars="400"/>
        <w:jc w:val="center"/>
      </w:pPr>
      <w:r>
        <w:rPr>
          <w:rFonts w:hint="eastAsia"/>
          <w:color w:val="FF0000"/>
          <w:lang w:val="en-US" w:eastAsia="zh-CN"/>
        </w:rPr>
        <w:t>图5.1企业应急预警发布程序图</w:t>
      </w:r>
    </w:p>
    <w:p>
      <w:pPr>
        <w:pStyle w:val="19"/>
        <w:numPr>
          <w:ilvl w:val="1"/>
          <w:numId w:val="42"/>
        </w:numPr>
        <w:tabs>
          <w:tab w:val="left" w:pos="2104"/>
        </w:tabs>
        <w:spacing w:before="0" w:after="0" w:line="279" w:lineRule="exact"/>
        <w:ind w:left="2104" w:right="0" w:hanging="564"/>
        <w:jc w:val="left"/>
        <w:rPr>
          <w:b/>
          <w:sz w:val="28"/>
        </w:rPr>
      </w:pPr>
      <w:bookmarkStart w:id="112" w:name="_bookmark25"/>
      <w:bookmarkEnd w:id="112"/>
      <w:bookmarkStart w:id="113" w:name="_bookmark25"/>
      <w:bookmarkEnd w:id="113"/>
      <w:bookmarkStart w:id="114" w:name="5.3 信息报告"/>
      <w:bookmarkEnd w:id="114"/>
      <w:r>
        <w:rPr>
          <w:b/>
          <w:sz w:val="28"/>
        </w:rPr>
        <w:t>信息报告</w:t>
      </w:r>
    </w:p>
    <w:p>
      <w:pPr>
        <w:pStyle w:val="19"/>
        <w:numPr>
          <w:ilvl w:val="2"/>
          <w:numId w:val="42"/>
        </w:numPr>
        <w:tabs>
          <w:tab w:val="left" w:pos="2265"/>
        </w:tabs>
        <w:spacing w:before="132" w:after="0" w:line="240" w:lineRule="auto"/>
        <w:ind w:left="2264" w:right="0" w:hanging="725"/>
        <w:jc w:val="left"/>
        <w:rPr>
          <w:b/>
          <w:sz w:val="24"/>
        </w:rPr>
      </w:pPr>
      <w:r>
        <w:rPr>
          <w:b/>
          <w:sz w:val="24"/>
        </w:rPr>
        <w:t>内部信息接收与通报</w:t>
      </w:r>
    </w:p>
    <w:p>
      <w:pPr>
        <w:pStyle w:val="7"/>
        <w:spacing w:before="166" w:line="494" w:lineRule="auto"/>
        <w:ind w:left="1540" w:right="1721" w:firstLine="561"/>
        <w:jc w:val="both"/>
      </w:pPr>
      <w:r>
        <w:t>所有人员在发现突发环境事件后，应立即报告本单位负责人，或直接报给</w:t>
      </w:r>
      <w:r>
        <w:rPr>
          <w:spacing w:val="-8"/>
        </w:rPr>
        <w:t>公司应急指挥中心，并立即组织进行现场调查，核实突发环境事件等级，初步判</w:t>
      </w:r>
      <w:r>
        <w:t>断响应级别。</w:t>
      </w:r>
    </w:p>
    <w:p>
      <w:pPr>
        <w:pStyle w:val="19"/>
        <w:numPr>
          <w:ilvl w:val="3"/>
          <w:numId w:val="42"/>
        </w:numPr>
        <w:tabs>
          <w:tab w:val="left" w:pos="2463"/>
        </w:tabs>
        <w:spacing w:before="2" w:after="0" w:line="240" w:lineRule="auto"/>
        <w:ind w:left="2462" w:right="0" w:hanging="362"/>
        <w:jc w:val="left"/>
        <w:rPr>
          <w:sz w:val="24"/>
        </w:rPr>
      </w:pPr>
      <w:r>
        <w:rPr>
          <w:sz w:val="24"/>
        </w:rPr>
        <w:t>报告程序</w:t>
      </w:r>
    </w:p>
    <w:p>
      <w:pPr>
        <w:pStyle w:val="7"/>
        <w:spacing w:before="8"/>
        <w:rPr>
          <w:sz w:val="25"/>
        </w:rPr>
      </w:pPr>
    </w:p>
    <w:p>
      <w:pPr>
        <w:pStyle w:val="7"/>
        <w:spacing w:before="1" w:line="494" w:lineRule="auto"/>
        <w:ind w:left="1540" w:right="1601" w:firstLine="561"/>
      </w:pPr>
      <w:r>
        <w:rPr>
          <w:spacing w:val="-8"/>
        </w:rPr>
        <w:t>事故发生后，现场作业人员立即向值班长或当班负责人报告，并逐级汇报。</w:t>
      </w:r>
      <w:r>
        <w:rPr>
          <w:spacing w:val="-1"/>
        </w:rPr>
        <w:t>即： 现场人员—班组长—单位负责人—安环部—副总经理—总经理。紧急情况下可以越级汇报，但应及时补报。</w:t>
      </w:r>
    </w:p>
    <w:p>
      <w:pPr>
        <w:pStyle w:val="19"/>
        <w:numPr>
          <w:ilvl w:val="3"/>
          <w:numId w:val="42"/>
        </w:numPr>
        <w:tabs>
          <w:tab w:val="left" w:pos="2463"/>
        </w:tabs>
        <w:spacing w:before="3" w:after="0" w:line="494" w:lineRule="auto"/>
        <w:ind w:left="1540" w:right="1601" w:firstLine="561"/>
        <w:jc w:val="both"/>
        <w:rPr>
          <w:sz w:val="24"/>
        </w:rPr>
      </w:pPr>
      <w:r>
        <w:rPr>
          <w:spacing w:val="-4"/>
          <w:sz w:val="24"/>
        </w:rPr>
        <w:t>公司应急指挥中心设置在生产调度室，设置了预警和事故报告接警专用</w:t>
      </w:r>
      <w:r>
        <w:rPr>
          <w:spacing w:val="-9"/>
          <w:sz w:val="24"/>
        </w:rPr>
        <w:t>电话；由公司生产调度负责事故信息的接收，实行</w:t>
      </w:r>
      <w:r>
        <w:rPr>
          <w:sz w:val="24"/>
        </w:rPr>
        <w:t>24</w:t>
      </w:r>
      <w:r>
        <w:rPr>
          <w:spacing w:val="-6"/>
          <w:sz w:val="24"/>
        </w:rPr>
        <w:t>小时值班。应急联络员接警</w:t>
      </w:r>
      <w:r>
        <w:rPr>
          <w:spacing w:val="-18"/>
          <w:sz w:val="24"/>
        </w:rPr>
        <w:t>后，立即将警情报告应急领导小组、应急办公室、及相关单位(部门)负责人报告。</w:t>
      </w:r>
    </w:p>
    <w:p>
      <w:pPr>
        <w:pStyle w:val="19"/>
        <w:numPr>
          <w:ilvl w:val="2"/>
          <w:numId w:val="42"/>
        </w:numPr>
        <w:tabs>
          <w:tab w:val="left" w:pos="2265"/>
        </w:tabs>
        <w:spacing w:before="0" w:after="0" w:line="277" w:lineRule="exact"/>
        <w:ind w:left="2264" w:right="0" w:hanging="725"/>
        <w:jc w:val="left"/>
        <w:rPr>
          <w:b/>
          <w:sz w:val="24"/>
        </w:rPr>
      </w:pPr>
      <w:r>
        <w:rPr>
          <w:b/>
          <w:sz w:val="24"/>
        </w:rPr>
        <w:t>信息上报</w:t>
      </w:r>
    </w:p>
    <w:p>
      <w:pPr>
        <w:pStyle w:val="19"/>
        <w:numPr>
          <w:ilvl w:val="3"/>
          <w:numId w:val="45"/>
        </w:numPr>
        <w:tabs>
          <w:tab w:val="left" w:pos="2508"/>
        </w:tabs>
        <w:spacing w:before="140" w:after="0" w:line="240" w:lineRule="auto"/>
        <w:ind w:left="2507" w:right="0" w:hanging="968"/>
        <w:jc w:val="left"/>
        <w:rPr>
          <w:b/>
          <w:sz w:val="24"/>
        </w:rPr>
      </w:pPr>
      <w:r>
        <w:rPr>
          <w:b/>
          <w:sz w:val="24"/>
        </w:rPr>
        <w:t>报告时限和程序</w:t>
      </w:r>
    </w:p>
    <w:p>
      <w:pPr>
        <w:pStyle w:val="7"/>
        <w:spacing w:before="166" w:line="494" w:lineRule="auto"/>
        <w:ind w:left="1540" w:right="1723" w:firstLine="561"/>
      </w:pPr>
      <w:r>
        <w:t>公司发现突发环境事件后，应启动I级以上应急响应级别的，应在1小时内向</w:t>
      </w:r>
      <w:r>
        <w:rPr>
          <w:rFonts w:hint="eastAsia"/>
          <w:lang w:eastAsia="zh-CN"/>
        </w:rPr>
        <w:t>丰城市政府</w:t>
      </w:r>
      <w:r>
        <w:t>、</w:t>
      </w:r>
      <w:r>
        <w:rPr>
          <w:rFonts w:hint="eastAsia"/>
          <w:lang w:eastAsia="zh-CN"/>
        </w:rPr>
        <w:t>生态环境局</w:t>
      </w:r>
      <w:r>
        <w:t>报告。</w:t>
      </w:r>
    </w:p>
    <w:p>
      <w:pPr>
        <w:pStyle w:val="7"/>
        <w:spacing w:before="166" w:line="494" w:lineRule="auto"/>
        <w:ind w:left="1540" w:right="1723" w:firstLine="561"/>
        <w:jc w:val="both"/>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5613400" cy="4895850"/>
            <wp:effectExtent l="0" t="0" r="6350" b="0"/>
            <wp:docPr id="1170" name="图片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图片 1170"/>
                    <pic:cNvPicPr>
                      <a:picLocks noChangeAspect="1"/>
                    </pic:cNvPicPr>
                  </pic:nvPicPr>
                  <pic:blipFill>
                    <a:blip r:embed="rId41"/>
                    <a:stretch>
                      <a:fillRect/>
                    </a:stretch>
                  </pic:blipFill>
                  <pic:spPr>
                    <a:xfrm>
                      <a:off x="0" y="0"/>
                      <a:ext cx="5613400" cy="4895850"/>
                    </a:xfrm>
                    <a:prstGeom prst="rect">
                      <a:avLst/>
                    </a:prstGeom>
                  </pic:spPr>
                </pic:pic>
              </a:graphicData>
            </a:graphic>
          </wp:inline>
        </w:drawing>
      </w:r>
    </w:p>
    <w:p>
      <w:pPr>
        <w:pStyle w:val="8"/>
        <w:jc w:val="center"/>
        <w:rPr>
          <w:color w:val="FF0000"/>
        </w:rPr>
      </w:pPr>
      <w:r>
        <w:rPr>
          <w:rFonts w:hint="eastAsia" w:asciiTheme="minorEastAsia" w:hAnsiTheme="minorEastAsia" w:eastAsiaTheme="minorEastAsia" w:cstheme="minorEastAsia"/>
          <w:color w:val="FF0000"/>
          <w:sz w:val="24"/>
          <w:szCs w:val="24"/>
          <w:lang w:val="en-US" w:eastAsia="zh-CN"/>
        </w:rPr>
        <w:t xml:space="preserve">图5.2 </w:t>
      </w:r>
      <w:r>
        <w:rPr>
          <w:rFonts w:hint="eastAsia" w:asciiTheme="minorEastAsia" w:hAnsiTheme="minorEastAsia" w:eastAsiaTheme="minorEastAsia" w:cstheme="minorEastAsia"/>
          <w:color w:val="FF0000"/>
          <w:sz w:val="24"/>
          <w:szCs w:val="24"/>
        </w:rPr>
        <w:t>突发环境事件上报时限和程序</w:t>
      </w:r>
    </w:p>
    <w:p>
      <w:pPr>
        <w:pStyle w:val="19"/>
        <w:numPr>
          <w:ilvl w:val="3"/>
          <w:numId w:val="45"/>
        </w:numPr>
        <w:tabs>
          <w:tab w:val="left" w:pos="2508"/>
        </w:tabs>
        <w:spacing w:before="0" w:after="0" w:line="277" w:lineRule="exact"/>
        <w:ind w:left="2507" w:right="0" w:hanging="968"/>
        <w:jc w:val="left"/>
        <w:rPr>
          <w:b/>
          <w:sz w:val="24"/>
        </w:rPr>
      </w:pPr>
      <w:r>
        <w:rPr>
          <w:b/>
          <w:sz w:val="24"/>
        </w:rPr>
        <w:t>报告方式与类型</w:t>
      </w:r>
    </w:p>
    <w:p>
      <w:pPr>
        <w:pStyle w:val="7"/>
        <w:spacing w:before="165" w:line="494" w:lineRule="auto"/>
        <w:ind w:left="1540" w:right="1601" w:firstLine="561"/>
      </w:pPr>
      <w:r>
        <w:rPr>
          <w:spacing w:val="-5"/>
        </w:rPr>
        <w:t>突发环境事件的报告分为初报、续报和处理结果报告三类。</w:t>
      </w:r>
      <w:r>
        <w:t>(1)初报初报在</w:t>
      </w:r>
      <w:r>
        <w:rPr>
          <w:spacing w:val="-13"/>
        </w:rPr>
        <w:t xml:space="preserve">发现和得知突发环境事件后上报。初报可用电话或传真直接报告，主要内容包括： </w:t>
      </w:r>
      <w:r>
        <w:t>突发环境事件的类型、发生时间、发生地点、初步原因、主要污染物质和数量、污染周边环境情况、人员受害情况、事故潜在危害程度等初步情况。</w:t>
      </w:r>
    </w:p>
    <w:p>
      <w:pPr>
        <w:pStyle w:val="19"/>
        <w:numPr>
          <w:ilvl w:val="0"/>
          <w:numId w:val="46"/>
        </w:numPr>
        <w:tabs>
          <w:tab w:val="left" w:pos="2463"/>
        </w:tabs>
        <w:spacing w:before="5" w:after="0" w:line="240" w:lineRule="auto"/>
        <w:ind w:left="2462" w:right="0" w:hanging="362"/>
        <w:jc w:val="left"/>
        <w:rPr>
          <w:sz w:val="24"/>
        </w:rPr>
      </w:pPr>
      <w:r>
        <w:rPr>
          <w:sz w:val="24"/>
        </w:rPr>
        <w:t>续报</w:t>
      </w:r>
    </w:p>
    <w:p>
      <w:pPr>
        <w:pStyle w:val="7"/>
        <w:spacing w:before="6"/>
        <w:rPr>
          <w:sz w:val="25"/>
        </w:rPr>
      </w:pPr>
    </w:p>
    <w:p>
      <w:pPr>
        <w:pStyle w:val="7"/>
        <w:spacing w:line="494" w:lineRule="auto"/>
        <w:ind w:left="1540" w:right="1601" w:firstLine="561"/>
      </w:pPr>
      <w:r>
        <w:rPr>
          <w:spacing w:val="-5"/>
        </w:rPr>
        <w:t xml:space="preserve">续报在查清有关基本情况后随时上报。续报可通过网络、电话或书面报告， </w:t>
      </w:r>
      <w:r>
        <w:rPr>
          <w:spacing w:val="-6"/>
        </w:rPr>
        <w:t>视突发环境事件进展情况可一次或多次报告。在初报的基础上报告突发环境事件</w:t>
      </w:r>
      <w:r>
        <w:rPr>
          <w:spacing w:val="-13"/>
        </w:rPr>
        <w:t>有关确切数据、发生的原因、过程、进展情况、危害程度及采取的应急措施、措施效果等基本情况。</w:t>
      </w:r>
    </w:p>
    <w:p>
      <w:pPr>
        <w:pStyle w:val="19"/>
        <w:numPr>
          <w:ilvl w:val="0"/>
          <w:numId w:val="46"/>
        </w:numPr>
        <w:tabs>
          <w:tab w:val="left" w:pos="2463"/>
        </w:tabs>
        <w:spacing w:before="3" w:after="0" w:line="240" w:lineRule="auto"/>
        <w:ind w:left="2462" w:right="0" w:hanging="362"/>
        <w:jc w:val="left"/>
        <w:rPr>
          <w:sz w:val="24"/>
        </w:rPr>
      </w:pPr>
      <w:r>
        <w:rPr>
          <w:sz w:val="24"/>
        </w:rPr>
        <w:t>处理结果报告</w:t>
      </w:r>
    </w:p>
    <w:p>
      <w:pPr>
        <w:pStyle w:val="7"/>
        <w:spacing w:before="8"/>
        <w:rPr>
          <w:sz w:val="25"/>
        </w:rPr>
      </w:pPr>
    </w:p>
    <w:p>
      <w:pPr>
        <w:pStyle w:val="7"/>
        <w:spacing w:line="494" w:lineRule="auto"/>
        <w:ind w:left="1540" w:right="1721" w:firstLine="561"/>
        <w:jc w:val="both"/>
      </w:pPr>
      <w:r>
        <w:t>处理结果报告在突发环境事件处理完毕后上报。处理结果报告采用书面报</w:t>
      </w:r>
      <w:r>
        <w:rPr>
          <w:spacing w:val="-10"/>
        </w:rPr>
        <w:t>告，处理结果报告在初报和续报的基础上，报告处理突发环境事件的措施、过程和结果，事件潜在或间接的危害及损失、社会影响、处理后的遗留问题、参加处</w:t>
      </w:r>
      <w:r>
        <w:rPr>
          <w:spacing w:val="-7"/>
        </w:rPr>
        <w:t>理工作的有关部门和工作内容，出具有关危害与损失的证明文件、责任追究等详</w:t>
      </w:r>
      <w:r>
        <w:t>细情况。处理结果报告应当在突发环境事件处理完毕后立即报送。</w:t>
      </w:r>
    </w:p>
    <w:p>
      <w:pPr>
        <w:pStyle w:val="19"/>
        <w:numPr>
          <w:ilvl w:val="2"/>
          <w:numId w:val="42"/>
        </w:numPr>
        <w:tabs>
          <w:tab w:val="left" w:pos="2265"/>
        </w:tabs>
        <w:spacing w:before="0" w:after="0" w:line="279" w:lineRule="exact"/>
        <w:ind w:left="2264" w:right="0" w:hanging="725"/>
        <w:jc w:val="left"/>
        <w:rPr>
          <w:b/>
          <w:sz w:val="24"/>
        </w:rPr>
      </w:pPr>
      <w:r>
        <w:rPr>
          <w:b/>
          <w:sz w:val="24"/>
        </w:rPr>
        <w:t>信息传递</w:t>
      </w:r>
    </w:p>
    <w:p>
      <w:pPr>
        <w:pStyle w:val="7"/>
        <w:spacing w:line="494" w:lineRule="auto"/>
        <w:ind w:left="1540" w:right="1721" w:firstLine="561"/>
        <w:jc w:val="both"/>
        <w:rPr>
          <w:rFonts w:ascii="宋体" w:hAnsi="宋体" w:eastAsia="宋体" w:cs="宋体"/>
          <w:spacing w:val="-7"/>
        </w:rPr>
      </w:pPr>
      <w:r>
        <w:rPr>
          <w:rFonts w:hint="eastAsia" w:ascii="宋体" w:hAnsi="宋体" w:eastAsia="宋体" w:cs="宋体"/>
          <w:spacing w:val="-7"/>
          <w:lang w:val="en-US" w:eastAsia="zh-CN"/>
        </w:rPr>
        <w:t>(1)</w:t>
      </w:r>
      <w:r>
        <w:rPr>
          <w:rFonts w:ascii="宋体" w:hAnsi="宋体" w:eastAsia="宋体" w:cs="宋体"/>
          <w:spacing w:val="-7"/>
        </w:rPr>
        <w:t>突发环境事件影响或者可能影响周边居民和单位时，由公司办公室负责通知相关村民小组或企事业单位。</w:t>
      </w:r>
    </w:p>
    <w:p>
      <w:pPr>
        <w:pStyle w:val="7"/>
        <w:spacing w:line="494" w:lineRule="auto"/>
        <w:ind w:left="1540" w:right="1721" w:firstLine="561"/>
        <w:jc w:val="both"/>
        <w:rPr>
          <w:sz w:val="24"/>
        </w:rPr>
      </w:pPr>
      <w:r>
        <w:rPr>
          <w:rFonts w:hint="eastAsia" w:ascii="宋体" w:hAnsi="宋体" w:eastAsia="宋体" w:cs="宋体"/>
          <w:spacing w:val="-7"/>
          <w:lang w:val="en-US" w:eastAsia="zh-CN"/>
        </w:rPr>
        <w:t>(2)</w:t>
      </w:r>
      <w:r>
        <w:rPr>
          <w:rFonts w:ascii="宋体" w:hAnsi="宋体" w:eastAsia="宋体" w:cs="宋体"/>
          <w:spacing w:val="-7"/>
        </w:rPr>
        <w:t>若突发环境事件等级超出I级(公司级)，或需要外部单位支援的，报请现场应急总指挥同意后，由办公室负责人联系相关单位参与救援。</w:t>
      </w:r>
    </w:p>
    <w:p>
      <w:pPr>
        <w:pStyle w:val="19"/>
        <w:numPr>
          <w:ilvl w:val="2"/>
          <w:numId w:val="42"/>
        </w:numPr>
        <w:tabs>
          <w:tab w:val="left" w:pos="2265"/>
        </w:tabs>
        <w:spacing w:before="0" w:after="0" w:line="277" w:lineRule="exact"/>
        <w:ind w:left="2264" w:right="0" w:hanging="725"/>
        <w:jc w:val="left"/>
        <w:rPr>
          <w:b/>
          <w:sz w:val="24"/>
        </w:rPr>
      </w:pPr>
      <w:r>
        <w:rPr>
          <w:b/>
          <w:sz w:val="24"/>
        </w:rPr>
        <w:t>信息监测</w:t>
      </w:r>
    </w:p>
    <w:p>
      <w:pPr>
        <w:pStyle w:val="7"/>
        <w:spacing w:before="166"/>
        <w:ind w:left="2101"/>
      </w:pPr>
      <w:r>
        <w:t>联系当地通讯部门，做好信息监测工作，保障信息传递。</w:t>
      </w:r>
    </w:p>
    <w:p>
      <w:pPr>
        <w:pStyle w:val="7"/>
        <w:spacing w:before="12"/>
        <w:rPr>
          <w:sz w:val="18"/>
        </w:rPr>
      </w:pPr>
    </w:p>
    <w:p>
      <w:pPr>
        <w:pStyle w:val="19"/>
        <w:numPr>
          <w:ilvl w:val="1"/>
          <w:numId w:val="42"/>
        </w:numPr>
        <w:tabs>
          <w:tab w:val="left" w:pos="2104"/>
        </w:tabs>
        <w:spacing w:before="0" w:after="0" w:line="240" w:lineRule="auto"/>
        <w:ind w:left="2104" w:right="0" w:hanging="564"/>
        <w:jc w:val="left"/>
        <w:rPr>
          <w:b/>
          <w:color w:val="0000FF"/>
          <w:sz w:val="28"/>
        </w:rPr>
      </w:pPr>
      <w:bookmarkStart w:id="115" w:name="5.4 环境风险源监测"/>
      <w:bookmarkEnd w:id="115"/>
      <w:bookmarkStart w:id="116" w:name="_bookmark26"/>
      <w:bookmarkEnd w:id="116"/>
      <w:bookmarkStart w:id="117" w:name="_bookmark26"/>
      <w:bookmarkEnd w:id="117"/>
      <w:r>
        <w:rPr>
          <w:b/>
          <w:color w:val="0000FF"/>
          <w:sz w:val="28"/>
        </w:rPr>
        <w:t>环境风险源监测</w:t>
      </w:r>
    </w:p>
    <w:p>
      <w:pPr>
        <w:pStyle w:val="7"/>
        <w:spacing w:before="164" w:line="494" w:lineRule="auto"/>
        <w:ind w:left="1540" w:right="1601" w:firstLine="600"/>
      </w:pPr>
      <w:r>
        <w:rPr>
          <w:color w:val="0000FF"/>
        </w:rPr>
        <w:t>企业加强针对有机废气、废水污染因子等监测，加强有毒气体、可燃气体</w:t>
      </w:r>
      <w:r>
        <w:rPr>
          <w:color w:val="0000FF"/>
          <w:spacing w:val="-10"/>
        </w:rPr>
        <w:t>报警设备的维护、消防及火灾报警系统的维护，及时发现环境风险源因子超标排</w:t>
      </w:r>
      <w:r>
        <w:rPr>
          <w:color w:val="0000FF"/>
          <w:spacing w:val="-12"/>
        </w:rPr>
        <w:t>放浓度，同时同</w:t>
      </w:r>
      <w:r>
        <w:rPr>
          <w:rFonts w:hint="eastAsia"/>
          <w:color w:val="0000FF"/>
          <w:spacing w:val="-12"/>
          <w:lang w:eastAsia="zh-CN"/>
        </w:rPr>
        <w:t>丰城生态环境局</w:t>
      </w:r>
      <w:r>
        <w:rPr>
          <w:color w:val="0000FF"/>
          <w:spacing w:val="-12"/>
        </w:rPr>
        <w:t>进行联网，形成二级监控机制。并委托第三方环境</w:t>
      </w:r>
      <w:r>
        <w:rPr>
          <w:color w:val="0000FF"/>
          <w:spacing w:val="-17"/>
        </w:rPr>
        <w:t>检测单位对项目所在地及周边地下水、地表水进行监测，发现问题后应立即启动</w:t>
      </w:r>
      <w:r>
        <w:rPr>
          <w:color w:val="0000FF"/>
          <w:spacing w:val="-10"/>
        </w:rPr>
        <w:t xml:space="preserve">应急预案，防止物料及污水渗漏造成地下水污染，监控因子为 </w:t>
      </w:r>
      <w:r>
        <w:rPr>
          <w:color w:val="0000FF"/>
        </w:rPr>
        <w:t>pH</w:t>
      </w:r>
      <w:r>
        <w:rPr>
          <w:color w:val="0000FF"/>
          <w:spacing w:val="-12"/>
        </w:rPr>
        <w:t>、</w:t>
      </w:r>
      <w:r>
        <w:rPr>
          <w:color w:val="0000FF"/>
        </w:rPr>
        <w:t>COD</w:t>
      </w:r>
      <w:r>
        <w:rPr>
          <w:color w:val="0000FF"/>
          <w:spacing w:val="-10"/>
        </w:rPr>
        <w:t>、</w:t>
      </w:r>
      <w:r>
        <w:rPr>
          <w:color w:val="0000FF"/>
        </w:rPr>
        <w:t>NH</w:t>
      </w:r>
      <w:r>
        <w:rPr>
          <w:color w:val="0000FF"/>
          <w:position w:val="-2"/>
          <w:sz w:val="12"/>
        </w:rPr>
        <w:t>3</w:t>
      </w:r>
      <w:r>
        <w:rPr>
          <w:color w:val="0000FF"/>
        </w:rPr>
        <w:t>-N</w:t>
      </w:r>
      <w:r>
        <w:rPr>
          <w:color w:val="0000FF"/>
          <w:spacing w:val="-16"/>
        </w:rPr>
        <w:t>、</w:t>
      </w:r>
      <w:r>
        <w:rPr>
          <w:rFonts w:hint="eastAsia"/>
          <w:color w:val="0000FF"/>
          <w:lang w:val="en-US" w:eastAsia="zh-CN"/>
        </w:rPr>
        <w:t>各类化学品</w:t>
      </w:r>
      <w:r>
        <w:rPr>
          <w:color w:val="0000FF"/>
        </w:rPr>
        <w:t>等。</w:t>
      </w:r>
      <w:r>
        <w:rPr>
          <w:spacing w:val="-12"/>
        </w:rPr>
        <w:t>废气处理设施一旦发生故障，应立即停产，并应及时检修，尽快使其恢</w:t>
      </w:r>
      <w:r>
        <w:rPr>
          <w:spacing w:val="-24"/>
        </w:rPr>
        <w:t>复运行。原料仓库设置报警系统，一旦发生报警及时进行控制。</w:t>
      </w:r>
    </w:p>
    <w:p>
      <w:pPr>
        <w:pStyle w:val="7"/>
        <w:spacing w:before="5" w:line="388" w:lineRule="auto"/>
        <w:ind w:left="1540" w:right="1601" w:firstLine="480"/>
      </w:pPr>
      <w:r>
        <w:rPr>
          <w:color w:val="0000FF"/>
          <w:spacing w:val="-16"/>
        </w:rPr>
        <w:t>万一发生危害性事故，应立即通知有关部门，组织附近居民、工厂工人疏散、</w:t>
      </w:r>
      <w:r>
        <w:rPr>
          <w:color w:val="0000FF"/>
        </w:rPr>
        <w:t>抢险和应急监测等善后处理事宜。</w:t>
      </w:r>
    </w:p>
    <w:p>
      <w:pPr>
        <w:pStyle w:val="7"/>
        <w:spacing w:before="5" w:line="388" w:lineRule="auto"/>
        <w:ind w:left="1540" w:right="1721" w:firstLine="480"/>
      </w:pPr>
      <w:r>
        <w:rPr>
          <w:color w:val="0000FF"/>
          <w:spacing w:val="-9"/>
        </w:rPr>
        <w:t>一旦发生泄漏事故，泄漏的料液进入事故池</w:t>
      </w:r>
      <w:r>
        <w:rPr>
          <w:color w:val="0000FF"/>
        </w:rPr>
        <w:t>（</w:t>
      </w:r>
      <w:r>
        <w:rPr>
          <w:color w:val="0000FF"/>
          <w:spacing w:val="-2"/>
        </w:rPr>
        <w:t>收集的泄漏液可回用于相应的</w:t>
      </w:r>
      <w:r>
        <w:rPr>
          <w:color w:val="0000FF"/>
        </w:rPr>
        <w:t>生产系统）。各车间地面、沟渠和收集池均采用防腐、防渗漏设计。</w:t>
      </w:r>
    </w:p>
    <w:p>
      <w:pPr>
        <w:spacing w:after="0" w:line="388" w:lineRule="auto"/>
      </w:pPr>
    </w:p>
    <w:p>
      <w:pPr>
        <w:tabs>
          <w:tab w:val="left" w:pos="2460"/>
        </w:tabs>
        <w:jc w:val="center"/>
        <w:outlineLvl w:val="3"/>
        <w:rPr>
          <w:rFonts w:ascii="宋体" w:hAnsi="宋体"/>
          <w:b/>
          <w:bCs/>
          <w:color w:val="FF0000"/>
          <w:kern w:val="0"/>
        </w:rPr>
      </w:pPr>
      <w:r>
        <w:rPr>
          <w:rFonts w:hint="eastAsia" w:ascii="Times New Roman" w:hAnsi="Times New Roman" w:eastAsia="Microsoft JhengHei" w:cs="Times New Roman"/>
          <w:b/>
          <w:bCs/>
          <w:color w:val="FF0000"/>
          <w:sz w:val="30"/>
          <w:szCs w:val="30"/>
          <w:lang w:val="en-US" w:eastAsia="zh-CN" w:bidi="zh-CN"/>
        </w:rPr>
        <w:t xml:space="preserve">表5-1 </w:t>
      </w:r>
      <w:r>
        <w:rPr>
          <w:rFonts w:hint="default" w:ascii="Times New Roman" w:hAnsi="Times New Roman" w:eastAsia="Microsoft JhengHei" w:cs="Times New Roman"/>
          <w:b/>
          <w:bCs/>
          <w:color w:val="FF0000"/>
          <w:sz w:val="30"/>
          <w:szCs w:val="30"/>
          <w:lang w:val="zh-CN" w:eastAsia="zh-CN" w:bidi="zh-CN"/>
        </w:rPr>
        <w:t>外部救援单位联系一览表</w:t>
      </w:r>
    </w:p>
    <w:tbl>
      <w:tblPr>
        <w:tblStyle w:val="15"/>
        <w:tblW w:w="8245" w:type="dxa"/>
        <w:jc w:val="center"/>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4537"/>
        <w:gridCol w:w="2933"/>
      </w:tblGrid>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rPr>
            </w:pPr>
            <w:r>
              <w:rPr>
                <w:rFonts w:hint="eastAsia" w:ascii="宋体" w:hAnsi="宋体"/>
                <w:color w:val="FF0000"/>
                <w:kern w:val="2"/>
                <w:szCs w:val="21"/>
              </w:rPr>
              <w:t>1</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default" w:ascii="Times New Roman" w:hAnsi="Times New Roman" w:cs="Times New Roman"/>
                <w:color w:val="FF0000"/>
                <w:kern w:val="2"/>
                <w:sz w:val="21"/>
                <w:szCs w:val="21"/>
              </w:rPr>
              <w:t>宜春市应急管理局</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default" w:ascii="Times New Roman" w:hAnsi="Times New Roman" w:cs="Times New Roman"/>
                <w:color w:val="FF0000"/>
                <w:kern w:val="2"/>
                <w:sz w:val="21"/>
                <w:szCs w:val="21"/>
              </w:rPr>
              <w:t>0795-3590918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rPr>
            </w:pPr>
            <w:r>
              <w:rPr>
                <w:rFonts w:hint="eastAsia" w:ascii="宋体" w:hAnsi="宋体"/>
                <w:color w:val="FF0000"/>
                <w:kern w:val="2"/>
                <w:szCs w:val="21"/>
              </w:rPr>
              <w:t>2</w:t>
            </w:r>
          </w:p>
        </w:tc>
        <w:tc>
          <w:tcPr>
            <w:tcW w:w="4537"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color w:val="FF0000"/>
                <w:kern w:val="2"/>
                <w:sz w:val="21"/>
                <w:szCs w:val="21"/>
                <w:lang w:eastAsia="zh-CN"/>
              </w:rPr>
            </w:pPr>
            <w:r>
              <w:rPr>
                <w:rFonts w:hint="default" w:ascii="Times New Roman" w:hAnsi="Times New Roman" w:cs="Times New Roman"/>
                <w:color w:val="FF0000"/>
                <w:kern w:val="2"/>
                <w:sz w:val="21"/>
                <w:szCs w:val="21"/>
              </w:rPr>
              <w:t>宜春市生态环境局</w:t>
            </w:r>
          </w:p>
        </w:tc>
        <w:tc>
          <w:tcPr>
            <w:tcW w:w="2933"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color w:val="FF0000"/>
                <w:kern w:val="2"/>
                <w:sz w:val="21"/>
                <w:szCs w:val="21"/>
                <w:lang w:eastAsia="zh-CN"/>
              </w:rPr>
            </w:pPr>
            <w:r>
              <w:rPr>
                <w:rFonts w:hint="default" w:ascii="Times New Roman" w:hAnsi="Times New Roman" w:cs="Times New Roman"/>
                <w:color w:val="FF0000"/>
                <w:kern w:val="2"/>
                <w:sz w:val="21"/>
                <w:szCs w:val="21"/>
              </w:rPr>
              <w:t>0795-3998865</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rPr>
            </w:pPr>
            <w:r>
              <w:rPr>
                <w:rFonts w:hint="eastAsia" w:ascii="宋体" w:hAnsi="宋体"/>
                <w:color w:val="FF0000"/>
                <w:kern w:val="2"/>
                <w:szCs w:val="21"/>
              </w:rPr>
              <w:t>3</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FF0000"/>
                <w:kern w:val="2"/>
                <w:sz w:val="21"/>
                <w:szCs w:val="21"/>
              </w:rPr>
            </w:pPr>
            <w:r>
              <w:rPr>
                <w:rFonts w:hint="default" w:ascii="Times New Roman" w:hAnsi="Times New Roman" w:cs="Times New Roman"/>
                <w:color w:val="FF0000"/>
                <w:kern w:val="2"/>
                <w:sz w:val="21"/>
                <w:szCs w:val="21"/>
              </w:rPr>
              <w:t>宜春市安全生产应急救援</w:t>
            </w:r>
          </w:p>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default" w:ascii="Times New Roman" w:hAnsi="Times New Roman" w:cs="Times New Roman"/>
                <w:color w:val="FF0000"/>
                <w:kern w:val="2"/>
                <w:sz w:val="21"/>
                <w:szCs w:val="21"/>
              </w:rPr>
              <w:t>指挥中心</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default" w:ascii="Times New Roman" w:hAnsi="Times New Roman" w:cs="Times New Roman"/>
                <w:color w:val="FF0000"/>
                <w:kern w:val="2"/>
                <w:sz w:val="21"/>
                <w:szCs w:val="21"/>
              </w:rPr>
              <w:t>0795-3562731</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rPr>
            </w:pPr>
            <w:r>
              <w:rPr>
                <w:rFonts w:hint="eastAsia" w:ascii="宋体" w:hAnsi="宋体"/>
                <w:color w:val="FF0000"/>
                <w:kern w:val="2"/>
                <w:szCs w:val="21"/>
              </w:rPr>
              <w:t>4</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eastAsia" w:cs="Times New Roman"/>
                <w:color w:val="FF0000"/>
                <w:kern w:val="2"/>
                <w:sz w:val="21"/>
                <w:szCs w:val="21"/>
                <w:lang w:eastAsia="zh-CN"/>
              </w:rPr>
              <w:t>丰城市</w:t>
            </w:r>
            <w:r>
              <w:rPr>
                <w:rFonts w:hint="eastAsia" w:ascii="Times New Roman" w:hAnsi="Times New Roman" w:cs="Times New Roman"/>
                <w:color w:val="FF0000"/>
                <w:kern w:val="2"/>
                <w:sz w:val="21"/>
                <w:szCs w:val="21"/>
                <w:lang w:eastAsia="zh-CN"/>
              </w:rPr>
              <w:t>应急管理局</w:t>
            </w:r>
          </w:p>
        </w:tc>
        <w:tc>
          <w:tcPr>
            <w:tcW w:w="2933"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color w:val="FF0000"/>
                <w:kern w:val="2"/>
                <w:sz w:val="21"/>
                <w:szCs w:val="21"/>
                <w:lang w:eastAsia="zh-CN"/>
              </w:rPr>
            </w:pPr>
            <w:r>
              <w:rPr>
                <w:rFonts w:hint="eastAsia" w:cs="Times New Roman"/>
                <w:color w:val="FF0000"/>
                <w:kern w:val="2"/>
                <w:sz w:val="21"/>
                <w:szCs w:val="21"/>
                <w:lang w:eastAsia="zh-CN"/>
              </w:rPr>
              <w:t>0795-6298179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rPr>
            </w:pPr>
            <w:r>
              <w:rPr>
                <w:rFonts w:hint="eastAsia" w:ascii="宋体" w:hAnsi="宋体"/>
                <w:color w:val="FF0000"/>
                <w:kern w:val="2"/>
                <w:szCs w:val="21"/>
              </w:rPr>
              <w:t>5</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eastAsia" w:cs="Times New Roman"/>
                <w:color w:val="FF0000"/>
                <w:kern w:val="2"/>
                <w:sz w:val="21"/>
                <w:szCs w:val="21"/>
                <w:lang w:eastAsia="zh-CN"/>
              </w:rPr>
              <w:t>宜春市丰城生态环境局</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eastAsia" w:cs="Times New Roman"/>
                <w:color w:val="FF0000"/>
                <w:kern w:val="2"/>
                <w:sz w:val="21"/>
                <w:szCs w:val="21"/>
                <w:lang w:eastAsia="zh-CN"/>
              </w:rPr>
              <w:t>0795-6706500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rPr>
            </w:pPr>
            <w:r>
              <w:rPr>
                <w:rFonts w:hint="eastAsia" w:ascii="宋体" w:hAnsi="宋体"/>
                <w:color w:val="FF0000"/>
                <w:kern w:val="2"/>
                <w:szCs w:val="21"/>
              </w:rPr>
              <w:t>6</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eastAsia" w:cs="Times New Roman"/>
                <w:color w:val="FF0000"/>
                <w:kern w:val="2"/>
                <w:sz w:val="21"/>
                <w:szCs w:val="21"/>
                <w:lang w:val="en-US" w:eastAsia="zh-CN"/>
              </w:rPr>
              <w:t>丰城市</w:t>
            </w:r>
            <w:r>
              <w:rPr>
                <w:rFonts w:hint="default" w:ascii="Times New Roman" w:hAnsi="Times New Roman" w:cs="Times New Roman"/>
                <w:color w:val="FF0000"/>
                <w:kern w:val="2"/>
                <w:sz w:val="21"/>
                <w:szCs w:val="21"/>
              </w:rPr>
              <w:t>公安局</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rPr>
            </w:pPr>
            <w:r>
              <w:rPr>
                <w:rFonts w:hint="default" w:ascii="Times New Roman" w:hAnsi="Times New Roman" w:cs="Times New Roman"/>
                <w:color w:val="FF0000"/>
                <w:kern w:val="2"/>
                <w:sz w:val="21"/>
                <w:szCs w:val="21"/>
              </w:rPr>
              <w:t>110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kern w:val="2"/>
                <w:szCs w:val="21"/>
                <w:lang w:val="en-US" w:eastAsia="zh-CN"/>
              </w:rPr>
            </w:pPr>
            <w:r>
              <w:rPr>
                <w:rFonts w:hint="eastAsia" w:ascii="宋体" w:hAnsi="宋体"/>
                <w:color w:val="FF0000"/>
                <w:kern w:val="2"/>
                <w:szCs w:val="21"/>
                <w:lang w:val="en-US" w:eastAsia="zh-CN"/>
              </w:rPr>
              <w:t>7</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eastAsia="宋体"/>
                <w:color w:val="FF0000"/>
                <w:kern w:val="2"/>
                <w:sz w:val="21"/>
                <w:szCs w:val="21"/>
                <w:lang w:val="en-US" w:eastAsia="zh-CN"/>
              </w:rPr>
            </w:pPr>
            <w:r>
              <w:rPr>
                <w:rFonts w:hint="eastAsia" w:cs="Times New Roman"/>
                <w:color w:val="FF0000"/>
                <w:kern w:val="2"/>
                <w:sz w:val="21"/>
                <w:szCs w:val="21"/>
                <w:lang w:val="en-US" w:eastAsia="zh-CN"/>
              </w:rPr>
              <w:t>丰城市</w:t>
            </w:r>
            <w:r>
              <w:rPr>
                <w:rFonts w:hint="default" w:ascii="Times New Roman" w:hAnsi="Times New Roman" w:cs="Times New Roman"/>
                <w:color w:val="FF0000"/>
                <w:kern w:val="2"/>
                <w:sz w:val="21"/>
                <w:szCs w:val="21"/>
              </w:rPr>
              <w:t>交警</w:t>
            </w:r>
            <w:r>
              <w:rPr>
                <w:rFonts w:hint="eastAsia" w:cs="Times New Roman"/>
                <w:color w:val="FF0000"/>
                <w:kern w:val="2"/>
                <w:sz w:val="21"/>
                <w:szCs w:val="21"/>
                <w:lang w:val="en-US" w:eastAsia="zh-CN"/>
              </w:rPr>
              <w:t>大</w:t>
            </w:r>
            <w:r>
              <w:rPr>
                <w:rFonts w:hint="default" w:ascii="Times New Roman" w:hAnsi="Times New Roman" w:cs="Times New Roman"/>
                <w:color w:val="FF0000"/>
                <w:kern w:val="2"/>
                <w:sz w:val="21"/>
                <w:szCs w:val="21"/>
              </w:rPr>
              <w:t>队</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eastAsia="宋体"/>
                <w:color w:val="FF0000"/>
                <w:kern w:val="2"/>
                <w:sz w:val="21"/>
                <w:szCs w:val="21"/>
                <w:lang w:val="en-US" w:eastAsia="zh-CN"/>
              </w:rPr>
            </w:pPr>
            <w:r>
              <w:rPr>
                <w:rFonts w:hint="default" w:ascii="Times New Roman" w:hAnsi="Times New Roman" w:cs="Times New Roman"/>
                <w:color w:val="FF0000"/>
                <w:kern w:val="2"/>
                <w:sz w:val="21"/>
                <w:szCs w:val="21"/>
              </w:rPr>
              <w:t>122</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lang w:val="en-US" w:eastAsia="zh-CN"/>
              </w:rPr>
            </w:pPr>
            <w:r>
              <w:rPr>
                <w:rFonts w:hint="eastAsia" w:ascii="宋体" w:hAnsi="宋体"/>
                <w:color w:val="FF0000"/>
                <w:kern w:val="2"/>
                <w:szCs w:val="21"/>
                <w:lang w:val="en-US" w:eastAsia="zh-CN"/>
              </w:rPr>
              <w:t>8</w:t>
            </w:r>
          </w:p>
        </w:tc>
        <w:tc>
          <w:tcPr>
            <w:tcW w:w="4537"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color w:val="FF0000"/>
                <w:kern w:val="2"/>
                <w:sz w:val="21"/>
                <w:szCs w:val="21"/>
                <w:lang w:val="en-US" w:eastAsia="zh-CN"/>
              </w:rPr>
            </w:pPr>
            <w:r>
              <w:rPr>
                <w:rFonts w:hint="eastAsia" w:cs="Times New Roman"/>
                <w:color w:val="FF0000"/>
                <w:kern w:val="2"/>
                <w:sz w:val="21"/>
                <w:szCs w:val="21"/>
                <w:lang w:val="en-US" w:eastAsia="zh-CN"/>
              </w:rPr>
              <w:t>丰城市</w:t>
            </w:r>
            <w:r>
              <w:rPr>
                <w:rFonts w:hint="eastAsia" w:ascii="Times New Roman" w:hAnsi="Times New Roman" w:cs="Times New Roman"/>
                <w:color w:val="FF0000"/>
                <w:kern w:val="2"/>
                <w:sz w:val="21"/>
                <w:szCs w:val="21"/>
                <w:lang w:eastAsia="zh-CN"/>
              </w:rPr>
              <w:t>消防救援大队</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color w:val="FF0000"/>
                <w:kern w:val="2"/>
                <w:sz w:val="21"/>
                <w:szCs w:val="21"/>
                <w:lang w:val="en-US" w:eastAsia="zh-CN"/>
              </w:rPr>
            </w:pPr>
            <w:r>
              <w:rPr>
                <w:rFonts w:hint="default" w:ascii="Times New Roman" w:hAnsi="Times New Roman" w:cs="Times New Roman"/>
                <w:color w:val="FF0000"/>
                <w:kern w:val="2"/>
                <w:sz w:val="21"/>
                <w:szCs w:val="21"/>
              </w:rPr>
              <w:t>119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lang w:val="en-US" w:eastAsia="zh-CN"/>
              </w:rPr>
            </w:pPr>
            <w:r>
              <w:rPr>
                <w:rFonts w:hint="eastAsia" w:ascii="宋体" w:hAnsi="宋体"/>
                <w:color w:val="FF0000"/>
                <w:kern w:val="2"/>
                <w:szCs w:val="21"/>
                <w:lang w:val="en-US" w:eastAsia="zh-CN"/>
              </w:rPr>
              <w:t>9</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FF0000"/>
                <w:kern w:val="2"/>
                <w:sz w:val="21"/>
                <w:szCs w:val="21"/>
                <w:lang w:val="en-US" w:eastAsia="zh-CN"/>
              </w:rPr>
            </w:pPr>
            <w:r>
              <w:rPr>
                <w:rFonts w:hint="eastAsia" w:cs="Times New Roman"/>
                <w:color w:val="FF0000"/>
                <w:kern w:val="2"/>
                <w:sz w:val="21"/>
                <w:szCs w:val="21"/>
                <w:lang w:val="en-US" w:eastAsia="zh-CN"/>
              </w:rPr>
              <w:t>丰城市人民医院</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FF0000"/>
                <w:kern w:val="2"/>
                <w:sz w:val="21"/>
                <w:szCs w:val="21"/>
                <w:lang w:val="en-US" w:eastAsia="zh-CN"/>
              </w:rPr>
            </w:pPr>
            <w:r>
              <w:rPr>
                <w:rFonts w:hint="eastAsia" w:cs="Times New Roman"/>
                <w:color w:val="FF0000"/>
                <w:kern w:val="2"/>
                <w:sz w:val="21"/>
                <w:szCs w:val="21"/>
                <w:lang w:val="en-US" w:eastAsia="zh-CN"/>
              </w:rPr>
              <w:t>120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lang w:val="en-US" w:eastAsia="zh-CN"/>
              </w:rPr>
            </w:pPr>
            <w:r>
              <w:rPr>
                <w:rFonts w:hint="eastAsia" w:ascii="宋体" w:hAnsi="宋体"/>
                <w:color w:val="FF0000"/>
                <w:kern w:val="2"/>
                <w:szCs w:val="21"/>
                <w:lang w:val="en-US" w:eastAsia="zh-CN"/>
              </w:rPr>
              <w:t>10</w:t>
            </w:r>
          </w:p>
        </w:tc>
        <w:tc>
          <w:tcPr>
            <w:tcW w:w="4537" w:type="dxa"/>
            <w:vAlign w:val="center"/>
          </w:tcPr>
          <w:p>
            <w:pPr>
              <w:keepNext w:val="0"/>
              <w:keepLines w:val="0"/>
              <w:suppressLineNumbers w:val="0"/>
              <w:bidi w:val="0"/>
              <w:spacing w:before="0" w:beforeAutospacing="0" w:after="0" w:afterAutospacing="0"/>
              <w:ind w:left="0" w:right="0"/>
              <w:jc w:val="center"/>
              <w:rPr>
                <w:rFonts w:hint="default" w:cs="Times New Roman"/>
                <w:color w:val="FF0000"/>
                <w:kern w:val="2"/>
                <w:sz w:val="21"/>
                <w:szCs w:val="21"/>
                <w:lang w:val="en-US" w:eastAsia="zh-CN"/>
              </w:rPr>
            </w:pPr>
            <w:r>
              <w:rPr>
                <w:rFonts w:hint="eastAsia" w:cs="Times New Roman"/>
                <w:color w:val="FF0000"/>
                <w:kern w:val="2"/>
                <w:sz w:val="21"/>
                <w:szCs w:val="21"/>
                <w:lang w:val="en-US" w:eastAsia="zh-CN"/>
              </w:rPr>
              <w:t>丰城市循环园区管委会</w:t>
            </w:r>
          </w:p>
        </w:tc>
        <w:tc>
          <w:tcPr>
            <w:tcW w:w="2933" w:type="dxa"/>
            <w:vAlign w:val="center"/>
          </w:tcPr>
          <w:p>
            <w:pPr>
              <w:keepNext w:val="0"/>
              <w:keepLines w:val="0"/>
              <w:suppressLineNumbers w:val="0"/>
              <w:bidi w:val="0"/>
              <w:spacing w:before="0" w:beforeAutospacing="0" w:after="0" w:afterAutospacing="0"/>
              <w:ind w:left="0" w:right="0"/>
              <w:jc w:val="center"/>
              <w:rPr>
                <w:rFonts w:hint="eastAsia" w:cs="Times New Roman"/>
                <w:color w:val="FF0000"/>
                <w:kern w:val="2"/>
                <w:sz w:val="21"/>
                <w:szCs w:val="21"/>
                <w:lang w:val="en-US" w:eastAsia="zh-CN"/>
              </w:rPr>
            </w:pPr>
            <w:r>
              <w:rPr>
                <w:rFonts w:hint="eastAsia" w:cs="Times New Roman"/>
                <w:color w:val="FF0000"/>
                <w:kern w:val="2"/>
                <w:sz w:val="21"/>
                <w:szCs w:val="21"/>
                <w:lang w:eastAsia="zh-CN"/>
              </w:rPr>
              <w:t>0795-6590278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color w:val="FF0000"/>
                <w:kern w:val="2"/>
                <w:szCs w:val="21"/>
                <w:lang w:val="en-US" w:eastAsia="zh-CN"/>
              </w:rPr>
            </w:pPr>
            <w:r>
              <w:rPr>
                <w:rFonts w:hint="eastAsia" w:ascii="宋体" w:hAnsi="宋体"/>
                <w:color w:val="FF0000"/>
                <w:kern w:val="2"/>
                <w:szCs w:val="21"/>
                <w:lang w:val="en-US" w:eastAsia="zh-CN"/>
              </w:rPr>
              <w:t>11</w:t>
            </w:r>
          </w:p>
        </w:tc>
        <w:tc>
          <w:tcPr>
            <w:tcW w:w="4537" w:type="dxa"/>
            <w:vAlign w:val="center"/>
          </w:tcPr>
          <w:p>
            <w:pPr>
              <w:keepNext w:val="0"/>
              <w:keepLines w:val="0"/>
              <w:suppressLineNumbers w:val="0"/>
              <w:bidi w:val="0"/>
              <w:spacing w:before="0" w:beforeAutospacing="0" w:after="0" w:afterAutospacing="0"/>
              <w:ind w:left="0" w:right="0"/>
              <w:jc w:val="center"/>
              <w:rPr>
                <w:rFonts w:hint="eastAsia" w:cs="Times New Roman"/>
                <w:color w:val="FF0000"/>
                <w:kern w:val="2"/>
                <w:sz w:val="21"/>
                <w:szCs w:val="21"/>
                <w:lang w:val="en-US" w:eastAsia="zh-CN"/>
              </w:rPr>
            </w:pPr>
            <w:r>
              <w:rPr>
                <w:rFonts w:hint="eastAsia" w:cs="Times New Roman"/>
                <w:color w:val="FF0000"/>
                <w:kern w:val="2"/>
                <w:sz w:val="21"/>
                <w:szCs w:val="21"/>
                <w:lang w:val="en-US" w:eastAsia="zh-CN"/>
              </w:rPr>
              <w:t>丰城生态环境监测站</w:t>
            </w:r>
          </w:p>
        </w:tc>
        <w:tc>
          <w:tcPr>
            <w:tcW w:w="2933" w:type="dxa"/>
            <w:vAlign w:val="center"/>
          </w:tcPr>
          <w:p>
            <w:pPr>
              <w:keepNext w:val="0"/>
              <w:keepLines w:val="0"/>
              <w:suppressLineNumbers w:val="0"/>
              <w:bidi w:val="0"/>
              <w:spacing w:before="0" w:beforeAutospacing="0" w:after="0" w:afterAutospacing="0"/>
              <w:ind w:left="0" w:right="0"/>
              <w:jc w:val="center"/>
              <w:rPr>
                <w:rFonts w:hint="eastAsia" w:ascii="Times New Roman" w:hAnsi="Times New Roman" w:cs="Times New Roman"/>
                <w:color w:val="FF0000"/>
                <w:kern w:val="2"/>
                <w:sz w:val="21"/>
                <w:szCs w:val="21"/>
                <w:lang w:eastAsia="zh-CN"/>
              </w:rPr>
            </w:pPr>
            <w:r>
              <w:rPr>
                <w:rFonts w:hint="eastAsia" w:ascii="Times New Roman" w:hAnsi="Times New Roman" w:eastAsia="宋体" w:cs="Times New Roman"/>
                <w:color w:val="FF0000"/>
                <w:kern w:val="2"/>
                <w:sz w:val="21"/>
                <w:szCs w:val="21"/>
                <w:lang w:val="en-US" w:eastAsia="zh-CN"/>
              </w:rPr>
              <w:t>0795-6706500</w:t>
            </w:r>
          </w:p>
        </w:tc>
      </w:tr>
    </w:tbl>
    <w:p/>
    <w:p>
      <w:pPr>
        <w:jc w:val="center"/>
        <w:rPr>
          <w:rFonts w:hint="eastAsia"/>
          <w:lang w:val="en-US" w:eastAsia="zh-CN"/>
        </w:rPr>
        <w:sectPr>
          <w:pgSz w:w="11900" w:h="16840"/>
          <w:pgMar w:top="1420" w:right="80" w:bottom="1200" w:left="260" w:header="882" w:footer="1004" w:gutter="0"/>
          <w:cols w:space="720" w:num="1"/>
        </w:sectPr>
      </w:pPr>
    </w:p>
    <w:p>
      <w:pPr>
        <w:pStyle w:val="4"/>
        <w:tabs>
          <w:tab w:val="left" w:pos="1679"/>
        </w:tabs>
      </w:pPr>
      <w:r>
        <w:t>第六章</w:t>
      </w:r>
      <w:r>
        <w:tab/>
      </w:r>
      <w:bookmarkStart w:id="118" w:name="_bookmark27"/>
      <w:bookmarkEnd w:id="118"/>
      <w:bookmarkStart w:id="119" w:name="第六章应急响应 "/>
      <w:bookmarkEnd w:id="119"/>
      <w:r>
        <w:t>应急响应</w:t>
      </w:r>
    </w:p>
    <w:p>
      <w:pPr>
        <w:pStyle w:val="7"/>
        <w:spacing w:before="1"/>
        <w:rPr>
          <w:sz w:val="34"/>
        </w:rPr>
      </w:pPr>
    </w:p>
    <w:p>
      <w:pPr>
        <w:pStyle w:val="5"/>
        <w:numPr>
          <w:ilvl w:val="1"/>
          <w:numId w:val="47"/>
        </w:numPr>
        <w:bidi w:val="0"/>
      </w:pPr>
      <w:bookmarkStart w:id="120" w:name="_bookmark28"/>
      <w:bookmarkEnd w:id="120"/>
      <w:bookmarkStart w:id="121" w:name="_bookmark28"/>
      <w:bookmarkEnd w:id="121"/>
      <w:bookmarkStart w:id="122" w:name="6.1 基本应急程序"/>
      <w:bookmarkEnd w:id="122"/>
      <w:r>
        <w:t>基本应急程序</w:t>
      </w:r>
    </w:p>
    <w:p>
      <w:pPr>
        <w:pStyle w:val="7"/>
        <w:spacing w:before="166"/>
        <w:ind w:left="2101"/>
      </w:pPr>
      <w:r>
        <w:t>处置突发环境事件应急响应流程见图6.1-1。</w:t>
      </w:r>
    </w:p>
    <w:p>
      <w:pPr>
        <w:pStyle w:val="7"/>
        <w:spacing w:before="6"/>
        <w:rPr>
          <w:sz w:val="25"/>
        </w:rPr>
      </w:pPr>
    </w:p>
    <w:p>
      <w:pPr>
        <w:pStyle w:val="7"/>
        <w:spacing w:line="494" w:lineRule="auto"/>
        <w:ind w:left="1540" w:right="1619" w:firstLine="561"/>
      </w:pPr>
      <w:r>
        <w:t>公司发生事故达到四级响应标准时，立即启动本公司应急预案，组织实施</w:t>
      </w:r>
      <w:r>
        <w:rPr>
          <w:spacing w:val="-1"/>
        </w:rPr>
        <w:t>应急救援，并及时向</w:t>
      </w:r>
      <w:r>
        <w:rPr>
          <w:rFonts w:hint="eastAsia"/>
          <w:spacing w:val="-1"/>
          <w:lang w:eastAsia="zh-CN"/>
        </w:rPr>
        <w:t>丰城生态环境局</w:t>
      </w:r>
      <w:r>
        <w:rPr>
          <w:spacing w:val="-1"/>
        </w:rPr>
        <w:t>应急救援指挥部办公室及地方人民政府报告。</w:t>
      </w:r>
      <w:r>
        <w:rPr>
          <w:spacing w:val="-9"/>
        </w:rPr>
        <w:t>报告内容包括：事故发生时间和地点、事故类别、事故可能原因、危害程度、救援要求等内容。</w:t>
      </w:r>
    </w:p>
    <w:p>
      <w:pPr>
        <w:pStyle w:val="7"/>
        <w:spacing w:before="3"/>
        <w:ind w:left="2101"/>
      </w:pPr>
      <w:r>
        <w:t>公司应急救援指挥部进入预备状态，做好如下应急准备。</w:t>
      </w:r>
    </w:p>
    <w:p>
      <w:pPr>
        <w:pStyle w:val="7"/>
        <w:spacing w:before="8"/>
        <w:rPr>
          <w:sz w:val="25"/>
        </w:rPr>
      </w:pPr>
    </w:p>
    <w:p>
      <w:pPr>
        <w:pStyle w:val="7"/>
        <w:spacing w:line="494" w:lineRule="auto"/>
        <w:ind w:left="1540" w:right="1619" w:firstLine="561"/>
      </w:pPr>
      <w:r>
        <w:t>环境污染事故发生后，发现事故的人员，必须立即切断与事故没有直接关</w:t>
      </w:r>
      <w:r>
        <w:rPr>
          <w:spacing w:val="-8"/>
        </w:rPr>
        <w:t>系的一切通话，并通知当班值班领导；值班领导负责记录事故发生的时间、地点</w:t>
      </w:r>
      <w:r>
        <w:rPr>
          <w:spacing w:val="-11"/>
        </w:rPr>
        <w:t>和情况，并立即将事故情况按顺序通知公司总经理、副总经理、安环部及生产部</w:t>
      </w:r>
      <w:r>
        <w:rPr>
          <w:spacing w:val="-12"/>
        </w:rPr>
        <w:t xml:space="preserve">部长，立即到中控室集合，值班领导迅速组织成立本公司现场应急救援指挥部， </w:t>
      </w:r>
      <w:r>
        <w:t>启动应急救援行动预案，积极做好准备，组织本公司救护人员实行救援， 并按有关规定及时向上级汇报，必要时请专业救护队救援。</w:t>
      </w:r>
    </w:p>
    <w:p>
      <w:pPr>
        <w:pStyle w:val="7"/>
        <w:spacing w:before="6" w:line="494" w:lineRule="auto"/>
        <w:ind w:left="1540" w:right="1650" w:firstLine="561"/>
      </w:pPr>
      <w:r>
        <w:t>各救援组5分钟内到达事故现场，迅速到发生事故调度室了解事故情况，领取任务，待命的各小组要做好准备及战前检查工作。</w:t>
      </w:r>
    </w:p>
    <w:p>
      <w:pPr>
        <w:pStyle w:val="7"/>
        <w:spacing w:before="2" w:line="494" w:lineRule="auto"/>
        <w:ind w:left="1540" w:right="1721" w:firstLine="561"/>
        <w:jc w:val="both"/>
      </w:pPr>
      <w:r>
        <w:t>首先应调查了解事故情况，由值班领导或技术人员对公司发生事故的原因</w:t>
      </w:r>
      <w:r>
        <w:rPr>
          <w:spacing w:val="-8"/>
        </w:rPr>
        <w:t>及事故区域情况进行介绍，按照预案制定的措施进行救援，并征求技术人员对事</w:t>
      </w:r>
      <w:r>
        <w:rPr>
          <w:spacing w:val="-10"/>
        </w:rPr>
        <w:t>故处理的意见；其次从图纸上了解事故的范围，遇险人员分布，对环境影响的最</w:t>
      </w:r>
      <w:r>
        <w:rPr>
          <w:spacing w:val="-1"/>
        </w:rPr>
        <w:t>大程度， 进入事故发生区侦察和抢救遇险人员的路线，以及安全撤离点的位置</w:t>
      </w:r>
    </w:p>
    <w:p>
      <w:pPr>
        <w:spacing w:after="0" w:line="494" w:lineRule="auto"/>
        <w:jc w:val="both"/>
        <w:sectPr>
          <w:pgSz w:w="11900" w:h="16840"/>
          <w:pgMar w:top="1420" w:right="80" w:bottom="1200" w:left="260" w:header="882" w:footer="1004" w:gutter="0"/>
          <w:cols w:space="720" w:num="1"/>
        </w:sectPr>
      </w:pPr>
    </w:p>
    <w:p>
      <w:pPr>
        <w:pStyle w:val="7"/>
        <w:spacing w:before="5"/>
        <w:rPr>
          <w:sz w:val="8"/>
        </w:rPr>
      </w:pPr>
    </w:p>
    <w:p>
      <w:pPr>
        <w:pStyle w:val="7"/>
        <w:spacing w:before="66" w:line="494" w:lineRule="auto"/>
        <w:ind w:left="1540" w:right="1721"/>
      </w:pPr>
      <w:r>
        <w:t>等；再次是向 事故发生现场的人员了解情况；最后是对事故发生区进行实地侦察，为制定作战方案提供第一手材料和可靠依据。</w:t>
      </w:r>
    </w:p>
    <w:p>
      <w:pPr>
        <w:pStyle w:val="7"/>
        <w:spacing w:before="3" w:line="494" w:lineRule="auto"/>
        <w:ind w:left="1540" w:right="1721" w:firstLine="561"/>
      </w:pPr>
      <w:r>
        <w:t>指挥员在指挥处理事故时，要善于抓住战机，尽量在事故初期阶段，选择突破点，搞活全局，使形势立即好转。</w:t>
      </w:r>
    </w:p>
    <w:p>
      <w:pPr>
        <w:pStyle w:val="7"/>
        <w:spacing w:line="494" w:lineRule="auto"/>
        <w:ind w:left="1540" w:right="1721" w:firstLine="561"/>
        <w:jc w:val="both"/>
      </w:pPr>
      <w:r>
        <w:t>1、应急现场指挥办公室进入应急救援状态 应急指挥中心要积极了解掌握</w:t>
      </w:r>
      <w:r>
        <w:rPr>
          <w:spacing w:val="-8"/>
        </w:rPr>
        <w:t>应急救援进展情况，污染事故发展动态，分析评估自身应急救援能力，并时刻保</w:t>
      </w:r>
      <w:r>
        <w:t>持与政府部门及环保部门联系。</w:t>
      </w:r>
    </w:p>
    <w:p>
      <w:pPr>
        <w:pStyle w:val="7"/>
        <w:spacing w:before="3"/>
        <w:ind w:left="2101"/>
      </w:pPr>
      <w:r>
        <w:t>2、指挥与协调</w:t>
      </w:r>
    </w:p>
    <w:p>
      <w:pPr>
        <w:pStyle w:val="7"/>
        <w:spacing w:before="8"/>
        <w:rPr>
          <w:sz w:val="25"/>
        </w:rPr>
      </w:pPr>
    </w:p>
    <w:p>
      <w:pPr>
        <w:pStyle w:val="19"/>
        <w:numPr>
          <w:ilvl w:val="2"/>
          <w:numId w:val="47"/>
        </w:numPr>
        <w:tabs>
          <w:tab w:val="left" w:pos="2463"/>
        </w:tabs>
        <w:spacing w:before="0" w:after="0" w:line="240" w:lineRule="auto"/>
        <w:ind w:left="2462" w:right="0" w:hanging="362"/>
        <w:jc w:val="left"/>
        <w:rPr>
          <w:sz w:val="24"/>
        </w:rPr>
      </w:pPr>
      <w:r>
        <w:rPr>
          <w:sz w:val="24"/>
        </w:rPr>
        <w:t>最初应急反应组织</w:t>
      </w:r>
    </w:p>
    <w:p>
      <w:pPr>
        <w:pStyle w:val="7"/>
        <w:spacing w:before="6"/>
        <w:rPr>
          <w:sz w:val="25"/>
        </w:rPr>
      </w:pPr>
    </w:p>
    <w:p>
      <w:pPr>
        <w:pStyle w:val="7"/>
        <w:spacing w:line="494" w:lineRule="auto"/>
        <w:ind w:left="1540" w:right="1721" w:firstLine="561"/>
        <w:jc w:val="both"/>
      </w:pPr>
      <w:r>
        <w:t xml:space="preserve">最初反应应急组织一般由当班值班负责人负责，并临时担任应急总指挥， </w:t>
      </w:r>
      <w:r>
        <w:rPr>
          <w:spacing w:val="-6"/>
        </w:rPr>
        <w:t>根据事故严重程度来评价应急行政级别，通知相关人员、部门和机构参加应急行</w:t>
      </w:r>
      <w:r>
        <w:rPr>
          <w:spacing w:val="-11"/>
        </w:rPr>
        <w:t>动。同时公司其他部门分别担任最初反应组织的其他重要功能，直到规定人员到</w:t>
      </w:r>
      <w:r>
        <w:t>达事故现场代替他们。</w:t>
      </w:r>
    </w:p>
    <w:p>
      <w:pPr>
        <w:pStyle w:val="19"/>
        <w:numPr>
          <w:ilvl w:val="2"/>
          <w:numId w:val="47"/>
        </w:numPr>
        <w:tabs>
          <w:tab w:val="left" w:pos="2463"/>
        </w:tabs>
        <w:spacing w:before="6" w:after="0" w:line="240" w:lineRule="auto"/>
        <w:ind w:left="2462" w:right="0" w:hanging="362"/>
        <w:jc w:val="left"/>
        <w:rPr>
          <w:sz w:val="24"/>
        </w:rPr>
      </w:pPr>
      <w:r>
        <w:rPr>
          <w:sz w:val="24"/>
        </w:rPr>
        <w:t>全体应急反应组织</w:t>
      </w:r>
    </w:p>
    <w:p>
      <w:pPr>
        <w:pStyle w:val="7"/>
        <w:spacing w:before="5"/>
        <w:rPr>
          <w:sz w:val="25"/>
        </w:rPr>
      </w:pPr>
    </w:p>
    <w:p>
      <w:pPr>
        <w:pStyle w:val="7"/>
        <w:spacing w:line="494" w:lineRule="auto"/>
        <w:ind w:left="1540" w:right="1721" w:firstLine="561"/>
        <w:jc w:val="both"/>
      </w:pPr>
      <w:r>
        <w:t>全体人员到位后，公司应急总指挥应该启动应急预案所有要求的行动，包</w:t>
      </w:r>
      <w:r>
        <w:rPr>
          <w:spacing w:val="-9"/>
        </w:rPr>
        <w:t>括启动全体应急反应组织。根据全体应急职责，各部门人员应为公司应急指挥提</w:t>
      </w:r>
      <w:r>
        <w:rPr>
          <w:spacing w:val="-7"/>
        </w:rPr>
        <w:t>供建议并执行应急总指挥做出的决定，要求所有部门要配备足够人员，以便保证</w:t>
      </w:r>
      <w:r>
        <w:t>每个岗位都有专业人员。</w:t>
      </w:r>
    </w:p>
    <w:p>
      <w:pPr>
        <w:spacing w:after="0" w:line="494" w:lineRule="auto"/>
        <w:jc w:val="both"/>
        <w:sectPr>
          <w:pgSz w:w="11900" w:h="16840"/>
          <w:pgMar w:top="1420" w:right="80" w:bottom="1200" w:left="260" w:header="882" w:footer="1004" w:gutter="0"/>
          <w:cols w:space="720" w:num="1"/>
        </w:sectPr>
      </w:pPr>
    </w:p>
    <w:p>
      <w:pPr>
        <w:pStyle w:val="7"/>
        <w:spacing w:before="9"/>
      </w:pPr>
    </w:p>
    <w:p>
      <w:pPr>
        <w:pStyle w:val="7"/>
        <w:ind w:left="1852"/>
        <w:rPr>
          <w:sz w:val="20"/>
        </w:rPr>
      </w:pPr>
      <w:r>
        <w:rPr>
          <w:sz w:val="20"/>
        </w:rPr>
        <w:drawing>
          <wp:inline distT="0" distB="0" distL="0" distR="0">
            <wp:extent cx="4838700" cy="7052945"/>
            <wp:effectExtent l="0" t="0" r="0" b="0"/>
            <wp:docPr id="31"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jpeg"/>
                    <pic:cNvPicPr>
                      <a:picLocks noChangeAspect="1"/>
                    </pic:cNvPicPr>
                  </pic:nvPicPr>
                  <pic:blipFill>
                    <a:blip r:embed="rId42" cstate="print"/>
                    <a:stretch>
                      <a:fillRect/>
                    </a:stretch>
                  </pic:blipFill>
                  <pic:spPr>
                    <a:xfrm>
                      <a:off x="0" y="0"/>
                      <a:ext cx="4839333" cy="7053072"/>
                    </a:xfrm>
                    <a:prstGeom prst="rect">
                      <a:avLst/>
                    </a:prstGeom>
                  </pic:spPr>
                </pic:pic>
              </a:graphicData>
            </a:graphic>
          </wp:inline>
        </w:drawing>
      </w:r>
    </w:p>
    <w:p>
      <w:pPr>
        <w:pStyle w:val="7"/>
        <w:rPr>
          <w:sz w:val="20"/>
        </w:rPr>
      </w:pPr>
    </w:p>
    <w:p>
      <w:pPr>
        <w:pStyle w:val="7"/>
        <w:rPr>
          <w:sz w:val="20"/>
        </w:rPr>
      </w:pPr>
    </w:p>
    <w:p>
      <w:pPr>
        <w:pStyle w:val="7"/>
        <w:spacing w:before="2"/>
        <w:rPr>
          <w:sz w:val="18"/>
        </w:rPr>
      </w:pPr>
    </w:p>
    <w:p>
      <w:pPr>
        <w:spacing w:before="0"/>
        <w:ind w:left="0" w:right="173" w:firstLine="0"/>
        <w:jc w:val="center"/>
        <w:rPr>
          <w:b/>
          <w:sz w:val="21"/>
        </w:rPr>
      </w:pPr>
      <w:r>
        <w:rPr>
          <w:b/>
          <w:sz w:val="21"/>
        </w:rPr>
        <w:t>图6.1-1 应急处置程序流程</w:t>
      </w:r>
    </w:p>
    <w:p>
      <w:pPr>
        <w:spacing w:after="0"/>
        <w:jc w:val="center"/>
        <w:rPr>
          <w:sz w:val="21"/>
        </w:rPr>
        <w:sectPr>
          <w:pgSz w:w="11900" w:h="16840"/>
          <w:pgMar w:top="1420" w:right="80" w:bottom="1200" w:left="260" w:header="882" w:footer="1004" w:gutter="0"/>
          <w:cols w:space="720" w:num="1"/>
        </w:sectPr>
      </w:pPr>
    </w:p>
    <w:p>
      <w:pPr>
        <w:pStyle w:val="5"/>
        <w:numPr>
          <w:ilvl w:val="1"/>
          <w:numId w:val="47"/>
        </w:numPr>
        <w:bidi w:val="0"/>
      </w:pPr>
      <w:bookmarkStart w:id="123" w:name="_bookmark29"/>
      <w:bookmarkEnd w:id="123"/>
      <w:bookmarkStart w:id="124" w:name="_bookmark29"/>
      <w:bookmarkEnd w:id="124"/>
      <w:bookmarkStart w:id="125" w:name="6.2 现场污染处置 "/>
      <w:bookmarkEnd w:id="125"/>
      <w:r>
        <w:t>现场污染处置</w:t>
      </w:r>
    </w:p>
    <w:p>
      <w:pPr>
        <w:pStyle w:val="7"/>
        <w:spacing w:before="163" w:line="494" w:lineRule="auto"/>
        <w:ind w:left="1540" w:right="1601" w:firstLine="561"/>
      </w:pPr>
      <w:r>
        <w:rPr>
          <w:spacing w:val="-7"/>
        </w:rPr>
        <w:t>公司立即采取关闭、停产、封堵、围挡、转移等措施，切断和控制污染源， 防止污染蔓延扩散。做好有毒有害物质等的收集、清理和安全处置工作。当涉事</w:t>
      </w:r>
      <w:r>
        <w:rPr>
          <w:spacing w:val="-13"/>
        </w:rPr>
        <w:t>企业事业单位或其他生产经营者不明时，由当地环境保护主管部门组织对污染来源开展调查，查明涉事单位，确定污染物种类和污染范围，切断污染源。</w:t>
      </w:r>
    </w:p>
    <w:p>
      <w:pPr>
        <w:pStyle w:val="7"/>
        <w:spacing w:before="6" w:line="494" w:lineRule="auto"/>
        <w:ind w:left="1540" w:right="1721" w:firstLine="561"/>
        <w:jc w:val="both"/>
      </w:pPr>
      <w:r>
        <w:t>事发地人民政府应组织制订综合治污方案，采用监测和模拟等手段追踪污</w:t>
      </w:r>
      <w:r>
        <w:rPr>
          <w:spacing w:val="-9"/>
        </w:rPr>
        <w:t>染气体扩散途径和范围；采取拦截、导流、疏浚等形式防止水体污染扩大；采取</w:t>
      </w:r>
      <w:r>
        <w:rPr>
          <w:spacing w:val="-12"/>
        </w:rPr>
        <w:t>隔离、吸附、中和、沉淀、消毒或临时建设污染处置工程等方法处置污染物。必</w:t>
      </w:r>
      <w:r>
        <w:t>要时，要求其他排污单位停产、限产、限排，减轻环境污染负荷。</w:t>
      </w:r>
    </w:p>
    <w:p>
      <w:pPr>
        <w:pStyle w:val="5"/>
        <w:numPr>
          <w:ilvl w:val="1"/>
          <w:numId w:val="47"/>
        </w:numPr>
        <w:bidi w:val="0"/>
      </w:pPr>
      <w:bookmarkStart w:id="126" w:name="_bookmark30"/>
      <w:bookmarkEnd w:id="126"/>
      <w:bookmarkStart w:id="127" w:name="_bookmark30"/>
      <w:bookmarkEnd w:id="127"/>
      <w:bookmarkStart w:id="128" w:name="6.3 医学救援 "/>
      <w:bookmarkEnd w:id="128"/>
      <w:r>
        <w:t>医学救援</w:t>
      </w:r>
    </w:p>
    <w:p>
      <w:pPr>
        <w:pStyle w:val="7"/>
        <w:spacing w:before="166" w:line="494" w:lineRule="auto"/>
        <w:ind w:left="1540" w:right="1721" w:firstLine="561"/>
        <w:jc w:val="both"/>
      </w:pPr>
      <w:r>
        <w:t>迅速组织当地医疗资源和力量，对伤病员进行诊断治疗，根据需要及时、</w:t>
      </w:r>
      <w:r>
        <w:rPr>
          <w:spacing w:val="-6"/>
        </w:rPr>
        <w:t>安全地将重症伤病员转运到有条件的医疗机构加强救治。指导和协助开展受污染</w:t>
      </w:r>
      <w:r>
        <w:rPr>
          <w:spacing w:val="-9"/>
        </w:rPr>
        <w:t>人员的去污洗消工作，提出保护公众健康的措施建议。视情增派医疗卫生专家和</w:t>
      </w:r>
      <w:r>
        <w:rPr>
          <w:spacing w:val="-10"/>
        </w:rPr>
        <w:t>卫生应急队伍、调配急需医药物资，支持事发地医学救援工作。做好受影响人员</w:t>
      </w:r>
      <w:r>
        <w:t>的心理援助。</w:t>
      </w:r>
    </w:p>
    <w:p>
      <w:pPr>
        <w:pStyle w:val="5"/>
        <w:numPr>
          <w:ilvl w:val="1"/>
          <w:numId w:val="47"/>
        </w:numPr>
        <w:bidi w:val="0"/>
      </w:pPr>
      <w:bookmarkStart w:id="129" w:name="6.4 市场监管和调控 "/>
      <w:bookmarkEnd w:id="129"/>
      <w:bookmarkStart w:id="130" w:name="_bookmark31"/>
      <w:bookmarkEnd w:id="130"/>
      <w:bookmarkStart w:id="131" w:name="_bookmark31"/>
      <w:bookmarkEnd w:id="131"/>
      <w:r>
        <w:t>市场监管和调控</w:t>
      </w:r>
    </w:p>
    <w:p>
      <w:pPr>
        <w:pStyle w:val="7"/>
        <w:spacing w:before="166" w:line="494" w:lineRule="auto"/>
        <w:ind w:left="1540" w:right="1721" w:firstLine="561"/>
        <w:jc w:val="both"/>
      </w:pPr>
      <w:r>
        <w:t>密切关注受事件影响地区市场供应情况及公众反应，加强对重要生活必需</w:t>
      </w:r>
      <w:r>
        <w:rPr>
          <w:spacing w:val="-6"/>
        </w:rPr>
        <w:t>品等商品的市场监管和调控。禁止或限制受污染食品和饮用水的生产、加工、流</w:t>
      </w:r>
      <w:r>
        <w:t>通和食用，防范因突发环境事件造成的集体中毒等。</w:t>
      </w:r>
    </w:p>
    <w:p>
      <w:pPr>
        <w:pStyle w:val="5"/>
        <w:numPr>
          <w:ilvl w:val="1"/>
          <w:numId w:val="47"/>
        </w:numPr>
        <w:bidi w:val="0"/>
      </w:pPr>
      <w:bookmarkStart w:id="132" w:name="_bookmark32"/>
      <w:bookmarkEnd w:id="132"/>
      <w:bookmarkStart w:id="133" w:name="_bookmark32"/>
      <w:bookmarkEnd w:id="133"/>
      <w:bookmarkStart w:id="134" w:name="6.5 信息发布和舆论引导 "/>
      <w:bookmarkEnd w:id="134"/>
      <w:r>
        <w:t>信息发布和舆论引导</w:t>
      </w:r>
    </w:p>
    <w:p>
      <w:pPr>
        <w:pStyle w:val="7"/>
        <w:spacing w:before="164" w:line="494" w:lineRule="auto"/>
        <w:ind w:left="1540" w:right="1601" w:firstLine="561"/>
      </w:pPr>
      <w:r>
        <w:t>通过政府授权发布、发新闻稿、接受记者采访、举行新闻发布会、组织专</w:t>
      </w:r>
      <w:r>
        <w:rPr>
          <w:spacing w:val="-15"/>
        </w:rPr>
        <w:t>家解读等方式，借助电视、广播、报纸、互联网等多种途径，主动、及时、准确、</w:t>
      </w:r>
      <w:r>
        <w:t>客观向社会发布突发环境事件和应对工作信息，回应社会关切，澄清不实信息，</w:t>
      </w:r>
    </w:p>
    <w:p>
      <w:pPr>
        <w:pStyle w:val="7"/>
        <w:spacing w:before="5"/>
        <w:rPr>
          <w:sz w:val="8"/>
        </w:rPr>
      </w:pPr>
    </w:p>
    <w:p>
      <w:pPr>
        <w:pStyle w:val="7"/>
        <w:spacing w:before="66"/>
        <w:ind w:left="1540"/>
      </w:pPr>
      <w:r>
        <w:t>正确引导社会舆论。信息发布内容包括事件原因、污染程度、影响范围、应对措</w:t>
      </w:r>
    </w:p>
    <w:p>
      <w:pPr>
        <w:pStyle w:val="7"/>
        <w:spacing w:before="6"/>
        <w:rPr>
          <w:sz w:val="25"/>
        </w:rPr>
      </w:pPr>
    </w:p>
    <w:p>
      <w:pPr>
        <w:pStyle w:val="7"/>
        <w:ind w:left="1540"/>
      </w:pPr>
      <w:r>
        <w:t>施、需要公众配合采取的措施、公众防范常识和事件调查处理进展情况等。</w:t>
      </w:r>
    </w:p>
    <w:p>
      <w:pPr>
        <w:pStyle w:val="5"/>
        <w:numPr>
          <w:ilvl w:val="1"/>
          <w:numId w:val="47"/>
        </w:numPr>
        <w:bidi w:val="0"/>
      </w:pPr>
      <w:bookmarkStart w:id="135" w:name="_bookmark33"/>
      <w:bookmarkEnd w:id="135"/>
      <w:bookmarkStart w:id="136" w:name="6.6 维护社会稳定 "/>
      <w:bookmarkEnd w:id="136"/>
      <w:bookmarkStart w:id="137" w:name="_bookmark33"/>
      <w:bookmarkEnd w:id="137"/>
      <w:r>
        <w:t>维护社会稳定</w:t>
      </w:r>
    </w:p>
    <w:p>
      <w:pPr>
        <w:pStyle w:val="7"/>
        <w:spacing w:before="167" w:line="494" w:lineRule="auto"/>
        <w:ind w:left="1540" w:right="1721" w:firstLine="561"/>
        <w:jc w:val="both"/>
      </w:pPr>
      <w:r>
        <w:t>加强受影响地区社会治安管理，严厉打击借机传播谣言制造社会恐慌、哄</w:t>
      </w:r>
      <w:r>
        <w:rPr>
          <w:spacing w:val="-1"/>
        </w:rPr>
        <w:t>抢救 灾物资等违法犯罪行为；加强转移人员安置点、救灾物资存放点等重点地</w:t>
      </w:r>
      <w:r>
        <w:rPr>
          <w:spacing w:val="-11"/>
        </w:rPr>
        <w:t>区治安管控；做好受影响人员与涉事单位、地方人民政府及有关部门矛盾纠纷化</w:t>
      </w:r>
      <w:r>
        <w:t>解和法律服 务工作，防止出现群体性事件，维护社会稳定。</w:t>
      </w:r>
    </w:p>
    <w:p>
      <w:pPr>
        <w:pStyle w:val="5"/>
        <w:numPr>
          <w:ilvl w:val="1"/>
          <w:numId w:val="47"/>
        </w:numPr>
        <w:bidi w:val="0"/>
      </w:pPr>
      <w:bookmarkStart w:id="138" w:name="_bookmark34"/>
      <w:bookmarkEnd w:id="138"/>
      <w:bookmarkStart w:id="139" w:name="6.7 应急终止"/>
      <w:bookmarkEnd w:id="139"/>
      <w:bookmarkStart w:id="140" w:name="_bookmark34"/>
      <w:bookmarkEnd w:id="140"/>
      <w:r>
        <w:t>应急终止</w:t>
      </w:r>
    </w:p>
    <w:p>
      <w:pPr>
        <w:pStyle w:val="19"/>
        <w:numPr>
          <w:ilvl w:val="2"/>
          <w:numId w:val="48"/>
        </w:numPr>
        <w:tabs>
          <w:tab w:val="left" w:pos="2265"/>
        </w:tabs>
        <w:spacing w:before="132" w:after="0" w:line="240" w:lineRule="auto"/>
        <w:ind w:left="2264" w:right="0" w:hanging="725"/>
        <w:jc w:val="left"/>
        <w:rPr>
          <w:b/>
          <w:sz w:val="24"/>
        </w:rPr>
      </w:pPr>
      <w:r>
        <w:rPr>
          <w:b/>
          <w:sz w:val="24"/>
        </w:rPr>
        <w:t>应急终止的条件</w:t>
      </w:r>
    </w:p>
    <w:p>
      <w:pPr>
        <w:pStyle w:val="19"/>
        <w:numPr>
          <w:ilvl w:val="3"/>
          <w:numId w:val="48"/>
        </w:numPr>
        <w:tabs>
          <w:tab w:val="left" w:pos="2463"/>
        </w:tabs>
        <w:spacing w:before="166" w:after="0" w:line="494" w:lineRule="auto"/>
        <w:ind w:left="1540" w:right="1721" w:firstLine="561"/>
        <w:jc w:val="left"/>
        <w:rPr>
          <w:sz w:val="24"/>
        </w:rPr>
      </w:pPr>
      <w:r>
        <w:rPr>
          <w:spacing w:val="-7"/>
          <w:sz w:val="24"/>
        </w:rPr>
        <w:t>事故现场得到控制，事故发生条件已经消除，事件所造成的危害已经消</w:t>
      </w:r>
      <w:r>
        <w:rPr>
          <w:sz w:val="24"/>
        </w:rPr>
        <w:t>除，无继发可能。</w:t>
      </w:r>
    </w:p>
    <w:p>
      <w:pPr>
        <w:pStyle w:val="19"/>
        <w:numPr>
          <w:ilvl w:val="3"/>
          <w:numId w:val="48"/>
        </w:numPr>
        <w:tabs>
          <w:tab w:val="left" w:pos="2463"/>
        </w:tabs>
        <w:spacing w:before="2" w:after="0" w:line="240" w:lineRule="auto"/>
        <w:ind w:left="2462" w:right="0" w:hanging="362"/>
        <w:jc w:val="left"/>
        <w:rPr>
          <w:sz w:val="24"/>
        </w:rPr>
      </w:pPr>
      <w:r>
        <w:rPr>
          <w:sz w:val="24"/>
        </w:rPr>
        <w:t>事故现场的各种专业应急处置行动已无继续的必要。</w:t>
      </w:r>
    </w:p>
    <w:p>
      <w:pPr>
        <w:pStyle w:val="7"/>
        <w:spacing w:before="6"/>
        <w:rPr>
          <w:sz w:val="25"/>
        </w:rPr>
      </w:pPr>
    </w:p>
    <w:p>
      <w:pPr>
        <w:pStyle w:val="19"/>
        <w:numPr>
          <w:ilvl w:val="3"/>
          <w:numId w:val="48"/>
        </w:numPr>
        <w:tabs>
          <w:tab w:val="left" w:pos="2463"/>
        </w:tabs>
        <w:spacing w:before="0" w:after="0" w:line="496" w:lineRule="auto"/>
        <w:ind w:left="1540" w:right="1721" w:firstLine="561"/>
        <w:jc w:val="left"/>
        <w:rPr>
          <w:sz w:val="24"/>
        </w:rPr>
      </w:pPr>
      <w:r>
        <w:rPr>
          <w:spacing w:val="-4"/>
          <w:sz w:val="24"/>
        </w:rPr>
        <w:t>已采取了必要的措施可以保护公众免受再次危害，并使事件可能引起的</w:t>
      </w:r>
      <w:r>
        <w:rPr>
          <w:sz w:val="24"/>
        </w:rPr>
        <w:t>中长期影响趋于合理和尽量低的水平。</w:t>
      </w:r>
    </w:p>
    <w:p>
      <w:pPr>
        <w:pStyle w:val="19"/>
        <w:numPr>
          <w:ilvl w:val="3"/>
          <w:numId w:val="48"/>
        </w:numPr>
        <w:tabs>
          <w:tab w:val="left" w:pos="2463"/>
        </w:tabs>
        <w:spacing w:before="0" w:after="0" w:line="304" w:lineRule="exact"/>
        <w:ind w:left="2462" w:right="0" w:hanging="362"/>
        <w:jc w:val="left"/>
        <w:rPr>
          <w:sz w:val="24"/>
        </w:rPr>
      </w:pPr>
      <w:r>
        <w:rPr>
          <w:sz w:val="24"/>
        </w:rPr>
        <w:t>污染源的泄漏或释放已降至规定限值以内。</w:t>
      </w:r>
    </w:p>
    <w:p>
      <w:pPr>
        <w:pStyle w:val="7"/>
        <w:spacing w:before="6"/>
        <w:rPr>
          <w:sz w:val="25"/>
        </w:rPr>
      </w:pPr>
    </w:p>
    <w:p>
      <w:pPr>
        <w:pStyle w:val="19"/>
        <w:numPr>
          <w:ilvl w:val="3"/>
          <w:numId w:val="48"/>
        </w:numPr>
        <w:tabs>
          <w:tab w:val="left" w:pos="2463"/>
        </w:tabs>
        <w:spacing w:before="0" w:after="0" w:line="240" w:lineRule="auto"/>
        <w:ind w:left="2462" w:right="0" w:hanging="362"/>
        <w:jc w:val="left"/>
        <w:rPr>
          <w:sz w:val="24"/>
        </w:rPr>
      </w:pPr>
      <w:r>
        <w:rPr>
          <w:spacing w:val="-5"/>
          <w:sz w:val="24"/>
        </w:rPr>
        <w:t>对事故现场进行全面系统的监测、检查、确认工作，确保事故现场的安</w:t>
      </w:r>
    </w:p>
    <w:p>
      <w:pPr>
        <w:pStyle w:val="7"/>
        <w:spacing w:before="8"/>
        <w:rPr>
          <w:sz w:val="25"/>
        </w:rPr>
      </w:pPr>
    </w:p>
    <w:p>
      <w:pPr>
        <w:pStyle w:val="7"/>
        <w:ind w:left="1540"/>
      </w:pPr>
      <w:r>
        <w:t>全。</w:t>
      </w:r>
    </w:p>
    <w:p>
      <w:pPr>
        <w:pStyle w:val="7"/>
        <w:spacing w:before="6"/>
        <w:rPr>
          <w:sz w:val="25"/>
        </w:rPr>
      </w:pPr>
    </w:p>
    <w:p>
      <w:pPr>
        <w:pStyle w:val="19"/>
        <w:numPr>
          <w:ilvl w:val="3"/>
          <w:numId w:val="48"/>
        </w:numPr>
        <w:tabs>
          <w:tab w:val="left" w:pos="2467"/>
        </w:tabs>
        <w:spacing w:before="0" w:after="0" w:line="494" w:lineRule="auto"/>
        <w:ind w:left="1540" w:right="1721" w:firstLine="561"/>
        <w:jc w:val="left"/>
        <w:rPr>
          <w:sz w:val="24"/>
        </w:rPr>
      </w:pPr>
      <w:r>
        <w:rPr>
          <w:spacing w:val="3"/>
          <w:sz w:val="24"/>
        </w:rPr>
        <w:t>对现场救援队伍、现场作业人员以及现场可能存在的人员进行清查核实，确保无一人遗漏。</w:t>
      </w:r>
    </w:p>
    <w:p>
      <w:pPr>
        <w:pStyle w:val="19"/>
        <w:numPr>
          <w:ilvl w:val="2"/>
          <w:numId w:val="48"/>
        </w:numPr>
        <w:tabs>
          <w:tab w:val="left" w:pos="2265"/>
        </w:tabs>
        <w:spacing w:before="0" w:after="0" w:line="277" w:lineRule="exact"/>
        <w:ind w:left="2264" w:right="0" w:hanging="725"/>
        <w:jc w:val="left"/>
        <w:rPr>
          <w:b/>
          <w:sz w:val="24"/>
        </w:rPr>
      </w:pPr>
      <w:r>
        <w:rPr>
          <w:b/>
          <w:sz w:val="24"/>
        </w:rPr>
        <w:t>应急终止的程序</w:t>
      </w:r>
    </w:p>
    <w:p>
      <w:pPr>
        <w:pStyle w:val="19"/>
        <w:numPr>
          <w:ilvl w:val="3"/>
          <w:numId w:val="48"/>
        </w:numPr>
        <w:tabs>
          <w:tab w:val="left" w:pos="2463"/>
        </w:tabs>
        <w:spacing w:before="165" w:after="0" w:line="240" w:lineRule="auto"/>
        <w:ind w:left="2462" w:right="0" w:hanging="362"/>
        <w:jc w:val="left"/>
        <w:rPr>
          <w:sz w:val="24"/>
        </w:rPr>
      </w:pPr>
      <w:r>
        <w:rPr>
          <w:sz w:val="24"/>
        </w:rPr>
        <w:t>应急指挥部确认终止时机。</w:t>
      </w:r>
    </w:p>
    <w:p>
      <w:pPr>
        <w:pStyle w:val="7"/>
        <w:spacing w:before="6"/>
        <w:rPr>
          <w:sz w:val="25"/>
        </w:rPr>
      </w:pPr>
    </w:p>
    <w:p>
      <w:pPr>
        <w:pStyle w:val="19"/>
        <w:numPr>
          <w:ilvl w:val="3"/>
          <w:numId w:val="48"/>
        </w:numPr>
        <w:tabs>
          <w:tab w:val="left" w:pos="2463"/>
        </w:tabs>
        <w:spacing w:before="0" w:after="0" w:line="240" w:lineRule="auto"/>
        <w:ind w:left="2462" w:right="0" w:hanging="362"/>
        <w:jc w:val="left"/>
        <w:rPr>
          <w:sz w:val="24"/>
        </w:rPr>
      </w:pPr>
      <w:r>
        <w:rPr>
          <w:sz w:val="24"/>
        </w:rPr>
        <w:t>应急指挥部向所属各专业应急救援队伍下达应急终止命令。</w:t>
      </w:r>
    </w:p>
    <w:p>
      <w:pPr>
        <w:pStyle w:val="7"/>
        <w:spacing w:before="8"/>
        <w:rPr>
          <w:sz w:val="25"/>
        </w:rPr>
      </w:pPr>
    </w:p>
    <w:p>
      <w:pPr>
        <w:pStyle w:val="19"/>
        <w:numPr>
          <w:ilvl w:val="2"/>
          <w:numId w:val="48"/>
        </w:numPr>
        <w:tabs>
          <w:tab w:val="left" w:pos="2827"/>
        </w:tabs>
        <w:spacing w:before="0" w:after="0" w:line="240" w:lineRule="auto"/>
        <w:ind w:left="2826" w:right="0" w:hanging="726"/>
        <w:jc w:val="left"/>
        <w:rPr>
          <w:b/>
          <w:sz w:val="24"/>
        </w:rPr>
      </w:pPr>
      <w:r>
        <w:rPr>
          <w:b/>
          <w:sz w:val="24"/>
        </w:rPr>
        <w:t>应急终止后的行动</w:t>
      </w:r>
    </w:p>
    <w:p>
      <w:pPr>
        <w:pStyle w:val="7"/>
        <w:spacing w:before="5"/>
        <w:rPr>
          <w:b/>
          <w:sz w:val="8"/>
        </w:rPr>
      </w:pPr>
    </w:p>
    <w:p>
      <w:pPr>
        <w:pStyle w:val="19"/>
        <w:numPr>
          <w:ilvl w:val="0"/>
          <w:numId w:val="49"/>
        </w:numPr>
        <w:tabs>
          <w:tab w:val="left" w:pos="2463"/>
        </w:tabs>
        <w:spacing w:before="66" w:after="0" w:line="494" w:lineRule="auto"/>
        <w:ind w:left="1540" w:right="1656" w:firstLine="561"/>
        <w:jc w:val="left"/>
        <w:rPr>
          <w:sz w:val="24"/>
        </w:rPr>
      </w:pPr>
      <w:r>
        <w:rPr>
          <w:spacing w:val="-1"/>
          <w:sz w:val="24"/>
        </w:rPr>
        <w:t xml:space="preserve">应急状态终止后，根据实际需要继续进行环境监测、评价和治理工作， </w:t>
      </w:r>
      <w:r>
        <w:rPr>
          <w:sz w:val="24"/>
        </w:rPr>
        <w:t>直至其他补救或恢复措施无须继续进行为止。</w:t>
      </w:r>
    </w:p>
    <w:p>
      <w:pPr>
        <w:pStyle w:val="19"/>
        <w:numPr>
          <w:ilvl w:val="0"/>
          <w:numId w:val="49"/>
        </w:numPr>
        <w:tabs>
          <w:tab w:val="left" w:pos="2463"/>
        </w:tabs>
        <w:spacing w:before="3" w:after="0" w:line="240" w:lineRule="auto"/>
        <w:ind w:left="2462" w:right="0" w:hanging="362"/>
        <w:jc w:val="left"/>
        <w:rPr>
          <w:sz w:val="24"/>
        </w:rPr>
      </w:pPr>
      <w:r>
        <w:rPr>
          <w:sz w:val="24"/>
        </w:rPr>
        <w:t>通知各部门、车间以及附近居民危险事故已经得到消除。</w:t>
      </w:r>
    </w:p>
    <w:p>
      <w:pPr>
        <w:pStyle w:val="7"/>
        <w:spacing w:before="6"/>
        <w:rPr>
          <w:sz w:val="25"/>
        </w:rPr>
      </w:pPr>
    </w:p>
    <w:p>
      <w:pPr>
        <w:pStyle w:val="19"/>
        <w:numPr>
          <w:ilvl w:val="0"/>
          <w:numId w:val="49"/>
        </w:numPr>
        <w:tabs>
          <w:tab w:val="left" w:pos="2463"/>
        </w:tabs>
        <w:spacing w:before="0" w:after="0" w:line="494" w:lineRule="auto"/>
        <w:ind w:left="2101" w:right="1656" w:firstLine="0"/>
        <w:jc w:val="left"/>
        <w:rPr>
          <w:sz w:val="24"/>
        </w:rPr>
      </w:pPr>
      <w:r>
        <w:rPr>
          <w:spacing w:val="-1"/>
          <w:sz w:val="24"/>
        </w:rPr>
        <w:t>对现场中暴露的工作人员、应急行动人员和受污染设备进行清洁净化。</w:t>
      </w:r>
      <w:r>
        <w:rPr>
          <w:sz w:val="24"/>
        </w:rPr>
        <w:t>(4)对于环境事故发生的起因、过程和结果向有关部门做详细报告。</w:t>
      </w:r>
    </w:p>
    <w:p>
      <w:pPr>
        <w:pStyle w:val="19"/>
        <w:numPr>
          <w:ilvl w:val="0"/>
          <w:numId w:val="50"/>
        </w:numPr>
        <w:tabs>
          <w:tab w:val="left" w:pos="2463"/>
        </w:tabs>
        <w:spacing w:before="3" w:after="0" w:line="494" w:lineRule="auto"/>
        <w:ind w:left="1540" w:right="1721" w:firstLine="561"/>
        <w:jc w:val="left"/>
        <w:rPr>
          <w:sz w:val="24"/>
        </w:rPr>
      </w:pPr>
      <w:r>
        <w:rPr>
          <w:spacing w:val="-5"/>
          <w:sz w:val="24"/>
        </w:rPr>
        <w:t>全力配合事故调查小组进行事故调查，提供事故详细情况说明以及各项</w:t>
      </w:r>
      <w:r>
        <w:rPr>
          <w:sz w:val="24"/>
        </w:rPr>
        <w:t>监测数据等。</w:t>
      </w:r>
    </w:p>
    <w:p>
      <w:pPr>
        <w:pStyle w:val="19"/>
        <w:numPr>
          <w:ilvl w:val="0"/>
          <w:numId w:val="50"/>
        </w:numPr>
        <w:tabs>
          <w:tab w:val="left" w:pos="2463"/>
        </w:tabs>
        <w:spacing w:before="0" w:after="0" w:line="496" w:lineRule="auto"/>
        <w:ind w:left="1540" w:right="1721" w:firstLine="561"/>
        <w:jc w:val="left"/>
        <w:rPr>
          <w:sz w:val="24"/>
        </w:rPr>
      </w:pPr>
      <w:r>
        <w:rPr>
          <w:spacing w:val="-8"/>
          <w:sz w:val="24"/>
        </w:rPr>
        <w:t>弄清事故发生的原因，调查事故造成的损失并明确各部门和人员应当承</w:t>
      </w:r>
      <w:r>
        <w:rPr>
          <w:sz w:val="24"/>
        </w:rPr>
        <w:t>担的责任。</w:t>
      </w:r>
    </w:p>
    <w:p>
      <w:pPr>
        <w:pStyle w:val="19"/>
        <w:numPr>
          <w:ilvl w:val="0"/>
          <w:numId w:val="50"/>
        </w:numPr>
        <w:tabs>
          <w:tab w:val="left" w:pos="2463"/>
        </w:tabs>
        <w:spacing w:before="0" w:after="0" w:line="496" w:lineRule="auto"/>
        <w:ind w:left="2101" w:right="2376" w:firstLine="0"/>
        <w:jc w:val="left"/>
        <w:rPr>
          <w:sz w:val="24"/>
        </w:rPr>
      </w:pPr>
      <w:r>
        <w:rPr>
          <w:spacing w:val="-1"/>
          <w:sz w:val="24"/>
        </w:rPr>
        <w:t>研究抢修和环境整治方案，消除潜在隐患，为恢复生产做准备。</w:t>
      </w:r>
      <w:r>
        <w:rPr>
          <w:sz w:val="24"/>
        </w:rPr>
        <w:t>(8)配合有关部门对突发环境事件的中长期环境影响进行评估。</w:t>
      </w:r>
    </w:p>
    <w:p>
      <w:pPr>
        <w:pStyle w:val="19"/>
        <w:numPr>
          <w:ilvl w:val="0"/>
          <w:numId w:val="51"/>
        </w:numPr>
        <w:tabs>
          <w:tab w:val="left" w:pos="2463"/>
        </w:tabs>
        <w:spacing w:before="0" w:after="0" w:line="494" w:lineRule="auto"/>
        <w:ind w:left="1540" w:right="1721" w:firstLine="561"/>
        <w:jc w:val="left"/>
        <w:rPr>
          <w:sz w:val="24"/>
        </w:rPr>
      </w:pPr>
      <w:r>
        <w:rPr>
          <w:spacing w:val="-7"/>
          <w:sz w:val="24"/>
        </w:rPr>
        <w:t>针对此次突发环境事件，总结经验教训，并对突发环境事件应急预案进</w:t>
      </w:r>
      <w:r>
        <w:rPr>
          <w:sz w:val="24"/>
        </w:rPr>
        <w:t>行完善和修订。</w:t>
      </w:r>
    </w:p>
    <w:p>
      <w:pPr>
        <w:pStyle w:val="19"/>
        <w:numPr>
          <w:ilvl w:val="0"/>
          <w:numId w:val="51"/>
        </w:numPr>
        <w:tabs>
          <w:tab w:val="left" w:pos="2583"/>
        </w:tabs>
        <w:spacing w:before="0" w:after="0" w:line="494" w:lineRule="auto"/>
        <w:ind w:left="2101" w:right="1721" w:firstLine="0"/>
        <w:jc w:val="left"/>
        <w:rPr>
          <w:sz w:val="24"/>
        </w:rPr>
      </w:pPr>
      <w:r>
        <w:rPr>
          <w:sz w:val="24"/>
        </w:rPr>
        <w:t>由各负责人维护、保养和补充相应的应急救援仪器、设备和物资。(11)接待相关部门的来访工作，对事故原因调查、处置方案等各类资料进</w:t>
      </w:r>
    </w:p>
    <w:p>
      <w:pPr>
        <w:pStyle w:val="7"/>
        <w:ind w:left="1540"/>
      </w:pPr>
      <w:r>
        <w:t>行整理存档。</w:t>
      </w:r>
    </w:p>
    <w:p>
      <w:pPr>
        <w:pStyle w:val="7"/>
        <w:spacing w:before="4"/>
        <w:rPr>
          <w:sz w:val="25"/>
        </w:rPr>
      </w:pPr>
    </w:p>
    <w:p>
      <w:pPr>
        <w:pStyle w:val="7"/>
        <w:spacing w:line="494" w:lineRule="auto"/>
        <w:ind w:left="1540" w:right="1721" w:firstLine="561"/>
      </w:pPr>
      <w:r>
        <w:t>(12)参加救援的部门和单位应认真核对参加救援人数，清点救援装备、器材； 核算救灾发生的费用；整理救援记录、图纸，写出救灾报告。</w:t>
      </w:r>
    </w:p>
    <w:p>
      <w:pPr>
        <w:spacing w:after="0" w:line="494" w:lineRule="auto"/>
        <w:sectPr>
          <w:footerReference r:id="rId16" w:type="default"/>
          <w:pgSz w:w="11900" w:h="16840"/>
          <w:pgMar w:top="1420" w:right="80" w:bottom="1200" w:left="260" w:header="882" w:footer="1004" w:gutter="0"/>
          <w:cols w:space="720" w:num="1"/>
        </w:sectPr>
      </w:pPr>
    </w:p>
    <w:p>
      <w:pPr>
        <w:pStyle w:val="4"/>
        <w:tabs>
          <w:tab w:val="left" w:pos="1679"/>
        </w:tabs>
      </w:pPr>
      <w:r>
        <w:t>第七章</w:t>
      </w:r>
      <w:r>
        <w:tab/>
      </w:r>
      <w:bookmarkStart w:id="141" w:name="_bookmark35"/>
      <w:bookmarkEnd w:id="141"/>
      <w:bookmarkStart w:id="142" w:name="第七章事故报告与通告 "/>
      <w:bookmarkEnd w:id="142"/>
      <w:r>
        <w:t>事故报告与通告</w:t>
      </w:r>
    </w:p>
    <w:p>
      <w:pPr>
        <w:pStyle w:val="7"/>
        <w:spacing w:before="1"/>
        <w:rPr>
          <w:sz w:val="34"/>
        </w:rPr>
      </w:pPr>
    </w:p>
    <w:p>
      <w:pPr>
        <w:pStyle w:val="5"/>
        <w:numPr>
          <w:ilvl w:val="1"/>
          <w:numId w:val="52"/>
        </w:numPr>
        <w:bidi w:val="0"/>
      </w:pPr>
      <w:bookmarkStart w:id="143" w:name="_bookmark36"/>
      <w:bookmarkEnd w:id="143"/>
      <w:bookmarkStart w:id="144" w:name="7.1 报告程序"/>
      <w:bookmarkEnd w:id="144"/>
      <w:bookmarkStart w:id="145" w:name="_bookmark36"/>
      <w:bookmarkEnd w:id="145"/>
      <w:r>
        <w:t>报告程序</w:t>
      </w:r>
    </w:p>
    <w:p>
      <w:pPr>
        <w:pStyle w:val="19"/>
        <w:numPr>
          <w:ilvl w:val="2"/>
          <w:numId w:val="52"/>
        </w:numPr>
        <w:tabs>
          <w:tab w:val="left" w:pos="2265"/>
        </w:tabs>
        <w:spacing w:before="132" w:after="0" w:line="240" w:lineRule="auto"/>
        <w:ind w:left="2264" w:right="0" w:hanging="725"/>
        <w:jc w:val="left"/>
        <w:rPr>
          <w:b/>
          <w:sz w:val="24"/>
        </w:rPr>
      </w:pPr>
      <w:r>
        <w:rPr>
          <w:b/>
          <w:sz w:val="24"/>
        </w:rPr>
        <w:t>企业内部报告程序</w:t>
      </w:r>
    </w:p>
    <w:p>
      <w:pPr>
        <w:pStyle w:val="7"/>
        <w:spacing w:before="166" w:line="494" w:lineRule="auto"/>
        <w:ind w:left="1540" w:right="1721" w:firstLine="561"/>
      </w:pPr>
      <w:r>
        <w:t>1</w:t>
      </w:r>
      <w:r>
        <w:rPr>
          <w:spacing w:val="-9"/>
        </w:rPr>
        <w:t>、当公司发生突发环境污染事故时，最早发现者和事故部门应立即报告工</w:t>
      </w:r>
      <w:r>
        <w:t>段、值班领导。</w:t>
      </w:r>
    </w:p>
    <w:p>
      <w:pPr>
        <w:pStyle w:val="7"/>
        <w:spacing w:before="2" w:line="494" w:lineRule="auto"/>
        <w:ind w:left="1540" w:right="1721" w:firstLine="561"/>
        <w:jc w:val="both"/>
      </w:pPr>
      <w:r>
        <w:t>2</w:t>
      </w:r>
      <w:r>
        <w:rPr>
          <w:spacing w:val="-9"/>
        </w:rPr>
        <w:t>、工段或值班领导接到报告后，应迅速通知有关部门，紧急行动查清事故</w:t>
      </w:r>
      <w:r>
        <w:rPr>
          <w:spacing w:val="-11"/>
        </w:rPr>
        <w:t>发生原因，报告应急救援指挥部，启动应急救援程序，通知救援队伍迅速赶赴事</w:t>
      </w:r>
      <w:r>
        <w:t>故现场。</w:t>
      </w:r>
    </w:p>
    <w:p>
      <w:pPr>
        <w:pStyle w:val="7"/>
        <w:spacing w:before="3" w:line="494" w:lineRule="auto"/>
        <w:ind w:left="1540" w:right="1721" w:firstLine="561"/>
      </w:pPr>
      <w:r>
        <w:t>3</w:t>
      </w:r>
      <w:r>
        <w:rPr>
          <w:spacing w:val="-9"/>
        </w:rPr>
        <w:t>、当班人员应迅速查明事故发生点，当班班长应当机立断采取措施，最大</w:t>
      </w:r>
      <w:r>
        <w:t>程度降低事故危害，组织自救。</w:t>
      </w:r>
    </w:p>
    <w:p>
      <w:pPr>
        <w:pStyle w:val="7"/>
        <w:spacing w:line="496" w:lineRule="auto"/>
        <w:ind w:left="1540" w:right="1718" w:firstLine="561"/>
      </w:pPr>
      <w:r>
        <w:t>4</w:t>
      </w:r>
      <w:r>
        <w:rPr>
          <w:spacing w:val="-9"/>
        </w:rPr>
        <w:t>、监测人员到达现场后，应迅速对事故现场的污染程度进行监测分析，将</w:t>
      </w:r>
      <w:r>
        <w:t>监测情况报告应急救援指挥部，并对污染情况作出评估；</w:t>
      </w:r>
    </w:p>
    <w:p>
      <w:pPr>
        <w:pStyle w:val="7"/>
        <w:spacing w:line="496" w:lineRule="auto"/>
        <w:ind w:left="1540" w:right="1721" w:firstLine="561"/>
      </w:pPr>
      <w:r>
        <w:t>5</w:t>
      </w:r>
      <w:r>
        <w:rPr>
          <w:spacing w:val="-9"/>
        </w:rPr>
        <w:t>、当事故得到控制，应尽快实现生产自救。由事故调查组负责写出事故分</w:t>
      </w:r>
      <w:r>
        <w:t>析报告，上报应急救援指挥部。</w:t>
      </w:r>
    </w:p>
    <w:p>
      <w:pPr>
        <w:pStyle w:val="19"/>
        <w:numPr>
          <w:ilvl w:val="2"/>
          <w:numId w:val="52"/>
        </w:numPr>
        <w:tabs>
          <w:tab w:val="left" w:pos="2265"/>
        </w:tabs>
        <w:spacing w:before="0" w:after="0" w:line="270" w:lineRule="exact"/>
        <w:ind w:left="2264" w:right="0" w:hanging="725"/>
        <w:jc w:val="left"/>
        <w:rPr>
          <w:b/>
          <w:sz w:val="24"/>
        </w:rPr>
      </w:pPr>
      <w:r>
        <w:rPr>
          <w:b/>
          <w:sz w:val="24"/>
        </w:rPr>
        <w:t>外部报告时限及程序</w:t>
      </w:r>
    </w:p>
    <w:p>
      <w:pPr>
        <w:pStyle w:val="7"/>
        <w:spacing w:before="162" w:line="496" w:lineRule="auto"/>
        <w:ind w:left="1540" w:right="1598" w:firstLine="561"/>
      </w:pPr>
      <w:r>
        <w:t>突发性环境污染事故责任部门和责任人以及负有监管责任的部门发现突发</w:t>
      </w:r>
      <w:r>
        <w:rPr>
          <w:spacing w:val="-6"/>
        </w:rPr>
        <w:t>性 环境污染事故后，应在</w:t>
      </w:r>
      <w:r>
        <w:t>2</w:t>
      </w:r>
      <w:r>
        <w:rPr>
          <w:spacing w:val="-3"/>
        </w:rPr>
        <w:t>小时内向所在地县级及以上人民政府报告，同时向上</w:t>
      </w:r>
      <w:r>
        <w:rPr>
          <w:spacing w:val="-16"/>
        </w:rPr>
        <w:t xml:space="preserve">一级相关主管部门报告，并立即组织进行现场调查。紧急情况下，可以越级上报， </w:t>
      </w:r>
      <w:r>
        <w:t>隐瞒不报将受到相应的行政处罚或刑事处罚。</w:t>
      </w:r>
    </w:p>
    <w:p>
      <w:pPr>
        <w:pStyle w:val="7"/>
        <w:spacing w:line="494" w:lineRule="auto"/>
        <w:ind w:left="1540" w:right="1721" w:firstLine="561"/>
      </w:pPr>
      <w:r>
        <w:t>对属于较大、重大突发环境污染事故要立即启动公司事故应急预案，需要</w:t>
      </w:r>
      <w:r>
        <w:rPr>
          <w:spacing w:val="-11"/>
        </w:rPr>
        <w:t>请求支援的，同时上报上级有关部门请求支援；总指挥指令指挥部应急办公室组</w:t>
      </w:r>
    </w:p>
    <w:p>
      <w:pPr>
        <w:spacing w:after="0" w:line="494" w:lineRule="auto"/>
        <w:sectPr>
          <w:pgSz w:w="11900" w:h="16840"/>
          <w:pgMar w:top="1420" w:right="80" w:bottom="1200" w:left="260" w:header="882" w:footer="1004" w:gutter="0"/>
          <w:cols w:space="720" w:num="1"/>
        </w:sectPr>
      </w:pPr>
    </w:p>
    <w:p>
      <w:pPr>
        <w:pStyle w:val="7"/>
        <w:spacing w:before="5"/>
        <w:rPr>
          <w:sz w:val="8"/>
        </w:rPr>
      </w:pPr>
    </w:p>
    <w:p>
      <w:pPr>
        <w:pStyle w:val="7"/>
        <w:spacing w:before="66" w:line="494" w:lineRule="auto"/>
        <w:ind w:left="1540" w:right="1721"/>
      </w:pPr>
      <w:r>
        <w:rPr>
          <w:spacing w:val="-10"/>
        </w:rPr>
        <w:t>织职员协助工作，必要时由总指挥和副总指挥赶赴现场，协助上级有关部门指挥</w:t>
      </w:r>
      <w:r>
        <w:t>应急处置工作。</w:t>
      </w:r>
    </w:p>
    <w:p>
      <w:pPr>
        <w:pStyle w:val="7"/>
        <w:spacing w:before="3" w:line="494" w:lineRule="auto"/>
        <w:ind w:left="1540" w:right="1721" w:firstLine="561"/>
        <w:jc w:val="both"/>
      </w:pPr>
      <w:r>
        <w:t>如事故的性质小于上述事故，在事故发生后及时通报可能受到污染危害的</w:t>
      </w:r>
      <w:r>
        <w:rPr>
          <w:spacing w:val="-7"/>
        </w:rPr>
        <w:t>单位和居民，并在事故发生后的</w:t>
      </w:r>
      <w:r>
        <w:t>24</w:t>
      </w:r>
      <w:r>
        <w:rPr>
          <w:spacing w:val="-5"/>
        </w:rPr>
        <w:t>小时内向当地环境保护部门报告，说明事故发</w:t>
      </w:r>
      <w:r>
        <w:rPr>
          <w:spacing w:val="-11"/>
        </w:rPr>
        <w:t>生的时间、地点、类型和排放污染物的种类、数量、经济损失、人员受害及应急</w:t>
      </w:r>
      <w:r>
        <w:rPr>
          <w:spacing w:val="-9"/>
        </w:rPr>
        <w:t>措施等情况的初步报告；事故查清后，应向当地环境保护部门做出事故发生的原</w:t>
      </w:r>
      <w:r>
        <w:rPr>
          <w:spacing w:val="-11"/>
        </w:rPr>
        <w:t>因、过程、危害、采取的措施、处理结果以及事故潜在危害或者间接危害、社会</w:t>
      </w:r>
      <w:r>
        <w:t>影响、遗留问题和防范措施等情况的书面报告，并附有关证明文件。</w:t>
      </w:r>
    </w:p>
    <w:p>
      <w:pPr>
        <w:pStyle w:val="5"/>
        <w:numPr>
          <w:ilvl w:val="1"/>
          <w:numId w:val="52"/>
        </w:numPr>
        <w:bidi w:val="0"/>
      </w:pPr>
      <w:bookmarkStart w:id="146" w:name="7.2 报告内容 "/>
      <w:bookmarkEnd w:id="146"/>
      <w:bookmarkStart w:id="147" w:name="_bookmark37"/>
      <w:bookmarkEnd w:id="147"/>
      <w:bookmarkStart w:id="148" w:name="_bookmark37"/>
      <w:bookmarkEnd w:id="148"/>
      <w:r>
        <w:t>报告内容</w:t>
      </w:r>
    </w:p>
    <w:p>
      <w:pPr>
        <w:pStyle w:val="19"/>
        <w:numPr>
          <w:ilvl w:val="2"/>
          <w:numId w:val="52"/>
        </w:numPr>
        <w:tabs>
          <w:tab w:val="left" w:pos="2265"/>
        </w:tabs>
        <w:spacing w:before="130" w:after="0" w:line="240" w:lineRule="auto"/>
        <w:ind w:left="2264" w:right="0" w:hanging="725"/>
        <w:jc w:val="left"/>
        <w:rPr>
          <w:b/>
          <w:sz w:val="24"/>
        </w:rPr>
      </w:pPr>
      <w:r>
        <w:rPr>
          <w:b/>
          <w:sz w:val="24"/>
        </w:rPr>
        <w:t>事故报告方式</w:t>
      </w:r>
    </w:p>
    <w:p>
      <w:pPr>
        <w:pStyle w:val="7"/>
        <w:spacing w:before="168" w:line="494" w:lineRule="auto"/>
        <w:ind w:left="1540" w:right="1721" w:firstLine="561"/>
        <w:jc w:val="both"/>
      </w:pPr>
      <w:r>
        <w:t>突发性环境污染事故的报告分为初报、续报和处理结果报告三类。初报从</w:t>
      </w:r>
      <w:r>
        <w:rPr>
          <w:spacing w:val="-6"/>
        </w:rPr>
        <w:t>发现事件后立即上报；</w:t>
      </w:r>
      <w:r>
        <w:rPr>
          <w:color w:val="0000FF"/>
        </w:rPr>
        <w:t>续报</w:t>
      </w:r>
      <w:r>
        <w:rPr>
          <w:spacing w:val="-5"/>
        </w:rPr>
        <w:t>在查清有关基本情况后随时上报；处理结果在事件处</w:t>
      </w:r>
      <w:r>
        <w:t>理完毕后立即上报。</w:t>
      </w:r>
    </w:p>
    <w:p>
      <w:pPr>
        <w:pStyle w:val="7"/>
        <w:spacing w:line="494" w:lineRule="auto"/>
        <w:ind w:left="1540" w:right="1656" w:firstLine="561"/>
        <w:jc w:val="both"/>
      </w:pPr>
      <w:r>
        <w:t>1</w:t>
      </w:r>
      <w:r>
        <w:rPr>
          <w:spacing w:val="-1"/>
        </w:rPr>
        <w:t>、初报可用电话直接报告，主要内容包括：环境事故的类型、发生时间、</w:t>
      </w:r>
      <w:r>
        <w:rPr>
          <w:spacing w:val="-10"/>
        </w:rPr>
        <w:t>地点、污染源，主要污染物质、人员受害情况、事件潜在危险程度、转化方式趋向等初步情况。</w:t>
      </w:r>
    </w:p>
    <w:p>
      <w:pPr>
        <w:pStyle w:val="7"/>
        <w:spacing w:before="6" w:line="494" w:lineRule="auto"/>
        <w:ind w:left="1540" w:right="1721" w:firstLine="561"/>
      </w:pPr>
      <w:r>
        <w:t>2</w:t>
      </w:r>
      <w:r>
        <w:rPr>
          <w:spacing w:val="-9"/>
        </w:rPr>
        <w:t>、确报可通过网络或书面报告，在初报的基础上报告有关确切数据，事件</w:t>
      </w:r>
      <w:r>
        <w:t>发生的原因、过程、进展情况及采取的应急措施等基本情况。</w:t>
      </w:r>
    </w:p>
    <w:p>
      <w:pPr>
        <w:pStyle w:val="7"/>
        <w:spacing w:before="2" w:line="494" w:lineRule="auto"/>
        <w:ind w:left="1540" w:right="1718" w:firstLine="561"/>
        <w:jc w:val="both"/>
      </w:pPr>
      <w:r>
        <w:t>3</w:t>
      </w:r>
      <w:r>
        <w:rPr>
          <w:spacing w:val="-9"/>
        </w:rPr>
        <w:t>、处理结果报告采用书面报告、处理结果报告在初报和续报的基础上，报告处理事件的措施、过程和结果，事件潜在或间接的危害、社会影响、处理后的</w:t>
      </w:r>
      <w:r>
        <w:rPr>
          <w:spacing w:val="-12"/>
        </w:rPr>
        <w:t>遗留问题，参加处理工作的有关部门和工作内容，出具有关危害与损失的证明文</w:t>
      </w:r>
      <w:r>
        <w:t>件等详细的情况。</w:t>
      </w:r>
    </w:p>
    <w:p>
      <w:pPr>
        <w:pStyle w:val="19"/>
        <w:numPr>
          <w:ilvl w:val="2"/>
          <w:numId w:val="52"/>
        </w:numPr>
        <w:tabs>
          <w:tab w:val="left" w:pos="2265"/>
        </w:tabs>
        <w:spacing w:before="140" w:after="0" w:line="369" w:lineRule="auto"/>
        <w:ind w:left="2101" w:right="7776" w:hanging="562"/>
        <w:jc w:val="left"/>
        <w:rPr>
          <w:sz w:val="24"/>
        </w:rPr>
      </w:pPr>
      <w:r>
        <w:rPr>
          <w:b/>
          <w:sz w:val="24"/>
        </w:rPr>
        <w:t>事故报告内容</w:t>
      </w:r>
      <w:r>
        <w:rPr>
          <w:spacing w:val="-3"/>
          <w:sz w:val="24"/>
        </w:rPr>
        <w:t>主要内容包括：</w:t>
      </w:r>
    </w:p>
    <w:p>
      <w:pPr>
        <w:pStyle w:val="7"/>
        <w:spacing w:before="160"/>
        <w:ind w:left="2101"/>
      </w:pPr>
      <w:r>
        <w:t>1、环境污染事故的类型、发生时间、发生地点、主要污染物质；</w:t>
      </w:r>
    </w:p>
    <w:p>
      <w:pPr>
        <w:pStyle w:val="7"/>
        <w:spacing w:before="8"/>
        <w:rPr>
          <w:sz w:val="25"/>
        </w:rPr>
      </w:pPr>
    </w:p>
    <w:p>
      <w:pPr>
        <w:pStyle w:val="7"/>
        <w:ind w:left="2101"/>
      </w:pPr>
      <w:r>
        <w:t>2、事故发生后人员受害情况(轻伤、重伤、死亡、受伤状况)；</w:t>
      </w:r>
    </w:p>
    <w:p>
      <w:pPr>
        <w:pStyle w:val="7"/>
        <w:spacing w:before="5"/>
        <w:rPr>
          <w:sz w:val="25"/>
        </w:rPr>
      </w:pPr>
    </w:p>
    <w:p>
      <w:pPr>
        <w:pStyle w:val="7"/>
        <w:spacing w:before="1"/>
        <w:ind w:left="2101"/>
      </w:pPr>
      <w:r>
        <w:t>3、事故潜在危害程度、转化方式趋向等初步情况：</w:t>
      </w:r>
    </w:p>
    <w:p>
      <w:pPr>
        <w:pStyle w:val="7"/>
        <w:spacing w:before="8"/>
        <w:rPr>
          <w:sz w:val="25"/>
        </w:rPr>
      </w:pPr>
    </w:p>
    <w:p>
      <w:pPr>
        <w:pStyle w:val="7"/>
        <w:ind w:left="2101"/>
      </w:pPr>
      <w:r>
        <w:t>4、事故发生的原因、过程、进展情况及采取的应急措施等基本情况。</w:t>
      </w:r>
    </w:p>
    <w:p>
      <w:pPr>
        <w:pStyle w:val="7"/>
        <w:spacing w:before="5"/>
        <w:rPr>
          <w:sz w:val="25"/>
        </w:rPr>
      </w:pPr>
    </w:p>
    <w:p>
      <w:pPr>
        <w:pStyle w:val="7"/>
        <w:spacing w:before="1" w:line="494" w:lineRule="auto"/>
        <w:ind w:left="1540" w:right="1721" w:firstLine="561"/>
      </w:pPr>
      <w:r>
        <w:t>5</w:t>
      </w:r>
      <w:r>
        <w:rPr>
          <w:spacing w:val="-8"/>
        </w:rPr>
        <w:t>、自然保护区受害面积和濒危特种生存环境受到破坏程度，事件潜在程度</w:t>
      </w:r>
      <w:r>
        <w:t>等内容。</w:t>
      </w:r>
    </w:p>
    <w:p>
      <w:pPr>
        <w:pStyle w:val="5"/>
        <w:numPr>
          <w:ilvl w:val="1"/>
          <w:numId w:val="52"/>
        </w:numPr>
        <w:bidi w:val="0"/>
      </w:pPr>
      <w:bookmarkStart w:id="149" w:name="_bookmark38"/>
      <w:bookmarkEnd w:id="149"/>
      <w:bookmarkStart w:id="150" w:name="_bookmark38"/>
      <w:bookmarkEnd w:id="150"/>
      <w:bookmarkStart w:id="151" w:name="7.3 通报可能影响的区域 "/>
      <w:bookmarkEnd w:id="151"/>
      <w:r>
        <w:t>通报可能影响的区域</w:t>
      </w:r>
    </w:p>
    <w:p>
      <w:pPr>
        <w:pStyle w:val="7"/>
        <w:spacing w:before="166" w:line="494" w:lineRule="auto"/>
        <w:ind w:left="1540" w:right="1601" w:firstLine="561"/>
      </w:pPr>
      <w:r>
        <w:t>总指挥根据现场应急情况，及时发现事故可能影响企业周边村庄居民的安</w:t>
      </w:r>
      <w:r>
        <w:rPr>
          <w:spacing w:val="-9"/>
        </w:rPr>
        <w:t>全时，由办公室主任与周边村委紧急联系，通报当前污染事故的状况，通知群众</w:t>
      </w:r>
      <w:r>
        <w:rPr>
          <w:spacing w:val="-12"/>
        </w:rPr>
        <w:t xml:space="preserve">做好 应急疏散准备，听候应急救援指挥的指令，并强调在撤离过程中注意事项， </w:t>
      </w:r>
      <w:r>
        <w:t>积极组织群众开展自救和互救。</w:t>
      </w:r>
    </w:p>
    <w:p>
      <w:pPr>
        <w:pStyle w:val="5"/>
        <w:numPr>
          <w:ilvl w:val="1"/>
          <w:numId w:val="52"/>
        </w:numPr>
        <w:bidi w:val="0"/>
      </w:pPr>
      <w:bookmarkStart w:id="152" w:name="_bookmark39"/>
      <w:bookmarkEnd w:id="152"/>
      <w:bookmarkStart w:id="153" w:name="7.4 二十四小时报警 "/>
      <w:bookmarkEnd w:id="153"/>
      <w:bookmarkStart w:id="154" w:name="_bookmark39"/>
      <w:bookmarkEnd w:id="154"/>
      <w:r>
        <w:t>二十四小时报警</w:t>
      </w:r>
    </w:p>
    <w:p>
      <w:pPr>
        <w:pStyle w:val="7"/>
        <w:spacing w:before="166" w:line="494" w:lineRule="auto"/>
        <w:ind w:left="1540" w:right="1721" w:firstLine="561"/>
        <w:jc w:val="both"/>
      </w:pPr>
      <w:r>
        <w:t>在灾害发生时，通讯报警也十分重要，有效的通讯网络可以使灾害现场及</w:t>
      </w:r>
      <w:r>
        <w:rPr>
          <w:spacing w:val="-8"/>
        </w:rPr>
        <w:t>时与外界取得联系，使外界及时了解和掌握灾害的基本情况，进而采取措施，对</w:t>
      </w:r>
      <w:r>
        <w:rPr>
          <w:spacing w:val="-11"/>
        </w:rPr>
        <w:t>灾区进行救助。此外，通畅的通讯网络还有利于协调各方的行动，使救灾过程有</w:t>
      </w:r>
      <w:r>
        <w:t>条不紊。</w:t>
      </w:r>
    </w:p>
    <w:p>
      <w:pPr>
        <w:pStyle w:val="7"/>
        <w:spacing w:before="3"/>
        <w:ind w:left="2101"/>
      </w:pPr>
      <w:r>
        <w:t>通信系统有这样几个层次：</w:t>
      </w:r>
    </w:p>
    <w:p>
      <w:pPr>
        <w:pStyle w:val="7"/>
        <w:spacing w:before="8"/>
        <w:rPr>
          <w:sz w:val="25"/>
        </w:rPr>
      </w:pPr>
    </w:p>
    <w:p>
      <w:pPr>
        <w:pStyle w:val="7"/>
        <w:ind w:left="2101"/>
      </w:pPr>
      <w:r>
        <w:t>1、现场与上级救援中心或救援指挥中心的通信；</w:t>
      </w:r>
    </w:p>
    <w:p>
      <w:pPr>
        <w:pStyle w:val="7"/>
        <w:spacing w:before="5"/>
        <w:rPr>
          <w:sz w:val="25"/>
        </w:rPr>
      </w:pPr>
    </w:p>
    <w:p>
      <w:pPr>
        <w:pStyle w:val="7"/>
        <w:spacing w:before="1"/>
        <w:ind w:left="2101"/>
      </w:pPr>
      <w:r>
        <w:t>2、现场与当地救援中心或救援指挥中心的通信。</w:t>
      </w:r>
    </w:p>
    <w:p>
      <w:pPr>
        <w:pStyle w:val="7"/>
        <w:spacing w:before="12"/>
        <w:rPr>
          <w:sz w:val="18"/>
        </w:rPr>
      </w:pPr>
    </w:p>
    <w:p>
      <w:pPr>
        <w:pStyle w:val="5"/>
        <w:numPr>
          <w:ilvl w:val="1"/>
          <w:numId w:val="52"/>
        </w:numPr>
        <w:bidi w:val="0"/>
      </w:pPr>
      <w:bookmarkStart w:id="155" w:name="7.5 被报告人及联系方式 "/>
      <w:bookmarkEnd w:id="155"/>
      <w:bookmarkStart w:id="156" w:name="_bookmark40"/>
      <w:bookmarkEnd w:id="156"/>
      <w:bookmarkStart w:id="157" w:name="_bookmark40"/>
      <w:bookmarkEnd w:id="157"/>
      <w:r>
        <w:t>被报告人及联系方式</w:t>
      </w:r>
    </w:p>
    <w:p>
      <w:pPr>
        <w:pStyle w:val="19"/>
        <w:numPr>
          <w:ilvl w:val="2"/>
          <w:numId w:val="52"/>
        </w:numPr>
        <w:tabs>
          <w:tab w:val="left" w:pos="2505"/>
        </w:tabs>
        <w:spacing w:before="31" w:after="0" w:line="240" w:lineRule="auto"/>
        <w:ind w:left="2504" w:right="0" w:hanging="965"/>
        <w:jc w:val="left"/>
        <w:rPr>
          <w:b/>
          <w:sz w:val="32"/>
        </w:rPr>
      </w:pPr>
      <w:r>
        <w:rPr>
          <w:b/>
          <w:sz w:val="32"/>
        </w:rPr>
        <w:t>报警装置</w:t>
      </w:r>
    </w:p>
    <w:p>
      <w:pPr>
        <w:pStyle w:val="7"/>
        <w:spacing w:before="5"/>
        <w:rPr>
          <w:b/>
          <w:sz w:val="8"/>
        </w:rPr>
      </w:pPr>
    </w:p>
    <w:p>
      <w:pPr>
        <w:pStyle w:val="7"/>
        <w:spacing w:before="66" w:line="494" w:lineRule="auto"/>
        <w:ind w:left="1540" w:right="1601" w:firstLine="561"/>
      </w:pPr>
      <w:r>
        <w:rPr>
          <w:spacing w:val="8"/>
        </w:rPr>
        <w:t>公司内突发环境污染事故报警方式采用内部电话和外部电话线路进行报</w:t>
      </w:r>
      <w:r>
        <w:t>警，由 指挥中心根据事态情况向公司内部发布事故消息，做出紧急疏散和撤离</w:t>
      </w:r>
      <w:r>
        <w:rPr>
          <w:spacing w:val="-11"/>
        </w:rPr>
        <w:t>等警报。需要向社会和周边发布警报时，由指挥中心人员向政府以及周边单位发</w:t>
      </w:r>
      <w:r>
        <w:rPr>
          <w:spacing w:val="-18"/>
        </w:rPr>
        <w:t xml:space="preserve">送警报消息。事态严重紧急时，通过指挥中心直接联系政府以及周边单位负责人， </w:t>
      </w:r>
      <w:r>
        <w:rPr>
          <w:spacing w:val="-5"/>
        </w:rPr>
        <w:t>由指挥中心亲自向政府或负责人发布消息，提出要求组织撤离或者请求援助，随</w:t>
      </w:r>
    </w:p>
    <w:p>
      <w:pPr>
        <w:pStyle w:val="7"/>
        <w:spacing w:before="6"/>
        <w:ind w:left="1540"/>
      </w:pPr>
      <w:r>
        <w:t>时保持电话联系。</w:t>
      </w:r>
    </w:p>
    <w:p>
      <w:pPr>
        <w:pStyle w:val="19"/>
        <w:numPr>
          <w:ilvl w:val="2"/>
          <w:numId w:val="52"/>
        </w:numPr>
        <w:tabs>
          <w:tab w:val="left" w:pos="2505"/>
        </w:tabs>
        <w:spacing w:before="191" w:after="0" w:line="240" w:lineRule="auto"/>
        <w:ind w:left="2504" w:right="0" w:hanging="965"/>
        <w:jc w:val="left"/>
        <w:rPr>
          <w:b/>
          <w:sz w:val="32"/>
        </w:rPr>
      </w:pPr>
      <w:r>
        <w:rPr>
          <w:b/>
          <w:sz w:val="32"/>
        </w:rPr>
        <w:t>通讯联络方式</w:t>
      </w:r>
    </w:p>
    <w:tbl>
      <w:tblPr>
        <w:tblStyle w:val="15"/>
        <w:tblW w:w="8245" w:type="dxa"/>
        <w:jc w:val="center"/>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4537"/>
        <w:gridCol w:w="2933"/>
      </w:tblGrid>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rPr>
            </w:pPr>
            <w:r>
              <w:rPr>
                <w:rFonts w:hint="eastAsia" w:ascii="宋体" w:hAnsi="宋体"/>
                <w:kern w:val="2"/>
                <w:szCs w:val="21"/>
              </w:rPr>
              <w:t>1</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default" w:ascii="Times New Roman" w:hAnsi="Times New Roman" w:cs="Times New Roman"/>
                <w:kern w:val="2"/>
                <w:sz w:val="24"/>
                <w:szCs w:val="24"/>
              </w:rPr>
              <w:t>宜春市应急管理局</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default" w:ascii="Times New Roman" w:hAnsi="Times New Roman" w:cs="Times New Roman"/>
                <w:kern w:val="2"/>
                <w:sz w:val="24"/>
                <w:szCs w:val="24"/>
              </w:rPr>
              <w:t>0795-3590918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rPr>
            </w:pPr>
            <w:r>
              <w:rPr>
                <w:rFonts w:hint="eastAsia" w:ascii="宋体" w:hAnsi="宋体"/>
                <w:kern w:val="2"/>
                <w:szCs w:val="21"/>
              </w:rPr>
              <w:t>2</w:t>
            </w:r>
          </w:p>
        </w:tc>
        <w:tc>
          <w:tcPr>
            <w:tcW w:w="4537"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kern w:val="2"/>
                <w:szCs w:val="21"/>
                <w:lang w:eastAsia="zh-CN"/>
              </w:rPr>
            </w:pPr>
            <w:r>
              <w:rPr>
                <w:rFonts w:hint="default" w:ascii="Times New Roman" w:hAnsi="Times New Roman" w:cs="Times New Roman"/>
                <w:kern w:val="2"/>
                <w:sz w:val="24"/>
                <w:szCs w:val="24"/>
              </w:rPr>
              <w:t>宜春市生态环境局</w:t>
            </w:r>
          </w:p>
        </w:tc>
        <w:tc>
          <w:tcPr>
            <w:tcW w:w="2933"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kern w:val="2"/>
                <w:szCs w:val="21"/>
                <w:lang w:eastAsia="zh-CN"/>
              </w:rPr>
            </w:pPr>
            <w:r>
              <w:rPr>
                <w:rFonts w:hint="default" w:ascii="Times New Roman" w:hAnsi="Times New Roman" w:cs="Times New Roman"/>
                <w:kern w:val="2"/>
                <w:sz w:val="24"/>
                <w:szCs w:val="24"/>
              </w:rPr>
              <w:t>0795-3998865</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rPr>
            </w:pPr>
            <w:r>
              <w:rPr>
                <w:rFonts w:hint="eastAsia" w:ascii="宋体" w:hAnsi="宋体"/>
                <w:kern w:val="2"/>
                <w:szCs w:val="21"/>
              </w:rPr>
              <w:t>3</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宜春市安全生产应急救援</w:t>
            </w:r>
          </w:p>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default" w:ascii="Times New Roman" w:hAnsi="Times New Roman" w:cs="Times New Roman"/>
                <w:kern w:val="2"/>
                <w:sz w:val="24"/>
                <w:szCs w:val="24"/>
              </w:rPr>
              <w:t>指挥中心</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default" w:ascii="Times New Roman" w:hAnsi="Times New Roman" w:cs="Times New Roman"/>
                <w:kern w:val="2"/>
                <w:sz w:val="24"/>
                <w:szCs w:val="24"/>
              </w:rPr>
              <w:t>0795-3562731</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rPr>
            </w:pPr>
            <w:r>
              <w:rPr>
                <w:rFonts w:hint="eastAsia" w:ascii="宋体" w:hAnsi="宋体"/>
                <w:kern w:val="2"/>
                <w:szCs w:val="21"/>
              </w:rPr>
              <w:t>4</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eastAsia" w:cs="Times New Roman"/>
                <w:kern w:val="2"/>
                <w:sz w:val="24"/>
                <w:szCs w:val="24"/>
                <w:lang w:eastAsia="zh-CN"/>
              </w:rPr>
              <w:t>丰城市</w:t>
            </w:r>
            <w:r>
              <w:rPr>
                <w:rFonts w:hint="eastAsia" w:ascii="Times New Roman" w:hAnsi="Times New Roman" w:cs="Times New Roman"/>
                <w:kern w:val="2"/>
                <w:sz w:val="24"/>
                <w:szCs w:val="24"/>
                <w:lang w:eastAsia="zh-CN"/>
              </w:rPr>
              <w:t>应急管理局</w:t>
            </w:r>
          </w:p>
        </w:tc>
        <w:tc>
          <w:tcPr>
            <w:tcW w:w="2933"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kern w:val="2"/>
                <w:szCs w:val="21"/>
                <w:lang w:eastAsia="zh-CN"/>
              </w:rPr>
            </w:pPr>
            <w:r>
              <w:rPr>
                <w:rFonts w:hint="eastAsia" w:cs="Times New Roman"/>
                <w:kern w:val="2"/>
                <w:sz w:val="24"/>
                <w:szCs w:val="24"/>
                <w:lang w:eastAsia="zh-CN"/>
              </w:rPr>
              <w:t>0795-6298179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rPr>
            </w:pPr>
            <w:r>
              <w:rPr>
                <w:rFonts w:hint="eastAsia" w:ascii="宋体" w:hAnsi="宋体"/>
                <w:kern w:val="2"/>
                <w:szCs w:val="21"/>
              </w:rPr>
              <w:t>5</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eastAsia" w:cs="Times New Roman"/>
                <w:kern w:val="2"/>
                <w:sz w:val="24"/>
                <w:szCs w:val="24"/>
                <w:lang w:eastAsia="zh-CN"/>
              </w:rPr>
              <w:t>宜春市丰城生态环境局</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eastAsia" w:cs="Times New Roman"/>
                <w:kern w:val="2"/>
                <w:sz w:val="24"/>
                <w:szCs w:val="24"/>
                <w:lang w:eastAsia="zh-CN"/>
              </w:rPr>
              <w:t>0795-6706500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rPr>
            </w:pPr>
            <w:r>
              <w:rPr>
                <w:rFonts w:hint="eastAsia" w:ascii="宋体" w:hAnsi="宋体"/>
                <w:kern w:val="2"/>
                <w:szCs w:val="21"/>
              </w:rPr>
              <w:t>6</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eastAsia" w:cs="Times New Roman"/>
                <w:kern w:val="2"/>
                <w:sz w:val="24"/>
                <w:szCs w:val="24"/>
                <w:lang w:val="en-US" w:eastAsia="zh-CN"/>
              </w:rPr>
              <w:t>丰城市</w:t>
            </w:r>
            <w:r>
              <w:rPr>
                <w:rFonts w:hint="default" w:ascii="Times New Roman" w:hAnsi="Times New Roman" w:cs="Times New Roman"/>
                <w:kern w:val="2"/>
                <w:sz w:val="24"/>
                <w:szCs w:val="24"/>
              </w:rPr>
              <w:t>公安局</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rPr>
            </w:pPr>
            <w:r>
              <w:rPr>
                <w:rFonts w:hint="default" w:ascii="Times New Roman" w:hAnsi="Times New Roman" w:cs="Times New Roman"/>
                <w:kern w:val="2"/>
                <w:sz w:val="24"/>
                <w:szCs w:val="24"/>
              </w:rPr>
              <w:t>110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eastAsia" w:ascii="宋体" w:hAnsi="宋体" w:eastAsia="宋体"/>
                <w:kern w:val="2"/>
                <w:szCs w:val="21"/>
                <w:lang w:val="en-US" w:eastAsia="zh-CN"/>
              </w:rPr>
            </w:pPr>
            <w:r>
              <w:rPr>
                <w:rFonts w:hint="eastAsia" w:ascii="宋体" w:hAnsi="宋体"/>
                <w:kern w:val="2"/>
                <w:szCs w:val="21"/>
                <w:lang w:val="en-US" w:eastAsia="zh-CN"/>
              </w:rPr>
              <w:t>7</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宋体" w:hAnsi="宋体" w:eastAsia="宋体"/>
                <w:kern w:val="2"/>
                <w:szCs w:val="21"/>
                <w:lang w:val="en-US" w:eastAsia="zh-CN"/>
              </w:rPr>
            </w:pPr>
            <w:r>
              <w:rPr>
                <w:rFonts w:hint="eastAsia" w:cs="Times New Roman"/>
                <w:kern w:val="2"/>
                <w:sz w:val="24"/>
                <w:szCs w:val="24"/>
                <w:lang w:val="en-US" w:eastAsia="zh-CN"/>
              </w:rPr>
              <w:t>丰城市</w:t>
            </w:r>
            <w:r>
              <w:rPr>
                <w:rFonts w:hint="default" w:ascii="Times New Roman" w:hAnsi="Times New Roman" w:cs="Times New Roman"/>
                <w:kern w:val="2"/>
                <w:sz w:val="24"/>
                <w:szCs w:val="24"/>
              </w:rPr>
              <w:t>交警</w:t>
            </w:r>
            <w:r>
              <w:rPr>
                <w:rFonts w:hint="eastAsia" w:cs="Times New Roman"/>
                <w:kern w:val="2"/>
                <w:sz w:val="24"/>
                <w:szCs w:val="24"/>
                <w:lang w:val="en-US" w:eastAsia="zh-CN"/>
              </w:rPr>
              <w:t>大</w:t>
            </w:r>
            <w:r>
              <w:rPr>
                <w:rFonts w:hint="default" w:ascii="Times New Roman" w:hAnsi="Times New Roman" w:cs="Times New Roman"/>
                <w:kern w:val="2"/>
                <w:sz w:val="24"/>
                <w:szCs w:val="24"/>
              </w:rPr>
              <w:t>队</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eastAsia="宋体"/>
                <w:kern w:val="2"/>
                <w:szCs w:val="21"/>
                <w:lang w:val="en-US" w:eastAsia="zh-CN"/>
              </w:rPr>
            </w:pPr>
            <w:r>
              <w:rPr>
                <w:rFonts w:hint="default" w:ascii="Times New Roman" w:hAnsi="Times New Roman" w:cs="Times New Roman"/>
                <w:kern w:val="2"/>
                <w:sz w:val="24"/>
                <w:szCs w:val="24"/>
              </w:rPr>
              <w:t>122</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lang w:val="en-US" w:eastAsia="zh-CN"/>
              </w:rPr>
            </w:pPr>
            <w:r>
              <w:rPr>
                <w:rFonts w:hint="eastAsia" w:ascii="宋体" w:hAnsi="宋体"/>
                <w:kern w:val="2"/>
                <w:szCs w:val="21"/>
                <w:lang w:val="en-US" w:eastAsia="zh-CN"/>
              </w:rPr>
              <w:t>8</w:t>
            </w:r>
          </w:p>
        </w:tc>
        <w:tc>
          <w:tcPr>
            <w:tcW w:w="4537" w:type="dxa"/>
            <w:vAlign w:val="center"/>
          </w:tcPr>
          <w:p>
            <w:pPr>
              <w:keepNext w:val="0"/>
              <w:keepLines w:val="0"/>
              <w:suppressLineNumbers w:val="0"/>
              <w:bidi w:val="0"/>
              <w:spacing w:before="0" w:beforeAutospacing="0" w:after="0" w:afterAutospacing="0"/>
              <w:ind w:left="0" w:right="0"/>
              <w:jc w:val="center"/>
              <w:rPr>
                <w:rFonts w:hint="eastAsia" w:ascii="宋体" w:hAnsi="宋体" w:eastAsia="宋体"/>
                <w:kern w:val="2"/>
                <w:szCs w:val="21"/>
                <w:lang w:val="en-US" w:eastAsia="zh-CN"/>
              </w:rPr>
            </w:pPr>
            <w:r>
              <w:rPr>
                <w:rFonts w:hint="eastAsia" w:cs="Times New Roman"/>
                <w:kern w:val="2"/>
                <w:sz w:val="24"/>
                <w:szCs w:val="24"/>
                <w:lang w:val="en-US" w:eastAsia="zh-CN"/>
              </w:rPr>
              <w:t>丰城市</w:t>
            </w:r>
            <w:r>
              <w:rPr>
                <w:rFonts w:hint="eastAsia" w:ascii="Times New Roman" w:hAnsi="Times New Roman" w:cs="Times New Roman"/>
                <w:kern w:val="2"/>
                <w:sz w:val="24"/>
                <w:szCs w:val="24"/>
                <w:lang w:eastAsia="zh-CN"/>
              </w:rPr>
              <w:t>消防救援大队</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宋体" w:hAnsi="宋体"/>
                <w:kern w:val="2"/>
                <w:szCs w:val="21"/>
                <w:lang w:val="en-US" w:eastAsia="zh-CN"/>
              </w:rPr>
            </w:pPr>
            <w:r>
              <w:rPr>
                <w:rFonts w:hint="default" w:ascii="Times New Roman" w:hAnsi="Times New Roman" w:cs="Times New Roman"/>
                <w:kern w:val="2"/>
                <w:sz w:val="24"/>
                <w:szCs w:val="24"/>
              </w:rPr>
              <w:t>119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lang w:val="en-US" w:eastAsia="zh-CN"/>
              </w:rPr>
            </w:pPr>
            <w:r>
              <w:rPr>
                <w:rFonts w:hint="eastAsia" w:ascii="宋体" w:hAnsi="宋体"/>
                <w:kern w:val="2"/>
                <w:szCs w:val="21"/>
                <w:lang w:val="en-US" w:eastAsia="zh-CN"/>
              </w:rPr>
              <w:t>9</w:t>
            </w:r>
          </w:p>
        </w:tc>
        <w:tc>
          <w:tcPr>
            <w:tcW w:w="4537" w:type="dxa"/>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kern w:val="2"/>
                <w:sz w:val="24"/>
                <w:szCs w:val="24"/>
                <w:lang w:val="en-US" w:eastAsia="zh-CN"/>
              </w:rPr>
            </w:pPr>
            <w:r>
              <w:rPr>
                <w:rFonts w:hint="eastAsia" w:cs="Times New Roman"/>
                <w:kern w:val="2"/>
                <w:sz w:val="24"/>
                <w:szCs w:val="24"/>
                <w:lang w:val="en-US" w:eastAsia="zh-CN"/>
              </w:rPr>
              <w:t>丰城市人民医院</w:t>
            </w:r>
          </w:p>
        </w:tc>
        <w:tc>
          <w:tcPr>
            <w:tcW w:w="2933" w:type="dxa"/>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kern w:val="2"/>
                <w:sz w:val="24"/>
                <w:szCs w:val="24"/>
                <w:lang w:val="en-US" w:eastAsia="zh-CN"/>
              </w:rPr>
            </w:pPr>
            <w:r>
              <w:rPr>
                <w:rFonts w:hint="eastAsia" w:cs="Times New Roman"/>
                <w:kern w:val="2"/>
                <w:sz w:val="24"/>
                <w:szCs w:val="24"/>
                <w:lang w:val="en-US" w:eastAsia="zh-CN"/>
              </w:rPr>
              <w:t>120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lang w:val="en-US" w:eastAsia="zh-CN"/>
              </w:rPr>
            </w:pPr>
            <w:r>
              <w:rPr>
                <w:rFonts w:hint="eastAsia" w:ascii="宋体" w:hAnsi="宋体"/>
                <w:kern w:val="2"/>
                <w:szCs w:val="21"/>
                <w:lang w:val="en-US" w:eastAsia="zh-CN"/>
              </w:rPr>
              <w:t>10</w:t>
            </w:r>
          </w:p>
        </w:tc>
        <w:tc>
          <w:tcPr>
            <w:tcW w:w="4537" w:type="dxa"/>
            <w:vAlign w:val="center"/>
          </w:tcPr>
          <w:p>
            <w:pPr>
              <w:keepNext w:val="0"/>
              <w:keepLines w:val="0"/>
              <w:suppressLineNumbers w:val="0"/>
              <w:bidi w:val="0"/>
              <w:spacing w:before="0" w:beforeAutospacing="0" w:after="0" w:afterAutospacing="0"/>
              <w:ind w:left="0" w:right="0"/>
              <w:jc w:val="center"/>
              <w:rPr>
                <w:rFonts w:hint="default" w:cs="Times New Roman"/>
                <w:kern w:val="2"/>
                <w:sz w:val="24"/>
                <w:szCs w:val="24"/>
                <w:lang w:val="en-US" w:eastAsia="zh-CN"/>
              </w:rPr>
            </w:pPr>
            <w:r>
              <w:rPr>
                <w:rFonts w:hint="eastAsia" w:cs="Times New Roman"/>
                <w:kern w:val="2"/>
                <w:sz w:val="24"/>
                <w:szCs w:val="24"/>
                <w:lang w:val="en-US" w:eastAsia="zh-CN"/>
              </w:rPr>
              <w:t>丰城市循环园区管委会</w:t>
            </w:r>
          </w:p>
        </w:tc>
        <w:tc>
          <w:tcPr>
            <w:tcW w:w="2933" w:type="dxa"/>
            <w:vAlign w:val="center"/>
          </w:tcPr>
          <w:p>
            <w:pPr>
              <w:keepNext w:val="0"/>
              <w:keepLines w:val="0"/>
              <w:suppressLineNumbers w:val="0"/>
              <w:bidi w:val="0"/>
              <w:spacing w:before="0" w:beforeAutospacing="0" w:after="0" w:afterAutospacing="0"/>
              <w:ind w:left="0" w:right="0"/>
              <w:jc w:val="center"/>
              <w:rPr>
                <w:rFonts w:hint="eastAsia" w:cs="Times New Roman"/>
                <w:kern w:val="2"/>
                <w:sz w:val="24"/>
                <w:szCs w:val="24"/>
                <w:lang w:val="en-US" w:eastAsia="zh-CN"/>
              </w:rPr>
            </w:pPr>
            <w:r>
              <w:rPr>
                <w:rFonts w:hint="eastAsia" w:cs="Times New Roman"/>
                <w:kern w:val="2"/>
                <w:sz w:val="24"/>
                <w:szCs w:val="24"/>
                <w:lang w:val="en-US" w:eastAsia="zh-CN"/>
              </w:rPr>
              <w:t>0795-6590278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kern w:val="2"/>
                <w:szCs w:val="21"/>
                <w:lang w:val="en-US" w:eastAsia="zh-CN"/>
              </w:rPr>
            </w:pPr>
            <w:r>
              <w:rPr>
                <w:rFonts w:hint="eastAsia" w:ascii="宋体" w:hAnsi="宋体"/>
                <w:kern w:val="2"/>
                <w:szCs w:val="21"/>
                <w:lang w:val="en-US" w:eastAsia="zh-CN"/>
              </w:rPr>
              <w:t>11</w:t>
            </w:r>
          </w:p>
        </w:tc>
        <w:tc>
          <w:tcPr>
            <w:tcW w:w="4537" w:type="dxa"/>
            <w:vAlign w:val="center"/>
          </w:tcPr>
          <w:p>
            <w:pPr>
              <w:keepNext w:val="0"/>
              <w:keepLines w:val="0"/>
              <w:suppressLineNumbers w:val="0"/>
              <w:bidi w:val="0"/>
              <w:spacing w:before="0" w:beforeAutospacing="0" w:after="0" w:afterAutospacing="0"/>
              <w:ind w:left="0" w:right="0"/>
              <w:jc w:val="center"/>
              <w:rPr>
                <w:rFonts w:hint="eastAsia" w:cs="Times New Roman"/>
                <w:kern w:val="2"/>
                <w:sz w:val="24"/>
                <w:szCs w:val="24"/>
                <w:lang w:val="en-US" w:eastAsia="zh-CN"/>
              </w:rPr>
            </w:pPr>
            <w:r>
              <w:rPr>
                <w:rFonts w:hint="eastAsia" w:cs="Times New Roman"/>
                <w:kern w:val="2"/>
                <w:sz w:val="24"/>
                <w:szCs w:val="24"/>
                <w:lang w:val="en-US" w:eastAsia="zh-CN"/>
              </w:rPr>
              <w:t>丰城生态环境监测站</w:t>
            </w:r>
          </w:p>
        </w:tc>
        <w:tc>
          <w:tcPr>
            <w:tcW w:w="2933" w:type="dxa"/>
            <w:vAlign w:val="center"/>
          </w:tcPr>
          <w:p>
            <w:pPr>
              <w:keepNext w:val="0"/>
              <w:keepLines w:val="0"/>
              <w:suppressLineNumbers w:val="0"/>
              <w:bidi w:val="0"/>
              <w:spacing w:before="0" w:beforeAutospacing="0" w:after="0" w:afterAutospacing="0"/>
              <w:ind w:left="0" w:right="0"/>
              <w:jc w:val="center"/>
              <w:rPr>
                <w:rFonts w:hint="eastAsia" w:ascii="Times New Roman" w:hAnsi="Times New Roman" w:cs="Times New Roman"/>
                <w:kern w:val="2"/>
                <w:sz w:val="24"/>
                <w:szCs w:val="24"/>
                <w:lang w:eastAsia="zh-CN"/>
              </w:rPr>
            </w:pPr>
            <w:r>
              <w:rPr>
                <w:rFonts w:hint="eastAsia" w:cs="Times New Roman"/>
                <w:kern w:val="2"/>
                <w:sz w:val="24"/>
                <w:szCs w:val="24"/>
                <w:lang w:val="en-US" w:eastAsia="zh-CN"/>
              </w:rPr>
              <w:t>0795-6706500</w:t>
            </w:r>
          </w:p>
        </w:tc>
      </w:tr>
    </w:tbl>
    <w:p>
      <w:pPr>
        <w:pStyle w:val="19"/>
        <w:numPr>
          <w:numId w:val="0"/>
        </w:numPr>
        <w:tabs>
          <w:tab w:val="left" w:pos="2505"/>
        </w:tabs>
        <w:spacing w:before="29" w:after="0" w:line="240" w:lineRule="auto"/>
        <w:ind w:left="1539" w:leftChars="0" w:right="0" w:rightChars="0"/>
        <w:jc w:val="left"/>
        <w:rPr>
          <w:b/>
          <w:sz w:val="32"/>
        </w:rPr>
      </w:pPr>
    </w:p>
    <w:p>
      <w:pPr>
        <w:pStyle w:val="19"/>
        <w:numPr>
          <w:ilvl w:val="2"/>
          <w:numId w:val="52"/>
        </w:numPr>
        <w:tabs>
          <w:tab w:val="left" w:pos="2505"/>
        </w:tabs>
        <w:spacing w:before="29" w:after="0" w:line="240" w:lineRule="auto"/>
        <w:ind w:left="2504" w:right="0" w:hanging="965"/>
        <w:jc w:val="left"/>
        <w:rPr>
          <w:b/>
          <w:sz w:val="32"/>
        </w:rPr>
      </w:pPr>
      <w:r>
        <w:rPr>
          <w:b/>
          <w:sz w:val="32"/>
        </w:rPr>
        <w:t>内部通讯联络方式</w:t>
      </w:r>
    </w:p>
    <w:p>
      <w:pPr>
        <w:pStyle w:val="7"/>
        <w:spacing w:before="167"/>
        <w:ind w:left="2101"/>
      </w:pPr>
      <w:r>
        <w:t>公司内部应急救援相关部门电话</w:t>
      </w:r>
    </w:p>
    <w:p>
      <w:pPr>
        <w:pStyle w:val="7"/>
        <w:spacing w:before="5"/>
        <w:rPr>
          <w:sz w:val="25"/>
        </w:rPr>
      </w:pPr>
    </w:p>
    <w:p>
      <w:pPr>
        <w:pStyle w:val="7"/>
        <w:ind w:left="2101"/>
      </w:pPr>
      <w:r>
        <w:t>（1）应急办电话：0795-6520777</w:t>
      </w:r>
    </w:p>
    <w:p>
      <w:pPr>
        <w:pStyle w:val="7"/>
        <w:spacing w:before="8"/>
        <w:rPr>
          <w:sz w:val="25"/>
        </w:rPr>
      </w:pPr>
      <w:bookmarkStart w:id="289" w:name="_GoBack"/>
      <w:bookmarkEnd w:id="289"/>
    </w:p>
    <w:p>
      <w:pPr>
        <w:pStyle w:val="7"/>
        <w:spacing w:before="1"/>
        <w:ind w:left="2101"/>
      </w:pPr>
      <w:r>
        <w:t>（2）公司内部应急救援相关部门电话</w:t>
      </w:r>
    </w:p>
    <w:p>
      <w:pPr>
        <w:spacing w:after="0"/>
      </w:pPr>
    </w:p>
    <w:tbl>
      <w:tblPr>
        <w:tblStyle w:val="15"/>
        <w:tblW w:w="0" w:type="auto"/>
        <w:tblInd w:w="144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228"/>
        <w:gridCol w:w="3976"/>
        <w:gridCol w:w="1580"/>
        <w:gridCol w:w="172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bottom w:val="single" w:color="000000" w:sz="6" w:space="0"/>
              <w:right w:val="single" w:color="000000" w:sz="6" w:space="0"/>
            </w:tcBorders>
          </w:tcPr>
          <w:p>
            <w:pPr>
              <w:spacing w:after="0"/>
              <w:rPr>
                <w:rFonts w:hint="eastAsia" w:ascii="宋体" w:eastAsia="宋体"/>
                <w:sz w:val="24"/>
              </w:rPr>
            </w:pPr>
            <w:r>
              <w:rPr>
                <w:rFonts w:hint="eastAsia"/>
                <w:lang w:val="en-US" w:eastAsia="zh-CN"/>
              </w:rPr>
              <w:t xml:space="preserve">            </w:t>
            </w:r>
            <w:r>
              <w:rPr>
                <w:rFonts w:hint="eastAsia" w:ascii="宋体" w:eastAsia="宋体"/>
                <w:sz w:val="24"/>
              </w:rPr>
              <w:t>姓</w:t>
            </w:r>
            <w:r>
              <w:rPr>
                <w:rFonts w:hint="eastAsia" w:ascii="宋体" w:eastAsia="宋体"/>
                <w:sz w:val="24"/>
              </w:rPr>
              <w:tab/>
            </w:r>
            <w:r>
              <w:rPr>
                <w:rFonts w:hint="eastAsia" w:ascii="宋体" w:eastAsia="宋体"/>
                <w:sz w:val="24"/>
              </w:rPr>
              <w:t>名</w:t>
            </w:r>
          </w:p>
        </w:tc>
        <w:tc>
          <w:tcPr>
            <w:tcW w:w="3976" w:type="dxa"/>
            <w:tcBorders>
              <w:left w:val="single" w:color="000000" w:sz="6" w:space="0"/>
              <w:bottom w:val="single" w:color="000000" w:sz="6" w:space="0"/>
              <w:right w:val="single" w:color="000000" w:sz="6" w:space="0"/>
            </w:tcBorders>
          </w:tcPr>
          <w:p>
            <w:pPr>
              <w:pStyle w:val="20"/>
              <w:spacing w:before="178"/>
              <w:ind w:left="1254" w:right="1226"/>
              <w:jc w:val="center"/>
              <w:rPr>
                <w:rFonts w:hint="eastAsia" w:ascii="宋体" w:eastAsia="宋体"/>
                <w:sz w:val="24"/>
              </w:rPr>
            </w:pPr>
            <w:r>
              <w:rPr>
                <w:rFonts w:hint="eastAsia" w:ascii="宋体" w:eastAsia="宋体"/>
                <w:sz w:val="24"/>
              </w:rPr>
              <w:t>职务</w:t>
            </w:r>
          </w:p>
        </w:tc>
        <w:tc>
          <w:tcPr>
            <w:tcW w:w="1580" w:type="dxa"/>
            <w:tcBorders>
              <w:left w:val="single" w:color="000000" w:sz="6" w:space="0"/>
              <w:bottom w:val="single" w:color="000000" w:sz="6" w:space="0"/>
              <w:right w:val="single" w:color="000000" w:sz="6" w:space="0"/>
            </w:tcBorders>
          </w:tcPr>
          <w:p>
            <w:pPr>
              <w:pStyle w:val="20"/>
              <w:spacing w:before="178"/>
              <w:ind w:left="175" w:right="149"/>
              <w:jc w:val="center"/>
              <w:rPr>
                <w:rFonts w:hint="eastAsia" w:ascii="宋体" w:eastAsia="宋体"/>
                <w:sz w:val="24"/>
              </w:rPr>
            </w:pPr>
            <w:r>
              <w:rPr>
                <w:rFonts w:hint="eastAsia" w:ascii="宋体" w:eastAsia="宋体"/>
                <w:sz w:val="24"/>
              </w:rPr>
              <w:t>指挥部职务</w:t>
            </w:r>
          </w:p>
        </w:tc>
        <w:tc>
          <w:tcPr>
            <w:tcW w:w="1729" w:type="dxa"/>
            <w:tcBorders>
              <w:left w:val="single" w:color="000000" w:sz="6" w:space="0"/>
              <w:bottom w:val="single" w:color="000000" w:sz="6" w:space="0"/>
            </w:tcBorders>
          </w:tcPr>
          <w:p>
            <w:pPr>
              <w:pStyle w:val="20"/>
              <w:spacing w:before="178"/>
              <w:ind w:left="191" w:right="155"/>
              <w:jc w:val="center"/>
              <w:rPr>
                <w:rFonts w:hint="eastAsia" w:ascii="宋体" w:eastAsia="宋体"/>
                <w:sz w:val="24"/>
              </w:rPr>
            </w:pPr>
            <w:r>
              <w:rPr>
                <w:rFonts w:hint="eastAsia" w:ascii="宋体" w:eastAsia="宋体"/>
                <w:sz w:val="24"/>
              </w:rPr>
              <w:t>联系方式</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8"/>
              <w:ind w:left="22"/>
              <w:jc w:val="center"/>
              <w:rPr>
                <w:rFonts w:hint="eastAsia" w:ascii="宋体" w:eastAsia="宋体"/>
                <w:sz w:val="24"/>
              </w:rPr>
            </w:pPr>
            <w:r>
              <w:rPr>
                <w:rFonts w:hint="eastAsia" w:ascii="宋体" w:eastAsia="宋体"/>
                <w:sz w:val="24"/>
              </w:rPr>
              <w:t>郭振华</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8"/>
              <w:ind w:left="1254" w:right="1226"/>
              <w:jc w:val="center"/>
              <w:rPr>
                <w:rFonts w:hint="eastAsia" w:ascii="宋体" w:eastAsia="宋体"/>
                <w:sz w:val="24"/>
              </w:rPr>
            </w:pPr>
            <w:r>
              <w:rPr>
                <w:rFonts w:hint="eastAsia" w:ascii="宋体" w:eastAsia="宋体"/>
                <w:sz w:val="24"/>
              </w:rPr>
              <w:t>总经理</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8"/>
              <w:ind w:left="175" w:right="149"/>
              <w:jc w:val="center"/>
              <w:rPr>
                <w:rFonts w:hint="eastAsia" w:ascii="宋体" w:eastAsia="宋体"/>
                <w:sz w:val="24"/>
              </w:rPr>
            </w:pPr>
            <w:r>
              <w:rPr>
                <w:rFonts w:hint="eastAsia" w:ascii="宋体" w:eastAsia="宋体"/>
                <w:sz w:val="24"/>
              </w:rPr>
              <w:t>总指挥</w:t>
            </w:r>
          </w:p>
        </w:tc>
        <w:tc>
          <w:tcPr>
            <w:tcW w:w="1729" w:type="dxa"/>
            <w:tcBorders>
              <w:top w:val="single" w:color="000000" w:sz="6" w:space="0"/>
              <w:left w:val="single" w:color="000000" w:sz="6" w:space="0"/>
              <w:bottom w:val="single" w:color="000000" w:sz="6" w:space="0"/>
            </w:tcBorders>
          </w:tcPr>
          <w:p>
            <w:pPr>
              <w:pStyle w:val="20"/>
              <w:spacing w:before="178"/>
              <w:ind w:left="191" w:right="155"/>
              <w:jc w:val="center"/>
              <w:rPr>
                <w:rFonts w:ascii="宋体"/>
                <w:sz w:val="24"/>
              </w:rPr>
            </w:pPr>
            <w:r>
              <w:rPr>
                <w:rFonts w:ascii="宋体"/>
                <w:sz w:val="24"/>
              </w:rPr>
              <w:t>18979585777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55"/>
              <w:ind w:left="17"/>
              <w:jc w:val="center"/>
              <w:rPr>
                <w:rFonts w:hint="eastAsia" w:ascii="宋体" w:eastAsia="宋体"/>
                <w:sz w:val="26"/>
              </w:rPr>
            </w:pPr>
            <w:r>
              <w:rPr>
                <w:rFonts w:hint="eastAsia" w:ascii="宋体" w:eastAsia="宋体"/>
                <w:color w:val="0000FF"/>
                <w:sz w:val="26"/>
              </w:rPr>
              <w:t>缪雯</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8"/>
              <w:ind w:left="1254" w:right="1226"/>
              <w:jc w:val="center"/>
              <w:rPr>
                <w:rFonts w:hint="eastAsia" w:ascii="宋体" w:eastAsia="宋体"/>
                <w:sz w:val="24"/>
              </w:rPr>
            </w:pPr>
            <w:r>
              <w:rPr>
                <w:rFonts w:hint="eastAsia" w:ascii="宋体" w:eastAsia="宋体"/>
                <w:sz w:val="24"/>
              </w:rPr>
              <w:t>常务副总</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8"/>
              <w:ind w:left="175" w:right="149"/>
              <w:jc w:val="center"/>
              <w:rPr>
                <w:rFonts w:hint="eastAsia" w:ascii="宋体" w:eastAsia="宋体"/>
                <w:sz w:val="24"/>
              </w:rPr>
            </w:pPr>
            <w:r>
              <w:rPr>
                <w:rFonts w:hint="eastAsia" w:ascii="宋体" w:eastAsia="宋体"/>
                <w:sz w:val="24"/>
              </w:rPr>
              <w:t>副总指挥</w:t>
            </w:r>
          </w:p>
        </w:tc>
        <w:tc>
          <w:tcPr>
            <w:tcW w:w="1729" w:type="dxa"/>
            <w:tcBorders>
              <w:top w:val="single" w:color="000000" w:sz="6" w:space="0"/>
              <w:left w:val="single" w:color="000000" w:sz="6" w:space="0"/>
              <w:bottom w:val="single" w:color="000000" w:sz="6" w:space="0"/>
            </w:tcBorders>
          </w:tcPr>
          <w:p>
            <w:pPr>
              <w:pStyle w:val="20"/>
              <w:spacing w:before="178"/>
              <w:ind w:left="191" w:right="155"/>
              <w:jc w:val="center"/>
              <w:rPr>
                <w:rFonts w:ascii="宋体"/>
                <w:sz w:val="24"/>
              </w:rPr>
            </w:pPr>
            <w:r>
              <w:rPr>
                <w:rFonts w:ascii="宋体"/>
                <w:sz w:val="24"/>
              </w:rPr>
              <w:t>15079593160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8"/>
              <w:ind w:left="22"/>
              <w:jc w:val="center"/>
              <w:rPr>
                <w:rFonts w:hint="eastAsia" w:ascii="宋体" w:eastAsia="宋体"/>
                <w:sz w:val="24"/>
              </w:rPr>
            </w:pPr>
            <w:r>
              <w:rPr>
                <w:rFonts w:hint="eastAsia" w:ascii="宋体" w:eastAsia="宋体"/>
                <w:sz w:val="24"/>
              </w:rPr>
              <w:t>许栋</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8"/>
              <w:ind w:left="1254" w:right="1226"/>
              <w:jc w:val="center"/>
              <w:rPr>
                <w:rFonts w:hint="eastAsia" w:ascii="宋体" w:eastAsia="宋体"/>
                <w:sz w:val="24"/>
              </w:rPr>
            </w:pPr>
            <w:r>
              <w:rPr>
                <w:rFonts w:hint="eastAsia" w:ascii="宋体" w:eastAsia="宋体"/>
                <w:sz w:val="24"/>
              </w:rPr>
              <w:t>总工程师</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8"/>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8"/>
              <w:ind w:left="191" w:right="155"/>
              <w:jc w:val="center"/>
              <w:rPr>
                <w:rFonts w:ascii="宋体"/>
                <w:sz w:val="24"/>
              </w:rPr>
            </w:pPr>
            <w:r>
              <w:rPr>
                <w:rFonts w:ascii="宋体"/>
                <w:sz w:val="24"/>
              </w:rPr>
              <w:t>1897952377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6"/>
              <w:ind w:left="22"/>
              <w:jc w:val="center"/>
              <w:rPr>
                <w:rFonts w:hint="eastAsia" w:ascii="宋体" w:eastAsia="宋体"/>
                <w:sz w:val="24"/>
              </w:rPr>
            </w:pPr>
            <w:r>
              <w:rPr>
                <w:rFonts w:hint="eastAsia" w:ascii="宋体" w:eastAsia="宋体"/>
                <w:color w:val="0000FF"/>
                <w:sz w:val="24"/>
              </w:rPr>
              <w:t>张军红</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6"/>
              <w:ind w:left="1254" w:right="1226"/>
              <w:jc w:val="center"/>
              <w:rPr>
                <w:rFonts w:hint="eastAsia" w:ascii="宋体" w:eastAsia="宋体"/>
                <w:sz w:val="24"/>
              </w:rPr>
            </w:pPr>
            <w:r>
              <w:rPr>
                <w:rFonts w:hint="eastAsia" w:ascii="宋体" w:eastAsia="宋体"/>
                <w:sz w:val="24"/>
              </w:rPr>
              <w:t>生产经理</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6"/>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6"/>
              <w:ind w:left="191" w:right="155"/>
              <w:jc w:val="center"/>
              <w:rPr>
                <w:rFonts w:ascii="宋体"/>
                <w:sz w:val="24"/>
              </w:rPr>
            </w:pPr>
            <w:r>
              <w:rPr>
                <w:rFonts w:ascii="宋体"/>
                <w:sz w:val="24"/>
              </w:rPr>
              <w:t>15216215396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6"/>
              <w:ind w:left="22"/>
              <w:jc w:val="center"/>
              <w:rPr>
                <w:rFonts w:hint="eastAsia" w:ascii="宋体" w:eastAsia="宋体"/>
                <w:sz w:val="24"/>
              </w:rPr>
            </w:pPr>
            <w:r>
              <w:rPr>
                <w:rFonts w:hint="eastAsia" w:ascii="宋体" w:eastAsia="宋体"/>
                <w:color w:val="0000FF"/>
                <w:sz w:val="24"/>
              </w:rPr>
              <w:t>张玉海</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6"/>
              <w:ind w:left="1254" w:right="1226"/>
              <w:jc w:val="center"/>
              <w:rPr>
                <w:rFonts w:hint="eastAsia" w:ascii="宋体" w:eastAsia="宋体"/>
                <w:sz w:val="24"/>
              </w:rPr>
            </w:pPr>
            <w:r>
              <w:rPr>
                <w:rFonts w:hint="eastAsia" w:ascii="宋体" w:eastAsia="宋体"/>
                <w:sz w:val="24"/>
              </w:rPr>
              <w:t>物流部队长</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6"/>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6"/>
              <w:ind w:left="191" w:right="155"/>
              <w:jc w:val="center"/>
              <w:rPr>
                <w:rFonts w:ascii="宋体"/>
                <w:sz w:val="24"/>
              </w:rPr>
            </w:pPr>
            <w:r>
              <w:rPr>
                <w:rFonts w:ascii="宋体"/>
                <w:sz w:val="24"/>
              </w:rPr>
              <w:t>15387798777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56"/>
              <w:ind w:left="19"/>
              <w:jc w:val="center"/>
              <w:rPr>
                <w:rFonts w:hint="eastAsia" w:ascii="宋体" w:eastAsia="宋体"/>
                <w:sz w:val="26"/>
              </w:rPr>
            </w:pPr>
            <w:r>
              <w:rPr>
                <w:rFonts w:hint="eastAsia" w:ascii="宋体" w:eastAsia="宋体"/>
                <w:color w:val="0000FF"/>
                <w:sz w:val="26"/>
              </w:rPr>
              <w:t>罗艳菊</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6"/>
              <w:ind w:left="1254" w:right="1226"/>
              <w:jc w:val="center"/>
              <w:rPr>
                <w:rFonts w:hint="eastAsia" w:ascii="宋体" w:eastAsia="宋体"/>
                <w:sz w:val="24"/>
              </w:rPr>
            </w:pPr>
            <w:r>
              <w:rPr>
                <w:rFonts w:hint="eastAsia" w:ascii="宋体" w:eastAsia="宋体"/>
                <w:sz w:val="24"/>
              </w:rPr>
              <w:t>财务经理</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6"/>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6"/>
              <w:ind w:left="191" w:right="155"/>
              <w:jc w:val="center"/>
              <w:rPr>
                <w:rFonts w:ascii="宋体"/>
                <w:sz w:val="24"/>
              </w:rPr>
            </w:pPr>
            <w:r>
              <w:rPr>
                <w:rFonts w:ascii="宋体"/>
                <w:sz w:val="24"/>
              </w:rPr>
              <w:t>13970547839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6"/>
              <w:ind w:left="22"/>
              <w:jc w:val="center"/>
              <w:rPr>
                <w:rFonts w:hint="eastAsia" w:ascii="宋体" w:eastAsia="宋体"/>
                <w:sz w:val="24"/>
              </w:rPr>
            </w:pPr>
            <w:r>
              <w:rPr>
                <w:rFonts w:hint="eastAsia" w:ascii="宋体" w:eastAsia="宋体"/>
                <w:sz w:val="24"/>
              </w:rPr>
              <w:t>黄国华</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6"/>
              <w:ind w:left="1254" w:right="1226"/>
              <w:jc w:val="center"/>
              <w:rPr>
                <w:rFonts w:hint="eastAsia" w:ascii="宋体" w:eastAsia="宋体"/>
                <w:sz w:val="24"/>
              </w:rPr>
            </w:pPr>
            <w:r>
              <w:rPr>
                <w:rFonts w:hint="eastAsia" w:ascii="宋体" w:eastAsia="宋体"/>
                <w:sz w:val="24"/>
              </w:rPr>
              <w:t>成品主管</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6"/>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6"/>
              <w:ind w:left="191" w:right="155"/>
              <w:jc w:val="center"/>
              <w:rPr>
                <w:rFonts w:ascii="宋体"/>
                <w:sz w:val="24"/>
              </w:rPr>
            </w:pPr>
            <w:r>
              <w:rPr>
                <w:rFonts w:ascii="宋体"/>
                <w:sz w:val="24"/>
              </w:rPr>
              <w:t>13870522227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7"/>
              <w:ind w:left="22"/>
              <w:jc w:val="center"/>
              <w:rPr>
                <w:rFonts w:hint="eastAsia" w:ascii="宋体" w:eastAsia="宋体"/>
                <w:sz w:val="24"/>
              </w:rPr>
            </w:pPr>
            <w:r>
              <w:rPr>
                <w:rFonts w:hint="eastAsia" w:ascii="宋体" w:eastAsia="宋体"/>
                <w:color w:val="0000FF"/>
                <w:sz w:val="24"/>
              </w:rPr>
              <w:t>李征胜</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7"/>
              <w:ind w:left="1254" w:right="1226"/>
              <w:jc w:val="center"/>
              <w:rPr>
                <w:rFonts w:hint="eastAsia" w:ascii="宋体" w:eastAsia="宋体"/>
                <w:sz w:val="24"/>
              </w:rPr>
            </w:pPr>
            <w:r>
              <w:rPr>
                <w:rFonts w:hint="eastAsia" w:ascii="宋体" w:eastAsia="宋体"/>
                <w:sz w:val="24"/>
              </w:rPr>
              <w:t>营销总监</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7"/>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7"/>
              <w:ind w:left="191" w:right="155"/>
              <w:jc w:val="center"/>
              <w:rPr>
                <w:rFonts w:ascii="宋体"/>
                <w:sz w:val="24"/>
              </w:rPr>
            </w:pPr>
            <w:r>
              <w:rPr>
                <w:rFonts w:ascii="宋体"/>
                <w:sz w:val="24"/>
              </w:rPr>
              <w:t>13979530711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20" w:hRule="atLeast"/>
        </w:trPr>
        <w:tc>
          <w:tcPr>
            <w:tcW w:w="1228" w:type="dxa"/>
            <w:tcBorders>
              <w:top w:val="single" w:color="000000" w:sz="6" w:space="0"/>
              <w:bottom w:val="single" w:color="000000" w:sz="6" w:space="0"/>
              <w:right w:val="single" w:color="000000" w:sz="6" w:space="0"/>
            </w:tcBorders>
          </w:tcPr>
          <w:p>
            <w:pPr>
              <w:pStyle w:val="20"/>
              <w:spacing w:before="177"/>
              <w:ind w:left="22"/>
              <w:jc w:val="center"/>
              <w:rPr>
                <w:rFonts w:hint="eastAsia" w:ascii="宋体" w:eastAsia="宋体"/>
                <w:sz w:val="24"/>
              </w:rPr>
            </w:pPr>
            <w:r>
              <w:rPr>
                <w:rFonts w:hint="eastAsia" w:ascii="宋体" w:eastAsia="宋体"/>
                <w:sz w:val="24"/>
              </w:rPr>
              <w:t>徐满连</w:t>
            </w:r>
          </w:p>
        </w:tc>
        <w:tc>
          <w:tcPr>
            <w:tcW w:w="3976" w:type="dxa"/>
            <w:tcBorders>
              <w:top w:val="single" w:color="000000" w:sz="6" w:space="0"/>
              <w:left w:val="single" w:color="000000" w:sz="6" w:space="0"/>
              <w:bottom w:val="single" w:color="000000" w:sz="6" w:space="0"/>
              <w:right w:val="single" w:color="000000" w:sz="6" w:space="0"/>
            </w:tcBorders>
          </w:tcPr>
          <w:p>
            <w:pPr>
              <w:pStyle w:val="20"/>
              <w:spacing w:before="177"/>
              <w:ind w:left="1254" w:right="1226"/>
              <w:jc w:val="center"/>
              <w:rPr>
                <w:rFonts w:hint="eastAsia" w:ascii="宋体" w:eastAsia="宋体"/>
                <w:sz w:val="24"/>
              </w:rPr>
            </w:pPr>
            <w:r>
              <w:rPr>
                <w:rFonts w:hint="eastAsia" w:ascii="宋体" w:eastAsia="宋体"/>
                <w:sz w:val="24"/>
              </w:rPr>
              <w:t>行政人事经理</w:t>
            </w:r>
          </w:p>
        </w:tc>
        <w:tc>
          <w:tcPr>
            <w:tcW w:w="1580" w:type="dxa"/>
            <w:tcBorders>
              <w:top w:val="single" w:color="000000" w:sz="6" w:space="0"/>
              <w:left w:val="single" w:color="000000" w:sz="6" w:space="0"/>
              <w:bottom w:val="single" w:color="000000" w:sz="6" w:space="0"/>
              <w:right w:val="single" w:color="000000" w:sz="6" w:space="0"/>
            </w:tcBorders>
          </w:tcPr>
          <w:p>
            <w:pPr>
              <w:pStyle w:val="20"/>
              <w:spacing w:before="177"/>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bottom w:val="single" w:color="000000" w:sz="6" w:space="0"/>
            </w:tcBorders>
          </w:tcPr>
          <w:p>
            <w:pPr>
              <w:pStyle w:val="20"/>
              <w:spacing w:before="177"/>
              <w:ind w:left="191" w:right="155"/>
              <w:jc w:val="center"/>
              <w:rPr>
                <w:rFonts w:ascii="宋体"/>
                <w:sz w:val="24"/>
              </w:rPr>
            </w:pPr>
            <w:r>
              <w:rPr>
                <w:rFonts w:ascii="宋体"/>
                <w:sz w:val="24"/>
              </w:rPr>
              <w:t>18079572887</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9" w:hRule="atLeast"/>
        </w:trPr>
        <w:tc>
          <w:tcPr>
            <w:tcW w:w="1228" w:type="dxa"/>
            <w:tcBorders>
              <w:top w:val="single" w:color="000000" w:sz="6" w:space="0"/>
              <w:right w:val="single" w:color="000000" w:sz="6" w:space="0"/>
            </w:tcBorders>
          </w:tcPr>
          <w:p>
            <w:pPr>
              <w:pStyle w:val="20"/>
              <w:spacing w:before="177"/>
              <w:ind w:left="22"/>
              <w:jc w:val="center"/>
              <w:rPr>
                <w:rFonts w:hint="eastAsia" w:ascii="宋体" w:eastAsia="宋体"/>
                <w:sz w:val="24"/>
              </w:rPr>
            </w:pPr>
            <w:r>
              <w:rPr>
                <w:rFonts w:hint="eastAsia" w:ascii="宋体" w:eastAsia="宋体"/>
                <w:sz w:val="24"/>
              </w:rPr>
              <w:t>宋灿</w:t>
            </w:r>
          </w:p>
        </w:tc>
        <w:tc>
          <w:tcPr>
            <w:tcW w:w="3976" w:type="dxa"/>
            <w:tcBorders>
              <w:top w:val="single" w:color="000000" w:sz="6" w:space="0"/>
              <w:left w:val="single" w:color="000000" w:sz="6" w:space="0"/>
              <w:right w:val="single" w:color="000000" w:sz="6" w:space="0"/>
            </w:tcBorders>
          </w:tcPr>
          <w:p>
            <w:pPr>
              <w:pStyle w:val="20"/>
              <w:spacing w:before="177"/>
              <w:ind w:left="1254" w:right="1226"/>
              <w:jc w:val="center"/>
              <w:rPr>
                <w:rFonts w:hint="eastAsia" w:ascii="宋体" w:eastAsia="宋体"/>
                <w:sz w:val="24"/>
              </w:rPr>
            </w:pPr>
            <w:r>
              <w:rPr>
                <w:rFonts w:hint="eastAsia" w:ascii="宋体" w:eastAsia="宋体"/>
                <w:sz w:val="24"/>
              </w:rPr>
              <w:t>安环部安全员</w:t>
            </w:r>
          </w:p>
        </w:tc>
        <w:tc>
          <w:tcPr>
            <w:tcW w:w="1580" w:type="dxa"/>
            <w:tcBorders>
              <w:top w:val="single" w:color="000000" w:sz="6" w:space="0"/>
              <w:left w:val="single" w:color="000000" w:sz="6" w:space="0"/>
              <w:right w:val="single" w:color="000000" w:sz="6" w:space="0"/>
            </w:tcBorders>
          </w:tcPr>
          <w:p>
            <w:pPr>
              <w:pStyle w:val="20"/>
              <w:spacing w:before="177"/>
              <w:ind w:left="175" w:right="149"/>
              <w:jc w:val="center"/>
              <w:rPr>
                <w:rFonts w:hint="eastAsia" w:ascii="宋体" w:eastAsia="宋体"/>
                <w:sz w:val="24"/>
              </w:rPr>
            </w:pPr>
            <w:r>
              <w:rPr>
                <w:rFonts w:hint="eastAsia" w:ascii="宋体" w:eastAsia="宋体"/>
                <w:sz w:val="24"/>
              </w:rPr>
              <w:t>成员</w:t>
            </w:r>
          </w:p>
        </w:tc>
        <w:tc>
          <w:tcPr>
            <w:tcW w:w="1729" w:type="dxa"/>
            <w:tcBorders>
              <w:top w:val="single" w:color="000000" w:sz="6" w:space="0"/>
              <w:left w:val="single" w:color="000000" w:sz="6" w:space="0"/>
            </w:tcBorders>
          </w:tcPr>
          <w:p>
            <w:pPr>
              <w:pStyle w:val="20"/>
              <w:spacing w:before="177"/>
              <w:ind w:left="191" w:right="155"/>
              <w:jc w:val="center"/>
              <w:rPr>
                <w:rFonts w:ascii="宋体"/>
                <w:sz w:val="24"/>
              </w:rPr>
            </w:pPr>
            <w:r>
              <w:rPr>
                <w:rFonts w:ascii="宋体"/>
                <w:sz w:val="24"/>
              </w:rPr>
              <w:t>13767553015</w:t>
            </w:r>
          </w:p>
        </w:tc>
      </w:tr>
    </w:tbl>
    <w:p>
      <w:pPr>
        <w:pStyle w:val="7"/>
      </w:pPr>
      <w:bookmarkStart w:id="158" w:name="第八章 污染事故现场应急措施"/>
      <w:bookmarkEnd w:id="158"/>
    </w:p>
    <w:p>
      <w:pPr>
        <w:spacing w:after="0"/>
        <w:sectPr>
          <w:pgSz w:w="11900" w:h="16840"/>
          <w:pgMar w:top="1420" w:right="80" w:bottom="1200" w:left="260" w:header="882" w:footer="1004" w:gutter="0"/>
          <w:cols w:space="720" w:num="1"/>
        </w:sectPr>
      </w:pPr>
    </w:p>
    <w:p>
      <w:pPr>
        <w:pStyle w:val="4"/>
        <w:tabs>
          <w:tab w:val="left" w:pos="1679"/>
        </w:tabs>
      </w:pPr>
      <w:bookmarkStart w:id="159" w:name="_bookmark41"/>
      <w:bookmarkEnd w:id="159"/>
      <w:r>
        <w:t>第八章</w:t>
      </w:r>
      <w:r>
        <w:tab/>
      </w:r>
      <w:r>
        <w:t>污染事故现场应急措施</w:t>
      </w:r>
    </w:p>
    <w:p>
      <w:pPr>
        <w:pStyle w:val="7"/>
        <w:spacing w:before="7"/>
        <w:rPr>
          <w:sz w:val="40"/>
        </w:rPr>
      </w:pPr>
    </w:p>
    <w:p>
      <w:pPr>
        <w:pStyle w:val="7"/>
        <w:ind w:left="397" w:right="19"/>
        <w:jc w:val="center"/>
      </w:pPr>
      <w:r>
        <w:t>本预案根据企业危险源特点和可能发生的事故类别制定专项应急处理方</w:t>
      </w:r>
    </w:p>
    <w:p>
      <w:pPr>
        <w:pStyle w:val="7"/>
        <w:spacing w:before="6"/>
        <w:rPr>
          <w:sz w:val="20"/>
        </w:rPr>
      </w:pPr>
    </w:p>
    <w:p>
      <w:pPr>
        <w:pStyle w:val="7"/>
        <w:spacing w:before="66"/>
        <w:ind w:left="1540"/>
      </w:pPr>
      <w:r>
        <w:t>案。</w:t>
      </w:r>
    </w:p>
    <w:p>
      <w:pPr>
        <w:pStyle w:val="7"/>
        <w:rPr>
          <w:sz w:val="19"/>
        </w:rPr>
      </w:pPr>
    </w:p>
    <w:p>
      <w:pPr>
        <w:pStyle w:val="5"/>
        <w:numPr>
          <w:ilvl w:val="1"/>
          <w:numId w:val="53"/>
        </w:numPr>
        <w:bidi w:val="0"/>
      </w:pPr>
      <w:bookmarkStart w:id="160" w:name="8.1 应急物资储备 "/>
      <w:bookmarkEnd w:id="160"/>
      <w:bookmarkStart w:id="161" w:name="_bookmark42"/>
      <w:bookmarkEnd w:id="161"/>
      <w:bookmarkStart w:id="162" w:name="_bookmark42"/>
      <w:bookmarkEnd w:id="162"/>
      <w:r>
        <w:t>应急物资储备</w:t>
      </w:r>
    </w:p>
    <w:p>
      <w:pPr>
        <w:pStyle w:val="7"/>
        <w:spacing w:before="164" w:line="496" w:lineRule="auto"/>
        <w:ind w:left="1540" w:right="1721" w:firstLine="561"/>
      </w:pPr>
      <w:r>
        <w:t>公司主要的应急物资储备包括通信预警、消防、医疗救护以及为避免污染事故外排的环保应急设施。</w:t>
      </w:r>
    </w:p>
    <w:p>
      <w:pPr>
        <w:pStyle w:val="7"/>
        <w:spacing w:line="304" w:lineRule="exact"/>
        <w:ind w:left="2101"/>
      </w:pPr>
      <w:r>
        <w:t>公司安装的购置预防设备有：部分消防、报警装置及事故水池等应急设施。</w:t>
      </w:r>
    </w:p>
    <w:p>
      <w:pPr>
        <w:pStyle w:val="7"/>
        <w:spacing w:before="5"/>
        <w:rPr>
          <w:sz w:val="25"/>
        </w:rPr>
      </w:pPr>
    </w:p>
    <w:p>
      <w:pPr>
        <w:pStyle w:val="7"/>
        <w:ind w:left="1540"/>
      </w:pPr>
      <w:r>
        <w:t>应急物资储备见下表8.1-1。</w:t>
      </w:r>
    </w:p>
    <w:p>
      <w:pPr>
        <w:pStyle w:val="7"/>
        <w:spacing w:before="10"/>
        <w:rPr>
          <w:sz w:val="18"/>
        </w:rPr>
      </w:pPr>
    </w:p>
    <w:p>
      <w:pPr>
        <w:spacing w:before="1"/>
        <w:ind w:left="397" w:right="12" w:firstLine="0"/>
        <w:jc w:val="center"/>
        <w:rPr>
          <w:b/>
          <w:sz w:val="21"/>
        </w:rPr>
      </w:pPr>
      <w:r>
        <w:rPr>
          <w:b/>
          <w:sz w:val="21"/>
        </w:rPr>
        <w:t>表8.1-1 物资储备表</w:t>
      </w:r>
    </w:p>
    <w:p>
      <w:pPr>
        <w:pStyle w:val="7"/>
        <w:rPr>
          <w:b/>
          <w:sz w:val="6"/>
        </w:rPr>
      </w:pPr>
    </w:p>
    <w:tbl>
      <w:tblPr>
        <w:tblStyle w:val="15"/>
        <w:tblW w:w="0" w:type="auto"/>
        <w:tblInd w:w="123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35"/>
        <w:gridCol w:w="1980"/>
        <w:gridCol w:w="2520"/>
        <w:gridCol w:w="2235"/>
        <w:gridCol w:w="146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7" w:hRule="atLeast"/>
        </w:trPr>
        <w:tc>
          <w:tcPr>
            <w:tcW w:w="735" w:type="dxa"/>
            <w:tcBorders>
              <w:bottom w:val="single" w:color="000000" w:sz="4" w:space="0"/>
              <w:right w:val="single" w:color="000000" w:sz="4" w:space="0"/>
            </w:tcBorders>
          </w:tcPr>
          <w:p>
            <w:pPr>
              <w:pStyle w:val="20"/>
              <w:spacing w:before="9"/>
              <w:rPr>
                <w:rFonts w:ascii="宋体"/>
                <w:b/>
                <w:sz w:val="16"/>
              </w:rPr>
            </w:pPr>
          </w:p>
          <w:p>
            <w:pPr>
              <w:pStyle w:val="20"/>
              <w:ind w:left="135" w:right="120"/>
              <w:jc w:val="center"/>
              <w:rPr>
                <w:rFonts w:hint="eastAsia" w:ascii="宋体" w:eastAsia="宋体"/>
                <w:sz w:val="21"/>
              </w:rPr>
            </w:pPr>
            <w:r>
              <w:rPr>
                <w:rFonts w:hint="eastAsia" w:ascii="宋体" w:eastAsia="宋体"/>
                <w:color w:val="FF0000"/>
                <w:sz w:val="21"/>
              </w:rPr>
              <w:t>序号</w:t>
            </w:r>
          </w:p>
        </w:tc>
        <w:tc>
          <w:tcPr>
            <w:tcW w:w="1980" w:type="dxa"/>
            <w:tcBorders>
              <w:left w:val="single" w:color="000000" w:sz="4" w:space="0"/>
              <w:bottom w:val="single" w:color="000000" w:sz="4" w:space="0"/>
              <w:right w:val="single" w:color="000000" w:sz="4" w:space="0"/>
            </w:tcBorders>
          </w:tcPr>
          <w:p>
            <w:pPr>
              <w:pStyle w:val="20"/>
              <w:spacing w:before="9"/>
              <w:rPr>
                <w:rFonts w:ascii="宋体"/>
                <w:b/>
                <w:sz w:val="16"/>
              </w:rPr>
            </w:pPr>
          </w:p>
          <w:p>
            <w:pPr>
              <w:pStyle w:val="20"/>
              <w:ind w:left="348" w:right="322"/>
              <w:jc w:val="center"/>
              <w:rPr>
                <w:rFonts w:hint="eastAsia" w:ascii="宋体" w:eastAsia="宋体"/>
                <w:sz w:val="21"/>
              </w:rPr>
            </w:pPr>
            <w:r>
              <w:rPr>
                <w:rFonts w:hint="eastAsia" w:ascii="宋体" w:eastAsia="宋体"/>
                <w:color w:val="FF0000"/>
                <w:sz w:val="21"/>
              </w:rPr>
              <w:t>备品备件名称</w:t>
            </w:r>
          </w:p>
        </w:tc>
        <w:tc>
          <w:tcPr>
            <w:tcW w:w="2520" w:type="dxa"/>
            <w:tcBorders>
              <w:left w:val="single" w:color="000000" w:sz="4" w:space="0"/>
              <w:bottom w:val="single" w:color="000000" w:sz="4" w:space="0"/>
              <w:right w:val="single" w:color="000000" w:sz="4" w:space="0"/>
            </w:tcBorders>
          </w:tcPr>
          <w:p>
            <w:pPr>
              <w:pStyle w:val="20"/>
              <w:spacing w:before="9"/>
              <w:rPr>
                <w:rFonts w:ascii="宋体"/>
                <w:b/>
                <w:sz w:val="16"/>
              </w:rPr>
            </w:pPr>
          </w:p>
          <w:p>
            <w:pPr>
              <w:pStyle w:val="20"/>
              <w:ind w:left="511" w:right="485"/>
              <w:jc w:val="center"/>
              <w:rPr>
                <w:rFonts w:hint="eastAsia" w:ascii="宋体" w:eastAsia="宋体"/>
                <w:sz w:val="21"/>
              </w:rPr>
            </w:pPr>
            <w:r>
              <w:rPr>
                <w:rFonts w:hint="eastAsia" w:ascii="宋体" w:eastAsia="宋体"/>
                <w:color w:val="FF0000"/>
                <w:sz w:val="21"/>
              </w:rPr>
              <w:t>规格型号</w:t>
            </w:r>
          </w:p>
        </w:tc>
        <w:tc>
          <w:tcPr>
            <w:tcW w:w="2235" w:type="dxa"/>
            <w:tcBorders>
              <w:left w:val="single" w:color="000000" w:sz="4" w:space="0"/>
              <w:bottom w:val="single" w:color="000000" w:sz="4" w:space="0"/>
              <w:right w:val="single" w:color="000000" w:sz="4" w:space="0"/>
            </w:tcBorders>
          </w:tcPr>
          <w:p>
            <w:pPr>
              <w:pStyle w:val="20"/>
              <w:spacing w:before="9"/>
              <w:rPr>
                <w:rFonts w:ascii="宋体"/>
                <w:b/>
                <w:sz w:val="16"/>
              </w:rPr>
            </w:pPr>
          </w:p>
          <w:p>
            <w:pPr>
              <w:pStyle w:val="20"/>
              <w:ind w:left="855" w:right="829"/>
              <w:jc w:val="center"/>
              <w:rPr>
                <w:rFonts w:hint="eastAsia" w:ascii="宋体" w:eastAsia="宋体"/>
                <w:sz w:val="21"/>
              </w:rPr>
            </w:pPr>
            <w:r>
              <w:rPr>
                <w:rFonts w:hint="eastAsia" w:ascii="宋体" w:eastAsia="宋体"/>
                <w:color w:val="FF0000"/>
                <w:sz w:val="21"/>
              </w:rPr>
              <w:t>数量</w:t>
            </w:r>
          </w:p>
        </w:tc>
        <w:tc>
          <w:tcPr>
            <w:tcW w:w="1466" w:type="dxa"/>
            <w:tcBorders>
              <w:left w:val="single" w:color="000000" w:sz="4" w:space="0"/>
              <w:bottom w:val="single" w:color="000000" w:sz="4" w:space="0"/>
            </w:tcBorders>
          </w:tcPr>
          <w:p>
            <w:pPr>
              <w:pStyle w:val="20"/>
              <w:spacing w:before="9"/>
              <w:rPr>
                <w:rFonts w:ascii="宋体"/>
                <w:b/>
                <w:sz w:val="16"/>
              </w:rPr>
            </w:pPr>
          </w:p>
          <w:p>
            <w:pPr>
              <w:pStyle w:val="20"/>
              <w:ind w:left="511" w:right="475"/>
              <w:jc w:val="center"/>
              <w:rPr>
                <w:rFonts w:hint="eastAsia" w:ascii="宋体" w:eastAsia="宋体"/>
                <w:sz w:val="21"/>
              </w:rPr>
            </w:pPr>
            <w:r>
              <w:rPr>
                <w:rFonts w:hint="eastAsia" w:ascii="宋体" w:eastAsia="宋体"/>
                <w:color w:val="FF0000"/>
                <w:sz w:val="21"/>
              </w:rPr>
              <w:t>备注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tcBorders>
              <w:top w:val="single" w:color="000000" w:sz="4" w:space="0"/>
              <w:bottom w:val="single" w:color="000000" w:sz="4" w:space="0"/>
              <w:right w:val="single" w:color="000000" w:sz="4" w:space="0"/>
            </w:tcBorders>
          </w:tcPr>
          <w:p>
            <w:pPr>
              <w:pStyle w:val="20"/>
              <w:spacing w:before="188"/>
              <w:ind w:left="19"/>
              <w:jc w:val="center"/>
              <w:rPr>
                <w:rFonts w:ascii="Simplified Arabic"/>
                <w:sz w:val="21"/>
              </w:rPr>
            </w:pPr>
            <w:r>
              <w:rPr>
                <w:rFonts w:ascii="Simplified Arabic"/>
                <w:color w:val="FF0000"/>
                <w:w w:val="99"/>
                <w:sz w:val="21"/>
              </w:rPr>
              <w:t>1</w:t>
            </w:r>
          </w:p>
        </w:tc>
        <w:tc>
          <w:tcPr>
            <w:tcW w:w="198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spacing w:before="1"/>
              <w:ind w:left="346" w:right="322"/>
              <w:jc w:val="center"/>
              <w:rPr>
                <w:rFonts w:hint="eastAsia" w:ascii="宋体" w:eastAsia="宋体"/>
                <w:sz w:val="21"/>
              </w:rPr>
            </w:pPr>
            <w:r>
              <w:rPr>
                <w:rFonts w:hint="eastAsia" w:ascii="宋体" w:eastAsia="宋体"/>
                <w:color w:val="FF0000"/>
                <w:sz w:val="21"/>
              </w:rPr>
              <w:t>电气设备</w:t>
            </w: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spacing w:before="1"/>
              <w:ind w:left="511" w:right="485"/>
              <w:jc w:val="center"/>
              <w:rPr>
                <w:rFonts w:hint="eastAsia" w:ascii="宋体" w:eastAsia="宋体"/>
                <w:sz w:val="21"/>
              </w:rPr>
            </w:pPr>
            <w:r>
              <w:rPr>
                <w:rFonts w:hint="eastAsia" w:ascii="宋体" w:eastAsia="宋体"/>
                <w:color w:val="FF0000"/>
                <w:sz w:val="21"/>
              </w:rPr>
              <w:t>应急手电</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8"/>
              <w:ind w:left="25"/>
              <w:jc w:val="center"/>
              <w:rPr>
                <w:rFonts w:ascii="Simplified Arabic"/>
                <w:sz w:val="21"/>
              </w:rPr>
            </w:pPr>
            <w:r>
              <w:rPr>
                <w:rFonts w:ascii="Simplified Arabic"/>
                <w:color w:val="FF0000"/>
                <w:w w:val="99"/>
                <w:sz w:val="21"/>
              </w:rPr>
              <w:t>2</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6" w:hRule="atLeast"/>
        </w:trPr>
        <w:tc>
          <w:tcPr>
            <w:tcW w:w="735" w:type="dxa"/>
            <w:vMerge w:val="restart"/>
            <w:tcBorders>
              <w:top w:val="single" w:color="000000" w:sz="4" w:space="0"/>
              <w:bottom w:val="single" w:color="000000" w:sz="4" w:space="0"/>
              <w:right w:val="single" w:color="000000" w:sz="4" w:space="0"/>
            </w:tcBorders>
          </w:tcPr>
          <w:p>
            <w:pPr>
              <w:pStyle w:val="20"/>
              <w:rPr>
                <w:rFonts w:ascii="宋体"/>
                <w:b/>
                <w:sz w:val="22"/>
              </w:rPr>
            </w:pPr>
          </w:p>
          <w:p>
            <w:pPr>
              <w:pStyle w:val="20"/>
              <w:rPr>
                <w:rFonts w:ascii="宋体"/>
                <w:b/>
                <w:sz w:val="22"/>
              </w:rPr>
            </w:pPr>
          </w:p>
          <w:p>
            <w:pPr>
              <w:pStyle w:val="20"/>
              <w:rPr>
                <w:rFonts w:ascii="宋体"/>
                <w:b/>
                <w:sz w:val="22"/>
              </w:rPr>
            </w:pPr>
          </w:p>
          <w:p>
            <w:pPr>
              <w:pStyle w:val="20"/>
              <w:rPr>
                <w:rFonts w:ascii="宋体"/>
                <w:b/>
                <w:sz w:val="22"/>
              </w:rPr>
            </w:pPr>
          </w:p>
          <w:p>
            <w:pPr>
              <w:pStyle w:val="20"/>
              <w:rPr>
                <w:rFonts w:ascii="宋体"/>
                <w:b/>
                <w:sz w:val="22"/>
              </w:rPr>
            </w:pPr>
          </w:p>
          <w:p>
            <w:pPr>
              <w:pStyle w:val="20"/>
              <w:rPr>
                <w:rFonts w:ascii="宋体"/>
                <w:b/>
                <w:sz w:val="22"/>
              </w:rPr>
            </w:pPr>
          </w:p>
          <w:p>
            <w:pPr>
              <w:pStyle w:val="20"/>
              <w:spacing w:before="6"/>
              <w:rPr>
                <w:rFonts w:ascii="宋体"/>
                <w:b/>
                <w:sz w:val="15"/>
              </w:rPr>
            </w:pPr>
          </w:p>
          <w:p>
            <w:pPr>
              <w:pStyle w:val="20"/>
              <w:ind w:left="19"/>
              <w:jc w:val="center"/>
              <w:rPr>
                <w:rFonts w:ascii="Simplified Arabic"/>
                <w:sz w:val="21"/>
              </w:rPr>
            </w:pPr>
            <w:r>
              <w:rPr>
                <w:rFonts w:ascii="Simplified Arabic"/>
                <w:color w:val="FF0000"/>
                <w:w w:val="99"/>
                <w:sz w:val="21"/>
              </w:rPr>
              <w:t>2</w:t>
            </w:r>
          </w:p>
        </w:tc>
        <w:tc>
          <w:tcPr>
            <w:tcW w:w="1980" w:type="dxa"/>
            <w:vMerge w:val="restart"/>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spacing w:before="131"/>
              <w:ind w:left="578"/>
              <w:rPr>
                <w:rFonts w:hint="eastAsia" w:ascii="宋体" w:eastAsia="宋体"/>
                <w:sz w:val="21"/>
              </w:rPr>
            </w:pPr>
            <w:r>
              <w:rPr>
                <w:rFonts w:hint="eastAsia" w:ascii="宋体" w:eastAsia="宋体"/>
                <w:color w:val="FF0000"/>
                <w:sz w:val="21"/>
              </w:rPr>
              <w:t>消防设备</w:t>
            </w: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ind w:left="511" w:right="485"/>
              <w:jc w:val="center"/>
              <w:rPr>
                <w:rFonts w:hint="eastAsia" w:ascii="宋体" w:eastAsia="宋体"/>
                <w:sz w:val="21"/>
              </w:rPr>
            </w:pPr>
            <w:r>
              <w:rPr>
                <w:rFonts w:hint="eastAsia" w:ascii="宋体" w:eastAsia="宋体"/>
                <w:color w:val="FF0000"/>
                <w:sz w:val="21"/>
              </w:rPr>
              <w:t>消防水泵</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8"/>
              <w:ind w:left="25"/>
              <w:jc w:val="center"/>
              <w:rPr>
                <w:rFonts w:ascii="Simplified Arabic"/>
                <w:sz w:val="21"/>
              </w:rPr>
            </w:pPr>
            <w:r>
              <w:rPr>
                <w:rFonts w:ascii="Simplified Arabic"/>
                <w:color w:val="FF0000"/>
                <w:w w:val="99"/>
                <w:sz w:val="21"/>
              </w:rPr>
              <w:t>1</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7"/>
              <w:rPr>
                <w:rFonts w:ascii="宋体"/>
                <w:b/>
                <w:sz w:val="17"/>
              </w:rPr>
            </w:pPr>
          </w:p>
          <w:p>
            <w:pPr>
              <w:pStyle w:val="20"/>
              <w:ind w:left="514" w:right="485"/>
              <w:jc w:val="center"/>
              <w:rPr>
                <w:rFonts w:hint="eastAsia" w:ascii="宋体" w:eastAsia="宋体"/>
                <w:sz w:val="21"/>
              </w:rPr>
            </w:pPr>
            <w:r>
              <w:rPr>
                <w:rFonts w:hint="eastAsia" w:ascii="宋体" w:eastAsia="宋体"/>
                <w:color w:val="FF0000"/>
                <w:sz w:val="21"/>
              </w:rPr>
              <w:t>消防栓</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7"/>
              <w:ind w:left="857" w:right="829"/>
              <w:jc w:val="center"/>
              <w:rPr>
                <w:rFonts w:hint="eastAsia" w:ascii="宋体" w:eastAsia="宋体"/>
                <w:sz w:val="21"/>
              </w:rPr>
            </w:pPr>
            <w:r>
              <w:rPr>
                <w:rFonts w:ascii="Simplified Arabic" w:eastAsia="Simplified Arabic"/>
                <w:color w:val="FF0000"/>
                <w:sz w:val="21"/>
              </w:rPr>
              <w:t xml:space="preserve">12 </w:t>
            </w:r>
            <w:r>
              <w:rPr>
                <w:rFonts w:hint="eastAsia" w:ascii="宋体" w:eastAsia="宋体"/>
                <w:color w:val="FF0000"/>
                <w:sz w:val="21"/>
              </w:rPr>
              <w:t>个</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6"/>
              <w:rPr>
                <w:rFonts w:ascii="宋体"/>
                <w:b/>
                <w:sz w:val="17"/>
              </w:rPr>
            </w:pPr>
          </w:p>
          <w:p>
            <w:pPr>
              <w:pStyle w:val="20"/>
              <w:ind w:left="514" w:right="485"/>
              <w:jc w:val="center"/>
              <w:rPr>
                <w:rFonts w:hint="eastAsia" w:ascii="宋体" w:eastAsia="宋体"/>
                <w:sz w:val="21"/>
              </w:rPr>
            </w:pPr>
            <w:r>
              <w:rPr>
                <w:rFonts w:hint="eastAsia" w:ascii="宋体" w:eastAsia="宋体"/>
                <w:color w:val="FF0000"/>
                <w:sz w:val="21"/>
              </w:rPr>
              <w:t>消防箱</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6"/>
              <w:ind w:left="854" w:right="829"/>
              <w:jc w:val="center"/>
              <w:rPr>
                <w:rFonts w:ascii="Simplified Arabic"/>
                <w:sz w:val="21"/>
              </w:rPr>
            </w:pPr>
            <w:r>
              <w:rPr>
                <w:rFonts w:ascii="Simplified Arabic"/>
                <w:color w:val="FF0000"/>
                <w:sz w:val="21"/>
              </w:rPr>
              <w:t>12</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6"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spacing w:before="1"/>
              <w:ind w:left="514" w:right="485"/>
              <w:jc w:val="center"/>
              <w:rPr>
                <w:rFonts w:hint="eastAsia" w:ascii="宋体" w:eastAsia="宋体"/>
                <w:sz w:val="21"/>
              </w:rPr>
            </w:pPr>
            <w:r>
              <w:rPr>
                <w:rFonts w:hint="eastAsia" w:ascii="宋体" w:eastAsia="宋体"/>
                <w:color w:val="FF0000"/>
                <w:sz w:val="21"/>
              </w:rPr>
              <w:t>消防带</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8"/>
              <w:ind w:left="854" w:right="829"/>
              <w:jc w:val="center"/>
              <w:rPr>
                <w:rFonts w:ascii="Simplified Arabic"/>
                <w:sz w:val="21"/>
              </w:rPr>
            </w:pPr>
            <w:r>
              <w:rPr>
                <w:rFonts w:ascii="Simplified Arabic"/>
                <w:color w:val="FF0000"/>
                <w:sz w:val="21"/>
              </w:rPr>
              <w:t>12</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ind w:left="509" w:right="485"/>
              <w:jc w:val="center"/>
              <w:rPr>
                <w:rFonts w:hint="eastAsia" w:ascii="宋体" w:eastAsia="宋体"/>
                <w:sz w:val="21"/>
              </w:rPr>
            </w:pPr>
            <w:r>
              <w:rPr>
                <w:rFonts w:hint="eastAsia" w:ascii="宋体" w:eastAsia="宋体"/>
                <w:color w:val="FF0000"/>
                <w:sz w:val="21"/>
              </w:rPr>
              <w:t>沙箱</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8"/>
              <w:ind w:left="25"/>
              <w:jc w:val="center"/>
              <w:rPr>
                <w:rFonts w:ascii="Simplified Arabic"/>
                <w:sz w:val="21"/>
              </w:rPr>
            </w:pPr>
            <w:r>
              <w:rPr>
                <w:rFonts w:ascii="Simplified Arabic"/>
                <w:color w:val="FF0000"/>
                <w:w w:val="99"/>
                <w:sz w:val="21"/>
              </w:rPr>
              <w:t>4</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7"/>
              <w:rPr>
                <w:rFonts w:ascii="宋体"/>
                <w:b/>
                <w:sz w:val="17"/>
              </w:rPr>
            </w:pPr>
          </w:p>
          <w:p>
            <w:pPr>
              <w:pStyle w:val="20"/>
              <w:ind w:left="511" w:right="485"/>
              <w:jc w:val="center"/>
              <w:rPr>
                <w:rFonts w:hint="eastAsia" w:ascii="宋体" w:eastAsia="宋体"/>
                <w:sz w:val="21"/>
              </w:rPr>
            </w:pPr>
            <w:r>
              <w:rPr>
                <w:rFonts w:hint="eastAsia" w:ascii="宋体" w:eastAsia="宋体"/>
                <w:color w:val="FF0000"/>
                <w:sz w:val="21"/>
              </w:rPr>
              <w:t>胶铲</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7"/>
              <w:ind w:left="857" w:right="829"/>
              <w:jc w:val="center"/>
              <w:rPr>
                <w:rFonts w:hint="eastAsia" w:ascii="宋体" w:eastAsia="宋体"/>
                <w:sz w:val="21"/>
              </w:rPr>
            </w:pPr>
            <w:r>
              <w:rPr>
                <w:rFonts w:ascii="Simplified Arabic" w:eastAsia="Simplified Arabic"/>
                <w:color w:val="FF0000"/>
                <w:sz w:val="21"/>
              </w:rPr>
              <w:t xml:space="preserve">4 </w:t>
            </w:r>
            <w:r>
              <w:rPr>
                <w:rFonts w:hint="eastAsia" w:ascii="宋体" w:eastAsia="宋体"/>
                <w:color w:val="FF0000"/>
                <w:sz w:val="21"/>
              </w:rPr>
              <w:t>个</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6"/>
              <w:rPr>
                <w:rFonts w:ascii="宋体"/>
                <w:b/>
                <w:sz w:val="17"/>
              </w:rPr>
            </w:pPr>
          </w:p>
          <w:p>
            <w:pPr>
              <w:pStyle w:val="20"/>
              <w:ind w:left="511" w:right="485"/>
              <w:jc w:val="center"/>
              <w:rPr>
                <w:rFonts w:hint="eastAsia" w:ascii="宋体" w:eastAsia="宋体"/>
                <w:sz w:val="21"/>
              </w:rPr>
            </w:pPr>
            <w:r>
              <w:rPr>
                <w:rFonts w:hint="eastAsia" w:ascii="宋体" w:eastAsia="宋体"/>
                <w:color w:val="FF0000"/>
                <w:sz w:val="21"/>
              </w:rPr>
              <w:t>干粉灭火器</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6"/>
              <w:ind w:left="857" w:right="829"/>
              <w:jc w:val="center"/>
              <w:rPr>
                <w:rFonts w:hint="eastAsia" w:ascii="宋体" w:eastAsia="宋体"/>
                <w:sz w:val="21"/>
              </w:rPr>
            </w:pPr>
            <w:r>
              <w:rPr>
                <w:rFonts w:ascii="Simplified Arabic" w:eastAsia="Simplified Arabic"/>
                <w:color w:val="FF0000"/>
                <w:sz w:val="21"/>
              </w:rPr>
              <w:t xml:space="preserve">54 </w:t>
            </w:r>
            <w:r>
              <w:rPr>
                <w:rFonts w:hint="eastAsia" w:ascii="宋体" w:eastAsia="宋体"/>
                <w:color w:val="FF0000"/>
                <w:sz w:val="21"/>
              </w:rPr>
              <w:t>具</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6" w:hRule="atLeast"/>
        </w:trPr>
        <w:tc>
          <w:tcPr>
            <w:tcW w:w="735" w:type="dxa"/>
            <w:vMerge w:val="restart"/>
            <w:tcBorders>
              <w:top w:val="single" w:color="000000" w:sz="4" w:space="0"/>
              <w:bottom w:val="single" w:color="000000" w:sz="4" w:space="0"/>
              <w:right w:val="single" w:color="000000" w:sz="4" w:space="0"/>
            </w:tcBorders>
          </w:tcPr>
          <w:p>
            <w:pPr>
              <w:pStyle w:val="20"/>
              <w:rPr>
                <w:rFonts w:ascii="宋体"/>
                <w:b/>
                <w:sz w:val="22"/>
              </w:rPr>
            </w:pPr>
          </w:p>
          <w:p>
            <w:pPr>
              <w:pStyle w:val="20"/>
              <w:spacing w:before="189"/>
              <w:ind w:left="19"/>
              <w:jc w:val="center"/>
              <w:rPr>
                <w:rFonts w:ascii="Simplified Arabic"/>
                <w:sz w:val="21"/>
              </w:rPr>
            </w:pPr>
            <w:r>
              <w:rPr>
                <w:rFonts w:ascii="Simplified Arabic"/>
                <w:color w:val="FF0000"/>
                <w:w w:val="99"/>
                <w:sz w:val="21"/>
              </w:rPr>
              <w:t>3</w:t>
            </w:r>
          </w:p>
        </w:tc>
        <w:tc>
          <w:tcPr>
            <w:tcW w:w="1980" w:type="dxa"/>
            <w:vMerge w:val="restart"/>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spacing w:before="7"/>
              <w:rPr>
                <w:rFonts w:ascii="宋体"/>
                <w:b/>
                <w:sz w:val="19"/>
              </w:rPr>
            </w:pPr>
          </w:p>
          <w:p>
            <w:pPr>
              <w:pStyle w:val="20"/>
              <w:ind w:left="369"/>
              <w:rPr>
                <w:rFonts w:hint="eastAsia" w:ascii="宋体" w:eastAsia="宋体"/>
                <w:sz w:val="21"/>
              </w:rPr>
            </w:pPr>
            <w:r>
              <w:rPr>
                <w:rFonts w:hint="eastAsia" w:ascii="宋体" w:eastAsia="宋体"/>
                <w:color w:val="FF0000"/>
                <w:sz w:val="21"/>
              </w:rPr>
              <w:t>个人防护用品</w:t>
            </w: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spacing w:before="1"/>
              <w:ind w:left="514" w:right="485"/>
              <w:jc w:val="center"/>
              <w:rPr>
                <w:rFonts w:hint="eastAsia" w:ascii="宋体" w:eastAsia="宋体"/>
                <w:sz w:val="21"/>
              </w:rPr>
            </w:pPr>
            <w:r>
              <w:rPr>
                <w:rFonts w:hint="eastAsia" w:ascii="宋体" w:eastAsia="宋体"/>
                <w:color w:val="FF0000"/>
                <w:sz w:val="21"/>
              </w:rPr>
              <w:t>一次性防尘口罩</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8"/>
              <w:ind w:left="857" w:right="829"/>
              <w:jc w:val="center"/>
              <w:rPr>
                <w:rFonts w:hint="eastAsia" w:ascii="宋体" w:eastAsia="宋体"/>
                <w:sz w:val="21"/>
              </w:rPr>
            </w:pPr>
            <w:r>
              <w:rPr>
                <w:rFonts w:ascii="Simplified Arabic" w:eastAsia="Simplified Arabic"/>
                <w:color w:val="FF0000"/>
                <w:sz w:val="21"/>
              </w:rPr>
              <w:t xml:space="preserve">60 </w:t>
            </w:r>
            <w:r>
              <w:rPr>
                <w:rFonts w:hint="eastAsia" w:ascii="宋体" w:eastAsia="宋体"/>
                <w:color w:val="FF0000"/>
                <w:sz w:val="21"/>
              </w:rPr>
              <w:t>个</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7" w:hRule="atLeast"/>
        </w:trPr>
        <w:tc>
          <w:tcPr>
            <w:tcW w:w="735" w:type="dxa"/>
            <w:vMerge w:val="continue"/>
            <w:tcBorders>
              <w:top w:val="nil"/>
              <w:bottom w:val="single" w:color="000000" w:sz="4" w:space="0"/>
              <w:right w:val="single" w:color="000000" w:sz="4" w:space="0"/>
            </w:tcBorders>
          </w:tcPr>
          <w:p>
            <w:pPr>
              <w:rPr>
                <w:sz w:val="2"/>
                <w:szCs w:val="2"/>
              </w:rPr>
            </w:pPr>
          </w:p>
        </w:tc>
        <w:tc>
          <w:tcPr>
            <w:tcW w:w="1980" w:type="dxa"/>
            <w:vMerge w:val="continue"/>
            <w:tcBorders>
              <w:top w:val="nil"/>
              <w:left w:val="single" w:color="000000" w:sz="4" w:space="0"/>
              <w:bottom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5"/>
              <w:rPr>
                <w:rFonts w:ascii="宋体"/>
                <w:b/>
                <w:sz w:val="17"/>
              </w:rPr>
            </w:pPr>
          </w:p>
          <w:p>
            <w:pPr>
              <w:pStyle w:val="20"/>
              <w:ind w:left="511" w:right="485"/>
              <w:jc w:val="center"/>
              <w:rPr>
                <w:rFonts w:hint="eastAsia" w:ascii="宋体" w:eastAsia="宋体"/>
                <w:sz w:val="21"/>
              </w:rPr>
            </w:pPr>
            <w:r>
              <w:rPr>
                <w:rFonts w:hint="eastAsia" w:ascii="宋体" w:eastAsia="宋体"/>
                <w:color w:val="FF0000"/>
                <w:sz w:val="21"/>
              </w:rPr>
              <w:t>防毒面具</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8"/>
              <w:ind w:left="857" w:right="829"/>
              <w:jc w:val="center"/>
              <w:rPr>
                <w:rFonts w:hint="eastAsia" w:ascii="宋体" w:eastAsia="宋体"/>
                <w:sz w:val="21"/>
              </w:rPr>
            </w:pPr>
            <w:r>
              <w:rPr>
                <w:rFonts w:ascii="Simplified Arabic" w:eastAsia="Simplified Arabic"/>
                <w:color w:val="FF0000"/>
                <w:sz w:val="21"/>
              </w:rPr>
              <w:t xml:space="preserve">3 </w:t>
            </w:r>
            <w:r>
              <w:rPr>
                <w:rFonts w:hint="eastAsia" w:ascii="宋体" w:eastAsia="宋体"/>
                <w:color w:val="FF0000"/>
                <w:sz w:val="21"/>
              </w:rPr>
              <w:t>个</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7" w:hRule="atLeast"/>
        </w:trPr>
        <w:tc>
          <w:tcPr>
            <w:tcW w:w="735" w:type="dxa"/>
            <w:vMerge w:val="restart"/>
            <w:tcBorders>
              <w:top w:val="single" w:color="000000" w:sz="4" w:space="0"/>
              <w:right w:val="single" w:color="000000" w:sz="4" w:space="0"/>
            </w:tcBorders>
          </w:tcPr>
          <w:p>
            <w:pPr>
              <w:pStyle w:val="20"/>
              <w:rPr>
                <w:rFonts w:ascii="宋体"/>
                <w:b/>
                <w:sz w:val="22"/>
              </w:rPr>
            </w:pPr>
          </w:p>
          <w:p>
            <w:pPr>
              <w:pStyle w:val="20"/>
              <w:rPr>
                <w:rFonts w:ascii="宋体"/>
                <w:b/>
                <w:sz w:val="22"/>
              </w:rPr>
            </w:pPr>
          </w:p>
          <w:p>
            <w:pPr>
              <w:pStyle w:val="20"/>
              <w:spacing w:before="190"/>
              <w:ind w:left="19"/>
              <w:jc w:val="center"/>
              <w:rPr>
                <w:rFonts w:ascii="Simplified Arabic"/>
                <w:sz w:val="21"/>
              </w:rPr>
            </w:pPr>
            <w:r>
              <w:rPr>
                <w:rFonts w:ascii="Simplified Arabic"/>
                <w:color w:val="FF0000"/>
                <w:w w:val="99"/>
                <w:sz w:val="21"/>
              </w:rPr>
              <w:t>4</w:t>
            </w:r>
          </w:p>
        </w:tc>
        <w:tc>
          <w:tcPr>
            <w:tcW w:w="1980" w:type="dxa"/>
            <w:vMerge w:val="restart"/>
            <w:tcBorders>
              <w:top w:val="single" w:color="000000" w:sz="4" w:space="0"/>
              <w:left w:val="single" w:color="000000" w:sz="4" w:space="0"/>
              <w:right w:val="single" w:color="000000" w:sz="4" w:space="0"/>
            </w:tcBorders>
          </w:tcPr>
          <w:p>
            <w:pPr>
              <w:pStyle w:val="20"/>
              <w:rPr>
                <w:rFonts w:ascii="宋体"/>
                <w:b/>
                <w:sz w:val="20"/>
              </w:rPr>
            </w:pPr>
          </w:p>
          <w:p>
            <w:pPr>
              <w:pStyle w:val="20"/>
              <w:rPr>
                <w:rFonts w:ascii="宋体"/>
                <w:b/>
                <w:sz w:val="20"/>
              </w:rPr>
            </w:pPr>
          </w:p>
          <w:p>
            <w:pPr>
              <w:pStyle w:val="20"/>
              <w:spacing w:before="9"/>
              <w:rPr>
                <w:rFonts w:ascii="宋体"/>
                <w:b/>
                <w:sz w:val="21"/>
              </w:rPr>
            </w:pPr>
          </w:p>
          <w:p>
            <w:pPr>
              <w:pStyle w:val="20"/>
              <w:spacing w:before="1"/>
              <w:ind w:left="369"/>
              <w:rPr>
                <w:rFonts w:hint="eastAsia" w:ascii="宋体" w:eastAsia="宋体"/>
                <w:sz w:val="21"/>
              </w:rPr>
            </w:pPr>
            <w:r>
              <w:rPr>
                <w:rFonts w:hint="eastAsia" w:ascii="宋体" w:eastAsia="宋体"/>
                <w:color w:val="FF0000"/>
                <w:sz w:val="21"/>
              </w:rPr>
              <w:t>救治应急器材</w:t>
            </w: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7"/>
              <w:rPr>
                <w:rFonts w:ascii="宋体"/>
                <w:b/>
                <w:sz w:val="17"/>
              </w:rPr>
            </w:pPr>
          </w:p>
          <w:p>
            <w:pPr>
              <w:pStyle w:val="20"/>
              <w:ind w:left="514" w:right="485"/>
              <w:jc w:val="center"/>
              <w:rPr>
                <w:rFonts w:hint="eastAsia" w:ascii="宋体" w:eastAsia="宋体"/>
                <w:sz w:val="21"/>
              </w:rPr>
            </w:pPr>
            <w:r>
              <w:rPr>
                <w:rFonts w:hint="eastAsia" w:ascii="宋体" w:eastAsia="宋体"/>
                <w:color w:val="FF0000"/>
                <w:sz w:val="21"/>
              </w:rPr>
              <w:t>急救箱</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87" w:line="340" w:lineRule="exact"/>
              <w:ind w:left="857" w:right="829"/>
              <w:jc w:val="center"/>
              <w:rPr>
                <w:rFonts w:hint="eastAsia" w:ascii="宋体" w:eastAsia="宋体"/>
                <w:sz w:val="21"/>
              </w:rPr>
            </w:pPr>
            <w:r>
              <w:rPr>
                <w:rFonts w:ascii="Simplified Arabic" w:eastAsia="Simplified Arabic"/>
                <w:color w:val="FF0000"/>
                <w:sz w:val="21"/>
              </w:rPr>
              <w:t xml:space="preserve">2 </w:t>
            </w:r>
            <w:r>
              <w:rPr>
                <w:rFonts w:hint="eastAsia" w:ascii="宋体" w:eastAsia="宋体"/>
                <w:color w:val="FF0000"/>
                <w:sz w:val="21"/>
              </w:rPr>
              <w:t>个</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7" w:hRule="atLeast"/>
        </w:trPr>
        <w:tc>
          <w:tcPr>
            <w:tcW w:w="735" w:type="dxa"/>
            <w:vMerge w:val="continue"/>
            <w:tcBorders>
              <w:top w:val="nil"/>
              <w:right w:val="single" w:color="000000" w:sz="4" w:space="0"/>
            </w:tcBorders>
          </w:tcPr>
          <w:p>
            <w:pPr>
              <w:rPr>
                <w:sz w:val="2"/>
                <w:szCs w:val="2"/>
              </w:rPr>
            </w:pPr>
          </w:p>
        </w:tc>
        <w:tc>
          <w:tcPr>
            <w:tcW w:w="1980" w:type="dxa"/>
            <w:vMerge w:val="continue"/>
            <w:tcBorders>
              <w:top w:val="nil"/>
              <w:left w:val="single" w:color="000000" w:sz="4" w:space="0"/>
              <w:right w:val="single" w:color="000000" w:sz="4" w:space="0"/>
            </w:tcBorders>
          </w:tcPr>
          <w:p>
            <w:pPr>
              <w:rPr>
                <w:sz w:val="2"/>
                <w:szCs w:val="2"/>
              </w:rPr>
            </w:pPr>
          </w:p>
        </w:tc>
        <w:tc>
          <w:tcPr>
            <w:tcW w:w="2520" w:type="dxa"/>
            <w:tcBorders>
              <w:top w:val="single" w:color="000000" w:sz="4" w:space="0"/>
              <w:left w:val="single" w:color="000000" w:sz="4" w:space="0"/>
              <w:bottom w:val="single" w:color="000000" w:sz="4" w:space="0"/>
              <w:right w:val="single" w:color="000000" w:sz="4" w:space="0"/>
            </w:tcBorders>
          </w:tcPr>
          <w:p>
            <w:pPr>
              <w:pStyle w:val="20"/>
              <w:spacing w:before="9"/>
              <w:rPr>
                <w:rFonts w:ascii="宋体"/>
                <w:b/>
                <w:sz w:val="16"/>
              </w:rPr>
            </w:pPr>
          </w:p>
          <w:p>
            <w:pPr>
              <w:pStyle w:val="20"/>
              <w:ind w:left="509" w:right="485"/>
              <w:jc w:val="center"/>
              <w:rPr>
                <w:rFonts w:hint="eastAsia" w:ascii="宋体" w:eastAsia="宋体"/>
                <w:sz w:val="21"/>
              </w:rPr>
            </w:pPr>
            <w:r>
              <w:rPr>
                <w:rFonts w:hint="eastAsia" w:ascii="宋体" w:eastAsia="宋体"/>
                <w:color w:val="FF0000"/>
                <w:sz w:val="21"/>
              </w:rPr>
              <w:t>纱布</w:t>
            </w:r>
          </w:p>
        </w:tc>
        <w:tc>
          <w:tcPr>
            <w:tcW w:w="2235" w:type="dxa"/>
            <w:tcBorders>
              <w:top w:val="single" w:color="000000" w:sz="4" w:space="0"/>
              <w:left w:val="single" w:color="000000" w:sz="4" w:space="0"/>
              <w:bottom w:val="single" w:color="000000" w:sz="4" w:space="0"/>
              <w:right w:val="single" w:color="000000" w:sz="4" w:space="0"/>
            </w:tcBorders>
          </w:tcPr>
          <w:p>
            <w:pPr>
              <w:pStyle w:val="20"/>
              <w:spacing w:before="176" w:line="340" w:lineRule="exact"/>
              <w:ind w:left="857" w:right="829"/>
              <w:jc w:val="center"/>
              <w:rPr>
                <w:rFonts w:hint="eastAsia" w:ascii="宋体" w:eastAsia="宋体"/>
                <w:sz w:val="21"/>
              </w:rPr>
            </w:pPr>
            <w:r>
              <w:rPr>
                <w:rFonts w:ascii="Simplified Arabic" w:eastAsia="Simplified Arabic"/>
                <w:color w:val="FF0000"/>
                <w:sz w:val="21"/>
              </w:rPr>
              <w:t xml:space="preserve">30 </w:t>
            </w:r>
            <w:r>
              <w:rPr>
                <w:rFonts w:hint="eastAsia" w:ascii="宋体" w:eastAsia="宋体"/>
                <w:color w:val="FF0000"/>
                <w:sz w:val="21"/>
              </w:rPr>
              <w:t>块</w:t>
            </w:r>
          </w:p>
        </w:tc>
        <w:tc>
          <w:tcPr>
            <w:tcW w:w="1466" w:type="dxa"/>
            <w:tcBorders>
              <w:top w:val="single" w:color="000000" w:sz="4" w:space="0"/>
              <w:left w:val="single" w:color="000000" w:sz="4" w:space="0"/>
              <w:bottom w:val="single" w:color="000000" w:sz="4" w:space="0"/>
            </w:tcBorders>
          </w:tcPr>
          <w:p>
            <w:pPr>
              <w:pStyle w:val="20"/>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6" w:hRule="atLeast"/>
        </w:trPr>
        <w:tc>
          <w:tcPr>
            <w:tcW w:w="735" w:type="dxa"/>
            <w:vMerge w:val="continue"/>
            <w:tcBorders>
              <w:top w:val="nil"/>
              <w:right w:val="single" w:color="000000" w:sz="4" w:space="0"/>
            </w:tcBorders>
          </w:tcPr>
          <w:p>
            <w:pPr>
              <w:rPr>
                <w:sz w:val="2"/>
                <w:szCs w:val="2"/>
              </w:rPr>
            </w:pPr>
          </w:p>
        </w:tc>
        <w:tc>
          <w:tcPr>
            <w:tcW w:w="1980" w:type="dxa"/>
            <w:vMerge w:val="continue"/>
            <w:tcBorders>
              <w:top w:val="nil"/>
              <w:left w:val="single" w:color="000000" w:sz="4" w:space="0"/>
              <w:right w:val="single" w:color="000000" w:sz="4" w:space="0"/>
            </w:tcBorders>
          </w:tcPr>
          <w:p>
            <w:pPr>
              <w:rPr>
                <w:sz w:val="2"/>
                <w:szCs w:val="2"/>
              </w:rPr>
            </w:pPr>
          </w:p>
        </w:tc>
        <w:tc>
          <w:tcPr>
            <w:tcW w:w="2520" w:type="dxa"/>
            <w:tcBorders>
              <w:top w:val="single" w:color="000000" w:sz="4" w:space="0"/>
              <w:left w:val="single" w:color="000000" w:sz="4" w:space="0"/>
              <w:right w:val="single" w:color="000000" w:sz="4" w:space="0"/>
            </w:tcBorders>
          </w:tcPr>
          <w:p>
            <w:pPr>
              <w:pStyle w:val="20"/>
              <w:spacing w:before="8"/>
              <w:rPr>
                <w:rFonts w:ascii="宋体"/>
                <w:b/>
                <w:sz w:val="16"/>
              </w:rPr>
            </w:pPr>
          </w:p>
          <w:p>
            <w:pPr>
              <w:pStyle w:val="20"/>
              <w:ind w:left="509" w:right="485"/>
              <w:jc w:val="center"/>
              <w:rPr>
                <w:rFonts w:hint="eastAsia" w:ascii="宋体" w:eastAsia="宋体"/>
                <w:sz w:val="21"/>
              </w:rPr>
            </w:pPr>
            <w:r>
              <w:rPr>
                <w:rFonts w:hint="eastAsia" w:ascii="宋体" w:eastAsia="宋体"/>
                <w:color w:val="FF0000"/>
                <w:sz w:val="21"/>
              </w:rPr>
              <w:t>绷带</w:t>
            </w:r>
          </w:p>
        </w:tc>
        <w:tc>
          <w:tcPr>
            <w:tcW w:w="2235" w:type="dxa"/>
            <w:tcBorders>
              <w:top w:val="single" w:color="000000" w:sz="4" w:space="0"/>
              <w:left w:val="single" w:color="000000" w:sz="4" w:space="0"/>
              <w:right w:val="single" w:color="000000" w:sz="4" w:space="0"/>
            </w:tcBorders>
          </w:tcPr>
          <w:p>
            <w:pPr>
              <w:pStyle w:val="20"/>
              <w:spacing w:before="178"/>
              <w:ind w:left="857" w:right="829"/>
              <w:jc w:val="center"/>
              <w:rPr>
                <w:rFonts w:hint="eastAsia" w:ascii="宋体" w:eastAsia="宋体"/>
                <w:sz w:val="21"/>
              </w:rPr>
            </w:pPr>
            <w:r>
              <w:rPr>
                <w:rFonts w:ascii="Simplified Arabic" w:eastAsia="Simplified Arabic"/>
                <w:color w:val="FF0000"/>
                <w:sz w:val="21"/>
              </w:rPr>
              <w:t xml:space="preserve">30 </w:t>
            </w:r>
            <w:r>
              <w:rPr>
                <w:rFonts w:hint="eastAsia" w:ascii="宋体" w:eastAsia="宋体"/>
                <w:color w:val="FF0000"/>
                <w:sz w:val="21"/>
              </w:rPr>
              <w:t>卷</w:t>
            </w:r>
          </w:p>
        </w:tc>
        <w:tc>
          <w:tcPr>
            <w:tcW w:w="1466" w:type="dxa"/>
            <w:tcBorders>
              <w:top w:val="single" w:color="000000" w:sz="4" w:space="0"/>
              <w:left w:val="single" w:color="000000" w:sz="4" w:space="0"/>
            </w:tcBorders>
          </w:tcPr>
          <w:p>
            <w:pPr>
              <w:pStyle w:val="20"/>
              <w:rPr>
                <w:rFonts w:ascii="Times New Roman"/>
                <w:sz w:val="22"/>
              </w:rPr>
            </w:pPr>
          </w:p>
        </w:tc>
      </w:tr>
    </w:tbl>
    <w:p>
      <w:pPr>
        <w:spacing w:after="0"/>
        <w:rPr>
          <w:rFonts w:ascii="Times New Roman"/>
          <w:sz w:val="22"/>
        </w:rPr>
        <w:sectPr>
          <w:pgSz w:w="11900" w:h="16840"/>
          <w:pgMar w:top="1420" w:right="80" w:bottom="1200" w:left="260" w:header="882" w:footer="1004" w:gutter="0"/>
          <w:cols w:space="720" w:num="1"/>
        </w:sectPr>
      </w:pPr>
    </w:p>
    <w:p>
      <w:pPr>
        <w:pStyle w:val="7"/>
        <w:rPr>
          <w:b/>
          <w:sz w:val="20"/>
        </w:rPr>
      </w:pPr>
    </w:p>
    <w:p>
      <w:pPr>
        <w:pStyle w:val="7"/>
        <w:spacing w:before="3"/>
        <w:rPr>
          <w:b/>
          <w:sz w:val="15"/>
        </w:rPr>
      </w:pPr>
    </w:p>
    <w:p>
      <w:pPr>
        <w:pStyle w:val="5"/>
        <w:numPr>
          <w:ilvl w:val="1"/>
          <w:numId w:val="53"/>
        </w:numPr>
        <w:bidi w:val="0"/>
      </w:pPr>
      <w:bookmarkStart w:id="163" w:name="8.2 装备保障维护保养 "/>
      <w:bookmarkEnd w:id="163"/>
      <w:bookmarkStart w:id="164" w:name="_bookmark43"/>
      <w:bookmarkEnd w:id="164"/>
      <w:bookmarkStart w:id="165" w:name="_bookmark43"/>
      <w:bookmarkEnd w:id="165"/>
      <w:r>
        <w:t>装备保障维护保养</w:t>
      </w:r>
    </w:p>
    <w:p>
      <w:pPr>
        <w:pStyle w:val="7"/>
        <w:spacing w:before="163"/>
        <w:ind w:left="2101"/>
      </w:pPr>
      <w:r>
        <w:t>1、大型机械按规定进行维护、保养、使之完好。</w:t>
      </w:r>
    </w:p>
    <w:p>
      <w:pPr>
        <w:pStyle w:val="7"/>
        <w:spacing w:before="8"/>
        <w:rPr>
          <w:sz w:val="25"/>
        </w:rPr>
      </w:pPr>
    </w:p>
    <w:p>
      <w:pPr>
        <w:pStyle w:val="7"/>
        <w:spacing w:before="1" w:line="494" w:lineRule="auto"/>
        <w:ind w:left="1540" w:right="1601" w:firstLine="561"/>
      </w:pPr>
      <w:r>
        <w:t>2</w:t>
      </w:r>
      <w:r>
        <w:rPr>
          <w:spacing w:val="-16"/>
        </w:rPr>
        <w:t xml:space="preserve">、对防护器材配有一定相对应的管理制度，定期对各装置进行周期性检查， </w:t>
      </w:r>
      <w:r>
        <w:t>如发现损坏、失效、及时更换、始终处于完好状态。</w:t>
      </w:r>
    </w:p>
    <w:p>
      <w:pPr>
        <w:pStyle w:val="7"/>
        <w:spacing w:line="496" w:lineRule="auto"/>
        <w:ind w:left="1540" w:right="1721" w:firstLine="561"/>
      </w:pPr>
      <w:r>
        <w:t>3</w:t>
      </w:r>
      <w:r>
        <w:rPr>
          <w:spacing w:val="-9"/>
        </w:rPr>
        <w:t>、消防设施要根据设备检修规程，定期检查、维护、维修、始终处于完好</w:t>
      </w:r>
      <w:r>
        <w:t>状态，对灭火器材，发现泄压、过期及时更换，始终保持有效。</w:t>
      </w:r>
    </w:p>
    <w:p>
      <w:pPr>
        <w:pStyle w:val="7"/>
        <w:spacing w:line="496" w:lineRule="auto"/>
        <w:ind w:left="1540" w:right="1721" w:firstLine="561"/>
      </w:pPr>
      <w:r>
        <w:t>4</w:t>
      </w:r>
      <w:r>
        <w:rPr>
          <w:spacing w:val="-9"/>
        </w:rPr>
        <w:t>、对化学品、危废等承运单位运输车辆实明确行驶时间、路线、停车地点</w:t>
      </w:r>
      <w:r>
        <w:t>等内容。</w:t>
      </w:r>
    </w:p>
    <w:p>
      <w:pPr>
        <w:pStyle w:val="7"/>
        <w:spacing w:line="494" w:lineRule="auto"/>
        <w:ind w:left="1540" w:right="1721" w:firstLine="561"/>
      </w:pPr>
      <w:r>
        <w:t>5</w:t>
      </w:r>
      <w:r>
        <w:rPr>
          <w:spacing w:val="-9"/>
        </w:rPr>
        <w:t>、化学品、危废等承运单位运输车辆的安全、消防设备、器材及人员防护</w:t>
      </w:r>
      <w:r>
        <w:t>装备，必须符合安全要求。</w:t>
      </w:r>
    </w:p>
    <w:p>
      <w:pPr>
        <w:pStyle w:val="19"/>
        <w:numPr>
          <w:ilvl w:val="1"/>
          <w:numId w:val="53"/>
        </w:numPr>
        <w:tabs>
          <w:tab w:val="left" w:pos="2104"/>
        </w:tabs>
        <w:spacing w:before="0" w:after="0" w:line="276" w:lineRule="exact"/>
        <w:ind w:left="2104" w:right="0" w:hanging="564"/>
        <w:jc w:val="left"/>
        <w:rPr>
          <w:b/>
          <w:sz w:val="28"/>
        </w:rPr>
      </w:pPr>
      <w:bookmarkStart w:id="166" w:name="_bookmark44"/>
      <w:bookmarkEnd w:id="166"/>
      <w:bookmarkStart w:id="167" w:name="_bookmark44"/>
      <w:bookmarkEnd w:id="167"/>
      <w:bookmarkStart w:id="168" w:name="8.3 生产过程中应急解决方案 "/>
      <w:bookmarkEnd w:id="168"/>
      <w:r>
        <w:rPr>
          <w:b/>
          <w:sz w:val="28"/>
        </w:rPr>
        <w:t>生产过程中应急解决方案</w:t>
      </w:r>
    </w:p>
    <w:p>
      <w:pPr>
        <w:pStyle w:val="19"/>
        <w:numPr>
          <w:ilvl w:val="2"/>
          <w:numId w:val="53"/>
        </w:numPr>
        <w:tabs>
          <w:tab w:val="left" w:pos="2265"/>
        </w:tabs>
        <w:spacing w:before="125" w:after="0" w:line="240" w:lineRule="auto"/>
        <w:ind w:left="2264" w:right="0" w:hanging="725"/>
        <w:jc w:val="left"/>
        <w:rPr>
          <w:b/>
          <w:sz w:val="24"/>
        </w:rPr>
      </w:pPr>
      <w:r>
        <w:rPr>
          <w:b/>
          <w:w w:val="95"/>
          <w:sz w:val="24"/>
        </w:rPr>
        <w:t>设备事故应急处理措施</w:t>
      </w:r>
    </w:p>
    <w:p>
      <w:pPr>
        <w:pStyle w:val="19"/>
        <w:numPr>
          <w:ilvl w:val="3"/>
          <w:numId w:val="53"/>
        </w:numPr>
        <w:tabs>
          <w:tab w:val="left" w:pos="2748"/>
        </w:tabs>
        <w:spacing w:before="166" w:after="0" w:line="240" w:lineRule="auto"/>
        <w:ind w:left="2747" w:right="0" w:hanging="968"/>
        <w:jc w:val="left"/>
        <w:rPr>
          <w:b/>
          <w:sz w:val="24"/>
        </w:rPr>
      </w:pPr>
      <w:r>
        <w:rPr>
          <w:b/>
          <w:w w:val="95"/>
          <w:sz w:val="24"/>
        </w:rPr>
        <w:t>设备事故分类</w:t>
      </w:r>
    </w:p>
    <w:p>
      <w:pPr>
        <w:pStyle w:val="7"/>
        <w:spacing w:before="8"/>
        <w:rPr>
          <w:b/>
          <w:sz w:val="25"/>
        </w:rPr>
      </w:pPr>
    </w:p>
    <w:p>
      <w:pPr>
        <w:pStyle w:val="7"/>
        <w:spacing w:line="494" w:lineRule="auto"/>
        <w:ind w:left="1540" w:right="1721" w:firstLine="561"/>
        <w:jc w:val="both"/>
      </w:pPr>
      <w:r>
        <w:t>从责任归属来划分，设备事故分为非责任事故和人为责任事故。生产过程中由于某些因素(违章指挥、违章操作、巡检不到位、超负荷运转、维修保养不当等)造成设备事故。</w:t>
      </w:r>
    </w:p>
    <w:p>
      <w:pPr>
        <w:pStyle w:val="19"/>
        <w:numPr>
          <w:ilvl w:val="3"/>
          <w:numId w:val="53"/>
        </w:numPr>
        <w:tabs>
          <w:tab w:val="left" w:pos="2748"/>
        </w:tabs>
        <w:spacing w:before="3" w:after="0" w:line="240" w:lineRule="auto"/>
        <w:ind w:left="2747" w:right="0" w:hanging="968"/>
        <w:jc w:val="left"/>
        <w:rPr>
          <w:b/>
          <w:sz w:val="24"/>
        </w:rPr>
      </w:pPr>
      <w:r>
        <w:rPr>
          <w:b/>
          <w:sz w:val="24"/>
        </w:rPr>
        <w:t>设备事故原因分析</w:t>
      </w:r>
    </w:p>
    <w:p>
      <w:pPr>
        <w:pStyle w:val="7"/>
        <w:spacing w:before="5"/>
        <w:rPr>
          <w:b/>
          <w:sz w:val="25"/>
        </w:rPr>
      </w:pPr>
    </w:p>
    <w:p>
      <w:pPr>
        <w:pStyle w:val="19"/>
        <w:numPr>
          <w:ilvl w:val="4"/>
          <w:numId w:val="53"/>
        </w:numPr>
        <w:tabs>
          <w:tab w:val="left" w:pos="2990"/>
        </w:tabs>
        <w:spacing w:before="0" w:after="0" w:line="240" w:lineRule="auto"/>
        <w:ind w:left="2989" w:right="0" w:hanging="1210"/>
        <w:jc w:val="left"/>
        <w:rPr>
          <w:b/>
          <w:sz w:val="24"/>
        </w:rPr>
      </w:pPr>
      <w:r>
        <w:rPr>
          <w:b/>
          <w:sz w:val="24"/>
        </w:rPr>
        <w:t>非责任事故方面</w:t>
      </w:r>
    </w:p>
    <w:p>
      <w:pPr>
        <w:pStyle w:val="19"/>
        <w:numPr>
          <w:ilvl w:val="5"/>
          <w:numId w:val="53"/>
        </w:numPr>
        <w:tabs>
          <w:tab w:val="left" w:pos="2463"/>
        </w:tabs>
        <w:spacing w:before="6" w:after="0" w:line="630" w:lineRule="atLeast"/>
        <w:ind w:left="1540" w:right="1721" w:firstLine="561"/>
        <w:jc w:val="left"/>
        <w:rPr>
          <w:sz w:val="24"/>
        </w:rPr>
      </w:pPr>
      <w:r>
        <w:rPr>
          <w:sz w:val="24"/>
        </w:rPr>
        <w:t>设计不合理(2)安装调试有缺陷(3)设备、备件制造质量差。(4)安全附件、仪表、仪器失灵(5)超期检修、检验(6)设备老化等。</w:t>
      </w:r>
    </w:p>
    <w:p>
      <w:pPr>
        <w:pStyle w:val="7"/>
        <w:spacing w:before="7"/>
        <w:rPr>
          <w:sz w:val="17"/>
        </w:rPr>
      </w:pPr>
    </w:p>
    <w:p>
      <w:pPr>
        <w:pStyle w:val="19"/>
        <w:numPr>
          <w:ilvl w:val="4"/>
          <w:numId w:val="53"/>
        </w:numPr>
        <w:tabs>
          <w:tab w:val="left" w:pos="2990"/>
        </w:tabs>
        <w:spacing w:before="0" w:after="0" w:line="240" w:lineRule="auto"/>
        <w:ind w:left="2989" w:right="0" w:hanging="1210"/>
        <w:jc w:val="left"/>
        <w:rPr>
          <w:b/>
          <w:sz w:val="24"/>
        </w:rPr>
      </w:pPr>
      <w:r>
        <w:rPr>
          <w:b/>
          <w:sz w:val="24"/>
        </w:rPr>
        <w:t>责任事故方面</w:t>
      </w:r>
    </w:p>
    <w:p>
      <w:pPr>
        <w:spacing w:after="0" w:line="240" w:lineRule="auto"/>
        <w:jc w:val="left"/>
        <w:rPr>
          <w:sz w:val="24"/>
        </w:rPr>
        <w:sectPr>
          <w:pgSz w:w="11900" w:h="16840"/>
          <w:pgMar w:top="1420" w:right="80" w:bottom="1200" w:left="260" w:header="882" w:footer="1004" w:gutter="0"/>
          <w:cols w:space="720" w:num="1"/>
        </w:sectPr>
      </w:pPr>
    </w:p>
    <w:p>
      <w:pPr>
        <w:pStyle w:val="7"/>
        <w:spacing w:before="5"/>
        <w:rPr>
          <w:b/>
          <w:sz w:val="8"/>
        </w:rPr>
      </w:pPr>
    </w:p>
    <w:p>
      <w:pPr>
        <w:pStyle w:val="19"/>
        <w:numPr>
          <w:ilvl w:val="5"/>
          <w:numId w:val="53"/>
        </w:numPr>
        <w:tabs>
          <w:tab w:val="left" w:pos="2463"/>
        </w:tabs>
        <w:spacing w:before="66" w:after="0" w:line="494" w:lineRule="auto"/>
        <w:ind w:left="1540" w:right="1721" w:firstLine="561"/>
        <w:jc w:val="left"/>
        <w:rPr>
          <w:sz w:val="24"/>
        </w:rPr>
      </w:pPr>
      <w:r>
        <w:rPr>
          <w:spacing w:val="-6"/>
          <w:sz w:val="24"/>
        </w:rPr>
        <w:t>违章指挥、违章作业。</w:t>
      </w:r>
      <w:r>
        <w:rPr>
          <w:sz w:val="24"/>
        </w:rPr>
        <w:t>(2)</w:t>
      </w:r>
      <w:r>
        <w:rPr>
          <w:spacing w:val="-5"/>
          <w:sz w:val="24"/>
        </w:rPr>
        <w:t>维护保养不周、巡检不到位。</w:t>
      </w:r>
      <w:r>
        <w:rPr>
          <w:sz w:val="24"/>
        </w:rPr>
        <w:t>(3)</w:t>
      </w:r>
      <w:r>
        <w:rPr>
          <w:spacing w:val="-4"/>
          <w:sz w:val="24"/>
        </w:rPr>
        <w:t>设备超负荷</w:t>
      </w:r>
      <w:r>
        <w:rPr>
          <w:sz w:val="24"/>
        </w:rPr>
        <w:t>运转等。</w:t>
      </w:r>
    </w:p>
    <w:p>
      <w:pPr>
        <w:pStyle w:val="19"/>
        <w:numPr>
          <w:ilvl w:val="3"/>
          <w:numId w:val="53"/>
        </w:numPr>
        <w:tabs>
          <w:tab w:val="left" w:pos="2748"/>
        </w:tabs>
        <w:spacing w:before="3" w:after="0" w:line="240" w:lineRule="auto"/>
        <w:ind w:left="2747" w:right="0" w:hanging="968"/>
        <w:jc w:val="left"/>
        <w:rPr>
          <w:b/>
          <w:sz w:val="24"/>
        </w:rPr>
      </w:pPr>
      <w:r>
        <w:rPr>
          <w:b/>
          <w:sz w:val="24"/>
        </w:rPr>
        <w:t>设备事故预防</w:t>
      </w:r>
    </w:p>
    <w:p>
      <w:pPr>
        <w:pStyle w:val="7"/>
        <w:spacing w:before="6"/>
        <w:rPr>
          <w:b/>
          <w:sz w:val="25"/>
        </w:rPr>
      </w:pPr>
    </w:p>
    <w:p>
      <w:pPr>
        <w:pStyle w:val="19"/>
        <w:numPr>
          <w:ilvl w:val="0"/>
          <w:numId w:val="54"/>
        </w:numPr>
        <w:tabs>
          <w:tab w:val="left" w:pos="2463"/>
        </w:tabs>
        <w:spacing w:before="0" w:after="0" w:line="494" w:lineRule="auto"/>
        <w:ind w:left="1540" w:right="1721" w:firstLine="561"/>
        <w:jc w:val="left"/>
        <w:rPr>
          <w:sz w:val="24"/>
        </w:rPr>
      </w:pPr>
      <w:r>
        <w:rPr>
          <w:spacing w:val="-9"/>
          <w:sz w:val="24"/>
        </w:rPr>
        <w:t>设备操作中的隐患，主要是指违反设备的操作规程所进行的各种违章作</w:t>
      </w:r>
      <w:r>
        <w:rPr>
          <w:sz w:val="24"/>
        </w:rPr>
        <w:t>业，如超负荷运转、冒险作业、不按程序使用等。</w:t>
      </w:r>
    </w:p>
    <w:p>
      <w:pPr>
        <w:pStyle w:val="19"/>
        <w:numPr>
          <w:ilvl w:val="0"/>
          <w:numId w:val="54"/>
        </w:numPr>
        <w:tabs>
          <w:tab w:val="left" w:pos="2463"/>
        </w:tabs>
        <w:spacing w:before="3" w:after="0" w:line="494" w:lineRule="auto"/>
        <w:ind w:left="1540" w:right="1721" w:firstLine="561"/>
        <w:jc w:val="left"/>
        <w:rPr>
          <w:sz w:val="24"/>
        </w:rPr>
      </w:pPr>
      <w:r>
        <w:rPr>
          <w:sz w:val="24"/>
        </w:rPr>
        <w:t>维护保养中的隐患，主要指操作人员日常工作中的“三好”(管好、用好、维修好)、“四会”(会操作、会实用、会保养、会排除故障)没到位。</w:t>
      </w:r>
    </w:p>
    <w:p>
      <w:pPr>
        <w:pStyle w:val="19"/>
        <w:numPr>
          <w:ilvl w:val="0"/>
          <w:numId w:val="54"/>
        </w:numPr>
        <w:tabs>
          <w:tab w:val="left" w:pos="2463"/>
        </w:tabs>
        <w:spacing w:before="0" w:after="0" w:line="494" w:lineRule="auto"/>
        <w:ind w:left="1540" w:right="1721" w:firstLine="561"/>
        <w:jc w:val="both"/>
        <w:rPr>
          <w:sz w:val="24"/>
        </w:rPr>
      </w:pPr>
      <w:r>
        <w:rPr>
          <w:spacing w:val="-7"/>
          <w:sz w:val="24"/>
        </w:rPr>
        <w:t>检查修理中的隐患，主要反映在设备故障检查技术差，一些小问题不能</w:t>
      </w:r>
      <w:r>
        <w:rPr>
          <w:spacing w:val="-9"/>
          <w:sz w:val="24"/>
        </w:rPr>
        <w:t>及时发现和排除，积累成大问题。另外就是为抢生产任务带病运行，长期失修引</w:t>
      </w:r>
      <w:r>
        <w:rPr>
          <w:sz w:val="24"/>
        </w:rPr>
        <w:t>发事故。</w:t>
      </w:r>
    </w:p>
    <w:p>
      <w:pPr>
        <w:pStyle w:val="19"/>
        <w:numPr>
          <w:ilvl w:val="0"/>
          <w:numId w:val="54"/>
        </w:numPr>
        <w:tabs>
          <w:tab w:val="left" w:pos="2463"/>
        </w:tabs>
        <w:spacing w:before="5" w:after="0" w:line="240" w:lineRule="auto"/>
        <w:ind w:left="2462" w:right="0" w:hanging="362"/>
        <w:jc w:val="left"/>
        <w:rPr>
          <w:sz w:val="24"/>
        </w:rPr>
      </w:pPr>
      <w:r>
        <w:rPr>
          <w:sz w:val="24"/>
        </w:rPr>
        <w:t>其他隐患因素。比如环境因素及操作者疏忽等。</w:t>
      </w:r>
    </w:p>
    <w:p>
      <w:pPr>
        <w:pStyle w:val="7"/>
        <w:spacing w:before="6"/>
        <w:rPr>
          <w:sz w:val="25"/>
        </w:rPr>
      </w:pPr>
    </w:p>
    <w:p>
      <w:pPr>
        <w:pStyle w:val="19"/>
        <w:numPr>
          <w:ilvl w:val="3"/>
          <w:numId w:val="53"/>
        </w:numPr>
        <w:tabs>
          <w:tab w:val="left" w:pos="2748"/>
        </w:tabs>
        <w:spacing w:before="0" w:after="0" w:line="240" w:lineRule="auto"/>
        <w:ind w:left="2747" w:right="0" w:hanging="968"/>
        <w:jc w:val="left"/>
        <w:rPr>
          <w:b/>
          <w:sz w:val="24"/>
        </w:rPr>
      </w:pPr>
      <w:r>
        <w:rPr>
          <w:b/>
          <w:sz w:val="24"/>
        </w:rPr>
        <w:t>采取措施</w:t>
      </w:r>
    </w:p>
    <w:p>
      <w:pPr>
        <w:pStyle w:val="7"/>
        <w:spacing w:before="6"/>
        <w:rPr>
          <w:b/>
          <w:sz w:val="25"/>
        </w:rPr>
      </w:pPr>
    </w:p>
    <w:p>
      <w:pPr>
        <w:pStyle w:val="19"/>
        <w:numPr>
          <w:ilvl w:val="0"/>
          <w:numId w:val="55"/>
        </w:numPr>
        <w:tabs>
          <w:tab w:val="left" w:pos="2463"/>
        </w:tabs>
        <w:spacing w:before="0" w:after="0" w:line="494" w:lineRule="auto"/>
        <w:ind w:left="1540" w:right="1598" w:firstLine="561"/>
        <w:jc w:val="both"/>
        <w:rPr>
          <w:sz w:val="24"/>
        </w:rPr>
      </w:pPr>
      <w:r>
        <w:rPr>
          <w:spacing w:val="-13"/>
          <w:sz w:val="24"/>
        </w:rPr>
        <w:t xml:space="preserve">必须认真对每台设备制订使用、维护、检修三大规程，严格按规程执行， </w:t>
      </w:r>
      <w:r>
        <w:rPr>
          <w:sz w:val="24"/>
        </w:rPr>
        <w:t>定期校验各类安全保护装置，定期维护各项检测仪表，认真开展点检预修工作， 做到防范未然。</w:t>
      </w:r>
    </w:p>
    <w:p>
      <w:pPr>
        <w:pStyle w:val="19"/>
        <w:numPr>
          <w:ilvl w:val="0"/>
          <w:numId w:val="55"/>
        </w:numPr>
        <w:tabs>
          <w:tab w:val="left" w:pos="2463"/>
        </w:tabs>
        <w:spacing w:before="3" w:after="0" w:line="496" w:lineRule="auto"/>
        <w:ind w:left="1540" w:right="1721" w:firstLine="561"/>
        <w:jc w:val="left"/>
        <w:rPr>
          <w:sz w:val="24"/>
        </w:rPr>
      </w:pPr>
      <w:r>
        <w:rPr>
          <w:spacing w:val="-7"/>
          <w:sz w:val="24"/>
        </w:rPr>
        <w:t>各级生产指挥人员，应改变重生产、轻设备甚至拼设备的观念，坚决抵</w:t>
      </w:r>
      <w:r>
        <w:rPr>
          <w:sz w:val="24"/>
        </w:rPr>
        <w:t>制违章作业、超负荷等不正常现象。</w:t>
      </w:r>
    </w:p>
    <w:p>
      <w:pPr>
        <w:pStyle w:val="19"/>
        <w:numPr>
          <w:ilvl w:val="0"/>
          <w:numId w:val="55"/>
        </w:numPr>
        <w:tabs>
          <w:tab w:val="left" w:pos="2463"/>
        </w:tabs>
        <w:spacing w:before="0" w:after="0" w:line="494" w:lineRule="auto"/>
        <w:ind w:left="1540" w:right="1601" w:firstLine="561"/>
        <w:jc w:val="right"/>
        <w:rPr>
          <w:sz w:val="24"/>
        </w:rPr>
      </w:pPr>
      <w:r>
        <w:rPr>
          <w:sz w:val="24"/>
        </w:rPr>
        <w:t>认真贯彻执行点检、预修制度，明确检查职责、检查范围和落实到人。</w:t>
      </w:r>
      <w:r>
        <w:rPr>
          <w:spacing w:val="-16"/>
          <w:sz w:val="24"/>
        </w:rPr>
        <w:t>如发现异常现象，及时解决，不能处理的及时向技术人员和领导反映，不得拖延。</w:t>
      </w:r>
      <w:r>
        <w:rPr>
          <w:sz w:val="24"/>
        </w:rPr>
        <w:t xml:space="preserve"> (4)公司各级领导要高度重视设备事故管理，落实好预防为主，实行全员、</w:t>
      </w:r>
    </w:p>
    <w:p>
      <w:pPr>
        <w:pStyle w:val="7"/>
        <w:spacing w:line="496" w:lineRule="auto"/>
        <w:ind w:left="1540" w:right="1721"/>
      </w:pPr>
      <w:r>
        <w:rPr>
          <w:spacing w:val="-10"/>
        </w:rPr>
        <w:t>全过程管理。加强对员工的技术培训和安全生产教育，严格督察设备管理各项规</w:t>
      </w:r>
      <w:r>
        <w:t>程、制度执行情况等。</w:t>
      </w:r>
    </w:p>
    <w:p>
      <w:pPr>
        <w:spacing w:after="0" w:line="496" w:lineRule="auto"/>
        <w:sectPr>
          <w:pgSz w:w="11900" w:h="16840"/>
          <w:pgMar w:top="1420" w:right="80" w:bottom="1200" w:left="260" w:header="882" w:footer="1004" w:gutter="0"/>
          <w:cols w:space="720" w:num="1"/>
        </w:sectPr>
      </w:pPr>
    </w:p>
    <w:p>
      <w:pPr>
        <w:pStyle w:val="19"/>
        <w:numPr>
          <w:ilvl w:val="2"/>
          <w:numId w:val="53"/>
        </w:numPr>
        <w:tabs>
          <w:tab w:val="left" w:pos="2265"/>
        </w:tabs>
        <w:spacing w:before="140" w:after="0" w:line="369" w:lineRule="auto"/>
        <w:ind w:left="2101" w:right="7366" w:hanging="562"/>
        <w:jc w:val="left"/>
        <w:rPr>
          <w:sz w:val="24"/>
        </w:rPr>
      </w:pPr>
      <w:r>
        <w:rPr>
          <w:b/>
          <w:spacing w:val="-2"/>
          <w:sz w:val="24"/>
        </w:rPr>
        <w:t>事故应急处理措施</w:t>
      </w:r>
      <w:r>
        <w:rPr>
          <w:sz w:val="24"/>
        </w:rPr>
        <w:t>1、建设管理措施</w:t>
      </w:r>
    </w:p>
    <w:p>
      <w:pPr>
        <w:pStyle w:val="19"/>
        <w:numPr>
          <w:ilvl w:val="0"/>
          <w:numId w:val="56"/>
        </w:numPr>
        <w:tabs>
          <w:tab w:val="left" w:pos="2463"/>
        </w:tabs>
        <w:spacing w:before="160" w:after="0" w:line="494" w:lineRule="auto"/>
        <w:ind w:left="1540" w:right="1601" w:firstLine="561"/>
        <w:jc w:val="left"/>
        <w:rPr>
          <w:sz w:val="24"/>
        </w:rPr>
      </w:pPr>
      <w:r>
        <w:rPr>
          <w:spacing w:val="-12"/>
          <w:sz w:val="24"/>
        </w:rPr>
        <w:t>严格遵照国家有关的法令、法规、设计规范、操作规程进行选购、设计、</w:t>
      </w:r>
      <w:r>
        <w:rPr>
          <w:spacing w:val="-11"/>
          <w:sz w:val="24"/>
        </w:rPr>
        <w:t>施工、安装、建设。严格按《民用爆破器材过程设计安全规范》</w:t>
      </w:r>
      <w:r>
        <w:rPr>
          <w:sz w:val="24"/>
        </w:rPr>
        <w:t>(GB50089-2007) 和《建筑设计防火规范》(GB50016-2018)规范安全设计。</w:t>
      </w:r>
    </w:p>
    <w:p>
      <w:pPr>
        <w:pStyle w:val="19"/>
        <w:numPr>
          <w:ilvl w:val="0"/>
          <w:numId w:val="56"/>
        </w:numPr>
        <w:tabs>
          <w:tab w:val="left" w:pos="2463"/>
        </w:tabs>
        <w:spacing w:before="5" w:after="0" w:line="494" w:lineRule="auto"/>
        <w:ind w:left="1540" w:right="1721" w:firstLine="561"/>
        <w:jc w:val="left"/>
        <w:rPr>
          <w:sz w:val="24"/>
        </w:rPr>
      </w:pPr>
      <w:r>
        <w:rPr>
          <w:spacing w:val="-8"/>
          <w:sz w:val="24"/>
        </w:rPr>
        <w:t>工程建成后，须经化工、劳动安全、消防、环保等有关部门全面验收合</w:t>
      </w:r>
      <w:r>
        <w:rPr>
          <w:sz w:val="24"/>
        </w:rPr>
        <w:t>格后方可开工。</w:t>
      </w:r>
    </w:p>
    <w:p>
      <w:pPr>
        <w:pStyle w:val="7"/>
        <w:spacing w:line="496" w:lineRule="auto"/>
        <w:ind w:left="1540" w:right="1721" w:firstLine="561"/>
      </w:pPr>
      <w:r>
        <w:t>2</w:t>
      </w:r>
      <w:r>
        <w:rPr>
          <w:spacing w:val="-10"/>
        </w:rPr>
        <w:t>、工艺控制措施对于现场巡视及开停车时必须在现场观察的参数设就地仪</w:t>
      </w:r>
      <w:r>
        <w:t>表，主要操作点设置必要的事故停车开关或连锁装置，以保证安全操作。</w:t>
      </w:r>
    </w:p>
    <w:p>
      <w:pPr>
        <w:pStyle w:val="7"/>
        <w:spacing w:line="304" w:lineRule="exact"/>
        <w:ind w:left="2101"/>
      </w:pPr>
      <w:r>
        <w:t>3、建筑等级及设备方面的防范措施</w:t>
      </w:r>
    </w:p>
    <w:p>
      <w:pPr>
        <w:pStyle w:val="7"/>
        <w:spacing w:before="6"/>
        <w:rPr>
          <w:sz w:val="25"/>
        </w:rPr>
      </w:pPr>
    </w:p>
    <w:p>
      <w:pPr>
        <w:pStyle w:val="19"/>
        <w:numPr>
          <w:ilvl w:val="0"/>
          <w:numId w:val="57"/>
        </w:numPr>
        <w:tabs>
          <w:tab w:val="left" w:pos="2463"/>
        </w:tabs>
        <w:spacing w:before="0" w:after="0" w:line="494" w:lineRule="auto"/>
        <w:ind w:left="1540" w:right="1619" w:firstLine="561"/>
        <w:jc w:val="left"/>
        <w:rPr>
          <w:sz w:val="24"/>
        </w:rPr>
      </w:pPr>
      <w:r>
        <w:rPr>
          <w:spacing w:val="-6"/>
          <w:sz w:val="24"/>
        </w:rPr>
        <w:t>各装置按生产类别火灾，主要生产厂房耐火等级不低于二级，建筑物设计按《民用爆破器材过程设计安全规范》(GB50089-2007)</w:t>
      </w:r>
      <w:r>
        <w:rPr>
          <w:spacing w:val="-8"/>
          <w:sz w:val="24"/>
        </w:rPr>
        <w:t>执行。各建筑物之间、</w:t>
      </w:r>
      <w:r>
        <w:rPr>
          <w:sz w:val="24"/>
        </w:rPr>
        <w:t>建筑物与道路、电杆及厂房之间，按火灾危险类别和环境情况保持安全距离。</w:t>
      </w:r>
    </w:p>
    <w:p>
      <w:pPr>
        <w:pStyle w:val="19"/>
        <w:numPr>
          <w:ilvl w:val="0"/>
          <w:numId w:val="57"/>
        </w:numPr>
        <w:tabs>
          <w:tab w:val="left" w:pos="2463"/>
        </w:tabs>
        <w:spacing w:before="5" w:after="0" w:line="240" w:lineRule="auto"/>
        <w:ind w:left="2462" w:right="0" w:hanging="362"/>
        <w:jc w:val="left"/>
        <w:rPr>
          <w:sz w:val="24"/>
        </w:rPr>
      </w:pPr>
      <w:r>
        <w:rPr>
          <w:sz w:val="24"/>
        </w:rPr>
        <w:t>所有设备的设计、选购、安装均应按有关规范、标准进行。</w:t>
      </w:r>
    </w:p>
    <w:p>
      <w:pPr>
        <w:pStyle w:val="7"/>
        <w:spacing w:before="6"/>
        <w:rPr>
          <w:sz w:val="25"/>
        </w:rPr>
      </w:pPr>
    </w:p>
    <w:p>
      <w:pPr>
        <w:pStyle w:val="19"/>
        <w:numPr>
          <w:ilvl w:val="0"/>
          <w:numId w:val="57"/>
        </w:numPr>
        <w:tabs>
          <w:tab w:val="left" w:pos="2463"/>
        </w:tabs>
        <w:spacing w:before="0" w:after="0" w:line="240" w:lineRule="auto"/>
        <w:ind w:left="2462" w:right="0" w:hanging="362"/>
        <w:jc w:val="left"/>
        <w:rPr>
          <w:sz w:val="24"/>
        </w:rPr>
      </w:pPr>
      <w:r>
        <w:rPr>
          <w:sz w:val="24"/>
        </w:rPr>
        <w:t>管材、壁厚、阀门选择及管道安装时严格把关，以防物料泄漏。</w:t>
      </w:r>
    </w:p>
    <w:p>
      <w:pPr>
        <w:pStyle w:val="7"/>
        <w:spacing w:before="6"/>
        <w:rPr>
          <w:sz w:val="25"/>
        </w:rPr>
      </w:pPr>
    </w:p>
    <w:p>
      <w:pPr>
        <w:pStyle w:val="19"/>
        <w:numPr>
          <w:ilvl w:val="0"/>
          <w:numId w:val="57"/>
        </w:numPr>
        <w:tabs>
          <w:tab w:val="left" w:pos="2463"/>
        </w:tabs>
        <w:spacing w:before="0" w:after="0" w:line="496" w:lineRule="auto"/>
        <w:ind w:left="1540" w:right="1721" w:firstLine="561"/>
        <w:jc w:val="left"/>
        <w:rPr>
          <w:sz w:val="24"/>
        </w:rPr>
      </w:pPr>
      <w:r>
        <w:rPr>
          <w:spacing w:val="-5"/>
          <w:sz w:val="24"/>
        </w:rPr>
        <w:t>对于因超温超压可能引起的火灾爆炸危险的设备(如：锅炉等)，应设置</w:t>
      </w:r>
      <w:r>
        <w:rPr>
          <w:sz w:val="24"/>
        </w:rPr>
        <w:t>自动报警信号及自动和手动紧急泄压措施。</w:t>
      </w:r>
    </w:p>
    <w:p>
      <w:pPr>
        <w:pStyle w:val="19"/>
        <w:numPr>
          <w:ilvl w:val="0"/>
          <w:numId w:val="57"/>
        </w:numPr>
        <w:tabs>
          <w:tab w:val="left" w:pos="2463"/>
        </w:tabs>
        <w:spacing w:before="0" w:after="0" w:line="494" w:lineRule="auto"/>
        <w:ind w:left="1540" w:right="1598" w:firstLine="561"/>
        <w:jc w:val="left"/>
        <w:rPr>
          <w:sz w:val="24"/>
        </w:rPr>
      </w:pPr>
      <w:r>
        <w:rPr>
          <w:spacing w:val="-10"/>
          <w:sz w:val="24"/>
        </w:rPr>
        <w:t>所有压力容器的设计均按有关规范、标准进行，并配有安全阀、爆破片、</w:t>
      </w:r>
      <w:r>
        <w:rPr>
          <w:sz w:val="24"/>
        </w:rPr>
        <w:t>紧急放空阀、紧急切断装置等超压保护装置。</w:t>
      </w:r>
    </w:p>
    <w:p>
      <w:pPr>
        <w:pStyle w:val="19"/>
        <w:numPr>
          <w:ilvl w:val="0"/>
          <w:numId w:val="57"/>
        </w:numPr>
        <w:tabs>
          <w:tab w:val="left" w:pos="2463"/>
        </w:tabs>
        <w:spacing w:before="0" w:after="0" w:line="494" w:lineRule="auto"/>
        <w:ind w:left="1540" w:right="1721" w:firstLine="561"/>
        <w:jc w:val="left"/>
        <w:rPr>
          <w:sz w:val="24"/>
        </w:rPr>
      </w:pPr>
      <w:r>
        <w:rPr>
          <w:spacing w:val="-5"/>
          <w:sz w:val="24"/>
        </w:rPr>
        <w:t>较高厂房均应设避雷装置及防雷接地设施，所有高出厂房的设备、设施</w:t>
      </w:r>
      <w:r>
        <w:rPr>
          <w:spacing w:val="-10"/>
          <w:sz w:val="24"/>
        </w:rPr>
        <w:t>均应设避雷装置。所有用电设备的金属外壳均应采取保护接地措施，各厂房及整</w:t>
      </w:r>
    </w:p>
    <w:p>
      <w:pPr>
        <w:spacing w:after="0" w:line="494" w:lineRule="auto"/>
        <w:jc w:val="left"/>
        <w:rPr>
          <w:sz w:val="24"/>
        </w:rPr>
        <w:sectPr>
          <w:footerReference r:id="rId17" w:type="default"/>
          <w:pgSz w:w="11900" w:h="16840"/>
          <w:pgMar w:top="1420" w:right="80" w:bottom="1200" w:left="260" w:header="882" w:footer="1004" w:gutter="0"/>
          <w:pgNumType w:start="80"/>
          <w:cols w:space="720" w:num="1"/>
        </w:sectPr>
      </w:pPr>
    </w:p>
    <w:p>
      <w:pPr>
        <w:pStyle w:val="7"/>
        <w:spacing w:before="5"/>
        <w:rPr>
          <w:sz w:val="8"/>
        </w:rPr>
      </w:pPr>
    </w:p>
    <w:p>
      <w:pPr>
        <w:pStyle w:val="7"/>
        <w:spacing w:before="66" w:line="494" w:lineRule="auto"/>
        <w:ind w:left="1540" w:right="1721"/>
      </w:pPr>
      <w:r>
        <w:rPr>
          <w:spacing w:val="-8"/>
        </w:rPr>
        <w:t>个装置区构成接地网络，对易产生静电的场所采取接地干线以起保护作用。工艺</w:t>
      </w:r>
      <w:r>
        <w:t>生产过程中产生静电的设备和管道及输送易爆的物料管线作防静电接地。</w:t>
      </w:r>
    </w:p>
    <w:p>
      <w:pPr>
        <w:pStyle w:val="19"/>
        <w:numPr>
          <w:ilvl w:val="0"/>
          <w:numId w:val="57"/>
        </w:numPr>
        <w:tabs>
          <w:tab w:val="left" w:pos="2463"/>
        </w:tabs>
        <w:spacing w:before="3" w:after="0" w:line="494" w:lineRule="auto"/>
        <w:ind w:left="2101" w:right="1896" w:firstLine="0"/>
        <w:jc w:val="left"/>
        <w:rPr>
          <w:sz w:val="24"/>
        </w:rPr>
      </w:pPr>
      <w:r>
        <w:rPr>
          <w:spacing w:val="-1"/>
          <w:sz w:val="24"/>
        </w:rPr>
        <w:t>对可能产生有毒气体积累的场所，设置机械通风设施进行通风换气。</w:t>
      </w:r>
      <w:r>
        <w:rPr>
          <w:sz w:val="24"/>
        </w:rPr>
        <w:t>4、生产安全管理措施</w:t>
      </w:r>
    </w:p>
    <w:p>
      <w:pPr>
        <w:pStyle w:val="19"/>
        <w:numPr>
          <w:ilvl w:val="0"/>
          <w:numId w:val="58"/>
        </w:numPr>
        <w:tabs>
          <w:tab w:val="left" w:pos="2463"/>
        </w:tabs>
        <w:spacing w:before="0" w:after="0" w:line="496" w:lineRule="auto"/>
        <w:ind w:left="1540" w:right="1721" w:firstLine="561"/>
        <w:jc w:val="left"/>
        <w:rPr>
          <w:sz w:val="24"/>
        </w:rPr>
      </w:pPr>
      <w:r>
        <w:rPr>
          <w:spacing w:val="-8"/>
          <w:sz w:val="24"/>
        </w:rPr>
        <w:t>加强工艺管理，严格控制工艺指标。工厂应建立科学、严格的生产操作</w:t>
      </w:r>
      <w:r>
        <w:rPr>
          <w:sz w:val="24"/>
        </w:rPr>
        <w:t>规程和安全管理体系，做到各车间、工段生产、安全都有专业人员专职负责。</w:t>
      </w:r>
    </w:p>
    <w:p>
      <w:pPr>
        <w:pStyle w:val="19"/>
        <w:numPr>
          <w:ilvl w:val="0"/>
          <w:numId w:val="58"/>
        </w:numPr>
        <w:tabs>
          <w:tab w:val="left" w:pos="2467"/>
        </w:tabs>
        <w:spacing w:before="0" w:after="0" w:line="494" w:lineRule="auto"/>
        <w:ind w:left="1540" w:right="1721" w:firstLine="561"/>
        <w:jc w:val="left"/>
        <w:rPr>
          <w:sz w:val="24"/>
        </w:rPr>
      </w:pPr>
      <w:r>
        <w:rPr>
          <w:spacing w:val="3"/>
          <w:sz w:val="24"/>
        </w:rPr>
        <w:t>加强安全生产教育。从事天然气使用的职工都必须先进行用气安全规范、工业卫生及消防等培训教育，并经考核合格才准予上岗操作。</w:t>
      </w:r>
    </w:p>
    <w:p>
      <w:pPr>
        <w:pStyle w:val="19"/>
        <w:numPr>
          <w:ilvl w:val="0"/>
          <w:numId w:val="58"/>
        </w:numPr>
        <w:tabs>
          <w:tab w:val="left" w:pos="2463"/>
        </w:tabs>
        <w:spacing w:before="0" w:after="0" w:line="494" w:lineRule="auto"/>
        <w:ind w:left="1540" w:right="1721" w:firstLine="561"/>
        <w:jc w:val="both"/>
        <w:rPr>
          <w:sz w:val="24"/>
        </w:rPr>
      </w:pPr>
      <w:r>
        <w:rPr>
          <w:spacing w:val="-7"/>
          <w:sz w:val="24"/>
        </w:rPr>
        <w:t>把好设备进厂关，该打压的要打压，该试漏的要试漏，将隐患消灭在正</w:t>
      </w:r>
      <w:r>
        <w:rPr>
          <w:spacing w:val="-10"/>
          <w:sz w:val="24"/>
        </w:rPr>
        <w:t>式投入使用前。同时加强容器、设备、管道、阀门等密封检查与维护，发现问题</w:t>
      </w:r>
      <w:r>
        <w:rPr>
          <w:sz w:val="24"/>
        </w:rPr>
        <w:t>及时解决，保证设备完好。</w:t>
      </w:r>
    </w:p>
    <w:p>
      <w:pPr>
        <w:pStyle w:val="19"/>
        <w:numPr>
          <w:ilvl w:val="0"/>
          <w:numId w:val="58"/>
        </w:numPr>
        <w:tabs>
          <w:tab w:val="left" w:pos="2463"/>
        </w:tabs>
        <w:spacing w:before="2" w:after="0" w:line="494" w:lineRule="auto"/>
        <w:ind w:left="1540" w:right="1656" w:firstLine="561"/>
        <w:jc w:val="both"/>
        <w:rPr>
          <w:sz w:val="24"/>
        </w:rPr>
      </w:pPr>
      <w:r>
        <w:rPr>
          <w:spacing w:val="-1"/>
          <w:sz w:val="24"/>
        </w:rPr>
        <w:t>建立健全供气管道的技术档案，包括前期的可研文件、初步设计文件、</w:t>
      </w:r>
      <w:r>
        <w:rPr>
          <w:spacing w:val="-11"/>
          <w:sz w:val="24"/>
        </w:rPr>
        <w:t>施工图、整套施工资料、相关部门的审批手续及文件等。制定详细的岗位操作规程等。建立可靠的燃气供应工程安全运行的自动控制系统。</w:t>
      </w:r>
    </w:p>
    <w:p>
      <w:pPr>
        <w:pStyle w:val="19"/>
        <w:numPr>
          <w:ilvl w:val="0"/>
          <w:numId w:val="58"/>
        </w:numPr>
        <w:tabs>
          <w:tab w:val="left" w:pos="2463"/>
        </w:tabs>
        <w:spacing w:before="3" w:after="0" w:line="494" w:lineRule="auto"/>
        <w:ind w:left="2101" w:right="4776" w:firstLine="0"/>
        <w:jc w:val="left"/>
        <w:rPr>
          <w:sz w:val="24"/>
        </w:rPr>
      </w:pPr>
      <w:r>
        <w:rPr>
          <w:spacing w:val="-1"/>
          <w:sz w:val="24"/>
        </w:rPr>
        <w:t>严格执行《化学工业部安全生产禁令》。</w:t>
      </w:r>
      <w:r>
        <w:rPr>
          <w:sz w:val="24"/>
        </w:rPr>
        <w:t>5、劳动保护措施</w:t>
      </w:r>
    </w:p>
    <w:p>
      <w:pPr>
        <w:pStyle w:val="19"/>
        <w:numPr>
          <w:ilvl w:val="0"/>
          <w:numId w:val="59"/>
        </w:numPr>
        <w:tabs>
          <w:tab w:val="left" w:pos="2463"/>
        </w:tabs>
        <w:spacing w:before="3" w:after="0" w:line="494" w:lineRule="auto"/>
        <w:ind w:left="1540" w:right="1721" w:firstLine="561"/>
        <w:jc w:val="both"/>
        <w:rPr>
          <w:sz w:val="24"/>
        </w:rPr>
      </w:pPr>
      <w:r>
        <w:rPr>
          <w:spacing w:val="-4"/>
          <w:sz w:val="24"/>
        </w:rPr>
        <w:t>对在岗人员及邻近有关人员进行普及型自我救护教育，一旦发生事故迅</w:t>
      </w:r>
      <w:r>
        <w:rPr>
          <w:spacing w:val="-10"/>
          <w:sz w:val="24"/>
        </w:rPr>
        <w:t>速进行自我救护，如佩戴防毒面具。敞开门窗等。同时还要加强防护器材的维护</w:t>
      </w:r>
      <w:r>
        <w:rPr>
          <w:sz w:val="24"/>
        </w:rPr>
        <w:t>保养，保证器材随时处于备用状态。</w:t>
      </w:r>
    </w:p>
    <w:p>
      <w:pPr>
        <w:pStyle w:val="19"/>
        <w:numPr>
          <w:ilvl w:val="0"/>
          <w:numId w:val="59"/>
        </w:numPr>
        <w:tabs>
          <w:tab w:val="left" w:pos="2463"/>
        </w:tabs>
        <w:spacing w:before="3" w:after="0" w:line="494" w:lineRule="auto"/>
        <w:ind w:left="1540" w:right="1619" w:firstLine="561"/>
        <w:jc w:val="left"/>
        <w:rPr>
          <w:sz w:val="24"/>
        </w:rPr>
      </w:pPr>
      <w:r>
        <w:rPr>
          <w:spacing w:val="-5"/>
          <w:sz w:val="24"/>
        </w:rPr>
        <w:t>要加强设备的密封性和车间的通风，防止跑、冒、滴、漏，最大限度地</w:t>
      </w:r>
      <w:r>
        <w:rPr>
          <w:spacing w:val="-6"/>
          <w:sz w:val="24"/>
        </w:rPr>
        <w:t>降低车间中有害物质的浓度。同时进行定期检测使之达到国家卫生标准的要求。</w:t>
      </w:r>
    </w:p>
    <w:p>
      <w:pPr>
        <w:spacing w:after="0" w:line="494" w:lineRule="auto"/>
        <w:jc w:val="left"/>
        <w:rPr>
          <w:sz w:val="24"/>
        </w:rPr>
        <w:sectPr>
          <w:pgSz w:w="11900" w:h="16840"/>
          <w:pgMar w:top="1420" w:right="80" w:bottom="1200" w:left="260" w:header="882" w:footer="1004" w:gutter="0"/>
          <w:cols w:space="720" w:num="1"/>
        </w:sectPr>
      </w:pPr>
    </w:p>
    <w:p>
      <w:pPr>
        <w:pStyle w:val="7"/>
        <w:spacing w:before="5"/>
        <w:rPr>
          <w:sz w:val="8"/>
        </w:rPr>
      </w:pPr>
    </w:p>
    <w:p>
      <w:pPr>
        <w:pStyle w:val="7"/>
        <w:spacing w:before="66" w:line="494" w:lineRule="auto"/>
        <w:ind w:left="1540" w:right="1721"/>
      </w:pPr>
      <w:r>
        <w:rPr>
          <w:spacing w:val="-8"/>
        </w:rPr>
        <w:t>对一些需要经常打开的设备，必须装备固定或携带式排气系统，减少工作场所可</w:t>
      </w:r>
      <w:r>
        <w:t>能受到污染和对操作人员的危害。操作人员要定期进行体格检查。</w:t>
      </w:r>
    </w:p>
    <w:p>
      <w:pPr>
        <w:pStyle w:val="19"/>
        <w:numPr>
          <w:ilvl w:val="0"/>
          <w:numId w:val="59"/>
        </w:numPr>
        <w:tabs>
          <w:tab w:val="left" w:pos="2463"/>
        </w:tabs>
        <w:spacing w:before="3" w:after="0" w:line="494" w:lineRule="auto"/>
        <w:ind w:left="2101" w:right="1656" w:firstLine="0"/>
        <w:jc w:val="left"/>
        <w:rPr>
          <w:sz w:val="24"/>
        </w:rPr>
      </w:pPr>
      <w:r>
        <w:rPr>
          <w:spacing w:val="-1"/>
          <w:sz w:val="24"/>
        </w:rPr>
        <w:t>如必须靠近敞开的设备和接触物料，操作人员应按规定佩戴防护用具。</w:t>
      </w:r>
      <w:r>
        <w:rPr>
          <w:sz w:val="24"/>
        </w:rPr>
        <w:t>(4)</w:t>
      </w:r>
      <w:r>
        <w:rPr>
          <w:spacing w:val="-4"/>
          <w:sz w:val="24"/>
        </w:rPr>
        <w:t>厂房内采用自然通风或局部机械通风措施，使有害气体的浓度低于卫生</w:t>
      </w:r>
    </w:p>
    <w:p>
      <w:pPr>
        <w:pStyle w:val="7"/>
        <w:spacing w:line="496" w:lineRule="auto"/>
        <w:ind w:left="2101" w:right="1619" w:hanging="562"/>
      </w:pPr>
      <w:r>
        <w:t>标准，并对有毒气体岗位配置洗眼器和防尘口罩、防毒呼吸器等个人防护用具。(5)凡易发生坠落危险的操作岗位，按规定设计便于操作、巡检和维修作业</w:t>
      </w:r>
    </w:p>
    <w:p>
      <w:pPr>
        <w:pStyle w:val="7"/>
        <w:spacing w:line="304" w:lineRule="exact"/>
        <w:ind w:left="1540"/>
      </w:pPr>
      <w:r>
        <w:t>的扶梯、平台、围栏等附属设施。</w:t>
      </w:r>
    </w:p>
    <w:p>
      <w:pPr>
        <w:pStyle w:val="7"/>
        <w:spacing w:before="6"/>
        <w:rPr>
          <w:sz w:val="25"/>
        </w:rPr>
      </w:pPr>
    </w:p>
    <w:p>
      <w:pPr>
        <w:pStyle w:val="19"/>
        <w:numPr>
          <w:ilvl w:val="0"/>
          <w:numId w:val="60"/>
        </w:numPr>
        <w:tabs>
          <w:tab w:val="left" w:pos="2463"/>
        </w:tabs>
        <w:spacing w:before="0" w:after="0" w:line="496" w:lineRule="auto"/>
        <w:ind w:left="1540" w:right="1721" w:firstLine="561"/>
        <w:jc w:val="left"/>
        <w:rPr>
          <w:sz w:val="24"/>
        </w:rPr>
      </w:pPr>
      <w:r>
        <w:rPr>
          <w:spacing w:val="-4"/>
          <w:sz w:val="24"/>
        </w:rPr>
        <w:t>对有毒气体及粉尘排放岗位安装气体检测仪及粉尘检测仪，用于生产场</w:t>
      </w:r>
      <w:r>
        <w:rPr>
          <w:sz w:val="24"/>
        </w:rPr>
        <w:t>所的安全检测及卫生标准的检测。</w:t>
      </w:r>
    </w:p>
    <w:p>
      <w:pPr>
        <w:pStyle w:val="19"/>
        <w:numPr>
          <w:ilvl w:val="0"/>
          <w:numId w:val="60"/>
        </w:numPr>
        <w:tabs>
          <w:tab w:val="left" w:pos="2463"/>
        </w:tabs>
        <w:spacing w:before="0" w:after="0" w:line="496" w:lineRule="auto"/>
        <w:ind w:left="2101" w:right="1896" w:firstLine="0"/>
        <w:jc w:val="left"/>
        <w:rPr>
          <w:sz w:val="24"/>
        </w:rPr>
      </w:pPr>
      <w:r>
        <w:rPr>
          <w:spacing w:val="-1"/>
          <w:sz w:val="24"/>
        </w:rPr>
        <w:t>所有工人上岗前均按规定进行就业体检，特殊岗位工人需持证上岗。</w:t>
      </w:r>
      <w:r>
        <w:rPr>
          <w:sz w:val="24"/>
        </w:rPr>
        <w:t>6、原料和中间产品的贮存、运输要求</w:t>
      </w:r>
    </w:p>
    <w:p>
      <w:pPr>
        <w:pStyle w:val="19"/>
        <w:numPr>
          <w:ilvl w:val="0"/>
          <w:numId w:val="61"/>
        </w:numPr>
        <w:tabs>
          <w:tab w:val="left" w:pos="2463"/>
        </w:tabs>
        <w:spacing w:before="0" w:after="0" w:line="494" w:lineRule="auto"/>
        <w:ind w:left="1540" w:right="1721" w:firstLine="561"/>
        <w:jc w:val="both"/>
        <w:rPr>
          <w:sz w:val="24"/>
        </w:rPr>
      </w:pPr>
      <w:r>
        <w:rPr>
          <w:spacing w:val="-5"/>
          <w:sz w:val="24"/>
        </w:rPr>
        <w:t>生产车间和贮罐区的地面应为防渗漏水泥地坪，四周建有围堤，并设有</w:t>
      </w:r>
      <w:r>
        <w:rPr>
          <w:spacing w:val="-10"/>
          <w:sz w:val="24"/>
        </w:rPr>
        <w:t>事故槽，万一事故发生或长期停车时，可将生产设备管道中的物料排入贮槽，以</w:t>
      </w:r>
      <w:r>
        <w:rPr>
          <w:sz w:val="24"/>
        </w:rPr>
        <w:t>策安全。贮槽应配备呼吸阀和正、负水封。</w:t>
      </w:r>
    </w:p>
    <w:p>
      <w:pPr>
        <w:pStyle w:val="19"/>
        <w:numPr>
          <w:ilvl w:val="0"/>
          <w:numId w:val="61"/>
        </w:numPr>
        <w:tabs>
          <w:tab w:val="left" w:pos="2463"/>
        </w:tabs>
        <w:spacing w:before="0" w:after="0" w:line="494" w:lineRule="auto"/>
        <w:ind w:left="1540" w:right="1721" w:firstLine="561"/>
        <w:jc w:val="both"/>
        <w:rPr>
          <w:sz w:val="24"/>
        </w:rPr>
      </w:pPr>
      <w:r>
        <w:rPr>
          <w:spacing w:val="-9"/>
          <w:sz w:val="24"/>
        </w:rPr>
        <w:t>性质相抵触、灭火方法不同的原料物品应分类贮存。库房应配备必需的</w:t>
      </w:r>
      <w:r>
        <w:rPr>
          <w:sz w:val="24"/>
        </w:rPr>
        <w:t>消 防、通风、降温、防潮、避雷等安全装置。</w:t>
      </w:r>
    </w:p>
    <w:p>
      <w:pPr>
        <w:pStyle w:val="19"/>
        <w:numPr>
          <w:ilvl w:val="0"/>
          <w:numId w:val="61"/>
        </w:numPr>
        <w:tabs>
          <w:tab w:val="left" w:pos="2463"/>
        </w:tabs>
        <w:spacing w:before="0" w:after="0" w:line="494" w:lineRule="auto"/>
        <w:ind w:left="1540" w:right="1721" w:firstLine="561"/>
        <w:jc w:val="left"/>
        <w:rPr>
          <w:sz w:val="24"/>
        </w:rPr>
      </w:pPr>
      <w:r>
        <w:rPr>
          <w:spacing w:val="-4"/>
          <w:sz w:val="24"/>
        </w:rPr>
        <w:t>属于危险品的原料运输必须严格按照危险品运输规定执行，搬运时应轻</w:t>
      </w:r>
      <w:r>
        <w:rPr>
          <w:sz w:val="24"/>
        </w:rPr>
        <w:t>装轻卸，严防振动撞击、重压、倾倒和摩擦。</w:t>
      </w:r>
    </w:p>
    <w:p>
      <w:pPr>
        <w:pStyle w:val="7"/>
        <w:spacing w:before="2"/>
        <w:ind w:left="2101"/>
      </w:pPr>
      <w:r>
        <w:t>7、环保设施事故排放的应急对策</w:t>
      </w:r>
    </w:p>
    <w:p>
      <w:pPr>
        <w:pStyle w:val="7"/>
        <w:spacing w:before="5"/>
        <w:rPr>
          <w:sz w:val="25"/>
        </w:rPr>
      </w:pPr>
    </w:p>
    <w:p>
      <w:pPr>
        <w:pStyle w:val="19"/>
        <w:numPr>
          <w:ilvl w:val="0"/>
          <w:numId w:val="62"/>
        </w:numPr>
        <w:tabs>
          <w:tab w:val="left" w:pos="2463"/>
        </w:tabs>
        <w:spacing w:before="0" w:after="0" w:line="494" w:lineRule="auto"/>
        <w:ind w:left="1540" w:right="1601" w:firstLine="561"/>
        <w:jc w:val="left"/>
        <w:rPr>
          <w:sz w:val="24"/>
        </w:rPr>
      </w:pPr>
      <w:r>
        <w:rPr>
          <w:spacing w:val="-12"/>
          <w:sz w:val="24"/>
        </w:rPr>
        <w:t xml:space="preserve">废气处理设施应配备备用设备，保障装置的正常运行。若装置无法运行， </w:t>
      </w:r>
      <w:r>
        <w:rPr>
          <w:sz w:val="24"/>
        </w:rPr>
        <w:t>应停止生产，查明原因，待系统恢复正常后再进行生产。</w:t>
      </w:r>
    </w:p>
    <w:p>
      <w:pPr>
        <w:pStyle w:val="19"/>
        <w:numPr>
          <w:ilvl w:val="0"/>
          <w:numId w:val="62"/>
        </w:numPr>
        <w:tabs>
          <w:tab w:val="left" w:pos="2463"/>
        </w:tabs>
        <w:spacing w:before="3" w:after="0" w:line="240" w:lineRule="auto"/>
        <w:ind w:left="2462" w:right="0" w:hanging="362"/>
        <w:jc w:val="left"/>
        <w:rPr>
          <w:sz w:val="24"/>
        </w:rPr>
      </w:pPr>
      <w:r>
        <w:rPr>
          <w:sz w:val="24"/>
        </w:rPr>
        <w:t>各生产装置均设置事故连锁紧急停车系统，一旦发生事故立即停车。</w:t>
      </w:r>
    </w:p>
    <w:p>
      <w:pPr>
        <w:spacing w:after="0" w:line="240" w:lineRule="auto"/>
        <w:jc w:val="left"/>
        <w:rPr>
          <w:sz w:val="24"/>
        </w:rPr>
        <w:sectPr>
          <w:pgSz w:w="11900" w:h="16840"/>
          <w:pgMar w:top="1420" w:right="80" w:bottom="1200" w:left="260" w:header="882" w:footer="1004" w:gutter="0"/>
          <w:cols w:space="720" w:num="1"/>
        </w:sectPr>
      </w:pPr>
    </w:p>
    <w:p>
      <w:pPr>
        <w:pStyle w:val="7"/>
        <w:spacing w:before="5"/>
        <w:rPr>
          <w:sz w:val="8"/>
        </w:rPr>
      </w:pPr>
    </w:p>
    <w:p>
      <w:pPr>
        <w:pStyle w:val="19"/>
        <w:numPr>
          <w:ilvl w:val="0"/>
          <w:numId w:val="62"/>
        </w:numPr>
        <w:tabs>
          <w:tab w:val="left" w:pos="2463"/>
        </w:tabs>
        <w:spacing w:before="66" w:after="0" w:line="494" w:lineRule="auto"/>
        <w:ind w:left="1540" w:right="1721" w:firstLine="561"/>
        <w:jc w:val="both"/>
        <w:rPr>
          <w:sz w:val="24"/>
        </w:rPr>
      </w:pPr>
      <w:r>
        <w:rPr>
          <w:spacing w:val="-6"/>
          <w:sz w:val="24"/>
        </w:rPr>
        <w:t>公司设消防废水事故池一座，一旦发生火灾，消防废水不得直接排入市</w:t>
      </w:r>
      <w:r>
        <w:rPr>
          <w:spacing w:val="-11"/>
          <w:sz w:val="24"/>
        </w:rPr>
        <w:t>政污水管网，应经处理达标后方可排放。初期雨水收集后逐步排入生产废水处理</w:t>
      </w:r>
      <w:r>
        <w:rPr>
          <w:sz w:val="24"/>
        </w:rPr>
        <w:t>站处理达标后外排。</w:t>
      </w:r>
    </w:p>
    <w:p>
      <w:pPr>
        <w:pStyle w:val="19"/>
        <w:numPr>
          <w:ilvl w:val="0"/>
          <w:numId w:val="62"/>
        </w:numPr>
        <w:tabs>
          <w:tab w:val="left" w:pos="2463"/>
        </w:tabs>
        <w:spacing w:before="3" w:after="0" w:line="494" w:lineRule="auto"/>
        <w:ind w:left="1540" w:right="1721" w:firstLine="561"/>
        <w:jc w:val="both"/>
        <w:rPr>
          <w:sz w:val="24"/>
        </w:rPr>
      </w:pPr>
      <w:r>
        <w:rPr>
          <w:spacing w:val="-6"/>
          <w:sz w:val="24"/>
        </w:rPr>
        <w:t>废水处理设施一旦发生故障，应将产生的废水储存于事故池中，不得直</w:t>
      </w:r>
      <w:r>
        <w:rPr>
          <w:spacing w:val="-11"/>
          <w:sz w:val="24"/>
        </w:rPr>
        <w:t>接外排，并及时检修，尽快使其恢复运行；若事故池蓄满水时，废水处理设施仍</w:t>
      </w:r>
      <w:r>
        <w:rPr>
          <w:sz w:val="24"/>
        </w:rPr>
        <w:t>未修复，应立即停产检修。</w:t>
      </w:r>
    </w:p>
    <w:p>
      <w:pPr>
        <w:pStyle w:val="19"/>
        <w:numPr>
          <w:ilvl w:val="0"/>
          <w:numId w:val="62"/>
        </w:numPr>
        <w:tabs>
          <w:tab w:val="left" w:pos="2463"/>
        </w:tabs>
        <w:spacing w:before="3" w:after="0" w:line="240" w:lineRule="auto"/>
        <w:ind w:left="2462" w:right="0" w:hanging="362"/>
        <w:jc w:val="left"/>
        <w:rPr>
          <w:sz w:val="24"/>
        </w:rPr>
      </w:pPr>
      <w:r>
        <w:rPr>
          <w:sz w:val="24"/>
        </w:rPr>
        <w:t>废水处理设施中，应设相应的备用设备，如备用泵、</w:t>
      </w:r>
      <w:r>
        <w:rPr>
          <w:rFonts w:hint="eastAsia"/>
          <w:sz w:val="24"/>
          <w:lang w:eastAsia="zh-CN"/>
        </w:rPr>
        <w:t>事故应急池</w:t>
      </w:r>
      <w:r>
        <w:rPr>
          <w:sz w:val="24"/>
        </w:rPr>
        <w:t>等。</w:t>
      </w:r>
    </w:p>
    <w:p>
      <w:pPr>
        <w:pStyle w:val="7"/>
        <w:rPr>
          <w:sz w:val="23"/>
        </w:rPr>
      </w:pPr>
    </w:p>
    <w:p>
      <w:pPr>
        <w:pStyle w:val="19"/>
        <w:numPr>
          <w:ilvl w:val="2"/>
          <w:numId w:val="53"/>
        </w:numPr>
        <w:tabs>
          <w:tab w:val="left" w:pos="2265"/>
        </w:tabs>
        <w:spacing w:before="0" w:after="0" w:line="240" w:lineRule="auto"/>
        <w:ind w:left="2264" w:right="0" w:hanging="725"/>
        <w:jc w:val="left"/>
        <w:rPr>
          <w:b/>
          <w:sz w:val="24"/>
        </w:rPr>
      </w:pPr>
      <w:r>
        <w:rPr>
          <w:b/>
          <w:sz w:val="24"/>
        </w:rPr>
        <w:t>危险区隔离与安全区的设定</w:t>
      </w:r>
    </w:p>
    <w:p>
      <w:pPr>
        <w:pStyle w:val="19"/>
        <w:numPr>
          <w:ilvl w:val="3"/>
          <w:numId w:val="53"/>
        </w:numPr>
        <w:tabs>
          <w:tab w:val="left" w:pos="2748"/>
        </w:tabs>
        <w:spacing w:before="166" w:after="0" w:line="240" w:lineRule="auto"/>
        <w:ind w:left="2747" w:right="0" w:hanging="968"/>
        <w:jc w:val="left"/>
        <w:rPr>
          <w:b/>
          <w:sz w:val="24"/>
        </w:rPr>
      </w:pPr>
      <w:r>
        <w:rPr>
          <w:b/>
          <w:sz w:val="24"/>
        </w:rPr>
        <w:t>隔离区域划分</w:t>
      </w:r>
    </w:p>
    <w:p>
      <w:pPr>
        <w:pStyle w:val="7"/>
        <w:spacing w:before="5"/>
        <w:rPr>
          <w:b/>
          <w:sz w:val="25"/>
        </w:rPr>
      </w:pPr>
    </w:p>
    <w:p>
      <w:pPr>
        <w:pStyle w:val="7"/>
        <w:ind w:left="2101"/>
      </w:pPr>
      <w:r>
        <w:t>1、危险区，安全区的设定</w:t>
      </w:r>
    </w:p>
    <w:p>
      <w:pPr>
        <w:pStyle w:val="7"/>
        <w:spacing w:before="6"/>
        <w:rPr>
          <w:sz w:val="25"/>
        </w:rPr>
      </w:pPr>
    </w:p>
    <w:p>
      <w:pPr>
        <w:pStyle w:val="7"/>
        <w:ind w:left="2101"/>
      </w:pPr>
      <w:r>
        <w:t>危险区根据事故现场情况确定隔离范围；安全区设在事故点上风向。</w:t>
      </w:r>
    </w:p>
    <w:p>
      <w:pPr>
        <w:pStyle w:val="7"/>
        <w:spacing w:before="8"/>
        <w:rPr>
          <w:sz w:val="25"/>
        </w:rPr>
      </w:pPr>
    </w:p>
    <w:p>
      <w:pPr>
        <w:pStyle w:val="7"/>
        <w:spacing w:line="494" w:lineRule="auto"/>
        <w:ind w:left="1540" w:right="1721" w:firstLine="561"/>
      </w:pPr>
      <w:r>
        <w:t>2</w:t>
      </w:r>
      <w:r>
        <w:rPr>
          <w:spacing w:val="-9"/>
        </w:rPr>
        <w:t>、危险区的隔离方式、方法发生事故后，副总指挥应根据事故等级及当时</w:t>
      </w:r>
      <w:r>
        <w:t>气象条件、环境监测等状况确定</w:t>
      </w:r>
    </w:p>
    <w:p>
      <w:pPr>
        <w:pStyle w:val="7"/>
        <w:spacing w:before="3" w:line="494" w:lineRule="auto"/>
        <w:ind w:left="1540" w:right="1721" w:firstLine="561"/>
        <w:jc w:val="both"/>
      </w:pPr>
      <w:r>
        <w:t>危险区、安全区。根据泄漏的扩散所涉及到的范围建立警戒区，对污染危</w:t>
      </w:r>
      <w:r>
        <w:rPr>
          <w:spacing w:val="-10"/>
        </w:rPr>
        <w:t>险区采用拉警戒线、挂警示牌、圈围等方式隔离，并在通往事故现场的主要干道</w:t>
      </w:r>
      <w:r>
        <w:t>上实行交通管制。</w:t>
      </w:r>
    </w:p>
    <w:p>
      <w:pPr>
        <w:pStyle w:val="7"/>
        <w:spacing w:before="3"/>
        <w:ind w:left="2101"/>
      </w:pPr>
      <w:r>
        <w:t>建立警戒区域时应注意以下几项：</w:t>
      </w:r>
    </w:p>
    <w:p>
      <w:pPr>
        <w:pStyle w:val="7"/>
        <w:spacing w:before="6"/>
        <w:rPr>
          <w:sz w:val="25"/>
        </w:rPr>
      </w:pPr>
    </w:p>
    <w:p>
      <w:pPr>
        <w:pStyle w:val="19"/>
        <w:numPr>
          <w:ilvl w:val="0"/>
          <w:numId w:val="63"/>
        </w:numPr>
        <w:tabs>
          <w:tab w:val="left" w:pos="2463"/>
        </w:tabs>
        <w:spacing w:before="0" w:after="0" w:line="240" w:lineRule="auto"/>
        <w:ind w:left="2462" w:right="0" w:hanging="362"/>
        <w:jc w:val="left"/>
        <w:rPr>
          <w:sz w:val="24"/>
        </w:rPr>
      </w:pPr>
      <w:r>
        <w:rPr>
          <w:sz w:val="24"/>
        </w:rPr>
        <w:t>警戒区域的边界应设警示标志并有专人警戒。</w:t>
      </w:r>
    </w:p>
    <w:p>
      <w:pPr>
        <w:pStyle w:val="7"/>
        <w:spacing w:before="5"/>
        <w:rPr>
          <w:sz w:val="25"/>
        </w:rPr>
      </w:pPr>
    </w:p>
    <w:p>
      <w:pPr>
        <w:pStyle w:val="19"/>
        <w:numPr>
          <w:ilvl w:val="0"/>
          <w:numId w:val="63"/>
        </w:numPr>
        <w:tabs>
          <w:tab w:val="left" w:pos="2463"/>
        </w:tabs>
        <w:spacing w:before="0" w:after="0" w:line="496" w:lineRule="auto"/>
        <w:ind w:left="1540" w:right="1721" w:firstLine="561"/>
        <w:jc w:val="left"/>
        <w:rPr>
          <w:sz w:val="24"/>
        </w:rPr>
      </w:pPr>
      <w:r>
        <w:rPr>
          <w:spacing w:val="-6"/>
          <w:sz w:val="24"/>
        </w:rPr>
        <w:t>在人员疏散区域进行安全巡逻，除消防、应急处理人员以及必须坚守岗</w:t>
      </w:r>
      <w:r>
        <w:rPr>
          <w:sz w:val="24"/>
        </w:rPr>
        <w:t>位人员外，其他人员禁止进入警戒区。</w:t>
      </w:r>
    </w:p>
    <w:p>
      <w:pPr>
        <w:pStyle w:val="19"/>
        <w:numPr>
          <w:ilvl w:val="0"/>
          <w:numId w:val="63"/>
        </w:numPr>
        <w:tabs>
          <w:tab w:val="left" w:pos="2463"/>
        </w:tabs>
        <w:spacing w:before="0" w:after="0" w:line="304" w:lineRule="exact"/>
        <w:ind w:left="2462" w:right="0" w:hanging="362"/>
        <w:jc w:val="left"/>
        <w:rPr>
          <w:sz w:val="24"/>
        </w:rPr>
      </w:pPr>
      <w:r>
        <w:rPr>
          <w:sz w:val="24"/>
        </w:rPr>
        <w:t>泄漏溢出物料对人员呼吸道损害较大，区域内应严禁非抢险人员进入。</w:t>
      </w:r>
    </w:p>
    <w:p>
      <w:pPr>
        <w:pStyle w:val="7"/>
        <w:spacing w:before="8"/>
        <w:rPr>
          <w:sz w:val="25"/>
        </w:rPr>
      </w:pPr>
    </w:p>
    <w:p>
      <w:pPr>
        <w:pStyle w:val="19"/>
        <w:numPr>
          <w:ilvl w:val="3"/>
          <w:numId w:val="53"/>
        </w:numPr>
        <w:tabs>
          <w:tab w:val="left" w:pos="2748"/>
        </w:tabs>
        <w:spacing w:before="1" w:after="0" w:line="240" w:lineRule="auto"/>
        <w:ind w:left="2747" w:right="0" w:hanging="968"/>
        <w:jc w:val="left"/>
        <w:rPr>
          <w:b/>
          <w:sz w:val="24"/>
        </w:rPr>
      </w:pPr>
      <w:r>
        <w:rPr>
          <w:b/>
          <w:sz w:val="24"/>
        </w:rPr>
        <w:t>事故现场的隔离方法</w:t>
      </w:r>
    </w:p>
    <w:p>
      <w:pPr>
        <w:spacing w:after="0" w:line="240" w:lineRule="auto"/>
        <w:jc w:val="left"/>
        <w:rPr>
          <w:sz w:val="24"/>
        </w:rPr>
        <w:sectPr>
          <w:pgSz w:w="11900" w:h="16840"/>
          <w:pgMar w:top="1420" w:right="80" w:bottom="1200" w:left="260" w:header="882" w:footer="1004" w:gutter="0"/>
          <w:cols w:space="720" w:num="1"/>
        </w:sectPr>
      </w:pPr>
    </w:p>
    <w:p>
      <w:pPr>
        <w:pStyle w:val="7"/>
        <w:spacing w:before="5"/>
        <w:rPr>
          <w:b/>
          <w:sz w:val="8"/>
        </w:rPr>
      </w:pPr>
    </w:p>
    <w:p>
      <w:pPr>
        <w:pStyle w:val="7"/>
        <w:spacing w:before="66" w:line="494" w:lineRule="auto"/>
        <w:ind w:left="1540" w:right="1598" w:firstLine="561"/>
      </w:pPr>
      <w:r>
        <w:t>1</w:t>
      </w:r>
      <w:r>
        <w:rPr>
          <w:spacing w:val="-12"/>
        </w:rPr>
        <w:t>、事故中心区域：以事故现场中心点</w:t>
      </w:r>
      <w:r>
        <w:t>0-50</w:t>
      </w:r>
      <w:r>
        <w:rPr>
          <w:spacing w:val="-9"/>
        </w:rPr>
        <w:t xml:space="preserve">米的区域。此区域内污染浓度高， </w:t>
      </w:r>
      <w:r>
        <w:t>并且伴有建筑物及设施损坏、人员窒息等事故再次发生的可能。</w:t>
      </w:r>
    </w:p>
    <w:p>
      <w:pPr>
        <w:pStyle w:val="7"/>
        <w:spacing w:before="3" w:line="494" w:lineRule="auto"/>
        <w:ind w:left="1540" w:right="1721" w:firstLine="561"/>
      </w:pPr>
      <w:r>
        <w:t>2、事故波及区域：事故现场中心点向50—100米的区域。该区域空气中污染物浓度比较高，但作用时间不长，有可能发生人员伤害。</w:t>
      </w:r>
    </w:p>
    <w:p>
      <w:pPr>
        <w:pStyle w:val="7"/>
        <w:spacing w:line="496" w:lineRule="auto"/>
        <w:ind w:left="1540" w:right="1721" w:firstLine="561"/>
      </w:pPr>
      <w:r>
        <w:t>3、受影响区域：事故现场中心点向外100米以外的区域，该区域有可能受中心区域和波及区域扩散来的少量污染物的危害。</w:t>
      </w:r>
    </w:p>
    <w:p>
      <w:pPr>
        <w:pStyle w:val="7"/>
        <w:spacing w:line="494" w:lineRule="auto"/>
        <w:ind w:left="1540" w:right="1721" w:firstLine="561"/>
      </w:pPr>
      <w:r>
        <w:t>4</w:t>
      </w:r>
      <w:r>
        <w:rPr>
          <w:spacing w:val="-9"/>
        </w:rPr>
        <w:t>、对于重大、特大事故要根据事故的特性来划分波及区域，根据污染物特</w:t>
      </w:r>
      <w:r>
        <w:t>性，确定处理方法，迅速切断污染源，控制事故扩大。</w:t>
      </w:r>
    </w:p>
    <w:p>
      <w:pPr>
        <w:pStyle w:val="19"/>
        <w:numPr>
          <w:ilvl w:val="3"/>
          <w:numId w:val="53"/>
        </w:numPr>
        <w:tabs>
          <w:tab w:val="left" w:pos="2748"/>
        </w:tabs>
        <w:spacing w:before="0" w:after="0" w:line="240" w:lineRule="auto"/>
        <w:ind w:left="2747" w:right="0" w:hanging="968"/>
        <w:jc w:val="left"/>
        <w:rPr>
          <w:b/>
          <w:sz w:val="24"/>
        </w:rPr>
      </w:pPr>
      <w:r>
        <w:rPr>
          <w:b/>
          <w:sz w:val="24"/>
        </w:rPr>
        <w:t>事故现场周边区域的道路隔离或交通疏散办法</w:t>
      </w:r>
    </w:p>
    <w:p>
      <w:pPr>
        <w:pStyle w:val="7"/>
        <w:spacing w:before="5"/>
        <w:rPr>
          <w:b/>
          <w:sz w:val="25"/>
        </w:rPr>
      </w:pPr>
    </w:p>
    <w:p>
      <w:pPr>
        <w:pStyle w:val="7"/>
        <w:spacing w:line="496" w:lineRule="auto"/>
        <w:ind w:left="1540" w:right="1721" w:firstLine="561"/>
      </w:pPr>
      <w:r>
        <w:t>公司厂区内的道路进行全部隔离，只允许应急救援车辆的通行。公司厂区外部分道路进行交通管制，需要时可以与本市公安交警大队联系。</w:t>
      </w:r>
    </w:p>
    <w:p>
      <w:pPr>
        <w:pStyle w:val="19"/>
        <w:numPr>
          <w:ilvl w:val="3"/>
          <w:numId w:val="53"/>
        </w:numPr>
        <w:tabs>
          <w:tab w:val="left" w:pos="2748"/>
        </w:tabs>
        <w:spacing w:before="0" w:after="0" w:line="304" w:lineRule="exact"/>
        <w:ind w:left="2747" w:right="0" w:hanging="968"/>
        <w:jc w:val="left"/>
        <w:rPr>
          <w:b/>
          <w:sz w:val="24"/>
        </w:rPr>
      </w:pPr>
      <w:r>
        <w:rPr>
          <w:b/>
          <w:sz w:val="24"/>
        </w:rPr>
        <w:t>现场应急人员在撤离前后的报告</w:t>
      </w:r>
    </w:p>
    <w:p>
      <w:pPr>
        <w:pStyle w:val="7"/>
        <w:spacing w:before="6"/>
        <w:rPr>
          <w:b/>
          <w:sz w:val="25"/>
        </w:rPr>
      </w:pPr>
    </w:p>
    <w:p>
      <w:pPr>
        <w:pStyle w:val="7"/>
        <w:spacing w:line="494" w:lineRule="auto"/>
        <w:ind w:left="1540" w:right="1598" w:firstLine="561"/>
      </w:pPr>
      <w:r>
        <w:t>现场急救人员在实施完抢救任务、无现场出现意外情况，无法进行救援时</w:t>
      </w:r>
      <w:r>
        <w:rPr>
          <w:spacing w:val="-15"/>
        </w:rPr>
        <w:t xml:space="preserve">要进行撤离，撤离前要向应急指挥中心报告(撤离原因、撤离人员)，安全撤离后， </w:t>
      </w:r>
      <w:r>
        <w:t>也要向指挥部报告撤离人员，撤离地点。</w:t>
      </w:r>
    </w:p>
    <w:p>
      <w:pPr>
        <w:pStyle w:val="19"/>
        <w:numPr>
          <w:ilvl w:val="3"/>
          <w:numId w:val="53"/>
        </w:numPr>
        <w:tabs>
          <w:tab w:val="left" w:pos="2748"/>
        </w:tabs>
        <w:spacing w:before="3" w:after="0" w:line="240" w:lineRule="auto"/>
        <w:ind w:left="2747" w:right="0" w:hanging="968"/>
        <w:jc w:val="left"/>
        <w:rPr>
          <w:b/>
          <w:sz w:val="24"/>
        </w:rPr>
      </w:pPr>
      <w:r>
        <w:rPr>
          <w:b/>
          <w:sz w:val="24"/>
        </w:rPr>
        <w:t>对可能产生的二次污染的处理措施</w:t>
      </w:r>
    </w:p>
    <w:p>
      <w:pPr>
        <w:pStyle w:val="7"/>
        <w:spacing w:before="8"/>
        <w:rPr>
          <w:b/>
          <w:sz w:val="25"/>
        </w:rPr>
      </w:pPr>
    </w:p>
    <w:p>
      <w:pPr>
        <w:pStyle w:val="7"/>
        <w:spacing w:line="494" w:lineRule="auto"/>
        <w:ind w:left="1540" w:right="1601" w:firstLine="561"/>
      </w:pPr>
      <w:r>
        <w:t xml:space="preserve">污染物由污染源排入环境后，在物理、化学或生物作用下生成新的污染物 </w:t>
      </w:r>
      <w:r>
        <w:rPr>
          <w:spacing w:val="-12"/>
        </w:rPr>
        <w:t xml:space="preserve">(二次污染物)而对环境产生的再次污染。通常，二次污染的危害比一次污染严重， </w:t>
      </w:r>
      <w:r>
        <w:t>并由于其形成机理复杂，防治也较困难。</w:t>
      </w:r>
    </w:p>
    <w:p>
      <w:pPr>
        <w:pStyle w:val="7"/>
        <w:spacing w:before="3" w:line="494" w:lineRule="auto"/>
        <w:ind w:left="1540" w:right="1721" w:firstLine="561"/>
        <w:jc w:val="both"/>
      </w:pPr>
      <w:r>
        <w:t>发生环境污染事故后，要及时对污染物进行监测，对可能产生二次污染的</w:t>
      </w:r>
      <w:r>
        <w:rPr>
          <w:spacing w:val="-9"/>
        </w:rPr>
        <w:t>污染物要进行重点防治，采取有效的措施进行控制。如果监测发现已经有二次污</w:t>
      </w:r>
      <w:r>
        <w:rPr>
          <w:spacing w:val="-10"/>
        </w:rPr>
        <w:t>染物产生，应立即采取针对性的措施进行消除，并向现场指挥部进行报告。必要</w:t>
      </w:r>
    </w:p>
    <w:p>
      <w:pPr>
        <w:spacing w:after="0" w:line="494" w:lineRule="auto"/>
        <w:jc w:val="both"/>
        <w:sectPr>
          <w:pgSz w:w="11900" w:h="16840"/>
          <w:pgMar w:top="1420" w:right="80" w:bottom="1200" w:left="260" w:header="882" w:footer="1004" w:gutter="0"/>
          <w:cols w:space="720" w:num="1"/>
        </w:sectPr>
      </w:pPr>
    </w:p>
    <w:p>
      <w:pPr>
        <w:pStyle w:val="7"/>
        <w:spacing w:before="5"/>
        <w:rPr>
          <w:sz w:val="8"/>
        </w:rPr>
      </w:pPr>
    </w:p>
    <w:p>
      <w:pPr>
        <w:pStyle w:val="7"/>
        <w:spacing w:before="66" w:line="494" w:lineRule="auto"/>
        <w:ind w:left="1540" w:right="1721"/>
      </w:pPr>
      <w:r>
        <w:rPr>
          <w:spacing w:val="-7"/>
        </w:rPr>
        <w:t>时应与当地环境保护部门或政府联系，对周边的居民进行疏散，以免发生更大的</w:t>
      </w:r>
      <w:r>
        <w:t>环境污染和伤亡事故。</w:t>
      </w:r>
    </w:p>
    <w:p>
      <w:pPr>
        <w:spacing w:after="0" w:line="494" w:lineRule="auto"/>
        <w:sectPr>
          <w:pgSz w:w="11900" w:h="16840"/>
          <w:pgMar w:top="1420" w:right="80" w:bottom="1200" w:left="260" w:header="882" w:footer="1004" w:gutter="0"/>
          <w:cols w:space="720" w:num="1"/>
        </w:sectPr>
      </w:pPr>
    </w:p>
    <w:p>
      <w:pPr>
        <w:pStyle w:val="4"/>
        <w:tabs>
          <w:tab w:val="left" w:pos="1679"/>
        </w:tabs>
      </w:pPr>
      <w:bookmarkStart w:id="169" w:name="_bookmark45"/>
      <w:bookmarkEnd w:id="169"/>
      <w:bookmarkStart w:id="170" w:name="第九章 抢险救援措施"/>
      <w:bookmarkEnd w:id="170"/>
      <w:r>
        <w:t>第九章</w:t>
      </w:r>
      <w:r>
        <w:tab/>
      </w:r>
      <w:r>
        <w:t>抢险救援措施</w:t>
      </w:r>
    </w:p>
    <w:p>
      <w:pPr>
        <w:pStyle w:val="7"/>
        <w:spacing w:before="1"/>
        <w:rPr>
          <w:sz w:val="34"/>
        </w:rPr>
      </w:pPr>
    </w:p>
    <w:p>
      <w:pPr>
        <w:pStyle w:val="5"/>
        <w:numPr>
          <w:ilvl w:val="1"/>
          <w:numId w:val="64"/>
        </w:numPr>
        <w:bidi w:val="0"/>
      </w:pPr>
      <w:bookmarkStart w:id="171" w:name="_bookmark46"/>
      <w:bookmarkEnd w:id="171"/>
      <w:bookmarkStart w:id="172" w:name="_bookmark46"/>
      <w:bookmarkEnd w:id="172"/>
      <w:bookmarkStart w:id="173" w:name="9.1 事故现场的抢险、救援 "/>
      <w:bookmarkEnd w:id="173"/>
      <w:r>
        <w:t>事故现场的抢险、救援</w:t>
      </w:r>
    </w:p>
    <w:p>
      <w:pPr>
        <w:pStyle w:val="7"/>
        <w:spacing w:before="166"/>
        <w:ind w:left="2101"/>
      </w:pPr>
      <w:r>
        <w:t>l、事故现场的抢险和救援由总指挥统一布置。</w:t>
      </w:r>
    </w:p>
    <w:p>
      <w:pPr>
        <w:pStyle w:val="7"/>
        <w:spacing w:before="6"/>
        <w:rPr>
          <w:sz w:val="25"/>
        </w:rPr>
      </w:pPr>
    </w:p>
    <w:p>
      <w:pPr>
        <w:pStyle w:val="7"/>
        <w:spacing w:line="494" w:lineRule="auto"/>
        <w:ind w:left="1540" w:right="1721" w:firstLine="561"/>
      </w:pPr>
      <w:r>
        <w:t>2</w:t>
      </w:r>
      <w:r>
        <w:rPr>
          <w:spacing w:val="-9"/>
        </w:rPr>
        <w:t>、现场救援人员应根据不同类型的环境事故特点，配备相应的专业防护装</w:t>
      </w:r>
      <w:r>
        <w:t>备。救援人员必须是两个以上方能行动，进入现场要有专人监护。</w:t>
      </w:r>
    </w:p>
    <w:p>
      <w:pPr>
        <w:pStyle w:val="7"/>
        <w:spacing w:before="2" w:line="494" w:lineRule="auto"/>
        <w:ind w:left="1540" w:right="1721" w:firstLine="561"/>
        <w:jc w:val="both"/>
      </w:pPr>
      <w:r>
        <w:t>3</w:t>
      </w:r>
      <w:r>
        <w:rPr>
          <w:spacing w:val="-8"/>
        </w:rPr>
        <w:t>、抢险救援现场要进行气体实际时监测，以确定疏散和警戒范围。监测工作由市</w:t>
      </w:r>
      <w:r>
        <w:rPr>
          <w:rFonts w:hint="eastAsia"/>
          <w:spacing w:val="-8"/>
          <w:lang w:eastAsia="zh-CN"/>
        </w:rPr>
        <w:t>生态环境局</w:t>
      </w:r>
      <w:r>
        <w:rPr>
          <w:spacing w:val="-8"/>
        </w:rPr>
        <w:t>监测站负责。监测人员必须有两个以上方能进入事故现场，同时必</w:t>
      </w:r>
      <w:r>
        <w:rPr>
          <w:spacing w:val="-6"/>
        </w:rPr>
        <w:t>须配备个人防护用品或采用简易有效的防护措施。监测结果要及时准确的报告总</w:t>
      </w:r>
      <w:r>
        <w:t>指挥。</w:t>
      </w:r>
    </w:p>
    <w:p>
      <w:pPr>
        <w:pStyle w:val="7"/>
        <w:spacing w:before="3" w:line="494" w:lineRule="auto"/>
        <w:ind w:left="1540" w:right="1619" w:firstLine="561"/>
      </w:pPr>
      <w:r>
        <w:t>4</w:t>
      </w:r>
      <w:r>
        <w:rPr>
          <w:spacing w:val="-7"/>
        </w:rPr>
        <w:t>、若监测结果证明救援现场有变或监护人发现现场异常时，监护人应立即</w:t>
      </w:r>
      <w:r>
        <w:rPr>
          <w:spacing w:val="-8"/>
        </w:rPr>
        <w:t xml:space="preserve">穿戴好防护用品进入事故现场通知抢险人员撤离现场，并做好救援人员撤离后， </w:t>
      </w:r>
      <w:r>
        <w:t>事故现场的安全隔离现场，事故现场禁止用手机联系。</w:t>
      </w:r>
    </w:p>
    <w:p>
      <w:pPr>
        <w:pStyle w:val="7"/>
        <w:spacing w:before="3"/>
        <w:ind w:left="2101"/>
      </w:pPr>
      <w:r>
        <w:t>5、救援人员若感觉有不适或发现防护装备报警时，应立即撤离现场。</w:t>
      </w:r>
    </w:p>
    <w:p>
      <w:pPr>
        <w:pStyle w:val="7"/>
        <w:spacing w:before="8"/>
        <w:rPr>
          <w:sz w:val="25"/>
        </w:rPr>
      </w:pPr>
    </w:p>
    <w:p>
      <w:pPr>
        <w:pStyle w:val="7"/>
        <w:ind w:left="2101"/>
      </w:pPr>
      <w:r>
        <w:t>6、由总指挥根据事故现场情况的变化来进行应急救援人员的调度。</w:t>
      </w:r>
    </w:p>
    <w:p>
      <w:pPr>
        <w:pStyle w:val="7"/>
        <w:spacing w:before="11"/>
        <w:rPr>
          <w:sz w:val="22"/>
        </w:rPr>
      </w:pPr>
    </w:p>
    <w:p>
      <w:pPr>
        <w:pStyle w:val="19"/>
        <w:numPr>
          <w:ilvl w:val="2"/>
          <w:numId w:val="64"/>
        </w:numPr>
        <w:tabs>
          <w:tab w:val="left" w:pos="2265"/>
        </w:tabs>
        <w:spacing w:before="0" w:after="0" w:line="240" w:lineRule="auto"/>
        <w:ind w:left="2264" w:right="0" w:hanging="725"/>
        <w:jc w:val="left"/>
        <w:rPr>
          <w:b/>
          <w:sz w:val="24"/>
        </w:rPr>
      </w:pPr>
      <w:r>
        <w:rPr>
          <w:b/>
          <w:sz w:val="24"/>
        </w:rPr>
        <w:t>人员撤离方式方法</w:t>
      </w:r>
    </w:p>
    <w:p>
      <w:pPr>
        <w:pStyle w:val="7"/>
        <w:spacing w:before="168" w:line="494" w:lineRule="auto"/>
        <w:ind w:left="1540" w:right="1721" w:firstLine="561"/>
        <w:jc w:val="both"/>
      </w:pPr>
      <w:r>
        <w:t>事故现场人员向上风或侧向风方向转移，指定专门人员引导和护送疏散人</w:t>
      </w:r>
      <w:r>
        <w:rPr>
          <w:spacing w:val="-10"/>
        </w:rPr>
        <w:t>员到安全区，并逐一清点人数。在疏散和撤离的路线上设立哨位，指明方向，人</w:t>
      </w:r>
      <w:r>
        <w:rPr>
          <w:spacing w:val="-8"/>
        </w:rPr>
        <w:t>员不要在低洼处滞留；要查清是否有人留在污染区。如有没有及时撤离人员，应</w:t>
      </w:r>
      <w:r>
        <w:t>指派配戴适宜防护装备的抢险队员两人进入现场搜寻，并实施救助。</w:t>
      </w:r>
    </w:p>
    <w:p>
      <w:pPr>
        <w:pStyle w:val="7"/>
        <w:spacing w:before="3" w:line="494" w:lineRule="auto"/>
        <w:ind w:left="1540" w:right="1721" w:firstLine="561"/>
      </w:pPr>
      <w:r>
        <w:t>当事故威胁到周边地区的群众时，要及时向当地政府部门或上级应急救援中心求援，由公安、民政部门、街道组织抽调力量负责组织实施。</w:t>
      </w:r>
    </w:p>
    <w:p>
      <w:pPr>
        <w:pStyle w:val="19"/>
        <w:numPr>
          <w:ilvl w:val="2"/>
          <w:numId w:val="64"/>
        </w:numPr>
        <w:tabs>
          <w:tab w:val="left" w:pos="2265"/>
        </w:tabs>
        <w:spacing w:before="0" w:after="0" w:line="277" w:lineRule="exact"/>
        <w:ind w:left="2264" w:right="0" w:hanging="725"/>
        <w:jc w:val="left"/>
        <w:rPr>
          <w:b/>
          <w:sz w:val="24"/>
        </w:rPr>
      </w:pPr>
      <w:r>
        <w:rPr>
          <w:b/>
          <w:sz w:val="24"/>
        </w:rPr>
        <w:t>撤离路线描述</w:t>
      </w:r>
    </w:p>
    <w:p>
      <w:pPr>
        <w:pStyle w:val="7"/>
        <w:spacing w:before="5"/>
        <w:rPr>
          <w:b/>
          <w:sz w:val="8"/>
        </w:rPr>
      </w:pPr>
    </w:p>
    <w:p>
      <w:pPr>
        <w:pStyle w:val="7"/>
        <w:spacing w:before="66" w:line="494" w:lineRule="auto"/>
        <w:ind w:left="1540" w:right="1721" w:firstLine="561"/>
      </w:pPr>
      <w:r>
        <w:t>依据可能发生事故的场所，设施及周围情况、事故的性质和危害程度，当时的风向等气象情况确定撤离路线。</w:t>
      </w:r>
    </w:p>
    <w:p>
      <w:pPr>
        <w:pStyle w:val="19"/>
        <w:numPr>
          <w:ilvl w:val="2"/>
          <w:numId w:val="64"/>
        </w:numPr>
        <w:tabs>
          <w:tab w:val="left" w:pos="2265"/>
        </w:tabs>
        <w:spacing w:before="0" w:after="0" w:line="277" w:lineRule="exact"/>
        <w:ind w:left="2264" w:right="0" w:hanging="725"/>
        <w:jc w:val="left"/>
        <w:rPr>
          <w:b/>
          <w:sz w:val="24"/>
        </w:rPr>
      </w:pPr>
      <w:r>
        <w:rPr>
          <w:b/>
          <w:sz w:val="24"/>
        </w:rPr>
        <w:t>非事故原发点现场人员的紧急疏散</w:t>
      </w:r>
    </w:p>
    <w:p>
      <w:pPr>
        <w:pStyle w:val="7"/>
        <w:spacing w:before="166" w:line="494" w:lineRule="auto"/>
        <w:ind w:left="1540" w:right="1721" w:firstLine="561"/>
        <w:jc w:val="both"/>
      </w:pPr>
      <w:r>
        <w:t>现场指挥人员，根据事故可能扩大的范围和当时气象条件，抢险进展情况</w:t>
      </w:r>
      <w:r>
        <w:rPr>
          <w:spacing w:val="-11"/>
        </w:rPr>
        <w:t>及预计延展趋势，综合分析判断，对可能涉及的生产装置决定是否紧急停车和疏</w:t>
      </w:r>
      <w:r>
        <w:t>散人员，并向他们通报这一决定。防止引起恐慌或引发派生事故。</w:t>
      </w:r>
    </w:p>
    <w:p>
      <w:pPr>
        <w:pStyle w:val="19"/>
        <w:numPr>
          <w:ilvl w:val="2"/>
          <w:numId w:val="64"/>
        </w:numPr>
        <w:tabs>
          <w:tab w:val="left" w:pos="2265"/>
        </w:tabs>
        <w:spacing w:before="0" w:after="0" w:line="277" w:lineRule="exact"/>
        <w:ind w:left="2264" w:right="0" w:hanging="725"/>
        <w:jc w:val="left"/>
        <w:rPr>
          <w:b/>
          <w:sz w:val="24"/>
        </w:rPr>
      </w:pPr>
      <w:r>
        <w:rPr>
          <w:b/>
          <w:sz w:val="24"/>
        </w:rPr>
        <w:t>周边区域人员的疏散</w:t>
      </w:r>
    </w:p>
    <w:p>
      <w:pPr>
        <w:pStyle w:val="7"/>
        <w:spacing w:before="165" w:line="496" w:lineRule="auto"/>
        <w:ind w:left="1540" w:right="1721" w:firstLine="561"/>
        <w:jc w:val="both"/>
      </w:pPr>
      <w:r>
        <w:t>根据事故的危害特性和事故的涉及或影响范围，由总指挥决定是否需要向</w:t>
      </w:r>
      <w:r>
        <w:rPr>
          <w:spacing w:val="-10"/>
        </w:rPr>
        <w:t>周边地区发布信息，并与政府有关部门联系，如给政府部门决定对周边区域的单</w:t>
      </w:r>
      <w:r>
        <w:rPr>
          <w:spacing w:val="-13"/>
        </w:rPr>
        <w:t>位，村庄居民进行疏散时，立即组织广播车辆和专业人员协助公安及其他政府有</w:t>
      </w:r>
      <w:r>
        <w:t>关部门的人员进行动员和疏导，使周边区域的人员安全疏散。</w:t>
      </w:r>
    </w:p>
    <w:p>
      <w:pPr>
        <w:pStyle w:val="5"/>
        <w:numPr>
          <w:ilvl w:val="1"/>
          <w:numId w:val="64"/>
        </w:numPr>
        <w:bidi w:val="0"/>
      </w:pPr>
      <w:bookmarkStart w:id="174" w:name="_bookmark47"/>
      <w:bookmarkEnd w:id="174"/>
      <w:bookmarkStart w:id="175" w:name="_bookmark47"/>
      <w:bookmarkEnd w:id="175"/>
      <w:bookmarkStart w:id="176" w:name="9.2 危险区的隔离 "/>
      <w:bookmarkEnd w:id="176"/>
      <w:r>
        <w:t>危险区的隔离</w:t>
      </w:r>
    </w:p>
    <w:p>
      <w:pPr>
        <w:pStyle w:val="19"/>
        <w:numPr>
          <w:ilvl w:val="2"/>
          <w:numId w:val="64"/>
        </w:numPr>
        <w:tabs>
          <w:tab w:val="left" w:pos="2265"/>
        </w:tabs>
        <w:spacing w:before="132" w:after="0" w:line="240" w:lineRule="auto"/>
        <w:ind w:left="2264" w:right="0" w:hanging="725"/>
        <w:jc w:val="left"/>
        <w:rPr>
          <w:b/>
          <w:sz w:val="24"/>
        </w:rPr>
      </w:pPr>
      <w:r>
        <w:rPr>
          <w:b/>
          <w:sz w:val="24"/>
        </w:rPr>
        <w:t>危险区的隔离</w:t>
      </w:r>
    </w:p>
    <w:p>
      <w:pPr>
        <w:pStyle w:val="7"/>
        <w:spacing w:before="166" w:line="496" w:lineRule="auto"/>
        <w:ind w:left="1540" w:right="1721" w:firstLine="561"/>
      </w:pPr>
      <w:r>
        <w:t>应急监测组根据污染监测数据和现场调查，向应急指挥中心提出污染警戒区域的建议。应急指挥中心发布危险区的隔离决定。</w:t>
      </w:r>
    </w:p>
    <w:p>
      <w:pPr>
        <w:pStyle w:val="19"/>
        <w:numPr>
          <w:ilvl w:val="2"/>
          <w:numId w:val="64"/>
        </w:numPr>
        <w:tabs>
          <w:tab w:val="left" w:pos="2265"/>
        </w:tabs>
        <w:spacing w:before="0" w:after="0" w:line="270" w:lineRule="exact"/>
        <w:ind w:left="2264" w:right="0" w:hanging="725"/>
        <w:jc w:val="left"/>
        <w:rPr>
          <w:b/>
          <w:sz w:val="24"/>
        </w:rPr>
      </w:pPr>
      <w:r>
        <w:rPr>
          <w:b/>
          <w:sz w:val="24"/>
        </w:rPr>
        <w:t>危险区、安全区的设定</w:t>
      </w:r>
    </w:p>
    <w:p>
      <w:pPr>
        <w:pStyle w:val="7"/>
        <w:spacing w:before="165" w:line="494" w:lineRule="auto"/>
        <w:ind w:left="1540" w:right="1721" w:firstLine="561"/>
        <w:jc w:val="both"/>
      </w:pPr>
      <w:r>
        <w:t>危险区设定依据初始危险区域设定的一般原则：根据事故原发点泄漏粉尘</w:t>
      </w:r>
      <w:r>
        <w:rPr>
          <w:spacing w:val="-11"/>
        </w:rPr>
        <w:t>的危害特性，危及或影响的半径进行确定，一般以地面建筑物或道路作为间隔参</w:t>
      </w:r>
      <w:r>
        <w:t>照物。</w:t>
      </w:r>
    </w:p>
    <w:p>
      <w:pPr>
        <w:pStyle w:val="19"/>
        <w:numPr>
          <w:ilvl w:val="2"/>
          <w:numId w:val="64"/>
        </w:numPr>
        <w:tabs>
          <w:tab w:val="left" w:pos="2265"/>
        </w:tabs>
        <w:spacing w:before="0" w:after="0" w:line="279" w:lineRule="exact"/>
        <w:ind w:left="2264" w:right="0" w:hanging="725"/>
        <w:jc w:val="left"/>
        <w:rPr>
          <w:b/>
          <w:sz w:val="24"/>
        </w:rPr>
      </w:pPr>
      <w:r>
        <w:rPr>
          <w:b/>
          <w:sz w:val="24"/>
        </w:rPr>
        <w:t>事故现场隔离区的划定方式、方法</w:t>
      </w:r>
    </w:p>
    <w:p>
      <w:pPr>
        <w:pStyle w:val="19"/>
        <w:numPr>
          <w:ilvl w:val="3"/>
          <w:numId w:val="64"/>
        </w:numPr>
        <w:tabs>
          <w:tab w:val="left" w:pos="2508"/>
        </w:tabs>
        <w:spacing w:before="132" w:after="0" w:line="240" w:lineRule="auto"/>
        <w:ind w:left="2507" w:right="0" w:hanging="968"/>
        <w:jc w:val="left"/>
        <w:rPr>
          <w:b/>
          <w:sz w:val="24"/>
        </w:rPr>
      </w:pPr>
      <w:r>
        <w:rPr>
          <w:b/>
          <w:sz w:val="24"/>
        </w:rPr>
        <w:t>事故现场隔离区的划定方式</w:t>
      </w:r>
    </w:p>
    <w:p>
      <w:pPr>
        <w:pStyle w:val="7"/>
        <w:spacing w:before="165"/>
        <w:ind w:left="2101"/>
      </w:pPr>
      <w:r>
        <w:t>由指挥中心统一指令划定隔离区，设置警戒线。</w:t>
      </w:r>
    </w:p>
    <w:p>
      <w:pPr>
        <w:pStyle w:val="7"/>
        <w:rPr>
          <w:sz w:val="23"/>
        </w:rPr>
      </w:pPr>
    </w:p>
    <w:p>
      <w:pPr>
        <w:pStyle w:val="19"/>
        <w:numPr>
          <w:ilvl w:val="3"/>
          <w:numId w:val="64"/>
        </w:numPr>
        <w:tabs>
          <w:tab w:val="left" w:pos="2508"/>
        </w:tabs>
        <w:spacing w:before="0" w:after="0" w:line="240" w:lineRule="auto"/>
        <w:ind w:left="2507" w:right="0" w:hanging="968"/>
        <w:jc w:val="left"/>
        <w:rPr>
          <w:b/>
          <w:sz w:val="24"/>
        </w:rPr>
      </w:pPr>
      <w:r>
        <w:rPr>
          <w:b/>
          <w:sz w:val="24"/>
        </w:rPr>
        <w:t>事故现场隔离区的划定方法</w:t>
      </w:r>
    </w:p>
    <w:p>
      <w:pPr>
        <w:pStyle w:val="7"/>
        <w:spacing w:before="166"/>
        <w:ind w:left="2101"/>
      </w:pPr>
      <w:r>
        <w:t>用围堰、警戒线。如果有火灾或爆炸伴随，可用消防水形成隔离带。</w:t>
      </w:r>
    </w:p>
    <w:p>
      <w:pPr>
        <w:spacing w:after="0"/>
      </w:pPr>
    </w:p>
    <w:p>
      <w:pPr>
        <w:spacing w:after="0"/>
        <w:rPr>
          <w:b/>
          <w:sz w:val="28"/>
        </w:rPr>
      </w:pPr>
      <w:r>
        <w:rPr>
          <w:rFonts w:hint="eastAsia"/>
          <w:lang w:val="en-US" w:eastAsia="zh-CN"/>
        </w:rPr>
        <w:t xml:space="preserve">             </w:t>
      </w:r>
      <w:bookmarkStart w:id="177" w:name="9.3 现场应急人员在撤离前、撤离后的报告 "/>
      <w:bookmarkEnd w:id="177"/>
      <w:bookmarkStart w:id="178" w:name="_bookmark48"/>
      <w:bookmarkEnd w:id="178"/>
      <w:bookmarkStart w:id="179" w:name="_bookmark48"/>
      <w:bookmarkEnd w:id="179"/>
      <w:r>
        <w:rPr>
          <w:rStyle w:val="21"/>
          <w:rFonts w:hint="eastAsia"/>
          <w:lang w:val="en-US" w:eastAsia="zh-CN"/>
        </w:rPr>
        <w:t xml:space="preserve">9.3 </w:t>
      </w:r>
      <w:r>
        <w:rPr>
          <w:rStyle w:val="21"/>
        </w:rPr>
        <w:t>现场应急人员在撤离前、撤离后的报告</w:t>
      </w:r>
    </w:p>
    <w:p>
      <w:pPr>
        <w:pStyle w:val="19"/>
        <w:numPr>
          <w:ilvl w:val="2"/>
          <w:numId w:val="65"/>
        </w:numPr>
        <w:tabs>
          <w:tab w:val="left" w:pos="2265"/>
        </w:tabs>
        <w:spacing w:before="130" w:after="0" w:line="240" w:lineRule="auto"/>
        <w:ind w:left="2264" w:right="0" w:hanging="725"/>
        <w:jc w:val="left"/>
        <w:rPr>
          <w:b/>
          <w:sz w:val="24"/>
        </w:rPr>
      </w:pPr>
      <w:r>
        <w:rPr>
          <w:b/>
          <w:sz w:val="24"/>
        </w:rPr>
        <w:t>撤离前</w:t>
      </w:r>
    </w:p>
    <w:p>
      <w:pPr>
        <w:pStyle w:val="7"/>
        <w:spacing w:before="167" w:line="494" w:lineRule="auto"/>
        <w:ind w:left="1540" w:right="1721" w:firstLine="561"/>
      </w:pPr>
      <w:r>
        <w:t>现场应急人员在撤离前，向事故应急指挥部负责人报告：现场处置情况和应急人员当前情况。</w:t>
      </w:r>
    </w:p>
    <w:p>
      <w:pPr>
        <w:pStyle w:val="19"/>
        <w:numPr>
          <w:ilvl w:val="2"/>
          <w:numId w:val="65"/>
        </w:numPr>
        <w:tabs>
          <w:tab w:val="left" w:pos="2265"/>
        </w:tabs>
        <w:spacing w:before="0" w:after="0" w:line="277" w:lineRule="exact"/>
        <w:ind w:left="2264" w:right="0" w:hanging="725"/>
        <w:jc w:val="left"/>
        <w:rPr>
          <w:b/>
          <w:sz w:val="24"/>
        </w:rPr>
      </w:pPr>
      <w:r>
        <w:rPr>
          <w:b/>
          <w:sz w:val="24"/>
        </w:rPr>
        <w:t>撤离后</w:t>
      </w:r>
    </w:p>
    <w:p>
      <w:pPr>
        <w:pStyle w:val="7"/>
        <w:spacing w:before="166"/>
        <w:ind w:left="2101"/>
      </w:pPr>
      <w:r>
        <w:t>现场应急人员安全撤出后，向事故应急指挥部负责人报告撤出后位置与撤</w:t>
      </w:r>
    </w:p>
    <w:p>
      <w:pPr>
        <w:pStyle w:val="7"/>
        <w:spacing w:before="5"/>
        <w:rPr>
          <w:sz w:val="25"/>
        </w:rPr>
      </w:pPr>
    </w:p>
    <w:p>
      <w:pPr>
        <w:pStyle w:val="7"/>
        <w:spacing w:before="1"/>
        <w:ind w:left="1540"/>
      </w:pPr>
      <w:r>
        <w:t>出后应急人员情况。</w:t>
      </w:r>
    </w:p>
    <w:p>
      <w:pPr>
        <w:pStyle w:val="5"/>
        <w:numPr>
          <w:ilvl w:val="1"/>
          <w:numId w:val="65"/>
        </w:numPr>
        <w:bidi w:val="0"/>
      </w:pPr>
      <w:r>
        <w:t>救援人员防护、监护措施</w:t>
      </w:r>
    </w:p>
    <w:p>
      <w:pPr>
        <w:pStyle w:val="19"/>
        <w:numPr>
          <w:ilvl w:val="2"/>
          <w:numId w:val="65"/>
        </w:numPr>
        <w:tabs>
          <w:tab w:val="left" w:pos="2265"/>
        </w:tabs>
        <w:spacing w:before="134" w:after="0" w:line="240" w:lineRule="auto"/>
        <w:ind w:left="2264" w:right="0" w:hanging="725"/>
        <w:jc w:val="left"/>
        <w:rPr>
          <w:b/>
          <w:sz w:val="24"/>
        </w:rPr>
      </w:pPr>
      <w:r>
        <w:rPr>
          <w:b/>
          <w:sz w:val="24"/>
        </w:rPr>
        <w:t>救援人员防护</w:t>
      </w:r>
    </w:p>
    <w:p>
      <w:pPr>
        <w:pStyle w:val="7"/>
        <w:spacing w:before="165"/>
        <w:ind w:left="2101"/>
      </w:pPr>
      <w:r>
        <w:t>救援人员根据污染物的特性，按国际通用法则，采取适当的安全防护措施，</w:t>
      </w:r>
    </w:p>
    <w:p>
      <w:pPr>
        <w:pStyle w:val="7"/>
        <w:spacing w:before="6"/>
        <w:rPr>
          <w:sz w:val="25"/>
        </w:rPr>
      </w:pPr>
    </w:p>
    <w:p>
      <w:pPr>
        <w:pStyle w:val="7"/>
        <w:ind w:left="1540"/>
      </w:pPr>
      <w:r>
        <w:t>如：</w:t>
      </w:r>
    </w:p>
    <w:p>
      <w:pPr>
        <w:pStyle w:val="7"/>
        <w:spacing w:before="10"/>
        <w:rPr>
          <w:sz w:val="27"/>
        </w:rPr>
      </w:pPr>
    </w:p>
    <w:p>
      <w:pPr>
        <w:pStyle w:val="7"/>
        <w:spacing w:line="424" w:lineRule="auto"/>
        <w:ind w:left="1540" w:right="1721" w:firstLine="561"/>
      </w:pPr>
      <w:r>
        <w:rPr>
          <w:spacing w:val="-240"/>
          <w:position w:val="-3"/>
          <w:sz w:val="36"/>
        </w:rPr>
        <w:t>○</w:t>
      </w:r>
      <w:r>
        <w:t>1 有毒有害气体防护：采用呼吸道防护的方法，正压式氧气面具(空气呼吸器)、防毒面具、防尘面具、浸水的棉织物等。</w:t>
      </w:r>
    </w:p>
    <w:p>
      <w:pPr>
        <w:pStyle w:val="7"/>
        <w:spacing w:before="120"/>
        <w:ind w:left="2101"/>
      </w:pPr>
      <w:r>
        <w:rPr>
          <w:spacing w:val="-240"/>
          <w:position w:val="-3"/>
          <w:sz w:val="36"/>
        </w:rPr>
        <w:t>○</w:t>
      </w:r>
      <w:r>
        <w:t>2 易挥发的有毒有害液体：采用全身防护等。</w:t>
      </w:r>
    </w:p>
    <w:p>
      <w:pPr>
        <w:pStyle w:val="7"/>
        <w:spacing w:before="12"/>
        <w:rPr>
          <w:sz w:val="29"/>
        </w:rPr>
      </w:pPr>
    </w:p>
    <w:p>
      <w:pPr>
        <w:pStyle w:val="7"/>
        <w:ind w:left="2101"/>
      </w:pPr>
      <w:r>
        <w:rPr>
          <w:spacing w:val="-240"/>
          <w:position w:val="-3"/>
          <w:sz w:val="36"/>
        </w:rPr>
        <w:t>○</w:t>
      </w:r>
      <w:r>
        <w:t>3 易燃液体、气体的防护：采用阻燃服防护等。</w:t>
      </w:r>
    </w:p>
    <w:p>
      <w:pPr>
        <w:pStyle w:val="7"/>
        <w:spacing w:before="4"/>
        <w:rPr>
          <w:sz w:val="25"/>
        </w:rPr>
      </w:pPr>
    </w:p>
    <w:p>
      <w:pPr>
        <w:pStyle w:val="19"/>
        <w:numPr>
          <w:ilvl w:val="2"/>
          <w:numId w:val="65"/>
        </w:numPr>
        <w:tabs>
          <w:tab w:val="left" w:pos="2265"/>
        </w:tabs>
        <w:spacing w:before="0" w:after="0" w:line="240" w:lineRule="auto"/>
        <w:ind w:left="2264" w:right="0" w:hanging="725"/>
        <w:jc w:val="left"/>
        <w:rPr>
          <w:b/>
          <w:sz w:val="24"/>
        </w:rPr>
      </w:pPr>
      <w:r>
        <w:rPr>
          <w:b/>
          <w:sz w:val="24"/>
        </w:rPr>
        <w:t>监护措施</w:t>
      </w:r>
    </w:p>
    <w:p>
      <w:pPr>
        <w:pStyle w:val="7"/>
        <w:spacing w:before="166" w:line="494" w:lineRule="auto"/>
        <w:ind w:left="1540" w:right="1721" w:firstLine="561"/>
        <w:jc w:val="both"/>
      </w:pPr>
      <w:r>
        <w:t>在有毒场所，抢险救援人员要从上风向或侧风向逼近现场，在有火现场禁</w:t>
      </w:r>
      <w:r>
        <w:rPr>
          <w:spacing w:val="-8"/>
        </w:rPr>
        <w:t>止使用能打出火花的工具；在有高温、火焰和烟雾的场所，要近可能保持低体位</w:t>
      </w:r>
      <w:r>
        <w:t>逼近火源。</w:t>
      </w:r>
    </w:p>
    <w:p>
      <w:pPr>
        <w:pStyle w:val="19"/>
        <w:numPr>
          <w:ilvl w:val="2"/>
          <w:numId w:val="65"/>
        </w:numPr>
        <w:tabs>
          <w:tab w:val="left" w:pos="2265"/>
        </w:tabs>
        <w:spacing w:before="0" w:after="0" w:line="277" w:lineRule="exact"/>
        <w:ind w:left="2264" w:right="0" w:hanging="725"/>
        <w:jc w:val="left"/>
        <w:rPr>
          <w:b/>
          <w:sz w:val="24"/>
        </w:rPr>
      </w:pPr>
      <w:r>
        <w:rPr>
          <w:b/>
          <w:sz w:val="24"/>
        </w:rPr>
        <w:t>监护器材</w:t>
      </w:r>
    </w:p>
    <w:p>
      <w:pPr>
        <w:pStyle w:val="7"/>
        <w:spacing w:before="165"/>
        <w:ind w:left="2101"/>
      </w:pPr>
      <w:r>
        <w:t>对抢险救援人员实施个人防护，穿戴防护衣、帽、靴、鞋，佩戴防毒面具(视</w:t>
      </w:r>
    </w:p>
    <w:p>
      <w:pPr>
        <w:pStyle w:val="7"/>
        <w:spacing w:before="8"/>
        <w:rPr>
          <w:sz w:val="25"/>
        </w:rPr>
      </w:pPr>
    </w:p>
    <w:p>
      <w:pPr>
        <w:pStyle w:val="7"/>
        <w:ind w:left="1540"/>
      </w:pPr>
      <w:r>
        <w:t>现场情况和检测结果确定应用空气呼吸器、过滤式面具、长管式面具等)。</w:t>
      </w:r>
    </w:p>
    <w:p>
      <w:pPr>
        <w:pStyle w:val="5"/>
        <w:numPr>
          <w:ilvl w:val="1"/>
          <w:numId w:val="65"/>
        </w:numPr>
        <w:bidi w:val="0"/>
      </w:pPr>
      <w:r>
        <w:t>现场实时监测及异常情况下抢险人员的撤离条件、方法</w:t>
      </w:r>
    </w:p>
    <w:p>
      <w:pPr>
        <w:pStyle w:val="19"/>
        <w:numPr>
          <w:ilvl w:val="2"/>
          <w:numId w:val="65"/>
        </w:numPr>
        <w:tabs>
          <w:tab w:val="left" w:pos="2265"/>
        </w:tabs>
        <w:spacing w:before="140" w:after="0" w:line="240" w:lineRule="auto"/>
        <w:ind w:left="2264" w:right="0" w:hanging="725"/>
        <w:jc w:val="left"/>
        <w:rPr>
          <w:b/>
          <w:sz w:val="24"/>
        </w:rPr>
      </w:pPr>
      <w:r>
        <w:rPr>
          <w:b/>
          <w:sz w:val="24"/>
        </w:rPr>
        <w:t>撤离条件</w:t>
      </w:r>
    </w:p>
    <w:p>
      <w:pPr>
        <w:pStyle w:val="7"/>
        <w:spacing w:before="166" w:line="494" w:lineRule="auto"/>
        <w:ind w:left="1540" w:right="1721" w:firstLine="561"/>
      </w:pPr>
      <w:r>
        <w:t>如现场实时检测中，情况较为复杂，监护人员应密切注意事故现场抢险人员状态及其情况的变化，随时通知抢险人员撤离。</w:t>
      </w:r>
    </w:p>
    <w:p>
      <w:pPr>
        <w:pStyle w:val="19"/>
        <w:numPr>
          <w:ilvl w:val="2"/>
          <w:numId w:val="65"/>
        </w:numPr>
        <w:tabs>
          <w:tab w:val="left" w:pos="2265"/>
        </w:tabs>
        <w:spacing w:before="0" w:after="0" w:line="277" w:lineRule="exact"/>
        <w:ind w:left="2264" w:right="0" w:hanging="725"/>
        <w:jc w:val="left"/>
        <w:rPr>
          <w:b/>
          <w:sz w:val="24"/>
        </w:rPr>
      </w:pPr>
      <w:r>
        <w:rPr>
          <w:b/>
          <w:sz w:val="24"/>
        </w:rPr>
        <w:t>方法</w:t>
      </w:r>
    </w:p>
    <w:p>
      <w:pPr>
        <w:pStyle w:val="7"/>
        <w:spacing w:before="165" w:line="494" w:lineRule="auto"/>
        <w:ind w:left="1540" w:right="1619" w:firstLine="561"/>
      </w:pPr>
      <w:r>
        <w:t>在事故现场有异常变化情况下，监护人员应提前佩带好正压式呼吸器，穿戴好防护服立即进入事故现场通知抢险人员撤离现场，并做好抢险人员撤离后，</w:t>
      </w:r>
    </w:p>
    <w:p>
      <w:pPr>
        <w:pStyle w:val="7"/>
        <w:spacing w:before="3"/>
        <w:ind w:left="1540"/>
      </w:pPr>
      <w:r>
        <w:t>事故现场的安全隔离工作。</w:t>
      </w:r>
    </w:p>
    <w:p>
      <w:pPr>
        <w:pStyle w:val="5"/>
        <w:numPr>
          <w:ilvl w:val="1"/>
          <w:numId w:val="65"/>
        </w:numPr>
        <w:bidi w:val="0"/>
      </w:pPr>
      <w:r>
        <w:t>应急救援队伍的调度</w:t>
      </w:r>
    </w:p>
    <w:p>
      <w:pPr>
        <w:pStyle w:val="7"/>
        <w:spacing w:before="167" w:line="494" w:lineRule="auto"/>
        <w:ind w:left="1540" w:right="1721" w:firstLine="561"/>
        <w:jc w:val="both"/>
      </w:pPr>
      <w:r>
        <w:t>由“公司应急救援指挥中心”统一调度，对事故现场的危险情况进行充分</w:t>
      </w:r>
      <w:r>
        <w:rPr>
          <w:spacing w:val="-10"/>
        </w:rPr>
        <w:t>的估计，以严谨的态度和科学的方法来对待。“公司应急救援指挥中心”是公司</w:t>
      </w:r>
      <w:r>
        <w:rPr>
          <w:spacing w:val="-7"/>
        </w:rPr>
        <w:t>级事故应急最高领导机构。负责事故发生后现场救援组织、调度，对外报警、联</w:t>
      </w:r>
      <w:r>
        <w:t>络，事故善后处理。</w:t>
      </w:r>
    </w:p>
    <w:p>
      <w:pPr>
        <w:pStyle w:val="7"/>
        <w:spacing w:before="3" w:line="494" w:lineRule="auto"/>
        <w:ind w:left="1540" w:right="1598" w:firstLine="561"/>
        <w:jc w:val="both"/>
      </w:pPr>
      <w:r>
        <w:rPr>
          <w:spacing w:val="-7"/>
        </w:rPr>
        <w:t xml:space="preserve">在接到事故报警后，“公司应急救援指挥中心”应迅速调度应急救援人员， </w:t>
      </w:r>
      <w:r>
        <w:rPr>
          <w:spacing w:val="-16"/>
        </w:rPr>
        <w:t xml:space="preserve">赶赴现场，在做好自身防护的基础上，快速布置实施救援，有效的控制事故发展， </w:t>
      </w:r>
      <w:r>
        <w:rPr>
          <w:spacing w:val="-6"/>
        </w:rPr>
        <w:t>并组织救援人员将伤员救出危险区域、组织员工撤离、疏散，组织对受到伤害人</w:t>
      </w:r>
    </w:p>
    <w:p>
      <w:pPr>
        <w:pStyle w:val="7"/>
        <w:spacing w:before="3"/>
        <w:ind w:left="1540"/>
      </w:pPr>
      <w:r>
        <w:t>员救治，做好粉尘的清除工作和善后工作。</w:t>
      </w:r>
    </w:p>
    <w:p>
      <w:pPr>
        <w:pStyle w:val="5"/>
        <w:numPr>
          <w:ilvl w:val="1"/>
          <w:numId w:val="65"/>
        </w:numPr>
        <w:bidi w:val="0"/>
      </w:pPr>
      <w:r>
        <w:t>控制事故扩大的措施</w:t>
      </w:r>
    </w:p>
    <w:p>
      <w:pPr>
        <w:pStyle w:val="7"/>
        <w:spacing w:before="167" w:line="494" w:lineRule="auto"/>
        <w:ind w:left="1540" w:right="1721" w:firstLine="561"/>
        <w:jc w:val="both"/>
      </w:pPr>
      <w:r>
        <w:t>由“公司应急救援指挥中心”统一调度人员、物资开展救援工作。在服从</w:t>
      </w:r>
      <w:r>
        <w:rPr>
          <w:spacing w:val="-9"/>
        </w:rPr>
        <w:t>事故抢险的前提下，由“公司应急救援指挥中心”及时与公司调度联系，以确定部分停产或全公司停产，防止其它意外事故的发生，并确保将全公司的损失降到</w:t>
      </w:r>
      <w:r>
        <w:t>最小。</w:t>
      </w:r>
    </w:p>
    <w:p>
      <w:pPr>
        <w:spacing w:after="0" w:line="494" w:lineRule="auto"/>
        <w:jc w:val="both"/>
        <w:sectPr>
          <w:pgSz w:w="11900" w:h="16840"/>
          <w:pgMar w:top="1420" w:right="80" w:bottom="1200" w:left="260" w:header="882" w:footer="1004" w:gutter="0"/>
          <w:cols w:space="720" w:num="1"/>
        </w:sectPr>
      </w:pPr>
    </w:p>
    <w:p>
      <w:pPr>
        <w:pStyle w:val="4"/>
        <w:tabs>
          <w:tab w:val="left" w:pos="1679"/>
        </w:tabs>
      </w:pPr>
      <w:bookmarkStart w:id="180" w:name="_bookmark49"/>
      <w:bookmarkEnd w:id="180"/>
      <w:bookmarkStart w:id="181" w:name="第十章 现场保护与现场清理"/>
      <w:bookmarkEnd w:id="181"/>
      <w:r>
        <w:t>第十章</w:t>
      </w:r>
      <w:r>
        <w:tab/>
      </w:r>
      <w:r>
        <w:t>现场保护与现场清理</w:t>
      </w:r>
    </w:p>
    <w:p>
      <w:pPr>
        <w:pStyle w:val="7"/>
        <w:spacing w:before="1"/>
        <w:rPr>
          <w:sz w:val="34"/>
        </w:rPr>
      </w:pPr>
    </w:p>
    <w:p>
      <w:pPr>
        <w:pStyle w:val="5"/>
        <w:numPr>
          <w:ilvl w:val="1"/>
          <w:numId w:val="66"/>
        </w:numPr>
        <w:bidi w:val="0"/>
      </w:pPr>
      <w:bookmarkStart w:id="182" w:name="_bookmark50"/>
      <w:bookmarkEnd w:id="182"/>
      <w:bookmarkStart w:id="183" w:name="_bookmark50"/>
      <w:bookmarkEnd w:id="183"/>
      <w:bookmarkStart w:id="184" w:name="10.1 事故现场的保护措施 "/>
      <w:bookmarkEnd w:id="184"/>
      <w:r>
        <w:t>事故现场的保护措施</w:t>
      </w:r>
    </w:p>
    <w:p>
      <w:pPr>
        <w:pStyle w:val="7"/>
        <w:spacing w:before="166" w:line="494" w:lineRule="auto"/>
        <w:ind w:left="1540" w:right="1718" w:firstLine="561"/>
        <w:jc w:val="both"/>
      </w:pPr>
      <w:r>
        <w:rPr>
          <w:spacing w:val="-8"/>
        </w:rPr>
        <w:t>事故抢险过程中，在不影响抢险的情况下，事故现场的各种设施(包括已损</w:t>
      </w:r>
      <w:r>
        <w:rPr>
          <w:spacing w:val="-1"/>
        </w:rPr>
        <w:t>失或未损失的)能不移位的就不移位，特殊情况需移位时要做出标记，并画出草</w:t>
      </w:r>
      <w:r>
        <w:rPr>
          <w:spacing w:val="-11"/>
        </w:rPr>
        <w:t>图。抢险过后，要由相关专业组(必要时由外援专业人员配合)采取保卫措施，为</w:t>
      </w:r>
      <w:r>
        <w:t>事故的调查提供依据。未经许可，任何人不得进入事故现场。</w:t>
      </w:r>
    </w:p>
    <w:p>
      <w:pPr>
        <w:pStyle w:val="5"/>
        <w:numPr>
          <w:ilvl w:val="1"/>
          <w:numId w:val="66"/>
        </w:numPr>
        <w:bidi w:val="0"/>
      </w:pPr>
      <w:bookmarkStart w:id="185" w:name="_bookmark51"/>
      <w:bookmarkEnd w:id="185"/>
      <w:bookmarkStart w:id="186" w:name="10.2 确定现场净化方式、方法 "/>
      <w:bookmarkEnd w:id="186"/>
      <w:bookmarkStart w:id="187" w:name="_bookmark51"/>
      <w:bookmarkEnd w:id="187"/>
      <w:r>
        <w:t>确定现场净化方式、方法</w:t>
      </w:r>
    </w:p>
    <w:p>
      <w:pPr>
        <w:pStyle w:val="7"/>
        <w:spacing w:before="138" w:line="441" w:lineRule="auto"/>
        <w:ind w:left="1540" w:right="1723" w:firstLine="561"/>
      </w:pPr>
      <w:r>
        <w:rPr>
          <w:sz w:val="28"/>
        </w:rPr>
        <w:t>组</w:t>
      </w:r>
      <w:r>
        <w:t>织人员清理回收、利用喷洒淋水等方式消除污染。从事故发生地开始向上风方向对污染区逐次推进全面而彻底的洗消。</w:t>
      </w:r>
    </w:p>
    <w:p>
      <w:pPr>
        <w:pStyle w:val="5"/>
        <w:numPr>
          <w:ilvl w:val="1"/>
          <w:numId w:val="66"/>
        </w:numPr>
        <w:bidi w:val="0"/>
      </w:pPr>
      <w:bookmarkStart w:id="188" w:name="_bookmark52"/>
      <w:bookmarkEnd w:id="188"/>
      <w:bookmarkStart w:id="189" w:name="_bookmark52"/>
      <w:bookmarkEnd w:id="189"/>
      <w:bookmarkStart w:id="190" w:name="10.3 明确事故现场清理工作的负责人和专业队伍 "/>
      <w:bookmarkEnd w:id="190"/>
      <w:r>
        <w:t>明确事故现场清理工作的负责人和专业队伍</w:t>
      </w:r>
    </w:p>
    <w:p>
      <w:pPr>
        <w:pStyle w:val="7"/>
        <w:spacing w:before="166" w:line="494" w:lineRule="auto"/>
        <w:ind w:left="1540" w:right="1619" w:firstLine="561"/>
      </w:pPr>
      <w:r>
        <w:t>对于重、特大事故发生后，事故现场清理工作一定要组织专业人员进行， 清理队伍必须装备齐全。所有进入轻危区的人员必须配戴防尘呼吸器和护目镜。</w:t>
      </w:r>
    </w:p>
    <w:p>
      <w:pPr>
        <w:spacing w:after="0" w:line="494" w:lineRule="auto"/>
        <w:sectPr>
          <w:footerReference r:id="rId18" w:type="default"/>
          <w:pgSz w:w="11900" w:h="16840"/>
          <w:pgMar w:top="1420" w:right="80" w:bottom="1200" w:left="260" w:header="882" w:footer="1004" w:gutter="0"/>
          <w:pgNumType w:start="90"/>
          <w:cols w:space="720" w:num="1"/>
        </w:sectPr>
      </w:pPr>
    </w:p>
    <w:p>
      <w:pPr>
        <w:pStyle w:val="7"/>
        <w:rPr>
          <w:sz w:val="20"/>
        </w:rPr>
      </w:pPr>
    </w:p>
    <w:p>
      <w:pPr>
        <w:pStyle w:val="7"/>
        <w:spacing w:before="3"/>
        <w:rPr>
          <w:sz w:val="20"/>
        </w:rPr>
      </w:pPr>
    </w:p>
    <w:p>
      <w:pPr>
        <w:pStyle w:val="4"/>
        <w:tabs>
          <w:tab w:val="left" w:pos="4367"/>
        </w:tabs>
        <w:spacing w:before="33"/>
        <w:ind w:left="2207" w:right="0"/>
        <w:jc w:val="left"/>
      </w:pPr>
      <w:bookmarkStart w:id="191" w:name="第十一章 事故现场的恢复和善后"/>
      <w:bookmarkEnd w:id="191"/>
      <w:bookmarkStart w:id="192" w:name="_bookmark53"/>
      <w:bookmarkEnd w:id="192"/>
      <w:r>
        <w:t>第十一章</w:t>
      </w:r>
      <w:r>
        <w:tab/>
      </w:r>
      <w:r>
        <w:t>事故现场的恢复和善后</w:t>
      </w:r>
    </w:p>
    <w:p>
      <w:pPr>
        <w:pStyle w:val="7"/>
        <w:spacing w:before="11"/>
        <w:rPr>
          <w:sz w:val="33"/>
        </w:rPr>
      </w:pPr>
    </w:p>
    <w:p>
      <w:pPr>
        <w:pStyle w:val="5"/>
        <w:numPr>
          <w:ilvl w:val="1"/>
          <w:numId w:val="67"/>
        </w:numPr>
        <w:bidi w:val="0"/>
      </w:pPr>
      <w:bookmarkStart w:id="193" w:name="_bookmark54"/>
      <w:bookmarkEnd w:id="193"/>
      <w:bookmarkStart w:id="194" w:name="11.1 撤点、撤离和交接程序 "/>
      <w:bookmarkEnd w:id="194"/>
      <w:bookmarkStart w:id="195" w:name="_bookmark54"/>
      <w:bookmarkEnd w:id="195"/>
      <w:r>
        <w:t>撤点、撤离和交接程序</w:t>
      </w:r>
    </w:p>
    <w:p>
      <w:pPr>
        <w:pStyle w:val="7"/>
        <w:spacing w:before="166" w:line="494" w:lineRule="auto"/>
        <w:ind w:left="1540" w:right="1721" w:firstLine="561"/>
      </w:pPr>
      <w:r>
        <w:t>应急事故终止后，对危险区、安全区、隔离区进行撤除，并确定无安全隐患存在。同时通告生产调度、安全管理、环保部门可恢复生产。</w:t>
      </w:r>
    </w:p>
    <w:p>
      <w:pPr>
        <w:pStyle w:val="5"/>
        <w:numPr>
          <w:ilvl w:val="1"/>
          <w:numId w:val="67"/>
        </w:numPr>
        <w:bidi w:val="0"/>
      </w:pPr>
      <w:bookmarkStart w:id="196" w:name="_bookmark55"/>
      <w:bookmarkEnd w:id="196"/>
      <w:bookmarkStart w:id="197" w:name="11.2 受影响区域的连续环境监测 "/>
      <w:bookmarkEnd w:id="197"/>
      <w:bookmarkStart w:id="198" w:name="_bookmark55"/>
      <w:bookmarkEnd w:id="198"/>
      <w:r>
        <w:t>受影响区域的连续环境监测</w:t>
      </w:r>
    </w:p>
    <w:p>
      <w:pPr>
        <w:pStyle w:val="7"/>
        <w:spacing w:before="166" w:line="494" w:lineRule="auto"/>
        <w:ind w:left="1540" w:right="1721" w:firstLine="561"/>
      </w:pPr>
      <w:r>
        <w:t>应急事故终止后，利用具有资质的环境监测机构继续对受影响区域进行连续跟踪监测。</w:t>
      </w:r>
    </w:p>
    <w:p>
      <w:pPr>
        <w:pStyle w:val="5"/>
        <w:numPr>
          <w:ilvl w:val="1"/>
          <w:numId w:val="67"/>
        </w:numPr>
        <w:bidi w:val="0"/>
      </w:pPr>
      <w:bookmarkStart w:id="199" w:name="_bookmark56"/>
      <w:bookmarkEnd w:id="199"/>
      <w:bookmarkStart w:id="200" w:name="_bookmark56"/>
      <w:bookmarkEnd w:id="200"/>
      <w:bookmarkStart w:id="201" w:name="11.3 应急终止的条件"/>
      <w:bookmarkEnd w:id="201"/>
      <w:r>
        <w:t>应急终止的条件</w:t>
      </w:r>
    </w:p>
    <w:p>
      <w:pPr>
        <w:pStyle w:val="7"/>
        <w:spacing w:before="166"/>
        <w:ind w:left="2101"/>
      </w:pPr>
      <w:r>
        <w:t>凡符合下列条件之一的，即满足应急终止条件：</w:t>
      </w:r>
    </w:p>
    <w:p>
      <w:pPr>
        <w:pStyle w:val="7"/>
        <w:spacing w:before="5"/>
        <w:rPr>
          <w:sz w:val="25"/>
        </w:rPr>
      </w:pPr>
    </w:p>
    <w:p>
      <w:pPr>
        <w:pStyle w:val="7"/>
        <w:spacing w:before="1"/>
        <w:ind w:left="2101"/>
      </w:pPr>
      <w:r>
        <w:rPr>
          <w:spacing w:val="-180"/>
        </w:rPr>
        <w:t>○</w:t>
      </w:r>
      <w:r>
        <w:t>1</w:t>
      </w:r>
      <w:r>
        <w:rPr>
          <w:spacing w:val="-8"/>
        </w:rPr>
        <w:t xml:space="preserve"> 事件现场得到控制，事件条件已经消除；</w:t>
      </w:r>
    </w:p>
    <w:p>
      <w:pPr>
        <w:pStyle w:val="7"/>
        <w:spacing w:before="8"/>
        <w:rPr>
          <w:sz w:val="25"/>
        </w:rPr>
      </w:pPr>
    </w:p>
    <w:p>
      <w:pPr>
        <w:pStyle w:val="7"/>
        <w:spacing w:line="494" w:lineRule="auto"/>
        <w:ind w:left="1540" w:right="1721" w:firstLine="561"/>
      </w:pPr>
      <w:r>
        <w:rPr>
          <w:spacing w:val="-180"/>
        </w:rPr>
        <w:t>○</w:t>
      </w:r>
      <w:r>
        <w:t>2</w:t>
      </w:r>
      <w:r>
        <w:rPr>
          <w:spacing w:val="-7"/>
        </w:rPr>
        <w:t xml:space="preserve"> 污染源的泄露或释放已降至规定限值以内，且事件造成的危害已经被消除，无继发可能。</w:t>
      </w:r>
    </w:p>
    <w:p>
      <w:pPr>
        <w:pStyle w:val="7"/>
        <w:spacing w:before="2"/>
        <w:ind w:left="2101"/>
      </w:pPr>
      <w:r>
        <w:rPr>
          <w:spacing w:val="-180"/>
        </w:rPr>
        <w:t>○</w:t>
      </w:r>
      <w:r>
        <w:t>3</w:t>
      </w:r>
      <w:r>
        <w:rPr>
          <w:spacing w:val="-8"/>
        </w:rPr>
        <w:t xml:space="preserve"> 事件现场的各种专业应急处置行动已无继续的必要。</w:t>
      </w:r>
    </w:p>
    <w:p>
      <w:pPr>
        <w:pStyle w:val="7"/>
        <w:spacing w:before="6"/>
        <w:rPr>
          <w:sz w:val="25"/>
        </w:rPr>
      </w:pPr>
    </w:p>
    <w:p>
      <w:pPr>
        <w:pStyle w:val="7"/>
        <w:spacing w:line="494" w:lineRule="auto"/>
        <w:ind w:left="1540" w:right="1721" w:firstLine="561"/>
      </w:pPr>
      <w:r>
        <w:rPr>
          <w:spacing w:val="-180"/>
        </w:rPr>
        <w:t>○</w:t>
      </w:r>
      <w:r>
        <w:t>4</w:t>
      </w:r>
      <w:r>
        <w:rPr>
          <w:spacing w:val="-7"/>
        </w:rPr>
        <w:t xml:space="preserve"> 采取必要的防护措施以保护公众免受再次危害，并使事件可能引起的中长期影响趋于合理且尽量低的水平。</w:t>
      </w:r>
    </w:p>
    <w:p>
      <w:pPr>
        <w:pStyle w:val="5"/>
        <w:numPr>
          <w:ilvl w:val="1"/>
          <w:numId w:val="67"/>
        </w:numPr>
        <w:bidi w:val="0"/>
      </w:pPr>
      <w:bookmarkStart w:id="202" w:name="_bookmark57"/>
      <w:bookmarkEnd w:id="202"/>
      <w:bookmarkStart w:id="203" w:name="11.4 事故后的生态环境措施 "/>
      <w:bookmarkEnd w:id="203"/>
      <w:bookmarkStart w:id="204" w:name="_bookmark57"/>
      <w:bookmarkEnd w:id="204"/>
      <w:r>
        <w:t>事故后的生态环境措施</w:t>
      </w:r>
    </w:p>
    <w:p>
      <w:pPr>
        <w:pStyle w:val="7"/>
        <w:spacing w:before="166" w:line="494" w:lineRule="auto"/>
        <w:ind w:left="1540" w:right="1721" w:firstLine="561"/>
      </w:pPr>
      <w:r>
        <w:t>请环保专业部门进行水体空气的监测，根据污染物的种类和污染程度，请专业部门做出生态环境恢复方案。</w:t>
      </w:r>
    </w:p>
    <w:p>
      <w:pPr>
        <w:pStyle w:val="5"/>
        <w:numPr>
          <w:ilvl w:val="1"/>
          <w:numId w:val="67"/>
        </w:numPr>
        <w:bidi w:val="0"/>
      </w:pPr>
      <w:bookmarkStart w:id="205" w:name="_bookmark58"/>
      <w:bookmarkEnd w:id="205"/>
      <w:bookmarkStart w:id="206" w:name="_bookmark58"/>
      <w:bookmarkEnd w:id="206"/>
      <w:bookmarkStart w:id="207" w:name="11.5 应急终止的程序 "/>
      <w:bookmarkEnd w:id="207"/>
      <w:r>
        <w:t>应急终止的程序</w:t>
      </w:r>
    </w:p>
    <w:p>
      <w:pPr>
        <w:pStyle w:val="7"/>
        <w:spacing w:before="166" w:line="496" w:lineRule="auto"/>
        <w:ind w:left="1540" w:right="1721" w:firstLine="561"/>
      </w:pPr>
      <w:r>
        <w:rPr>
          <w:spacing w:val="-180"/>
        </w:rPr>
        <w:t>○</w:t>
      </w:r>
      <w:r>
        <w:t>1</w:t>
      </w:r>
      <w:r>
        <w:rPr>
          <w:spacing w:val="-7"/>
        </w:rPr>
        <w:t xml:space="preserve"> 现场应急指挥部确认终止时机，或事故责任单位向现场救援指挥部提出申请；</w:t>
      </w:r>
    </w:p>
    <w:p>
      <w:pPr>
        <w:pStyle w:val="7"/>
        <w:spacing w:line="304" w:lineRule="exact"/>
        <w:ind w:left="2101"/>
        <w:rPr>
          <w:spacing w:val="-8"/>
        </w:rPr>
      </w:pPr>
      <w:r>
        <w:rPr>
          <w:spacing w:val="-180"/>
        </w:rPr>
        <w:t>○</w:t>
      </w:r>
      <w:r>
        <w:t>2</w:t>
      </w:r>
      <w:r>
        <w:rPr>
          <w:spacing w:val="-8"/>
        </w:rPr>
        <w:t xml:space="preserve"> 经过专家讨论，取得一致意见，经现场救援指挥中心批准；</w:t>
      </w:r>
    </w:p>
    <w:p>
      <w:pPr>
        <w:pStyle w:val="7"/>
        <w:spacing w:before="3"/>
        <w:rPr>
          <w:sz w:val="8"/>
        </w:rPr>
      </w:pPr>
    </w:p>
    <w:p>
      <w:pPr>
        <w:pStyle w:val="7"/>
        <w:spacing w:before="68"/>
        <w:ind w:left="2101"/>
      </w:pPr>
      <w:r>
        <w:rPr>
          <w:spacing w:val="-180"/>
        </w:rPr>
        <w:t>○</w:t>
      </w:r>
      <w:r>
        <w:t>3</w:t>
      </w:r>
      <w:r>
        <w:rPr>
          <w:spacing w:val="-8"/>
        </w:rPr>
        <w:t xml:space="preserve"> 现场救援指挥部向所属各专业应急救援队伍下达应急终止命令；</w:t>
      </w:r>
    </w:p>
    <w:p>
      <w:pPr>
        <w:pStyle w:val="7"/>
        <w:spacing w:before="6"/>
        <w:rPr>
          <w:sz w:val="25"/>
        </w:rPr>
      </w:pPr>
    </w:p>
    <w:p>
      <w:pPr>
        <w:pStyle w:val="7"/>
        <w:spacing w:line="496" w:lineRule="auto"/>
        <w:ind w:left="1540" w:right="1601" w:firstLine="561"/>
      </w:pPr>
      <w:r>
        <w:rPr>
          <w:spacing w:val="-180"/>
        </w:rPr>
        <w:t>○</w:t>
      </w:r>
      <w:r>
        <w:t>4</w:t>
      </w:r>
      <w:r>
        <w:rPr>
          <w:spacing w:val="-7"/>
        </w:rPr>
        <w:t xml:space="preserve"> 应急状态终止后，各专业应急小组应根据环境应急指挥中心有关指示和</w:t>
      </w:r>
      <w:r>
        <w:rPr>
          <w:spacing w:val="-19"/>
        </w:rPr>
        <w:t>实际情况，继续进行环境监测和评价工作，直至其他补救措施无需继续进行为止。</w:t>
      </w:r>
    </w:p>
    <w:p>
      <w:pPr>
        <w:spacing w:after="0" w:line="496" w:lineRule="auto"/>
        <w:sectPr>
          <w:pgSz w:w="11900" w:h="16840"/>
          <w:pgMar w:top="1420" w:right="80" w:bottom="1200" w:left="260" w:header="882" w:footer="1004" w:gutter="0"/>
          <w:cols w:space="720" w:num="1"/>
        </w:sectPr>
      </w:pPr>
    </w:p>
    <w:p>
      <w:pPr>
        <w:pStyle w:val="7"/>
        <w:rPr>
          <w:sz w:val="20"/>
        </w:rPr>
      </w:pPr>
    </w:p>
    <w:p>
      <w:pPr>
        <w:pStyle w:val="7"/>
        <w:spacing w:before="3"/>
        <w:rPr>
          <w:sz w:val="20"/>
        </w:rPr>
      </w:pPr>
    </w:p>
    <w:p>
      <w:pPr>
        <w:pStyle w:val="4"/>
        <w:tabs>
          <w:tab w:val="left" w:pos="2159"/>
        </w:tabs>
        <w:spacing w:before="33"/>
      </w:pPr>
      <w:bookmarkStart w:id="208" w:name="_bookmark59"/>
      <w:bookmarkEnd w:id="208"/>
      <w:bookmarkStart w:id="209" w:name="第十二章 应急终止"/>
      <w:bookmarkEnd w:id="209"/>
      <w:r>
        <w:t>第十二章</w:t>
      </w:r>
      <w:r>
        <w:tab/>
      </w:r>
      <w:r>
        <w:t>应急终止</w:t>
      </w:r>
    </w:p>
    <w:p>
      <w:pPr>
        <w:pStyle w:val="7"/>
        <w:spacing w:before="11"/>
        <w:rPr>
          <w:sz w:val="33"/>
        </w:rPr>
      </w:pPr>
    </w:p>
    <w:p>
      <w:pPr>
        <w:pStyle w:val="5"/>
        <w:numPr>
          <w:ilvl w:val="1"/>
          <w:numId w:val="68"/>
        </w:numPr>
        <w:bidi w:val="0"/>
      </w:pPr>
      <w:bookmarkStart w:id="210" w:name="_bookmark60"/>
      <w:bookmarkEnd w:id="210"/>
      <w:bookmarkStart w:id="211" w:name="12.1 应急终止通知 "/>
      <w:bookmarkEnd w:id="211"/>
      <w:bookmarkStart w:id="212" w:name="_bookmark60"/>
      <w:bookmarkEnd w:id="212"/>
      <w:r>
        <w:t>应急终止通知</w:t>
      </w:r>
    </w:p>
    <w:p>
      <w:pPr>
        <w:pStyle w:val="7"/>
        <w:spacing w:before="166" w:line="494" w:lineRule="auto"/>
        <w:ind w:left="1540" w:right="1721" w:firstLine="561"/>
      </w:pPr>
      <w:r>
        <w:t>应急救援指挥中心在应急行动终止后及时通知本单位相关部门事故危险已解除。由公司办公室通知周边村委、企业及相关人员事故危险已解除。</w:t>
      </w:r>
    </w:p>
    <w:p>
      <w:pPr>
        <w:pStyle w:val="5"/>
        <w:numPr>
          <w:ilvl w:val="1"/>
          <w:numId w:val="68"/>
        </w:numPr>
        <w:bidi w:val="0"/>
      </w:pPr>
      <w:bookmarkStart w:id="213" w:name="12.2 环境应急设备维护、保养 "/>
      <w:bookmarkEnd w:id="213"/>
      <w:bookmarkStart w:id="214" w:name="_bookmark61"/>
      <w:bookmarkEnd w:id="214"/>
      <w:bookmarkStart w:id="215" w:name="_bookmark61"/>
      <w:bookmarkEnd w:id="215"/>
      <w:r>
        <w:t>环境应急设备维护、保养</w:t>
      </w:r>
    </w:p>
    <w:p>
      <w:pPr>
        <w:pStyle w:val="7"/>
        <w:spacing w:before="166" w:line="494" w:lineRule="auto"/>
        <w:ind w:left="1540" w:right="1721" w:firstLine="561"/>
      </w:pPr>
      <w:r>
        <w:t>实施应急监测主要依靠便携式的监测仪器设备，仪器设备性能直接决定监测数据的质量。所以，应急监测仪器的维护保养等要做到以下几点：</w:t>
      </w:r>
    </w:p>
    <w:p>
      <w:pPr>
        <w:pStyle w:val="7"/>
        <w:spacing w:before="2" w:line="494" w:lineRule="auto"/>
        <w:ind w:left="1540" w:right="1721" w:firstLine="561"/>
        <w:jc w:val="both"/>
      </w:pPr>
      <w:r>
        <w:rPr>
          <w:spacing w:val="-180"/>
        </w:rPr>
        <w:t>○</w:t>
      </w:r>
      <w:r>
        <w:t>1</w:t>
      </w:r>
      <w:r>
        <w:rPr>
          <w:spacing w:val="-7"/>
        </w:rPr>
        <w:t xml:space="preserve"> 明确分工，严格管理。对于现场检测的气体分析仪、水分析仪、噪声等分析仪的日常维护与保养要分工到责任人，做到专人管理。</w:t>
      </w:r>
    </w:p>
    <w:p>
      <w:pPr>
        <w:pStyle w:val="7"/>
        <w:spacing w:before="3" w:line="494" w:lineRule="auto"/>
        <w:ind w:left="1540" w:right="1601" w:firstLine="561"/>
        <w:jc w:val="both"/>
      </w:pPr>
      <w:r>
        <w:rPr>
          <w:spacing w:val="-180"/>
        </w:rPr>
        <w:t>○</w:t>
      </w:r>
      <w:r>
        <w:t>2</w:t>
      </w:r>
      <w:r>
        <w:rPr>
          <w:spacing w:val="-7"/>
        </w:rPr>
        <w:t xml:space="preserve"> 维护与保养。明确分工后，对需要充电的设备要经常充电，时刻保证电</w:t>
      </w:r>
      <w:r>
        <w:rPr>
          <w:spacing w:val="-12"/>
        </w:rPr>
        <w:t>量充足，随时可用；对于废气监测仪器中的滤芯要根据使用情况及使用期限按期</w:t>
      </w:r>
      <w:r>
        <w:rPr>
          <w:spacing w:val="-18"/>
        </w:rPr>
        <w:t>更换；需要保持干燥的分析仪要经常更换硅胶，尤其是在夏季，更换频率要加大。</w:t>
      </w:r>
    </w:p>
    <w:p>
      <w:pPr>
        <w:pStyle w:val="7"/>
        <w:spacing w:before="1"/>
        <w:ind w:left="2101"/>
      </w:pPr>
      <w:r>
        <w:rPr>
          <w:spacing w:val="-180"/>
        </w:rPr>
        <w:t>○</w:t>
      </w:r>
      <w:r>
        <w:t>3</w:t>
      </w:r>
      <w:r>
        <w:rPr>
          <w:spacing w:val="-8"/>
        </w:rPr>
        <w:t xml:space="preserve"> 重视日常维护，经常进行校准。</w:t>
      </w:r>
    </w:p>
    <w:p>
      <w:pPr>
        <w:pStyle w:val="7"/>
        <w:spacing w:before="8"/>
        <w:rPr>
          <w:sz w:val="25"/>
        </w:rPr>
      </w:pPr>
    </w:p>
    <w:p>
      <w:pPr>
        <w:pStyle w:val="7"/>
        <w:ind w:left="2101"/>
      </w:pPr>
      <w:r>
        <w:rPr>
          <w:spacing w:val="-180"/>
        </w:rPr>
        <w:t>○</w:t>
      </w:r>
      <w:r>
        <w:t>4</w:t>
      </w:r>
      <w:r>
        <w:rPr>
          <w:spacing w:val="-8"/>
        </w:rPr>
        <w:t xml:space="preserve"> 按时从计量部门进行周期性检定。</w:t>
      </w:r>
    </w:p>
    <w:p>
      <w:pPr>
        <w:pStyle w:val="7"/>
        <w:spacing w:before="5"/>
        <w:rPr>
          <w:sz w:val="25"/>
        </w:rPr>
      </w:pPr>
    </w:p>
    <w:p>
      <w:pPr>
        <w:pStyle w:val="7"/>
        <w:spacing w:line="496" w:lineRule="auto"/>
        <w:ind w:left="1540" w:right="1721" w:firstLine="561"/>
      </w:pPr>
      <w:r>
        <w:rPr>
          <w:spacing w:val="-180"/>
        </w:rPr>
        <w:t>○</w:t>
      </w:r>
      <w:r>
        <w:t>5</w:t>
      </w:r>
      <w:r>
        <w:rPr>
          <w:spacing w:val="-7"/>
        </w:rPr>
        <w:t xml:space="preserve"> 严格实施标识管理，将所有的应急监测仪器明确标识，用于现场的仪器要随放随取，保证在突发环境污染事故时能够用得上、测得准。</w:t>
      </w:r>
    </w:p>
    <w:p>
      <w:pPr>
        <w:pStyle w:val="5"/>
        <w:numPr>
          <w:ilvl w:val="1"/>
          <w:numId w:val="68"/>
        </w:numPr>
        <w:bidi w:val="0"/>
      </w:pPr>
      <w:bookmarkStart w:id="216" w:name="_bookmark62"/>
      <w:bookmarkEnd w:id="216"/>
      <w:bookmarkStart w:id="217" w:name="12.3 应急评价过程 "/>
      <w:bookmarkEnd w:id="217"/>
      <w:bookmarkStart w:id="218" w:name="_bookmark62"/>
      <w:bookmarkEnd w:id="218"/>
      <w:r>
        <w:t>应急评价过程</w:t>
      </w:r>
    </w:p>
    <w:p>
      <w:pPr>
        <w:pStyle w:val="7"/>
        <w:spacing w:before="164" w:line="496" w:lineRule="auto"/>
        <w:ind w:left="1540" w:right="1721" w:firstLine="561"/>
      </w:pPr>
      <w:r>
        <w:t>由突发环境事件应急指挥部组织有关部门、单位和专家，会同事发地人民政府组织实施，评价的基本依据：</w:t>
      </w:r>
    </w:p>
    <w:p>
      <w:pPr>
        <w:pStyle w:val="19"/>
        <w:numPr>
          <w:ilvl w:val="2"/>
          <w:numId w:val="68"/>
        </w:numPr>
        <w:tabs>
          <w:tab w:val="left" w:pos="2463"/>
        </w:tabs>
        <w:spacing w:before="0" w:after="0" w:line="304" w:lineRule="exact"/>
        <w:ind w:left="2462" w:right="0" w:hanging="362"/>
        <w:jc w:val="left"/>
        <w:rPr>
          <w:sz w:val="24"/>
        </w:rPr>
      </w:pPr>
      <w:r>
        <w:rPr>
          <w:sz w:val="24"/>
        </w:rPr>
        <w:t>环境应急过程纪录；</w:t>
      </w:r>
    </w:p>
    <w:p>
      <w:pPr>
        <w:pStyle w:val="7"/>
        <w:spacing w:before="8"/>
        <w:rPr>
          <w:sz w:val="25"/>
        </w:rPr>
      </w:pPr>
    </w:p>
    <w:p>
      <w:pPr>
        <w:pStyle w:val="19"/>
        <w:numPr>
          <w:ilvl w:val="2"/>
          <w:numId w:val="68"/>
        </w:numPr>
        <w:tabs>
          <w:tab w:val="left" w:pos="2463"/>
        </w:tabs>
        <w:spacing w:before="0" w:after="0" w:line="240" w:lineRule="auto"/>
        <w:ind w:left="2462" w:right="0" w:hanging="362"/>
        <w:jc w:val="left"/>
        <w:rPr>
          <w:sz w:val="24"/>
        </w:rPr>
      </w:pPr>
      <w:r>
        <w:rPr>
          <w:sz w:val="24"/>
        </w:rPr>
        <w:t>现场处置组及各专业应急救援队伍的总结报告；</w:t>
      </w:r>
    </w:p>
    <w:p>
      <w:pPr>
        <w:spacing w:after="0" w:line="240" w:lineRule="auto"/>
        <w:jc w:val="left"/>
        <w:rPr>
          <w:sz w:val="24"/>
        </w:rPr>
      </w:pPr>
    </w:p>
    <w:p>
      <w:pPr>
        <w:spacing w:after="0" w:line="240" w:lineRule="auto"/>
        <w:jc w:val="left"/>
        <w:rPr>
          <w:sz w:val="8"/>
        </w:rPr>
      </w:pPr>
      <w:r>
        <w:rPr>
          <w:rFonts w:hint="eastAsia"/>
          <w:sz w:val="24"/>
          <w:lang w:val="en-US" w:eastAsia="zh-CN"/>
        </w:rPr>
        <w:t xml:space="preserve">       </w:t>
      </w:r>
    </w:p>
    <w:p>
      <w:pPr>
        <w:pStyle w:val="19"/>
        <w:numPr>
          <w:ilvl w:val="2"/>
          <w:numId w:val="68"/>
        </w:numPr>
        <w:tabs>
          <w:tab w:val="left" w:pos="2463"/>
        </w:tabs>
        <w:spacing w:before="66" w:after="0" w:line="240" w:lineRule="auto"/>
        <w:ind w:left="2462" w:right="0" w:hanging="362"/>
        <w:jc w:val="left"/>
        <w:rPr>
          <w:sz w:val="24"/>
        </w:rPr>
      </w:pPr>
      <w:r>
        <w:rPr>
          <w:sz w:val="24"/>
        </w:rPr>
        <w:t>现场应急指挥部掌握的应急情况；</w:t>
      </w:r>
    </w:p>
    <w:p>
      <w:pPr>
        <w:pStyle w:val="7"/>
        <w:spacing w:before="6"/>
        <w:rPr>
          <w:sz w:val="25"/>
        </w:rPr>
      </w:pPr>
    </w:p>
    <w:p>
      <w:pPr>
        <w:pStyle w:val="19"/>
        <w:numPr>
          <w:ilvl w:val="2"/>
          <w:numId w:val="68"/>
        </w:numPr>
        <w:tabs>
          <w:tab w:val="left" w:pos="2463"/>
        </w:tabs>
        <w:spacing w:before="0" w:after="0" w:line="496" w:lineRule="auto"/>
        <w:ind w:left="2101" w:right="3816" w:firstLine="0"/>
        <w:jc w:val="left"/>
        <w:rPr>
          <w:sz w:val="24"/>
        </w:rPr>
      </w:pPr>
      <w:r>
        <w:rPr>
          <w:spacing w:val="-1"/>
          <w:sz w:val="24"/>
        </w:rPr>
        <w:t xml:space="preserve">环境应急救援行动的实际效果及产生的社会影响； </w:t>
      </w:r>
      <w:r>
        <w:rPr>
          <w:sz w:val="24"/>
        </w:rPr>
        <w:t>(5)公众的反映等。</w:t>
      </w:r>
    </w:p>
    <w:p>
      <w:pPr>
        <w:pStyle w:val="7"/>
        <w:spacing w:line="494" w:lineRule="auto"/>
        <w:ind w:left="2101" w:right="7039"/>
      </w:pPr>
      <w:r>
        <w:t>得出的主要结论应为： (1)环境事件等级；</w:t>
      </w:r>
    </w:p>
    <w:p>
      <w:pPr>
        <w:pStyle w:val="7"/>
        <w:spacing w:line="494" w:lineRule="auto"/>
        <w:ind w:left="2101" w:right="4759"/>
      </w:pPr>
      <w:r>
        <w:t>(2)环境应急总任务及部分任务完成情况； (3)是否符合保护公众、保护环境的总要求； (4)采取的重要防护措施与方法是否得当；</w:t>
      </w:r>
    </w:p>
    <w:p>
      <w:pPr>
        <w:pStyle w:val="19"/>
        <w:numPr>
          <w:ilvl w:val="0"/>
          <w:numId w:val="69"/>
        </w:numPr>
        <w:tabs>
          <w:tab w:val="left" w:pos="2463"/>
        </w:tabs>
        <w:spacing w:before="2" w:after="0" w:line="494" w:lineRule="auto"/>
        <w:ind w:left="1540" w:right="1721" w:firstLine="561"/>
        <w:jc w:val="left"/>
        <w:rPr>
          <w:sz w:val="24"/>
        </w:rPr>
      </w:pPr>
      <w:r>
        <w:rPr>
          <w:spacing w:val="-6"/>
          <w:sz w:val="24"/>
        </w:rPr>
        <w:t>出动环境应急队伍的规模、仪器装备的使用、环境应急程度与速度是否</w:t>
      </w:r>
      <w:r>
        <w:rPr>
          <w:sz w:val="24"/>
        </w:rPr>
        <w:t>与任务相适应；</w:t>
      </w:r>
    </w:p>
    <w:p>
      <w:pPr>
        <w:pStyle w:val="19"/>
        <w:numPr>
          <w:ilvl w:val="0"/>
          <w:numId w:val="69"/>
        </w:numPr>
        <w:tabs>
          <w:tab w:val="left" w:pos="2463"/>
        </w:tabs>
        <w:spacing w:before="3" w:after="0" w:line="494" w:lineRule="auto"/>
        <w:ind w:left="2101" w:right="1656" w:firstLine="0"/>
        <w:jc w:val="left"/>
        <w:rPr>
          <w:sz w:val="24"/>
        </w:rPr>
      </w:pPr>
      <w:r>
        <w:rPr>
          <w:spacing w:val="-1"/>
          <w:sz w:val="24"/>
        </w:rPr>
        <w:t xml:space="preserve">环境应急处置中对利益与代价、风险、困难关系的处理是否科学合理； </w:t>
      </w:r>
      <w:r>
        <w:rPr>
          <w:sz w:val="24"/>
        </w:rPr>
        <w:t>(7)</w:t>
      </w:r>
      <w:r>
        <w:rPr>
          <w:spacing w:val="-4"/>
          <w:sz w:val="24"/>
        </w:rPr>
        <w:t>发布的公告及公布信息的内容是否真实，时机是否得当，对公众心理产</w:t>
      </w:r>
    </w:p>
    <w:p>
      <w:pPr>
        <w:pStyle w:val="7"/>
        <w:ind w:left="1540"/>
      </w:pPr>
      <w:r>
        <w:t>生的何种影响；</w:t>
      </w:r>
    </w:p>
    <w:p>
      <w:pPr>
        <w:pStyle w:val="7"/>
        <w:spacing w:before="8"/>
        <w:rPr>
          <w:sz w:val="25"/>
        </w:rPr>
      </w:pPr>
    </w:p>
    <w:p>
      <w:pPr>
        <w:pStyle w:val="7"/>
        <w:spacing w:line="494" w:lineRule="auto"/>
        <w:ind w:left="2101" w:right="6456"/>
      </w:pPr>
      <w:r>
        <w:t>(8)成功或失败的典型事例； (9)需要得出的其他结论等。</w:t>
      </w:r>
    </w:p>
    <w:p>
      <w:pPr>
        <w:pStyle w:val="5"/>
        <w:numPr>
          <w:ilvl w:val="1"/>
          <w:numId w:val="68"/>
        </w:numPr>
        <w:bidi w:val="0"/>
      </w:pPr>
      <w:bookmarkStart w:id="219" w:name="_bookmark63"/>
      <w:bookmarkEnd w:id="219"/>
      <w:bookmarkStart w:id="220" w:name="12.4 事故原因的调查 "/>
      <w:bookmarkEnd w:id="220"/>
      <w:bookmarkStart w:id="221" w:name="_bookmark63"/>
      <w:bookmarkEnd w:id="221"/>
      <w:r>
        <w:t>事故原因的调查</w:t>
      </w:r>
    </w:p>
    <w:p>
      <w:pPr>
        <w:pStyle w:val="7"/>
        <w:spacing w:before="167" w:line="494" w:lineRule="auto"/>
        <w:ind w:left="1540" w:right="1619" w:firstLine="561"/>
      </w:pPr>
      <w:r>
        <w:rPr>
          <w:spacing w:val="8"/>
        </w:rPr>
        <w:t>突发环境污染事故应急指挥中心办公室负责组建环境污染事件灾害调查</w:t>
      </w:r>
      <w:r>
        <w:rPr>
          <w:spacing w:val="-10"/>
        </w:rPr>
        <w:t>组，调查人员由相关技术及管理人员组成。灾害发生后，调查组要迅速赶赴现场</w:t>
      </w:r>
      <w:r>
        <w:rPr>
          <w:spacing w:val="-14"/>
        </w:rPr>
        <w:t>开展灾害调查。调查内容包括受灾情况、危害程度、灾害过程等有关环境保护资</w:t>
      </w:r>
      <w:r>
        <w:rPr>
          <w:spacing w:val="-15"/>
        </w:rPr>
        <w:t>料等；听取当地政府及有关部门对预防和减轻环境污染事件所造成灾害的意见。</w:t>
      </w:r>
      <w:r>
        <w:t>认真总结经验 教训，灾害。结束后15日内写出调查报告。</w:t>
      </w:r>
    </w:p>
    <w:p>
      <w:pPr>
        <w:pStyle w:val="5"/>
        <w:numPr>
          <w:ilvl w:val="1"/>
          <w:numId w:val="68"/>
        </w:numPr>
        <w:bidi w:val="0"/>
        <w:rPr>
          <w:b/>
          <w:sz w:val="8"/>
        </w:rPr>
      </w:pPr>
      <w:bookmarkStart w:id="222" w:name="12.5 环境应急总结报告的编制 "/>
      <w:bookmarkEnd w:id="222"/>
      <w:bookmarkStart w:id="223" w:name="_bookmark64"/>
      <w:bookmarkEnd w:id="223"/>
      <w:bookmarkStart w:id="224" w:name="_bookmark64"/>
      <w:bookmarkEnd w:id="224"/>
      <w:r>
        <w:t>环境应急总结报告的编制</w:t>
      </w:r>
    </w:p>
    <w:p>
      <w:pPr>
        <w:pStyle w:val="7"/>
        <w:spacing w:before="66" w:line="494" w:lineRule="auto"/>
        <w:ind w:left="2101" w:right="2479"/>
      </w:pPr>
      <w:r>
        <w:t>应急指挥中心办公室负责编制环境应急总结报告，主要内容包括： (1)环境事故等级；</w:t>
      </w:r>
    </w:p>
    <w:p>
      <w:pPr>
        <w:pStyle w:val="7"/>
        <w:spacing w:before="3" w:line="494" w:lineRule="auto"/>
        <w:ind w:left="2101" w:right="4759"/>
      </w:pPr>
      <w:r>
        <w:t>(2)环境应急总任务及部分任务完成情况； (3)是否符合保护公众、保护环境的总要求； (4)采取的重要防护措施与方法是否得当；</w:t>
      </w:r>
    </w:p>
    <w:p>
      <w:pPr>
        <w:pStyle w:val="7"/>
        <w:spacing w:before="3" w:line="494" w:lineRule="auto"/>
        <w:ind w:left="2101" w:right="1721"/>
      </w:pPr>
      <w:r>
        <w:t>(5)</w:t>
      </w:r>
      <w:r>
        <w:rPr>
          <w:spacing w:val="-14"/>
        </w:rPr>
        <w:t xml:space="preserve">出动环境应急队伍的规模、仪器装备的使用、响应程度是否与务相适应； </w:t>
      </w:r>
      <w:r>
        <w:t>(6)信息的采集、汇总、上报是否正确、及时；</w:t>
      </w:r>
    </w:p>
    <w:p>
      <w:pPr>
        <w:pStyle w:val="7"/>
        <w:spacing w:line="496" w:lineRule="auto"/>
        <w:ind w:left="2101" w:right="4999"/>
      </w:pPr>
      <w:r>
        <w:t>(7)好的做法、措施或存在的问题、漏洞； (8)需要得出的其他结论等；</w:t>
      </w:r>
    </w:p>
    <w:p>
      <w:pPr>
        <w:pStyle w:val="7"/>
        <w:spacing w:line="304" w:lineRule="exact"/>
        <w:ind w:left="2101"/>
      </w:pPr>
      <w:r>
        <w:t>事故总结应于应急终止后15天内完成，并及时上报市政府、市</w:t>
      </w:r>
      <w:r>
        <w:rPr>
          <w:rFonts w:hint="eastAsia"/>
          <w:lang w:eastAsia="zh-CN"/>
        </w:rPr>
        <w:t>生态环境局</w:t>
      </w:r>
      <w:r>
        <w:t>。</w:t>
      </w:r>
    </w:p>
    <w:p>
      <w:pPr>
        <w:pStyle w:val="7"/>
        <w:spacing w:before="12"/>
        <w:rPr>
          <w:sz w:val="18"/>
        </w:rPr>
      </w:pPr>
    </w:p>
    <w:p>
      <w:pPr>
        <w:pStyle w:val="5"/>
        <w:numPr>
          <w:ilvl w:val="1"/>
          <w:numId w:val="68"/>
        </w:numPr>
        <w:bidi w:val="0"/>
      </w:pPr>
      <w:bookmarkStart w:id="225" w:name="_bookmark65"/>
      <w:bookmarkEnd w:id="225"/>
      <w:bookmarkStart w:id="226" w:name="12.6 环境污染事故应急预案修订 "/>
      <w:bookmarkEnd w:id="226"/>
      <w:bookmarkStart w:id="227" w:name="_bookmark65"/>
      <w:bookmarkEnd w:id="227"/>
      <w:r>
        <w:t>环境污染事故应急预案修订</w:t>
      </w:r>
    </w:p>
    <w:p>
      <w:pPr>
        <w:pStyle w:val="7"/>
        <w:spacing w:before="167" w:line="494" w:lineRule="auto"/>
        <w:ind w:left="1540" w:right="1721" w:firstLine="561"/>
      </w:pPr>
      <w:r>
        <w:t>根据实战经验、演练情况及公司里实际情况等，应急指挥中心组织对应急预案相关内容进行修订和完善。</w:t>
      </w:r>
    </w:p>
    <w:p>
      <w:pPr>
        <w:pStyle w:val="5"/>
        <w:numPr>
          <w:ilvl w:val="1"/>
          <w:numId w:val="68"/>
        </w:numPr>
        <w:bidi w:val="0"/>
      </w:pPr>
      <w:bookmarkStart w:id="228" w:name="_bookmark66"/>
      <w:bookmarkEnd w:id="228"/>
      <w:bookmarkStart w:id="229" w:name="12.7 事故损失调查和责任认定 "/>
      <w:bookmarkEnd w:id="229"/>
      <w:bookmarkStart w:id="230" w:name="_bookmark66"/>
      <w:bookmarkEnd w:id="230"/>
      <w:r>
        <w:t>事故损失调查和责任认定</w:t>
      </w:r>
    </w:p>
    <w:p>
      <w:pPr>
        <w:pStyle w:val="19"/>
        <w:numPr>
          <w:ilvl w:val="2"/>
          <w:numId w:val="68"/>
        </w:numPr>
        <w:tabs>
          <w:tab w:val="left" w:pos="2463"/>
        </w:tabs>
        <w:spacing w:before="166" w:after="0" w:line="494" w:lineRule="auto"/>
        <w:ind w:left="1540" w:right="1721" w:firstLine="561"/>
        <w:jc w:val="both"/>
        <w:rPr>
          <w:sz w:val="24"/>
        </w:rPr>
      </w:pPr>
      <w:r>
        <w:rPr>
          <w:spacing w:val="-7"/>
          <w:sz w:val="24"/>
        </w:rPr>
        <w:t>在进行现场应急的同时，领导小组办公室应当抓紧进行现场调查取证工</w:t>
      </w:r>
      <w:r>
        <w:rPr>
          <w:spacing w:val="-10"/>
          <w:sz w:val="24"/>
        </w:rPr>
        <w:t>作，全面收集有关事故发生的原因，危害及其损失等方面的证据和资料，必要时</w:t>
      </w:r>
      <w:r>
        <w:rPr>
          <w:spacing w:val="-6"/>
          <w:sz w:val="24"/>
        </w:rPr>
        <w:t>要组织有关部门和专业技术人员进行技术鉴定，对于涉及刑事犯罪的，应当请求</w:t>
      </w:r>
      <w:r>
        <w:rPr>
          <w:sz w:val="24"/>
        </w:rPr>
        <w:t>公安司法部门介入和参与调查取证工作。</w:t>
      </w:r>
    </w:p>
    <w:p>
      <w:pPr>
        <w:pStyle w:val="19"/>
        <w:numPr>
          <w:ilvl w:val="2"/>
          <w:numId w:val="68"/>
        </w:numPr>
        <w:tabs>
          <w:tab w:val="left" w:pos="2463"/>
        </w:tabs>
        <w:spacing w:before="5" w:after="0" w:line="494" w:lineRule="auto"/>
        <w:ind w:left="1540" w:right="1601" w:firstLine="561"/>
        <w:jc w:val="both"/>
        <w:rPr>
          <w:sz w:val="24"/>
        </w:rPr>
      </w:pPr>
      <w:r>
        <w:rPr>
          <w:sz w:val="24"/>
        </w:rPr>
        <w:t xml:space="preserve">现场应急处理工作告一段落后，由领导小组办公室根据调查取证情况， </w:t>
      </w:r>
      <w:r>
        <w:rPr>
          <w:spacing w:val="-16"/>
          <w:sz w:val="24"/>
        </w:rPr>
        <w:t xml:space="preserve">依据相关制度，拟定追究事故责任部门和责任人员责任的意见，报领导小组审批， </w:t>
      </w:r>
      <w:r>
        <w:rPr>
          <w:sz w:val="24"/>
        </w:rPr>
        <w:t>对于触犯刑律的，移交司法机关追究刑事责任。</w:t>
      </w:r>
    </w:p>
    <w:p>
      <w:pPr>
        <w:pStyle w:val="5"/>
        <w:numPr>
          <w:ilvl w:val="1"/>
          <w:numId w:val="68"/>
        </w:numPr>
        <w:bidi w:val="0"/>
      </w:pPr>
      <w:bookmarkStart w:id="231" w:name="_bookmark67"/>
      <w:bookmarkEnd w:id="231"/>
      <w:bookmarkStart w:id="232" w:name="12.8 善后处置和保险 "/>
      <w:bookmarkEnd w:id="232"/>
      <w:bookmarkStart w:id="233" w:name="_bookmark67"/>
      <w:bookmarkEnd w:id="233"/>
      <w:r>
        <w:t>善后处置和保险</w:t>
      </w:r>
    </w:p>
    <w:p>
      <w:pPr>
        <w:pStyle w:val="19"/>
        <w:numPr>
          <w:ilvl w:val="2"/>
          <w:numId w:val="70"/>
        </w:numPr>
        <w:tabs>
          <w:tab w:val="left" w:pos="2385"/>
        </w:tabs>
        <w:spacing w:before="132" w:after="0" w:line="240" w:lineRule="auto"/>
        <w:ind w:left="2384" w:right="0" w:hanging="845"/>
        <w:jc w:val="left"/>
        <w:rPr>
          <w:b/>
          <w:sz w:val="24"/>
        </w:rPr>
      </w:pPr>
      <w:r>
        <w:rPr>
          <w:b/>
          <w:sz w:val="24"/>
        </w:rPr>
        <w:t>善后处置</w:t>
      </w:r>
    </w:p>
    <w:p>
      <w:pPr>
        <w:spacing w:after="0" w:line="240" w:lineRule="auto"/>
        <w:jc w:val="left"/>
        <w:rPr>
          <w:sz w:val="24"/>
        </w:rPr>
      </w:pPr>
    </w:p>
    <w:p>
      <w:pPr>
        <w:spacing w:after="0" w:line="240" w:lineRule="auto"/>
        <w:jc w:val="left"/>
        <w:rPr>
          <w:b/>
          <w:sz w:val="8"/>
        </w:rPr>
      </w:pPr>
      <w:r>
        <w:rPr>
          <w:rFonts w:hint="eastAsia"/>
          <w:sz w:val="24"/>
          <w:lang w:val="en-US" w:eastAsia="zh-CN"/>
        </w:rPr>
        <w:t xml:space="preserve">        </w:t>
      </w:r>
    </w:p>
    <w:p>
      <w:pPr>
        <w:pStyle w:val="19"/>
        <w:numPr>
          <w:ilvl w:val="3"/>
          <w:numId w:val="70"/>
        </w:numPr>
        <w:tabs>
          <w:tab w:val="left" w:pos="2463"/>
        </w:tabs>
        <w:spacing w:before="66" w:after="0" w:line="494" w:lineRule="auto"/>
        <w:ind w:left="2101" w:right="1656" w:firstLine="0"/>
        <w:jc w:val="left"/>
        <w:rPr>
          <w:sz w:val="24"/>
        </w:rPr>
      </w:pPr>
      <w:r>
        <w:rPr>
          <w:spacing w:val="-1"/>
          <w:sz w:val="24"/>
        </w:rPr>
        <w:t>在突发环境事件中致病、致残、死亡的人员，给予相应的补助和抚恤。</w:t>
      </w:r>
      <w:r>
        <w:rPr>
          <w:sz w:val="24"/>
        </w:rPr>
        <w:t>(2)对提供安置场所、应急物资的所有人给予适当补偿。</w:t>
      </w:r>
    </w:p>
    <w:p>
      <w:pPr>
        <w:pStyle w:val="19"/>
        <w:numPr>
          <w:ilvl w:val="0"/>
          <w:numId w:val="71"/>
        </w:numPr>
        <w:tabs>
          <w:tab w:val="left" w:pos="2463"/>
        </w:tabs>
        <w:spacing w:before="3" w:after="0" w:line="494" w:lineRule="auto"/>
        <w:ind w:left="1540" w:right="1721" w:firstLine="561"/>
        <w:jc w:val="left"/>
        <w:rPr>
          <w:sz w:val="24"/>
        </w:rPr>
      </w:pPr>
      <w:r>
        <w:rPr>
          <w:spacing w:val="-4"/>
          <w:sz w:val="24"/>
        </w:rPr>
        <w:t>指挥中心应积极组织进行突发环境事件现场清理工作，使事发现场恢复</w:t>
      </w:r>
      <w:r>
        <w:rPr>
          <w:sz w:val="24"/>
        </w:rPr>
        <w:t>到相对稳定、安全的基本状态，防止发生二次污染事故。</w:t>
      </w:r>
    </w:p>
    <w:p>
      <w:pPr>
        <w:pStyle w:val="19"/>
        <w:numPr>
          <w:ilvl w:val="0"/>
          <w:numId w:val="71"/>
        </w:numPr>
        <w:tabs>
          <w:tab w:val="left" w:pos="2463"/>
        </w:tabs>
        <w:spacing w:before="0" w:after="0" w:line="240" w:lineRule="auto"/>
        <w:ind w:left="2462" w:right="0" w:hanging="362"/>
        <w:jc w:val="left"/>
        <w:rPr>
          <w:sz w:val="24"/>
        </w:rPr>
      </w:pPr>
      <w:r>
        <w:rPr>
          <w:sz w:val="24"/>
        </w:rPr>
        <w:t>指挥中心应采取有效措施，确保受灾群众的正常生活。</w:t>
      </w:r>
    </w:p>
    <w:p>
      <w:pPr>
        <w:pStyle w:val="7"/>
        <w:rPr>
          <w:sz w:val="23"/>
        </w:rPr>
      </w:pPr>
    </w:p>
    <w:p>
      <w:pPr>
        <w:pStyle w:val="19"/>
        <w:numPr>
          <w:ilvl w:val="2"/>
          <w:numId w:val="70"/>
        </w:numPr>
        <w:tabs>
          <w:tab w:val="left" w:pos="2385"/>
        </w:tabs>
        <w:spacing w:before="1" w:after="0" w:line="240" w:lineRule="auto"/>
        <w:ind w:left="2384" w:right="0" w:hanging="845"/>
        <w:jc w:val="left"/>
        <w:rPr>
          <w:b/>
          <w:sz w:val="24"/>
        </w:rPr>
      </w:pPr>
      <w:r>
        <w:rPr>
          <w:b/>
          <w:sz w:val="24"/>
        </w:rPr>
        <w:t>保险</w:t>
      </w:r>
    </w:p>
    <w:p>
      <w:pPr>
        <w:pStyle w:val="7"/>
        <w:spacing w:before="165" w:line="494" w:lineRule="auto"/>
        <w:ind w:left="1540" w:right="1721" w:firstLine="561"/>
        <w:jc w:val="both"/>
      </w:pPr>
      <w:r>
        <w:t>建立突发环境污染事件社会保险机制，救援为高危、高风险工作，按隶属</w:t>
      </w:r>
      <w:r>
        <w:rPr>
          <w:spacing w:val="-11"/>
        </w:rPr>
        <w:t>关系，公司每年统一为环境保护应急工作人员办理意外伤害保险。事故灾难发生后，工伤保险经办机构应及时派人开展应急救援人员和受灾人员的保险受理、赔</w:t>
      </w:r>
      <w:r>
        <w:rPr>
          <w:spacing w:val="-12"/>
        </w:rPr>
        <w:t>付工作，提供经济补偿和实行社会化管理服务，及时按有关规定办理环境事故保</w:t>
      </w:r>
      <w:r>
        <w:t>险。</w:t>
      </w:r>
    </w:p>
    <w:p>
      <w:pPr>
        <w:spacing w:after="0" w:line="494" w:lineRule="auto"/>
        <w:jc w:val="both"/>
        <w:sectPr>
          <w:pgSz w:w="11900" w:h="16840"/>
          <w:pgMar w:top="1420" w:right="80" w:bottom="1200" w:left="260" w:header="882" w:footer="1004" w:gutter="0"/>
          <w:cols w:space="720" w:num="1"/>
        </w:sectPr>
      </w:pPr>
    </w:p>
    <w:p>
      <w:pPr>
        <w:pStyle w:val="4"/>
        <w:tabs>
          <w:tab w:val="left" w:pos="2159"/>
        </w:tabs>
      </w:pPr>
      <w:bookmarkStart w:id="234" w:name="_bookmark68"/>
      <w:bookmarkEnd w:id="234"/>
      <w:bookmarkStart w:id="235" w:name="第十三章 保障措施"/>
      <w:bookmarkEnd w:id="235"/>
      <w:r>
        <w:t>第十三章</w:t>
      </w:r>
      <w:r>
        <w:tab/>
      </w:r>
      <w:r>
        <w:t>保障措施</w:t>
      </w:r>
    </w:p>
    <w:p>
      <w:pPr>
        <w:pStyle w:val="7"/>
        <w:spacing w:before="1"/>
        <w:rPr>
          <w:sz w:val="34"/>
        </w:rPr>
      </w:pPr>
    </w:p>
    <w:p>
      <w:pPr>
        <w:pStyle w:val="5"/>
        <w:numPr>
          <w:ilvl w:val="1"/>
          <w:numId w:val="72"/>
        </w:numPr>
        <w:bidi w:val="0"/>
      </w:pPr>
      <w:bookmarkStart w:id="236" w:name="_bookmark69"/>
      <w:bookmarkEnd w:id="236"/>
      <w:bookmarkStart w:id="237" w:name="_bookmark69"/>
      <w:bookmarkEnd w:id="237"/>
      <w:bookmarkStart w:id="238" w:name="13.1 通信与信息保障 "/>
      <w:bookmarkEnd w:id="238"/>
      <w:r>
        <w:t>通信与信息保障</w:t>
      </w:r>
    </w:p>
    <w:p>
      <w:pPr>
        <w:pStyle w:val="7"/>
        <w:spacing w:before="166" w:line="494" w:lineRule="auto"/>
        <w:ind w:left="1540" w:right="1721" w:firstLine="561"/>
        <w:jc w:val="both"/>
      </w:pPr>
      <w:r>
        <w:t>公司应建立有线、无线相结合的基础应急通信系统，并大力发展视频远程</w:t>
      </w:r>
      <w:r>
        <w:rPr>
          <w:spacing w:val="-12"/>
        </w:rPr>
        <w:t>传输技术，保障通信畅通。同时，提供与应急工作相关的单位和人员的通信联系</w:t>
      </w:r>
      <w:r>
        <w:t>方式和方法。</w:t>
      </w:r>
    </w:p>
    <w:p>
      <w:pPr>
        <w:pStyle w:val="19"/>
        <w:numPr>
          <w:ilvl w:val="2"/>
          <w:numId w:val="72"/>
        </w:numPr>
        <w:tabs>
          <w:tab w:val="left" w:pos="2463"/>
        </w:tabs>
        <w:spacing w:before="3" w:after="0" w:line="494" w:lineRule="auto"/>
        <w:ind w:left="1540" w:right="1721" w:firstLine="561"/>
        <w:jc w:val="left"/>
        <w:rPr>
          <w:sz w:val="24"/>
        </w:rPr>
      </w:pPr>
      <w:r>
        <w:rPr>
          <w:spacing w:val="-5"/>
          <w:sz w:val="24"/>
        </w:rPr>
        <w:t>公司应急救援指挥部与宜春市市环境保护局、丰城市环境保护局等单位</w:t>
      </w:r>
      <w:r>
        <w:rPr>
          <w:sz w:val="24"/>
        </w:rPr>
        <w:t>建立畅通的通信网络。</w:t>
      </w:r>
    </w:p>
    <w:p>
      <w:pPr>
        <w:pStyle w:val="19"/>
        <w:numPr>
          <w:ilvl w:val="2"/>
          <w:numId w:val="72"/>
        </w:numPr>
        <w:tabs>
          <w:tab w:val="left" w:pos="2463"/>
        </w:tabs>
        <w:spacing w:before="0" w:after="0" w:line="494" w:lineRule="auto"/>
        <w:ind w:left="1540" w:right="1721" w:firstLine="561"/>
        <w:jc w:val="both"/>
        <w:rPr>
          <w:sz w:val="24"/>
        </w:rPr>
      </w:pPr>
      <w:r>
        <w:rPr>
          <w:spacing w:val="-4"/>
          <w:sz w:val="24"/>
        </w:rPr>
        <w:t>公司应急救援指挥部成员单位之间建立应急专线电话，指挥部成员、指</w:t>
      </w:r>
      <w:r>
        <w:rPr>
          <w:spacing w:val="-3"/>
          <w:sz w:val="24"/>
        </w:rPr>
        <w:t>挥部办公室人员手机作为备用联系方案，移动电话必须保证</w:t>
      </w:r>
      <w:r>
        <w:rPr>
          <w:sz w:val="24"/>
        </w:rPr>
        <w:t>24</w:t>
      </w:r>
      <w:r>
        <w:rPr>
          <w:spacing w:val="-10"/>
          <w:sz w:val="24"/>
        </w:rPr>
        <w:t>小时开机。公司传</w:t>
      </w:r>
      <w:r>
        <w:rPr>
          <w:sz w:val="24"/>
        </w:rPr>
        <w:t>真机24小时开机，专人及时处理传真。</w:t>
      </w:r>
    </w:p>
    <w:p>
      <w:pPr>
        <w:pStyle w:val="19"/>
        <w:numPr>
          <w:ilvl w:val="2"/>
          <w:numId w:val="72"/>
        </w:numPr>
        <w:tabs>
          <w:tab w:val="left" w:pos="2467"/>
        </w:tabs>
        <w:spacing w:before="5" w:after="0" w:line="494" w:lineRule="auto"/>
        <w:ind w:left="1540" w:right="1721" w:firstLine="561"/>
        <w:jc w:val="both"/>
        <w:rPr>
          <w:sz w:val="24"/>
        </w:rPr>
      </w:pPr>
      <w:r>
        <w:rPr>
          <w:spacing w:val="3"/>
          <w:sz w:val="24"/>
        </w:rPr>
        <w:t>公司应急救援指挥部及办公室应急救援指挥机构以及现场应急救援指</w:t>
      </w:r>
      <w:r>
        <w:rPr>
          <w:spacing w:val="-6"/>
          <w:sz w:val="24"/>
        </w:rPr>
        <w:t>挥部建立专线通信联系，通过有线电话、移动电话等通信手段，保证通信联系畅</w:t>
      </w:r>
      <w:r>
        <w:rPr>
          <w:sz w:val="24"/>
        </w:rPr>
        <w:t>通。</w:t>
      </w:r>
    </w:p>
    <w:p>
      <w:pPr>
        <w:pStyle w:val="19"/>
        <w:numPr>
          <w:ilvl w:val="2"/>
          <w:numId w:val="72"/>
        </w:numPr>
        <w:tabs>
          <w:tab w:val="left" w:pos="2467"/>
        </w:tabs>
        <w:spacing w:before="3" w:after="0" w:line="494" w:lineRule="auto"/>
        <w:ind w:left="1540" w:right="1721" w:firstLine="561"/>
        <w:jc w:val="left"/>
        <w:rPr>
          <w:sz w:val="24"/>
        </w:rPr>
      </w:pPr>
      <w:r>
        <w:rPr>
          <w:spacing w:val="3"/>
          <w:sz w:val="24"/>
        </w:rPr>
        <w:t>现场应急救援指挥部与事故现场的通信联系也须在灾害事故发生后第一时间建立起来。</w:t>
      </w:r>
    </w:p>
    <w:p>
      <w:pPr>
        <w:pStyle w:val="5"/>
        <w:numPr>
          <w:ilvl w:val="1"/>
          <w:numId w:val="72"/>
        </w:numPr>
        <w:bidi w:val="0"/>
      </w:pPr>
      <w:bookmarkStart w:id="239" w:name="_bookmark70"/>
      <w:bookmarkEnd w:id="239"/>
      <w:bookmarkStart w:id="240" w:name="_bookmark70"/>
      <w:bookmarkEnd w:id="240"/>
      <w:bookmarkStart w:id="241" w:name="13.2 应急队伍保障 "/>
      <w:bookmarkEnd w:id="241"/>
      <w:r>
        <w:t>应急队伍保障</w:t>
      </w:r>
    </w:p>
    <w:p>
      <w:pPr>
        <w:pStyle w:val="7"/>
        <w:spacing w:before="166" w:line="494" w:lineRule="auto"/>
        <w:ind w:left="1540" w:right="1598" w:firstLine="561"/>
      </w:pPr>
      <w:r>
        <w:rPr>
          <w:spacing w:val="-9"/>
        </w:rPr>
        <w:t xml:space="preserve">按照《突发环境污染事故应急预案》要求，建设好公司抢险救援辅助队伍， </w:t>
      </w:r>
      <w:r>
        <w:t xml:space="preserve">随时做好处理重特大事故的准备。同时，加强应急队伍的业务培训和应急演练， </w:t>
      </w:r>
      <w:r>
        <w:rPr>
          <w:spacing w:val="-9"/>
        </w:rPr>
        <w:t>增加员工应急能力；加强与其它企业的交流与合作，不断提高应急队伍的素质和能力，与专业救护队签订救援协议。</w:t>
      </w:r>
    </w:p>
    <w:p>
      <w:pPr>
        <w:pStyle w:val="5"/>
        <w:numPr>
          <w:ilvl w:val="1"/>
          <w:numId w:val="72"/>
        </w:numPr>
        <w:bidi w:val="0"/>
      </w:pPr>
      <w:bookmarkStart w:id="242" w:name="_bookmark71"/>
      <w:bookmarkEnd w:id="242"/>
      <w:bookmarkStart w:id="243" w:name="_bookmark71"/>
      <w:bookmarkEnd w:id="243"/>
      <w:bookmarkStart w:id="244" w:name="13.3 应急装备保障 "/>
      <w:bookmarkEnd w:id="244"/>
      <w:r>
        <w:t>应急装备保障</w:t>
      </w:r>
    </w:p>
    <w:p>
      <w:pPr>
        <w:spacing w:after="0" w:line="279" w:lineRule="exact"/>
        <w:jc w:val="both"/>
        <w:rPr>
          <w:b/>
          <w:sz w:val="8"/>
        </w:rPr>
      </w:pPr>
    </w:p>
    <w:p>
      <w:pPr>
        <w:pStyle w:val="19"/>
        <w:numPr>
          <w:ilvl w:val="2"/>
          <w:numId w:val="72"/>
        </w:numPr>
        <w:tabs>
          <w:tab w:val="left" w:pos="2463"/>
        </w:tabs>
        <w:spacing w:before="66" w:after="0" w:line="494" w:lineRule="auto"/>
        <w:ind w:left="1540" w:right="1721" w:firstLine="561"/>
        <w:jc w:val="left"/>
        <w:rPr>
          <w:sz w:val="24"/>
        </w:rPr>
      </w:pPr>
      <w:r>
        <w:rPr>
          <w:spacing w:val="-9"/>
          <w:sz w:val="24"/>
        </w:rPr>
        <w:t>完善、提升公司应急救援装备保障系统，形成全方位抢险救援装备支持</w:t>
      </w:r>
      <w:r>
        <w:rPr>
          <w:sz w:val="24"/>
        </w:rPr>
        <w:t>和保障。</w:t>
      </w:r>
    </w:p>
    <w:p>
      <w:pPr>
        <w:pStyle w:val="19"/>
        <w:numPr>
          <w:ilvl w:val="2"/>
          <w:numId w:val="72"/>
        </w:numPr>
        <w:tabs>
          <w:tab w:val="left" w:pos="2463"/>
        </w:tabs>
        <w:spacing w:before="3" w:after="0" w:line="494" w:lineRule="auto"/>
        <w:ind w:left="1540" w:right="1656" w:firstLine="561"/>
        <w:jc w:val="left"/>
        <w:rPr>
          <w:sz w:val="24"/>
        </w:rPr>
      </w:pPr>
      <w:r>
        <w:rPr>
          <w:spacing w:val="-1"/>
          <w:sz w:val="24"/>
        </w:rPr>
        <w:t>建立健全公司应急救援装备材料库，储备水泵、水管、灭火器、水泥、</w:t>
      </w:r>
      <w:r>
        <w:rPr>
          <w:sz w:val="24"/>
        </w:rPr>
        <w:t>砂袋等必需救灾装备及物资。</w:t>
      </w:r>
    </w:p>
    <w:p>
      <w:pPr>
        <w:pStyle w:val="19"/>
        <w:numPr>
          <w:ilvl w:val="2"/>
          <w:numId w:val="72"/>
        </w:numPr>
        <w:tabs>
          <w:tab w:val="left" w:pos="2467"/>
        </w:tabs>
        <w:spacing w:before="0" w:after="0" w:line="496" w:lineRule="auto"/>
        <w:ind w:left="1540" w:right="1721" w:firstLine="561"/>
        <w:jc w:val="left"/>
        <w:rPr>
          <w:sz w:val="24"/>
        </w:rPr>
      </w:pPr>
      <w:r>
        <w:rPr>
          <w:spacing w:val="3"/>
          <w:sz w:val="24"/>
        </w:rPr>
        <w:t>物资供应部门与生产公司家建立良好的合作伙伴关系，保证应急救援时，急需的装备能及时购买到货。</w:t>
      </w:r>
    </w:p>
    <w:p>
      <w:pPr>
        <w:pStyle w:val="5"/>
        <w:numPr>
          <w:ilvl w:val="1"/>
          <w:numId w:val="72"/>
        </w:numPr>
        <w:bidi w:val="0"/>
      </w:pPr>
      <w:bookmarkStart w:id="245" w:name="_bookmark72"/>
      <w:bookmarkEnd w:id="245"/>
      <w:bookmarkStart w:id="246" w:name="13.4 经费保障 "/>
      <w:bookmarkEnd w:id="246"/>
      <w:bookmarkStart w:id="247" w:name="_bookmark72"/>
      <w:bookmarkEnd w:id="247"/>
      <w:r>
        <w:t>经费保障</w:t>
      </w:r>
    </w:p>
    <w:p>
      <w:pPr>
        <w:pStyle w:val="7"/>
        <w:spacing w:before="164" w:line="496" w:lineRule="auto"/>
        <w:ind w:left="1540" w:right="1721" w:firstLine="561"/>
      </w:pPr>
      <w:r>
        <w:t>财务科为公司应急救援工作提供物质、资金保障。经费从安全费用中划拨一部分作为应急救援经费，保证专款专用，并能随时取出。</w:t>
      </w:r>
    </w:p>
    <w:p>
      <w:pPr>
        <w:pStyle w:val="5"/>
        <w:numPr>
          <w:ilvl w:val="1"/>
          <w:numId w:val="72"/>
        </w:numPr>
        <w:bidi w:val="0"/>
      </w:pPr>
      <w:bookmarkStart w:id="248" w:name="_bookmark73"/>
      <w:bookmarkEnd w:id="248"/>
      <w:bookmarkStart w:id="249" w:name="_bookmark73"/>
      <w:bookmarkEnd w:id="249"/>
      <w:bookmarkStart w:id="250" w:name="13.5 其他保障 "/>
      <w:bookmarkEnd w:id="250"/>
      <w:r>
        <w:t>其他保障</w:t>
      </w:r>
    </w:p>
    <w:p>
      <w:pPr>
        <w:pStyle w:val="19"/>
        <w:numPr>
          <w:ilvl w:val="2"/>
          <w:numId w:val="73"/>
        </w:numPr>
        <w:tabs>
          <w:tab w:val="left" w:pos="2668"/>
        </w:tabs>
        <w:spacing w:before="28" w:after="0" w:line="240" w:lineRule="auto"/>
        <w:ind w:left="2668" w:right="0" w:hanging="1128"/>
        <w:jc w:val="left"/>
        <w:rPr>
          <w:b/>
          <w:sz w:val="32"/>
        </w:rPr>
      </w:pPr>
      <w:r>
        <w:rPr>
          <w:b/>
          <w:sz w:val="32"/>
        </w:rPr>
        <w:t>交通运输保障</w:t>
      </w:r>
    </w:p>
    <w:p>
      <w:pPr>
        <w:pStyle w:val="7"/>
        <w:spacing w:before="167"/>
        <w:ind w:left="2101"/>
      </w:pPr>
      <w:r>
        <w:t>公司内各单位必须保证运送人员和救援物资的运输车辆的应急使用。</w:t>
      </w:r>
    </w:p>
    <w:p>
      <w:pPr>
        <w:pStyle w:val="7"/>
        <w:spacing w:before="6"/>
        <w:rPr>
          <w:sz w:val="25"/>
        </w:rPr>
      </w:pPr>
    </w:p>
    <w:p>
      <w:pPr>
        <w:pStyle w:val="7"/>
        <w:ind w:right="1721"/>
        <w:jc w:val="right"/>
      </w:pPr>
      <w:r>
        <w:t>事故救援和医疗救护车辆配备专用报警设施，发生特别重大事故后，请地</w:t>
      </w:r>
    </w:p>
    <w:p>
      <w:pPr>
        <w:pStyle w:val="7"/>
        <w:spacing w:before="6" w:line="630" w:lineRule="atLeast"/>
        <w:ind w:left="1540" w:right="1721"/>
      </w:pPr>
      <w:r>
        <w:rPr>
          <w:spacing w:val="-6"/>
        </w:rPr>
        <w:t>方政府及时协调对事故现场进行交通管制，开设应急救援特别通道，在保证安全</w:t>
      </w:r>
      <w:r>
        <w:t>的前提下，不受交通信号的限制，最大限度地赢得抢险救灾时间。</w:t>
      </w:r>
    </w:p>
    <w:p>
      <w:pPr>
        <w:pStyle w:val="19"/>
        <w:numPr>
          <w:ilvl w:val="2"/>
          <w:numId w:val="73"/>
        </w:numPr>
        <w:tabs>
          <w:tab w:val="left" w:pos="2668"/>
        </w:tabs>
        <w:spacing w:before="195" w:after="0" w:line="240" w:lineRule="auto"/>
        <w:ind w:left="2668" w:right="0" w:hanging="1128"/>
        <w:jc w:val="left"/>
        <w:rPr>
          <w:b/>
          <w:sz w:val="32"/>
        </w:rPr>
      </w:pPr>
      <w:r>
        <w:rPr>
          <w:b/>
          <w:sz w:val="32"/>
        </w:rPr>
        <w:t>救援医疗保障</w:t>
      </w:r>
    </w:p>
    <w:p>
      <w:pPr>
        <w:pStyle w:val="7"/>
        <w:spacing w:before="166" w:line="494" w:lineRule="auto"/>
        <w:ind w:left="2101" w:right="1721"/>
      </w:pPr>
      <w:r>
        <w:t>公司与临近医院达成协议，医院为事故提供医疗救护方面的技术支持。 公司发生事故时，医院负责在第一黄金时间抢救、急救遇险人员，并为公</w:t>
      </w:r>
    </w:p>
    <w:p>
      <w:pPr>
        <w:pStyle w:val="7"/>
        <w:spacing w:before="1"/>
        <w:ind w:left="1540"/>
      </w:pPr>
      <w:r>
        <w:t>司相关人员做好医护检查。</w:t>
      </w:r>
    </w:p>
    <w:p>
      <w:pPr>
        <w:pStyle w:val="19"/>
        <w:numPr>
          <w:ilvl w:val="2"/>
          <w:numId w:val="73"/>
        </w:numPr>
        <w:tabs>
          <w:tab w:val="left" w:pos="2668"/>
        </w:tabs>
        <w:spacing w:before="191" w:after="0" w:line="240" w:lineRule="auto"/>
        <w:ind w:left="2668" w:right="0" w:hanging="1128"/>
        <w:jc w:val="left"/>
        <w:rPr>
          <w:b/>
          <w:sz w:val="32"/>
        </w:rPr>
      </w:pPr>
      <w:r>
        <w:rPr>
          <w:b/>
          <w:sz w:val="32"/>
        </w:rPr>
        <w:t>治安保障</w:t>
      </w:r>
    </w:p>
    <w:p>
      <w:pPr>
        <w:pStyle w:val="7"/>
        <w:spacing w:before="166"/>
        <w:ind w:right="1721"/>
        <w:jc w:val="right"/>
      </w:pPr>
      <w:r>
        <w:t>发生事故后，由地方公安和公司保卫等人员维护事故现场的社会秩序和道</w:t>
      </w:r>
    </w:p>
    <w:p>
      <w:pPr>
        <w:pStyle w:val="7"/>
        <w:spacing w:before="8"/>
        <w:rPr>
          <w:sz w:val="25"/>
        </w:rPr>
      </w:pPr>
    </w:p>
    <w:p>
      <w:pPr>
        <w:pStyle w:val="7"/>
        <w:spacing w:before="1"/>
        <w:ind w:left="1540"/>
      </w:pPr>
      <w:r>
        <w:t>路交通。 控制无关人员，无关人员不准擅自进入事故现场。</w:t>
      </w:r>
    </w:p>
    <w:p>
      <w:pPr>
        <w:pStyle w:val="19"/>
        <w:numPr>
          <w:ilvl w:val="2"/>
          <w:numId w:val="73"/>
        </w:numPr>
        <w:tabs>
          <w:tab w:val="left" w:pos="2668"/>
        </w:tabs>
        <w:spacing w:before="188" w:after="0" w:line="240" w:lineRule="auto"/>
        <w:ind w:left="2668" w:right="0" w:hanging="1128"/>
        <w:jc w:val="left"/>
        <w:rPr>
          <w:b/>
          <w:sz w:val="32"/>
        </w:rPr>
      </w:pPr>
      <w:r>
        <w:rPr>
          <w:b/>
          <w:sz w:val="32"/>
        </w:rPr>
        <w:t>社会动员保障</w:t>
      </w:r>
    </w:p>
    <w:p>
      <w:pPr>
        <w:spacing w:after="0" w:line="240" w:lineRule="auto"/>
        <w:jc w:val="left"/>
        <w:rPr>
          <w:b/>
          <w:sz w:val="8"/>
        </w:rPr>
      </w:pPr>
    </w:p>
    <w:p>
      <w:pPr>
        <w:pStyle w:val="7"/>
        <w:spacing w:before="66" w:line="494" w:lineRule="auto"/>
        <w:ind w:left="1540" w:right="1721" w:firstLine="561"/>
      </w:pPr>
      <w:r>
        <w:t>发生事故后，及时向当地政府部门汇报，由当地政府组织最近居民提供社</w:t>
      </w:r>
      <w:r>
        <w:rPr>
          <w:spacing w:val="-11"/>
        </w:rPr>
        <w:t>会救助，并积极扩大救助范围，向当地县政府反映情况，面向全县乃至全市发动</w:t>
      </w:r>
    </w:p>
    <w:p>
      <w:pPr>
        <w:pStyle w:val="7"/>
        <w:spacing w:before="3"/>
        <w:ind w:left="1540"/>
      </w:pPr>
      <w:r>
        <w:t>社会救助力量。</w:t>
      </w:r>
    </w:p>
    <w:p>
      <w:pPr>
        <w:pStyle w:val="19"/>
        <w:numPr>
          <w:ilvl w:val="2"/>
          <w:numId w:val="73"/>
        </w:numPr>
        <w:tabs>
          <w:tab w:val="left" w:pos="2668"/>
        </w:tabs>
        <w:spacing w:before="189" w:after="0" w:line="240" w:lineRule="auto"/>
        <w:ind w:left="2668" w:right="0" w:hanging="1128"/>
        <w:jc w:val="left"/>
        <w:rPr>
          <w:b/>
          <w:sz w:val="32"/>
        </w:rPr>
      </w:pPr>
      <w:r>
        <w:rPr>
          <w:b/>
          <w:sz w:val="32"/>
        </w:rPr>
        <w:t>工程抢险保障</w:t>
      </w:r>
    </w:p>
    <w:p>
      <w:pPr>
        <w:pStyle w:val="7"/>
        <w:spacing w:before="166"/>
        <w:ind w:left="2101"/>
      </w:pPr>
      <w:r>
        <w:t>发生事故后，除了公司内部工程车辆抢险外，积极向当地消防部门，大型</w:t>
      </w:r>
    </w:p>
    <w:p>
      <w:pPr>
        <w:pStyle w:val="7"/>
        <w:spacing w:before="8"/>
        <w:rPr>
          <w:sz w:val="25"/>
        </w:rPr>
      </w:pPr>
    </w:p>
    <w:p>
      <w:pPr>
        <w:pStyle w:val="7"/>
        <w:spacing w:before="1"/>
        <w:ind w:left="1540"/>
      </w:pPr>
      <w:r>
        <w:t>建筑施工单位等借助工程机械设备进行工程抢险。</w:t>
      </w:r>
    </w:p>
    <w:p>
      <w:pPr>
        <w:pStyle w:val="19"/>
        <w:numPr>
          <w:ilvl w:val="2"/>
          <w:numId w:val="73"/>
        </w:numPr>
        <w:tabs>
          <w:tab w:val="left" w:pos="2668"/>
        </w:tabs>
        <w:spacing w:before="190" w:after="0" w:line="240" w:lineRule="auto"/>
        <w:ind w:left="2668" w:right="0" w:hanging="1128"/>
        <w:jc w:val="left"/>
        <w:rPr>
          <w:b/>
          <w:sz w:val="32"/>
        </w:rPr>
      </w:pPr>
      <w:r>
        <w:rPr>
          <w:b/>
          <w:sz w:val="32"/>
        </w:rPr>
        <w:t>技术支持</w:t>
      </w:r>
    </w:p>
    <w:p>
      <w:pPr>
        <w:pStyle w:val="7"/>
        <w:spacing w:before="165"/>
        <w:ind w:left="2101"/>
      </w:pPr>
      <w:r>
        <w:t>公司成立应急救援技术组，为事故处理提供技术支持。</w:t>
      </w:r>
    </w:p>
    <w:p>
      <w:pPr>
        <w:pStyle w:val="7"/>
        <w:spacing w:before="8"/>
        <w:rPr>
          <w:sz w:val="25"/>
        </w:rPr>
      </w:pPr>
    </w:p>
    <w:p>
      <w:pPr>
        <w:pStyle w:val="19"/>
        <w:numPr>
          <w:ilvl w:val="3"/>
          <w:numId w:val="73"/>
        </w:numPr>
        <w:tabs>
          <w:tab w:val="left" w:pos="2463"/>
        </w:tabs>
        <w:spacing w:before="0" w:after="0" w:line="494" w:lineRule="auto"/>
        <w:ind w:left="1540" w:right="1721" w:firstLine="561"/>
        <w:jc w:val="both"/>
        <w:rPr>
          <w:sz w:val="24"/>
        </w:rPr>
      </w:pPr>
      <w:r>
        <w:rPr>
          <w:spacing w:val="-6"/>
          <w:sz w:val="24"/>
        </w:rPr>
        <w:t>对事故发生第一时间反应，在实施具体救援工作同时，联系其他救援组</w:t>
      </w:r>
      <w:r>
        <w:rPr>
          <w:sz w:val="24"/>
        </w:rPr>
        <w:t>织。(2)第一时间采用当地资源，组织自救。(3)第一时间组织人员避险。(4)</w:t>
      </w:r>
      <w:r>
        <w:rPr>
          <w:spacing w:val="-15"/>
          <w:sz w:val="24"/>
        </w:rPr>
        <w:t>对</w:t>
      </w:r>
      <w:r>
        <w:rPr>
          <w:sz w:val="24"/>
        </w:rPr>
        <w:t>最容易救助的对象优先救助。</w:t>
      </w:r>
    </w:p>
    <w:p>
      <w:pPr>
        <w:spacing w:after="0" w:line="494" w:lineRule="auto"/>
        <w:jc w:val="both"/>
        <w:rPr>
          <w:sz w:val="24"/>
        </w:rPr>
        <w:sectPr>
          <w:pgSz w:w="11900" w:h="16840"/>
          <w:pgMar w:top="1420" w:right="80" w:bottom="1200" w:left="260" w:header="882" w:footer="1004" w:gutter="0"/>
          <w:cols w:space="720" w:num="1"/>
        </w:sectPr>
      </w:pPr>
    </w:p>
    <w:p>
      <w:pPr>
        <w:pStyle w:val="4"/>
        <w:tabs>
          <w:tab w:val="left" w:pos="2159"/>
        </w:tabs>
      </w:pPr>
      <w:bookmarkStart w:id="251" w:name="_bookmark74"/>
      <w:bookmarkEnd w:id="251"/>
      <w:bookmarkStart w:id="252" w:name="第十四章 应急培训及演练"/>
      <w:bookmarkEnd w:id="252"/>
      <w:r>
        <w:t>第十四章</w:t>
      </w:r>
      <w:r>
        <w:tab/>
      </w:r>
      <w:r>
        <w:t>应急培训及演练</w:t>
      </w:r>
    </w:p>
    <w:p>
      <w:pPr>
        <w:pStyle w:val="7"/>
        <w:spacing w:before="1"/>
        <w:rPr>
          <w:sz w:val="34"/>
        </w:rPr>
      </w:pPr>
    </w:p>
    <w:p>
      <w:pPr>
        <w:pStyle w:val="5"/>
        <w:numPr>
          <w:ilvl w:val="1"/>
          <w:numId w:val="74"/>
        </w:numPr>
        <w:bidi w:val="0"/>
      </w:pPr>
      <w:bookmarkStart w:id="253" w:name="_bookmark75"/>
      <w:bookmarkEnd w:id="253"/>
      <w:bookmarkStart w:id="254" w:name="_bookmark75"/>
      <w:bookmarkEnd w:id="254"/>
      <w:bookmarkStart w:id="255" w:name="14.1 培训 "/>
      <w:bookmarkEnd w:id="255"/>
      <w:r>
        <w:t>培训</w:t>
      </w:r>
    </w:p>
    <w:p>
      <w:pPr>
        <w:pStyle w:val="7"/>
        <w:spacing w:before="166" w:line="494" w:lineRule="auto"/>
        <w:ind w:left="1540" w:right="1721" w:firstLine="561"/>
      </w:pPr>
      <w:r>
        <w:t>公司每年组织对应急指挥部成员及行动关键人员进行培训，主要目的是明确各自职责。培训主要通过举办培训班和分专业等方式。</w:t>
      </w:r>
    </w:p>
    <w:p>
      <w:pPr>
        <w:pStyle w:val="19"/>
        <w:numPr>
          <w:ilvl w:val="2"/>
          <w:numId w:val="74"/>
        </w:numPr>
        <w:tabs>
          <w:tab w:val="left" w:pos="2463"/>
        </w:tabs>
        <w:spacing w:before="0" w:after="0" w:line="496" w:lineRule="auto"/>
        <w:ind w:left="1540" w:right="1721" w:firstLine="561"/>
        <w:jc w:val="left"/>
        <w:rPr>
          <w:sz w:val="24"/>
        </w:rPr>
      </w:pPr>
      <w:r>
        <w:rPr>
          <w:spacing w:val="-5"/>
          <w:sz w:val="24"/>
        </w:rPr>
        <w:t>培训主要针对指挥中心应急管理人员，进行报警、疏散、营救、个人防</w:t>
      </w:r>
      <w:r>
        <w:rPr>
          <w:sz w:val="24"/>
        </w:rPr>
        <w:t>护、危险识别、事故评价、减灾措施等内容的培训。</w:t>
      </w:r>
    </w:p>
    <w:p>
      <w:pPr>
        <w:pStyle w:val="19"/>
        <w:numPr>
          <w:ilvl w:val="2"/>
          <w:numId w:val="74"/>
        </w:numPr>
        <w:tabs>
          <w:tab w:val="left" w:pos="2463"/>
        </w:tabs>
        <w:spacing w:before="0" w:after="0" w:line="494" w:lineRule="auto"/>
        <w:ind w:left="1540" w:right="1721" w:firstLine="561"/>
        <w:jc w:val="left"/>
        <w:rPr>
          <w:sz w:val="24"/>
        </w:rPr>
      </w:pPr>
      <w:r>
        <w:rPr>
          <w:spacing w:val="-7"/>
          <w:sz w:val="24"/>
        </w:rPr>
        <w:t>生技处应组织职工进行《安全生产法》和应急预案的培训。进行上岗前</w:t>
      </w:r>
      <w:r>
        <w:rPr>
          <w:sz w:val="24"/>
        </w:rPr>
        <w:t>培训和业务培训，提高工人自救互救能力。</w:t>
      </w:r>
    </w:p>
    <w:p>
      <w:pPr>
        <w:pStyle w:val="19"/>
        <w:numPr>
          <w:ilvl w:val="2"/>
          <w:numId w:val="74"/>
        </w:numPr>
        <w:tabs>
          <w:tab w:val="left" w:pos="2463"/>
        </w:tabs>
        <w:spacing w:before="0" w:after="0" w:line="494" w:lineRule="auto"/>
        <w:ind w:left="1540" w:right="1721" w:firstLine="561"/>
        <w:jc w:val="left"/>
        <w:rPr>
          <w:sz w:val="24"/>
        </w:rPr>
      </w:pPr>
      <w:r>
        <w:rPr>
          <w:spacing w:val="-6"/>
          <w:sz w:val="24"/>
        </w:rPr>
        <w:t>认真贯彻事故隐患排查管理制度，所有工作人员和医护人员要熟悉各种</w:t>
      </w:r>
      <w:r>
        <w:rPr>
          <w:sz w:val="24"/>
        </w:rPr>
        <w:t>事故知识和应急预案，熟悉警报、避灾路线和救灾办法。</w:t>
      </w:r>
    </w:p>
    <w:p>
      <w:pPr>
        <w:pStyle w:val="19"/>
        <w:numPr>
          <w:ilvl w:val="2"/>
          <w:numId w:val="74"/>
        </w:numPr>
        <w:tabs>
          <w:tab w:val="left" w:pos="2463"/>
        </w:tabs>
        <w:spacing w:before="2" w:after="0" w:line="494" w:lineRule="auto"/>
        <w:ind w:left="1540" w:right="1721" w:firstLine="561"/>
        <w:jc w:val="left"/>
        <w:rPr>
          <w:sz w:val="24"/>
        </w:rPr>
      </w:pPr>
      <w:r>
        <w:rPr>
          <w:spacing w:val="-7"/>
          <w:sz w:val="24"/>
        </w:rPr>
        <w:t>组织开展应急宣传教育，提高相关方的应急意识，熟悉各类灾难下的应</w:t>
      </w:r>
      <w:r>
        <w:rPr>
          <w:sz w:val="24"/>
        </w:rPr>
        <w:t>急救援程序及自救互救知识、相关避灾路线等，提高自救和避灾能力。</w:t>
      </w:r>
    </w:p>
    <w:p>
      <w:pPr>
        <w:pStyle w:val="7"/>
        <w:spacing w:line="494" w:lineRule="auto"/>
        <w:ind w:left="1540" w:right="1718" w:firstLine="561"/>
        <w:jc w:val="both"/>
      </w:pPr>
      <w:r>
        <w:t>安全管理部门、办公室应组织编制各类专业应急人员、企业员工的年度培</w:t>
      </w:r>
      <w:r>
        <w:rPr>
          <w:spacing w:val="-17"/>
        </w:rPr>
        <w:t>训计划，并组织实施。同时对应急培训进行总结。内容应包括：</w:t>
      </w:r>
      <w:r>
        <w:rPr>
          <w:spacing w:val="-35"/>
        </w:rPr>
        <w:t>1</w:t>
      </w:r>
      <w:r>
        <w:rPr>
          <w:spacing w:val="-7"/>
        </w:rPr>
        <w:t xml:space="preserve"> 培训时间；</w:t>
      </w:r>
      <w:r>
        <w:rPr>
          <w:spacing w:val="-35"/>
        </w:rPr>
        <w:t>2</w:t>
      </w:r>
      <w:r>
        <w:rPr>
          <w:spacing w:val="-6"/>
        </w:rPr>
        <w:t xml:space="preserve"> 培</w:t>
      </w:r>
      <w:r>
        <w:t>训内容；3 培训师资；4 培训人员；5 培训效果；6 培训考核记录等。</w:t>
      </w:r>
    </w:p>
    <w:p>
      <w:pPr>
        <w:pStyle w:val="5"/>
        <w:numPr>
          <w:ilvl w:val="1"/>
          <w:numId w:val="74"/>
        </w:numPr>
        <w:bidi w:val="0"/>
      </w:pPr>
      <w:bookmarkStart w:id="256" w:name="14.2 演练 "/>
      <w:bookmarkEnd w:id="256"/>
      <w:bookmarkStart w:id="257" w:name="_bookmark76"/>
      <w:bookmarkEnd w:id="257"/>
      <w:bookmarkStart w:id="258" w:name="_bookmark76"/>
      <w:bookmarkEnd w:id="258"/>
      <w:r>
        <w:t>演练</w:t>
      </w:r>
    </w:p>
    <w:p>
      <w:pPr>
        <w:pStyle w:val="19"/>
        <w:numPr>
          <w:ilvl w:val="2"/>
          <w:numId w:val="75"/>
        </w:numPr>
        <w:tabs>
          <w:tab w:val="left" w:pos="2668"/>
        </w:tabs>
        <w:spacing w:before="29" w:after="0" w:line="240" w:lineRule="auto"/>
        <w:ind w:left="2668" w:right="0" w:hanging="1128"/>
        <w:jc w:val="left"/>
        <w:rPr>
          <w:b/>
          <w:sz w:val="32"/>
        </w:rPr>
      </w:pPr>
      <w:r>
        <w:rPr>
          <w:b/>
          <w:sz w:val="32"/>
        </w:rPr>
        <w:t>演练准备</w:t>
      </w:r>
    </w:p>
    <w:p>
      <w:pPr>
        <w:pStyle w:val="7"/>
        <w:spacing w:before="167" w:line="496" w:lineRule="auto"/>
        <w:ind w:left="1540" w:right="1721" w:firstLine="561"/>
      </w:pPr>
      <w:r>
        <w:t>确定演练目标、区域、地点、所用器材、各参战队伍。根据演练范围和目的，确定展示以下演习目标。</w:t>
      </w:r>
    </w:p>
    <w:p>
      <w:pPr>
        <w:spacing w:after="0" w:line="496" w:lineRule="auto"/>
        <w:sectPr>
          <w:footerReference r:id="rId19" w:type="default"/>
          <w:pgSz w:w="11900" w:h="16840"/>
          <w:pgMar w:top="1420" w:right="80" w:bottom="1200" w:left="260" w:header="882" w:footer="1004" w:gutter="0"/>
          <w:pgNumType w:start="100"/>
          <w:cols w:space="720" w:num="1"/>
        </w:sectPr>
      </w:pPr>
    </w:p>
    <w:p>
      <w:pPr>
        <w:spacing w:before="86"/>
        <w:ind w:left="0" w:right="173" w:firstLine="0"/>
        <w:jc w:val="center"/>
        <w:rPr>
          <w:b/>
          <w:sz w:val="21"/>
        </w:rPr>
      </w:pPr>
      <w:r>
        <w:rPr>
          <w:b/>
          <w:sz w:val="21"/>
        </w:rPr>
        <w:t>表14.1-1 应急演练目标</w:t>
      </w:r>
    </w:p>
    <w:p>
      <w:pPr>
        <w:pStyle w:val="7"/>
        <w:spacing w:before="1"/>
        <w:rPr>
          <w:b/>
          <w:sz w:val="6"/>
        </w:rPr>
      </w:pPr>
    </w:p>
    <w:tbl>
      <w:tblPr>
        <w:tblStyle w:val="15"/>
        <w:tblW w:w="0" w:type="auto"/>
        <w:tblInd w:w="142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78"/>
        <w:gridCol w:w="899"/>
        <w:gridCol w:w="2160"/>
        <w:gridCol w:w="487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73" w:hRule="atLeast"/>
        </w:trPr>
        <w:tc>
          <w:tcPr>
            <w:tcW w:w="578" w:type="dxa"/>
            <w:tcBorders>
              <w:left w:val="nil"/>
              <w:bottom w:val="single" w:color="000000" w:sz="4" w:space="0"/>
              <w:right w:val="single" w:color="000000" w:sz="4" w:space="0"/>
            </w:tcBorders>
          </w:tcPr>
          <w:p>
            <w:pPr>
              <w:pStyle w:val="20"/>
              <w:spacing w:before="109"/>
              <w:ind w:left="199"/>
              <w:rPr>
                <w:rFonts w:hint="eastAsia" w:ascii="宋体" w:eastAsia="宋体"/>
                <w:sz w:val="21"/>
              </w:rPr>
            </w:pPr>
            <w:r>
              <w:rPr>
                <w:rFonts w:hint="eastAsia" w:ascii="宋体" w:eastAsia="宋体"/>
                <w:w w:val="99"/>
                <w:sz w:val="21"/>
              </w:rPr>
              <w:t>序</w:t>
            </w:r>
          </w:p>
          <w:p>
            <w:pPr>
              <w:pStyle w:val="20"/>
              <w:spacing w:before="10"/>
              <w:rPr>
                <w:rFonts w:ascii="宋体"/>
                <w:b/>
                <w:sz w:val="16"/>
              </w:rPr>
            </w:pPr>
          </w:p>
          <w:p>
            <w:pPr>
              <w:pStyle w:val="20"/>
              <w:ind w:left="199"/>
              <w:rPr>
                <w:rFonts w:hint="eastAsia" w:ascii="宋体" w:eastAsia="宋体"/>
                <w:sz w:val="21"/>
              </w:rPr>
            </w:pPr>
            <w:r>
              <w:rPr>
                <w:rFonts w:hint="eastAsia" w:ascii="宋体" w:eastAsia="宋体"/>
                <w:w w:val="99"/>
                <w:sz w:val="21"/>
              </w:rPr>
              <w:t>号</w:t>
            </w:r>
          </w:p>
        </w:tc>
        <w:tc>
          <w:tcPr>
            <w:tcW w:w="899" w:type="dxa"/>
            <w:tcBorders>
              <w:left w:val="single" w:color="000000" w:sz="4" w:space="0"/>
              <w:bottom w:val="single" w:color="000000" w:sz="4" w:space="0"/>
              <w:right w:val="single" w:color="000000" w:sz="4" w:space="0"/>
            </w:tcBorders>
          </w:tcPr>
          <w:p>
            <w:pPr>
              <w:pStyle w:val="20"/>
              <w:spacing w:before="5"/>
              <w:rPr>
                <w:rFonts w:ascii="宋体"/>
                <w:b/>
                <w:sz w:val="27"/>
              </w:rPr>
            </w:pPr>
          </w:p>
          <w:p>
            <w:pPr>
              <w:pStyle w:val="20"/>
              <w:ind w:left="247"/>
              <w:rPr>
                <w:rFonts w:hint="eastAsia" w:ascii="宋体" w:eastAsia="宋体"/>
                <w:sz w:val="21"/>
              </w:rPr>
            </w:pPr>
            <w:r>
              <w:rPr>
                <w:rFonts w:hint="eastAsia" w:ascii="宋体" w:eastAsia="宋体"/>
                <w:sz w:val="21"/>
              </w:rPr>
              <w:t>目标</w:t>
            </w:r>
          </w:p>
        </w:tc>
        <w:tc>
          <w:tcPr>
            <w:tcW w:w="2160" w:type="dxa"/>
            <w:tcBorders>
              <w:left w:val="single" w:color="000000" w:sz="4" w:space="0"/>
              <w:bottom w:val="single" w:color="000000" w:sz="4" w:space="0"/>
              <w:right w:val="single" w:color="000000" w:sz="4" w:space="0"/>
            </w:tcBorders>
          </w:tcPr>
          <w:p>
            <w:pPr>
              <w:pStyle w:val="20"/>
              <w:spacing w:before="5"/>
              <w:rPr>
                <w:rFonts w:ascii="宋体"/>
                <w:b/>
                <w:sz w:val="27"/>
              </w:rPr>
            </w:pPr>
          </w:p>
          <w:p>
            <w:pPr>
              <w:pStyle w:val="20"/>
              <w:ind w:left="668"/>
              <w:rPr>
                <w:rFonts w:hint="eastAsia" w:ascii="宋体" w:eastAsia="宋体"/>
                <w:sz w:val="21"/>
              </w:rPr>
            </w:pPr>
            <w:r>
              <w:rPr>
                <w:rFonts w:hint="eastAsia" w:ascii="宋体" w:eastAsia="宋体"/>
                <w:sz w:val="21"/>
              </w:rPr>
              <w:t>展示内容</w:t>
            </w:r>
          </w:p>
        </w:tc>
        <w:tc>
          <w:tcPr>
            <w:tcW w:w="4876" w:type="dxa"/>
            <w:tcBorders>
              <w:left w:val="single" w:color="000000" w:sz="4" w:space="0"/>
              <w:bottom w:val="single" w:color="000000" w:sz="4" w:space="0"/>
              <w:right w:val="nil"/>
            </w:tcBorders>
          </w:tcPr>
          <w:p>
            <w:pPr>
              <w:pStyle w:val="20"/>
              <w:spacing w:before="5"/>
              <w:rPr>
                <w:rFonts w:ascii="宋体"/>
                <w:b/>
                <w:sz w:val="27"/>
              </w:rPr>
            </w:pPr>
          </w:p>
          <w:p>
            <w:pPr>
              <w:pStyle w:val="20"/>
              <w:ind w:left="2005" w:right="1985"/>
              <w:jc w:val="center"/>
              <w:rPr>
                <w:rFonts w:hint="eastAsia" w:ascii="宋体" w:eastAsia="宋体"/>
                <w:sz w:val="21"/>
              </w:rPr>
            </w:pPr>
            <w:r>
              <w:rPr>
                <w:rFonts w:hint="eastAsia" w:ascii="宋体" w:eastAsia="宋体"/>
                <w:sz w:val="21"/>
              </w:rPr>
              <w:t>目标要求</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946" w:hRule="atLeast"/>
        </w:trPr>
        <w:tc>
          <w:tcPr>
            <w:tcW w:w="578" w:type="dxa"/>
            <w:tcBorders>
              <w:top w:val="single" w:color="000000" w:sz="4" w:space="0"/>
              <w:left w:val="nil"/>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spacing w:before="3"/>
              <w:rPr>
                <w:rFonts w:ascii="宋体"/>
                <w:b/>
                <w:sz w:val="25"/>
              </w:rPr>
            </w:pPr>
          </w:p>
          <w:p>
            <w:pPr>
              <w:pStyle w:val="20"/>
              <w:spacing w:before="1"/>
              <w:ind w:right="216"/>
              <w:jc w:val="right"/>
              <w:rPr>
                <w:rFonts w:ascii="宋体"/>
                <w:sz w:val="21"/>
              </w:rPr>
            </w:pPr>
            <w:r>
              <w:rPr>
                <w:rFonts w:ascii="宋体"/>
                <w:w w:val="99"/>
                <w:sz w:val="21"/>
              </w:rPr>
              <w:t>1</w:t>
            </w:r>
          </w:p>
        </w:tc>
        <w:tc>
          <w:tcPr>
            <w:tcW w:w="899" w:type="dxa"/>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spacing w:before="2"/>
              <w:rPr>
                <w:rFonts w:ascii="宋体"/>
                <w:b/>
                <w:sz w:val="26"/>
              </w:rPr>
            </w:pPr>
          </w:p>
          <w:p>
            <w:pPr>
              <w:pStyle w:val="20"/>
              <w:spacing w:line="434" w:lineRule="auto"/>
              <w:ind w:left="353" w:right="113" w:hanging="209"/>
              <w:rPr>
                <w:rFonts w:hint="eastAsia" w:ascii="宋体" w:eastAsia="宋体"/>
                <w:sz w:val="21"/>
              </w:rPr>
            </w:pPr>
            <w:r>
              <w:rPr>
                <w:rFonts w:hint="eastAsia" w:ascii="宋体" w:eastAsia="宋体"/>
                <w:sz w:val="21"/>
              </w:rPr>
              <w:t>应急动员</w:t>
            </w:r>
          </w:p>
        </w:tc>
        <w:tc>
          <w:tcPr>
            <w:tcW w:w="2160" w:type="dxa"/>
            <w:tcBorders>
              <w:top w:val="single" w:color="000000" w:sz="4" w:space="0"/>
              <w:left w:val="single" w:color="000000" w:sz="4" w:space="0"/>
              <w:bottom w:val="single" w:color="000000" w:sz="4" w:space="0"/>
              <w:right w:val="single" w:color="000000" w:sz="4" w:space="0"/>
            </w:tcBorders>
          </w:tcPr>
          <w:p>
            <w:pPr>
              <w:pStyle w:val="20"/>
              <w:spacing w:before="3"/>
              <w:rPr>
                <w:rFonts w:ascii="宋体"/>
                <w:b/>
                <w:sz w:val="27"/>
              </w:rPr>
            </w:pPr>
          </w:p>
          <w:p>
            <w:pPr>
              <w:pStyle w:val="20"/>
              <w:spacing w:line="434" w:lineRule="auto"/>
              <w:ind w:left="116" w:right="142"/>
              <w:jc w:val="both"/>
              <w:rPr>
                <w:rFonts w:hint="eastAsia" w:ascii="宋体" w:eastAsia="宋体"/>
                <w:sz w:val="21"/>
              </w:rPr>
            </w:pPr>
            <w:r>
              <w:rPr>
                <w:rFonts w:hint="eastAsia" w:ascii="宋体" w:eastAsia="宋体"/>
                <w:sz w:val="21"/>
              </w:rPr>
              <w:t>展示通知应急组织， 动员应急响应人员的能力</w:t>
            </w:r>
          </w:p>
        </w:tc>
        <w:tc>
          <w:tcPr>
            <w:tcW w:w="4876" w:type="dxa"/>
            <w:tcBorders>
              <w:top w:val="single" w:color="000000" w:sz="4" w:space="0"/>
              <w:left w:val="single" w:color="000000" w:sz="4" w:space="0"/>
              <w:bottom w:val="single" w:color="000000" w:sz="4" w:space="0"/>
              <w:right w:val="nil"/>
            </w:tcBorders>
          </w:tcPr>
          <w:p>
            <w:pPr>
              <w:pStyle w:val="20"/>
              <w:spacing w:before="107" w:line="434" w:lineRule="auto"/>
              <w:ind w:left="116" w:right="94"/>
              <w:jc w:val="both"/>
              <w:rPr>
                <w:rFonts w:hint="eastAsia" w:ascii="宋体" w:eastAsia="宋体"/>
                <w:sz w:val="21"/>
              </w:rPr>
            </w:pPr>
            <w:r>
              <w:rPr>
                <w:rFonts w:hint="eastAsia" w:ascii="宋体" w:eastAsia="宋体"/>
                <w:sz w:val="21"/>
              </w:rPr>
              <w:t xml:space="preserve">责任方采取系列举措，向应急响应人员发出警报， </w:t>
            </w:r>
            <w:r>
              <w:rPr>
                <w:rFonts w:hint="eastAsia" w:ascii="宋体" w:eastAsia="宋体"/>
                <w:spacing w:val="-4"/>
                <w:sz w:val="21"/>
              </w:rPr>
              <w:t>通知或动员有关应急响应人员各就各位； 及时启动应急指挥中心和其他应急支持设施，使相关应急设</w:t>
            </w:r>
          </w:p>
          <w:p>
            <w:pPr>
              <w:pStyle w:val="20"/>
              <w:spacing w:line="267" w:lineRule="exact"/>
              <w:ind w:left="116"/>
              <w:rPr>
                <w:rFonts w:hint="eastAsia" w:ascii="宋体" w:eastAsia="宋体"/>
                <w:sz w:val="21"/>
              </w:rPr>
            </w:pPr>
            <w:r>
              <w:rPr>
                <w:rFonts w:hint="eastAsia" w:ascii="宋体" w:eastAsia="宋体"/>
                <w:sz w:val="21"/>
              </w:rPr>
              <w:t>施从正常运转状态进入紧急运转状态</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945" w:hRule="atLeast"/>
        </w:trPr>
        <w:tc>
          <w:tcPr>
            <w:tcW w:w="578" w:type="dxa"/>
            <w:tcBorders>
              <w:top w:val="single" w:color="000000" w:sz="4" w:space="0"/>
              <w:left w:val="nil"/>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spacing w:before="3"/>
              <w:rPr>
                <w:rFonts w:ascii="宋体"/>
                <w:b/>
                <w:sz w:val="25"/>
              </w:rPr>
            </w:pPr>
          </w:p>
          <w:p>
            <w:pPr>
              <w:pStyle w:val="20"/>
              <w:spacing w:before="1"/>
              <w:ind w:right="216"/>
              <w:jc w:val="right"/>
              <w:rPr>
                <w:rFonts w:ascii="宋体"/>
                <w:sz w:val="21"/>
              </w:rPr>
            </w:pPr>
            <w:r>
              <w:rPr>
                <w:rFonts w:ascii="宋体"/>
                <w:w w:val="99"/>
                <w:sz w:val="21"/>
              </w:rPr>
              <w:t>2</w:t>
            </w:r>
          </w:p>
        </w:tc>
        <w:tc>
          <w:tcPr>
            <w:tcW w:w="899" w:type="dxa"/>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spacing w:before="2"/>
              <w:rPr>
                <w:rFonts w:ascii="宋体"/>
                <w:b/>
                <w:sz w:val="26"/>
              </w:rPr>
            </w:pPr>
          </w:p>
          <w:p>
            <w:pPr>
              <w:pStyle w:val="20"/>
              <w:spacing w:line="434" w:lineRule="auto"/>
              <w:ind w:left="247" w:right="113" w:hanging="104"/>
              <w:rPr>
                <w:rFonts w:hint="eastAsia" w:ascii="宋体" w:eastAsia="宋体"/>
                <w:sz w:val="21"/>
              </w:rPr>
            </w:pPr>
            <w:r>
              <w:rPr>
                <w:rFonts w:hint="eastAsia" w:ascii="宋体" w:eastAsia="宋体"/>
                <w:sz w:val="21"/>
              </w:rPr>
              <w:t>指挥和控制</w:t>
            </w:r>
          </w:p>
        </w:tc>
        <w:tc>
          <w:tcPr>
            <w:tcW w:w="2160" w:type="dxa"/>
            <w:tcBorders>
              <w:top w:val="single" w:color="000000" w:sz="4" w:space="0"/>
              <w:left w:val="single" w:color="000000" w:sz="4" w:space="0"/>
              <w:bottom w:val="single" w:color="000000" w:sz="4" w:space="0"/>
              <w:right w:val="single" w:color="000000" w:sz="4" w:space="0"/>
            </w:tcBorders>
          </w:tcPr>
          <w:p>
            <w:pPr>
              <w:pStyle w:val="20"/>
              <w:spacing w:before="3"/>
              <w:rPr>
                <w:rFonts w:ascii="宋体"/>
                <w:b/>
                <w:sz w:val="27"/>
              </w:rPr>
            </w:pPr>
          </w:p>
          <w:p>
            <w:pPr>
              <w:pStyle w:val="20"/>
              <w:spacing w:line="434" w:lineRule="auto"/>
              <w:ind w:left="116" w:right="142"/>
              <w:jc w:val="both"/>
              <w:rPr>
                <w:rFonts w:hint="eastAsia" w:ascii="宋体" w:eastAsia="宋体"/>
                <w:sz w:val="21"/>
              </w:rPr>
            </w:pPr>
            <w:r>
              <w:rPr>
                <w:rFonts w:hint="eastAsia" w:ascii="宋体" w:eastAsia="宋体"/>
                <w:sz w:val="21"/>
              </w:rPr>
              <w:t>展示指挥、协调和控制应急响应活动的能力</w:t>
            </w:r>
          </w:p>
        </w:tc>
        <w:tc>
          <w:tcPr>
            <w:tcW w:w="4876" w:type="dxa"/>
            <w:tcBorders>
              <w:top w:val="single" w:color="000000" w:sz="4" w:space="0"/>
              <w:left w:val="single" w:color="000000" w:sz="4" w:space="0"/>
              <w:bottom w:val="single" w:color="000000" w:sz="4" w:space="0"/>
              <w:right w:val="nil"/>
            </w:tcBorders>
          </w:tcPr>
          <w:p>
            <w:pPr>
              <w:pStyle w:val="20"/>
              <w:spacing w:before="107" w:line="434" w:lineRule="auto"/>
              <w:ind w:left="116" w:right="134"/>
              <w:jc w:val="both"/>
              <w:rPr>
                <w:rFonts w:hint="eastAsia" w:ascii="宋体" w:eastAsia="宋体"/>
                <w:sz w:val="21"/>
              </w:rPr>
            </w:pPr>
            <w:r>
              <w:rPr>
                <w:rFonts w:hint="eastAsia" w:ascii="宋体" w:eastAsia="宋体"/>
                <w:w w:val="95"/>
                <w:sz w:val="21"/>
              </w:rPr>
              <w:t>责任方具备应急过程中控制所有响应行动的能力。 事故现场指挥人员和应急组织、行动小组负责人都 应按应急预案要求，建立事故指挥体系，展示指挥</w:t>
            </w:r>
          </w:p>
          <w:p>
            <w:pPr>
              <w:pStyle w:val="20"/>
              <w:spacing w:line="267" w:lineRule="exact"/>
              <w:ind w:left="116"/>
              <w:rPr>
                <w:rFonts w:hint="eastAsia" w:ascii="宋体" w:eastAsia="宋体"/>
                <w:sz w:val="21"/>
              </w:rPr>
            </w:pPr>
            <w:r>
              <w:rPr>
                <w:rFonts w:hint="eastAsia" w:ascii="宋体" w:eastAsia="宋体"/>
                <w:sz w:val="21"/>
              </w:rPr>
              <w:t>和控制应急响应行动的能力</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5" w:hRule="atLeast"/>
        </w:trPr>
        <w:tc>
          <w:tcPr>
            <w:tcW w:w="578" w:type="dxa"/>
            <w:tcBorders>
              <w:top w:val="single" w:color="000000" w:sz="4" w:space="0"/>
              <w:left w:val="nil"/>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spacing w:before="3"/>
              <w:rPr>
                <w:rFonts w:ascii="宋体"/>
                <w:b/>
                <w:sz w:val="22"/>
              </w:rPr>
            </w:pPr>
          </w:p>
          <w:p>
            <w:pPr>
              <w:pStyle w:val="20"/>
              <w:ind w:left="122"/>
              <w:rPr>
                <w:rFonts w:ascii="宋体"/>
                <w:sz w:val="21"/>
              </w:rPr>
            </w:pPr>
            <w:r>
              <w:rPr>
                <w:rFonts w:ascii="宋体"/>
                <w:w w:val="99"/>
                <w:sz w:val="21"/>
              </w:rPr>
              <w:t>3</w:t>
            </w:r>
          </w:p>
        </w:tc>
        <w:tc>
          <w:tcPr>
            <w:tcW w:w="899" w:type="dxa"/>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spacing w:before="4"/>
              <w:rPr>
                <w:rFonts w:ascii="宋体"/>
                <w:b/>
                <w:sz w:val="23"/>
              </w:rPr>
            </w:pPr>
          </w:p>
          <w:p>
            <w:pPr>
              <w:pStyle w:val="20"/>
              <w:spacing w:line="432" w:lineRule="auto"/>
              <w:ind w:left="117" w:right="87"/>
              <w:rPr>
                <w:rFonts w:hint="eastAsia" w:ascii="宋体" w:eastAsia="宋体"/>
                <w:sz w:val="21"/>
              </w:rPr>
            </w:pPr>
            <w:r>
              <w:rPr>
                <w:rFonts w:hint="eastAsia" w:ascii="宋体" w:eastAsia="宋体"/>
                <w:sz w:val="21"/>
              </w:rPr>
              <w:t>事态评估</w:t>
            </w:r>
          </w:p>
        </w:tc>
        <w:tc>
          <w:tcPr>
            <w:tcW w:w="2160" w:type="dxa"/>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spacing w:before="2"/>
              <w:rPr>
                <w:rFonts w:ascii="宋体"/>
                <w:b/>
                <w:sz w:val="26"/>
              </w:rPr>
            </w:pPr>
          </w:p>
          <w:p>
            <w:pPr>
              <w:pStyle w:val="20"/>
              <w:spacing w:line="434" w:lineRule="auto"/>
              <w:ind w:left="116" w:right="89"/>
              <w:jc w:val="both"/>
              <w:rPr>
                <w:rFonts w:hint="eastAsia" w:ascii="宋体" w:eastAsia="宋体"/>
                <w:sz w:val="21"/>
              </w:rPr>
            </w:pPr>
            <w:r>
              <w:rPr>
                <w:rFonts w:hint="eastAsia" w:ascii="宋体" w:eastAsia="宋体"/>
                <w:sz w:val="21"/>
              </w:rPr>
              <w:t>展示获取事故信息， 识别事故原因和致害物，判断事故影响范围及其潜在危险的能力</w:t>
            </w:r>
          </w:p>
        </w:tc>
        <w:tc>
          <w:tcPr>
            <w:tcW w:w="4876" w:type="dxa"/>
            <w:tcBorders>
              <w:top w:val="single" w:color="000000" w:sz="4" w:space="0"/>
              <w:left w:val="single" w:color="000000" w:sz="4" w:space="0"/>
              <w:bottom w:val="single" w:color="000000" w:sz="4" w:space="0"/>
              <w:right w:val="nil"/>
            </w:tcBorders>
          </w:tcPr>
          <w:p>
            <w:pPr>
              <w:pStyle w:val="20"/>
              <w:spacing w:before="107" w:line="434" w:lineRule="auto"/>
              <w:ind w:left="116" w:right="-15"/>
              <w:rPr>
                <w:rFonts w:hint="eastAsia" w:ascii="宋体" w:eastAsia="宋体"/>
                <w:sz w:val="21"/>
              </w:rPr>
            </w:pPr>
            <w:r>
              <w:rPr>
                <w:rFonts w:hint="eastAsia" w:ascii="宋体" w:eastAsia="宋体"/>
                <w:sz w:val="21"/>
              </w:rPr>
              <w:t>要求应急组织应具备通过各种方式和渠道，积极收集、获取事故信息，评估、调查人员伤亡和财产损</w:t>
            </w:r>
            <w:r>
              <w:rPr>
                <w:rFonts w:hint="eastAsia" w:ascii="宋体" w:eastAsia="宋体"/>
                <w:spacing w:val="-9"/>
                <w:w w:val="95"/>
                <w:sz w:val="21"/>
              </w:rPr>
              <w:t xml:space="preserve">失、现场危险性以及危险品泄漏等有关情况的能力； </w:t>
            </w:r>
            <w:r>
              <w:rPr>
                <w:rFonts w:hint="eastAsia" w:ascii="宋体" w:eastAsia="宋体"/>
                <w:spacing w:val="-1"/>
                <w:sz w:val="21"/>
              </w:rPr>
              <w:t>具备根据所获信息，判断事故影响范围，以及对公</w:t>
            </w:r>
            <w:r>
              <w:rPr>
                <w:rFonts w:hint="eastAsia" w:ascii="宋体" w:eastAsia="宋体"/>
                <w:sz w:val="21"/>
              </w:rPr>
              <w:t>众和环境的中长期危害的能力；具备确定进一步调</w:t>
            </w:r>
            <w:r>
              <w:rPr>
                <w:rFonts w:hint="eastAsia" w:ascii="宋体" w:eastAsia="宋体"/>
                <w:spacing w:val="-7"/>
                <w:sz w:val="21"/>
              </w:rPr>
              <w:t>查所需资源的能力； 具备及时通知场外应急组织的</w:t>
            </w:r>
          </w:p>
          <w:p>
            <w:pPr>
              <w:pStyle w:val="20"/>
              <w:spacing w:line="265" w:lineRule="exact"/>
              <w:ind w:left="116"/>
              <w:rPr>
                <w:rFonts w:hint="eastAsia" w:ascii="宋体" w:eastAsia="宋体"/>
                <w:sz w:val="21"/>
              </w:rPr>
            </w:pPr>
            <w:r>
              <w:rPr>
                <w:rFonts w:hint="eastAsia" w:ascii="宋体" w:eastAsia="宋体"/>
                <w:sz w:val="21"/>
              </w:rPr>
              <w:t>能力</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59" w:hRule="atLeast"/>
        </w:trPr>
        <w:tc>
          <w:tcPr>
            <w:tcW w:w="578" w:type="dxa"/>
            <w:tcBorders>
              <w:top w:val="single" w:color="000000" w:sz="4" w:space="0"/>
              <w:left w:val="nil"/>
              <w:bottom w:val="single" w:color="000000" w:sz="4" w:space="0"/>
              <w:right w:val="single" w:color="000000" w:sz="4" w:space="0"/>
            </w:tcBorders>
          </w:tcPr>
          <w:p>
            <w:pPr>
              <w:pStyle w:val="20"/>
              <w:rPr>
                <w:rFonts w:ascii="宋体"/>
                <w:b/>
                <w:sz w:val="20"/>
              </w:rPr>
            </w:pPr>
          </w:p>
          <w:p>
            <w:pPr>
              <w:pStyle w:val="20"/>
              <w:spacing w:before="2"/>
              <w:rPr>
                <w:rFonts w:ascii="宋体"/>
                <w:b/>
                <w:sz w:val="26"/>
              </w:rPr>
            </w:pPr>
          </w:p>
          <w:p>
            <w:pPr>
              <w:pStyle w:val="20"/>
              <w:spacing w:before="1"/>
              <w:ind w:left="122"/>
              <w:rPr>
                <w:rFonts w:ascii="宋体"/>
                <w:sz w:val="21"/>
              </w:rPr>
            </w:pPr>
            <w:r>
              <w:rPr>
                <w:rFonts w:ascii="宋体"/>
                <w:w w:val="99"/>
                <w:sz w:val="21"/>
              </w:rPr>
              <w:t>4</w:t>
            </w:r>
          </w:p>
        </w:tc>
        <w:tc>
          <w:tcPr>
            <w:tcW w:w="899" w:type="dxa"/>
            <w:tcBorders>
              <w:top w:val="single" w:color="000000" w:sz="4" w:space="0"/>
              <w:left w:val="single" w:color="000000" w:sz="4" w:space="0"/>
              <w:bottom w:val="single" w:color="000000" w:sz="4" w:space="0"/>
              <w:right w:val="single" w:color="000000" w:sz="4" w:space="0"/>
            </w:tcBorders>
          </w:tcPr>
          <w:p>
            <w:pPr>
              <w:pStyle w:val="20"/>
              <w:spacing w:before="3"/>
              <w:rPr>
                <w:rFonts w:ascii="宋体"/>
                <w:b/>
                <w:sz w:val="27"/>
              </w:rPr>
            </w:pPr>
          </w:p>
          <w:p>
            <w:pPr>
              <w:pStyle w:val="20"/>
              <w:spacing w:before="1" w:line="434" w:lineRule="auto"/>
              <w:ind w:left="117" w:right="87"/>
              <w:rPr>
                <w:rFonts w:hint="eastAsia" w:ascii="宋体" w:eastAsia="宋体"/>
                <w:sz w:val="21"/>
              </w:rPr>
            </w:pPr>
            <w:r>
              <w:rPr>
                <w:rFonts w:hint="eastAsia" w:ascii="宋体" w:eastAsia="宋体"/>
                <w:sz w:val="21"/>
              </w:rPr>
              <w:t>资源管理</w:t>
            </w:r>
          </w:p>
        </w:tc>
        <w:tc>
          <w:tcPr>
            <w:tcW w:w="2160" w:type="dxa"/>
            <w:tcBorders>
              <w:top w:val="single" w:color="000000" w:sz="4" w:space="0"/>
              <w:left w:val="single" w:color="000000" w:sz="4" w:space="0"/>
              <w:bottom w:val="single" w:color="000000" w:sz="4" w:space="0"/>
              <w:right w:val="single" w:color="000000" w:sz="4" w:space="0"/>
            </w:tcBorders>
          </w:tcPr>
          <w:p>
            <w:pPr>
              <w:pStyle w:val="20"/>
              <w:spacing w:before="107" w:line="432" w:lineRule="auto"/>
              <w:ind w:left="116" w:right="89"/>
              <w:rPr>
                <w:rFonts w:hint="eastAsia" w:ascii="宋体" w:eastAsia="宋体"/>
                <w:sz w:val="21"/>
              </w:rPr>
            </w:pPr>
            <w:r>
              <w:rPr>
                <w:rFonts w:hint="eastAsia" w:ascii="宋体" w:eastAsia="宋体"/>
                <w:sz w:val="21"/>
              </w:rPr>
              <w:t>展示动员和管理应急响应行动所需资源的</w:t>
            </w:r>
          </w:p>
          <w:p>
            <w:pPr>
              <w:pStyle w:val="20"/>
              <w:spacing w:before="3"/>
              <w:ind w:left="116"/>
              <w:rPr>
                <w:rFonts w:hint="eastAsia" w:ascii="宋体" w:eastAsia="宋体"/>
                <w:sz w:val="21"/>
              </w:rPr>
            </w:pPr>
            <w:r>
              <w:rPr>
                <w:rFonts w:hint="eastAsia" w:ascii="宋体" w:eastAsia="宋体"/>
                <w:sz w:val="21"/>
              </w:rPr>
              <w:t>能力</w:t>
            </w:r>
          </w:p>
        </w:tc>
        <w:tc>
          <w:tcPr>
            <w:tcW w:w="4876" w:type="dxa"/>
            <w:tcBorders>
              <w:top w:val="single" w:color="000000" w:sz="4" w:space="0"/>
              <w:left w:val="single" w:color="000000" w:sz="4" w:space="0"/>
              <w:bottom w:val="single" w:color="000000" w:sz="4" w:space="0"/>
              <w:right w:val="nil"/>
            </w:tcBorders>
          </w:tcPr>
          <w:p>
            <w:pPr>
              <w:pStyle w:val="20"/>
              <w:spacing w:before="107" w:line="432" w:lineRule="auto"/>
              <w:ind w:left="116" w:right="94"/>
              <w:rPr>
                <w:rFonts w:hint="eastAsia" w:ascii="宋体" w:eastAsia="宋体"/>
                <w:sz w:val="21"/>
              </w:rPr>
            </w:pPr>
            <w:r>
              <w:rPr>
                <w:rFonts w:hint="eastAsia" w:ascii="宋体" w:eastAsia="宋体"/>
                <w:sz w:val="21"/>
              </w:rPr>
              <w:t>要求应急组织具备根据事故评估结果，识别应急资源需求的能力，以及动员和整合内外部应急资源的</w:t>
            </w:r>
          </w:p>
          <w:p>
            <w:pPr>
              <w:pStyle w:val="20"/>
              <w:spacing w:before="3"/>
              <w:ind w:left="116"/>
              <w:rPr>
                <w:rFonts w:hint="eastAsia" w:ascii="宋体" w:eastAsia="宋体"/>
                <w:sz w:val="21"/>
              </w:rPr>
            </w:pPr>
            <w:r>
              <w:rPr>
                <w:rFonts w:hint="eastAsia" w:ascii="宋体" w:eastAsia="宋体"/>
                <w:sz w:val="21"/>
              </w:rPr>
              <w:t>能力</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932" w:hRule="atLeast"/>
        </w:trPr>
        <w:tc>
          <w:tcPr>
            <w:tcW w:w="578" w:type="dxa"/>
            <w:tcBorders>
              <w:top w:val="single" w:color="000000" w:sz="4" w:space="0"/>
              <w:left w:val="nil"/>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spacing w:before="9"/>
              <w:rPr>
                <w:rFonts w:ascii="宋体"/>
                <w:b/>
                <w:sz w:val="24"/>
              </w:rPr>
            </w:pPr>
          </w:p>
          <w:p>
            <w:pPr>
              <w:pStyle w:val="20"/>
              <w:ind w:left="122"/>
              <w:rPr>
                <w:rFonts w:ascii="宋体"/>
                <w:sz w:val="21"/>
              </w:rPr>
            </w:pPr>
            <w:r>
              <w:rPr>
                <w:rFonts w:ascii="宋体"/>
                <w:w w:val="99"/>
                <w:sz w:val="21"/>
              </w:rPr>
              <w:t>5</w:t>
            </w:r>
          </w:p>
        </w:tc>
        <w:tc>
          <w:tcPr>
            <w:tcW w:w="899" w:type="dxa"/>
            <w:tcBorders>
              <w:top w:val="single" w:color="000000" w:sz="4" w:space="0"/>
              <w:left w:val="single" w:color="000000" w:sz="4" w:space="0"/>
              <w:bottom w:val="single" w:color="000000" w:sz="4" w:space="0"/>
              <w:right w:val="single" w:color="000000" w:sz="4" w:space="0"/>
            </w:tcBorders>
          </w:tcPr>
          <w:p>
            <w:pPr>
              <w:pStyle w:val="20"/>
              <w:rPr>
                <w:rFonts w:ascii="宋体"/>
                <w:b/>
                <w:sz w:val="20"/>
              </w:rPr>
            </w:pPr>
          </w:p>
          <w:p>
            <w:pPr>
              <w:pStyle w:val="20"/>
              <w:rPr>
                <w:rFonts w:ascii="宋体"/>
                <w:b/>
                <w:sz w:val="20"/>
              </w:rPr>
            </w:pPr>
          </w:p>
          <w:p>
            <w:pPr>
              <w:pStyle w:val="20"/>
              <w:spacing w:before="9"/>
              <w:rPr>
                <w:rFonts w:ascii="宋体"/>
                <w:b/>
                <w:sz w:val="24"/>
              </w:rPr>
            </w:pPr>
          </w:p>
          <w:p>
            <w:pPr>
              <w:pStyle w:val="20"/>
              <w:ind w:left="117"/>
              <w:rPr>
                <w:rFonts w:hint="eastAsia" w:ascii="宋体" w:eastAsia="宋体"/>
                <w:sz w:val="21"/>
              </w:rPr>
            </w:pPr>
            <w:r>
              <w:rPr>
                <w:rFonts w:hint="eastAsia" w:ascii="宋体" w:eastAsia="宋体"/>
                <w:sz w:val="21"/>
              </w:rPr>
              <w:t>通讯</w:t>
            </w:r>
          </w:p>
        </w:tc>
        <w:tc>
          <w:tcPr>
            <w:tcW w:w="2160" w:type="dxa"/>
            <w:tcBorders>
              <w:top w:val="single" w:color="000000" w:sz="4" w:space="0"/>
              <w:left w:val="single" w:color="000000" w:sz="4" w:space="0"/>
              <w:bottom w:val="single" w:color="000000" w:sz="4" w:space="0"/>
              <w:right w:val="single" w:color="000000" w:sz="4" w:space="0"/>
            </w:tcBorders>
          </w:tcPr>
          <w:p>
            <w:pPr>
              <w:pStyle w:val="20"/>
              <w:spacing w:before="76" w:line="376" w:lineRule="auto"/>
              <w:ind w:left="116" w:right="89"/>
              <w:jc w:val="both"/>
              <w:rPr>
                <w:rFonts w:hint="eastAsia" w:ascii="宋体" w:eastAsia="宋体"/>
                <w:sz w:val="21"/>
              </w:rPr>
            </w:pPr>
            <w:r>
              <w:rPr>
                <w:rFonts w:hint="eastAsia" w:ascii="宋体" w:eastAsia="宋体"/>
                <w:sz w:val="21"/>
              </w:rPr>
              <w:t>展示与所有应急响应地点、应急组织和应急响应人员有效通讯交流的能力</w:t>
            </w:r>
          </w:p>
        </w:tc>
        <w:tc>
          <w:tcPr>
            <w:tcW w:w="4876" w:type="dxa"/>
            <w:tcBorders>
              <w:top w:val="single" w:color="000000" w:sz="4" w:space="0"/>
              <w:left w:val="single" w:color="000000" w:sz="4" w:space="0"/>
              <w:bottom w:val="single" w:color="000000" w:sz="4" w:space="0"/>
              <w:right w:val="nil"/>
            </w:tcBorders>
          </w:tcPr>
          <w:p>
            <w:pPr>
              <w:pStyle w:val="20"/>
              <w:rPr>
                <w:rFonts w:ascii="宋体"/>
                <w:b/>
                <w:sz w:val="20"/>
              </w:rPr>
            </w:pPr>
          </w:p>
          <w:p>
            <w:pPr>
              <w:pStyle w:val="20"/>
              <w:spacing w:before="11"/>
              <w:rPr>
                <w:rFonts w:ascii="宋体"/>
                <w:b/>
                <w:sz w:val="18"/>
              </w:rPr>
            </w:pPr>
          </w:p>
          <w:p>
            <w:pPr>
              <w:pStyle w:val="20"/>
              <w:spacing w:line="379" w:lineRule="auto"/>
              <w:ind w:left="116" w:right="94"/>
              <w:rPr>
                <w:rFonts w:hint="eastAsia" w:ascii="宋体" w:eastAsia="宋体"/>
                <w:sz w:val="21"/>
              </w:rPr>
            </w:pPr>
            <w:r>
              <w:rPr>
                <w:rFonts w:hint="eastAsia" w:ascii="宋体" w:eastAsia="宋体"/>
                <w:sz w:val="21"/>
              </w:rPr>
              <w:t>要求应急组织建立可靠的主通讯系统和备用通讯系统，以使与有关岗位的关键人员保持联系</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06" w:hRule="atLeast"/>
        </w:trPr>
        <w:tc>
          <w:tcPr>
            <w:tcW w:w="578" w:type="dxa"/>
            <w:tcBorders>
              <w:top w:val="single" w:color="000000" w:sz="4" w:space="0"/>
              <w:left w:val="nil"/>
              <w:bottom w:val="single" w:color="000000" w:sz="4" w:space="0"/>
              <w:right w:val="single" w:color="000000" w:sz="4" w:space="0"/>
            </w:tcBorders>
          </w:tcPr>
          <w:p>
            <w:pPr>
              <w:pStyle w:val="20"/>
              <w:rPr>
                <w:rFonts w:ascii="宋体"/>
                <w:b/>
                <w:sz w:val="20"/>
              </w:rPr>
            </w:pPr>
          </w:p>
          <w:p>
            <w:pPr>
              <w:pStyle w:val="20"/>
              <w:spacing w:before="3"/>
              <w:rPr>
                <w:rFonts w:ascii="宋体"/>
                <w:b/>
                <w:sz w:val="28"/>
              </w:rPr>
            </w:pPr>
          </w:p>
          <w:p>
            <w:pPr>
              <w:pStyle w:val="20"/>
              <w:ind w:left="122"/>
              <w:rPr>
                <w:rFonts w:ascii="宋体"/>
                <w:sz w:val="21"/>
              </w:rPr>
            </w:pPr>
            <w:r>
              <w:rPr>
                <w:rFonts w:ascii="宋体"/>
                <w:w w:val="99"/>
                <w:sz w:val="21"/>
              </w:rPr>
              <w:t>6</w:t>
            </w:r>
          </w:p>
        </w:tc>
        <w:tc>
          <w:tcPr>
            <w:tcW w:w="899" w:type="dxa"/>
            <w:tcBorders>
              <w:top w:val="single" w:color="000000" w:sz="4" w:space="0"/>
              <w:left w:val="single" w:color="000000" w:sz="4" w:space="0"/>
              <w:bottom w:val="single" w:color="000000" w:sz="4" w:space="0"/>
              <w:right w:val="single" w:color="000000" w:sz="4" w:space="0"/>
            </w:tcBorders>
          </w:tcPr>
          <w:p>
            <w:pPr>
              <w:pStyle w:val="20"/>
              <w:spacing w:before="4"/>
              <w:rPr>
                <w:rFonts w:ascii="宋体"/>
                <w:b/>
                <w:sz w:val="29"/>
              </w:rPr>
            </w:pPr>
          </w:p>
          <w:p>
            <w:pPr>
              <w:pStyle w:val="20"/>
              <w:spacing w:line="434" w:lineRule="auto"/>
              <w:ind w:left="117" w:right="87"/>
              <w:rPr>
                <w:rFonts w:hint="eastAsia" w:ascii="宋体" w:eastAsia="宋体"/>
                <w:sz w:val="21"/>
              </w:rPr>
            </w:pPr>
            <w:r>
              <w:rPr>
                <w:rFonts w:hint="eastAsia" w:ascii="宋体" w:eastAsia="宋体"/>
                <w:sz w:val="21"/>
              </w:rPr>
              <w:t>应急设施</w:t>
            </w:r>
          </w:p>
        </w:tc>
        <w:tc>
          <w:tcPr>
            <w:tcW w:w="2160" w:type="dxa"/>
            <w:tcBorders>
              <w:top w:val="single" w:color="000000" w:sz="4" w:space="0"/>
              <w:left w:val="single" w:color="000000" w:sz="4" w:space="0"/>
              <w:bottom w:val="single" w:color="000000" w:sz="4" w:space="0"/>
              <w:right w:val="single" w:color="000000" w:sz="4" w:space="0"/>
            </w:tcBorders>
          </w:tcPr>
          <w:p>
            <w:pPr>
              <w:pStyle w:val="20"/>
              <w:spacing w:before="75" w:line="376" w:lineRule="auto"/>
              <w:ind w:left="116" w:right="89"/>
              <w:jc w:val="both"/>
              <w:rPr>
                <w:rFonts w:hint="eastAsia" w:ascii="宋体" w:eastAsia="宋体"/>
                <w:sz w:val="21"/>
              </w:rPr>
            </w:pPr>
            <w:r>
              <w:rPr>
                <w:rFonts w:hint="eastAsia" w:ascii="宋体" w:eastAsia="宋体"/>
                <w:sz w:val="21"/>
              </w:rPr>
              <w:t>展示应急设施、装备及其他应急支持资料的准备情况</w:t>
            </w:r>
          </w:p>
        </w:tc>
        <w:tc>
          <w:tcPr>
            <w:tcW w:w="4876" w:type="dxa"/>
            <w:tcBorders>
              <w:top w:val="single" w:color="000000" w:sz="4" w:space="0"/>
              <w:left w:val="single" w:color="000000" w:sz="4" w:space="0"/>
              <w:bottom w:val="single" w:color="000000" w:sz="4" w:space="0"/>
              <w:right w:val="nil"/>
            </w:tcBorders>
          </w:tcPr>
          <w:p>
            <w:pPr>
              <w:pStyle w:val="20"/>
              <w:spacing w:before="75" w:line="376" w:lineRule="auto"/>
              <w:ind w:left="116" w:right="94"/>
              <w:jc w:val="both"/>
              <w:rPr>
                <w:rFonts w:hint="eastAsia" w:ascii="宋体" w:eastAsia="宋体"/>
                <w:sz w:val="21"/>
              </w:rPr>
            </w:pPr>
            <w:r>
              <w:rPr>
                <w:rFonts w:hint="eastAsia" w:ascii="宋体" w:eastAsia="宋体"/>
                <w:sz w:val="21"/>
              </w:rPr>
              <w:t>要求应急组织具备足够应急设施，且应急设施内装备和应急支持资料的准备与管理状况能满足支持应急响应活动的需要</w:t>
            </w:r>
          </w:p>
        </w:tc>
      </w:tr>
    </w:tbl>
    <w:p>
      <w:pPr>
        <w:spacing w:after="0" w:line="376" w:lineRule="auto"/>
        <w:jc w:val="both"/>
        <w:rPr>
          <w:rFonts w:hint="eastAsia" w:ascii="宋体" w:eastAsia="宋体"/>
          <w:sz w:val="21"/>
        </w:rPr>
        <w:sectPr>
          <w:pgSz w:w="11900" w:h="16840"/>
          <w:pgMar w:top="1420" w:right="80" w:bottom="1200" w:left="260" w:header="882" w:footer="1004" w:gutter="0"/>
          <w:cols w:space="720" w:num="1"/>
        </w:sectPr>
      </w:pPr>
    </w:p>
    <w:tbl>
      <w:tblPr>
        <w:tblStyle w:val="15"/>
        <w:tblW w:w="0" w:type="auto"/>
        <w:tblInd w:w="1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8"/>
        <w:gridCol w:w="899"/>
        <w:gridCol w:w="2160"/>
        <w:gridCol w:w="48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atLeast"/>
        </w:trPr>
        <w:tc>
          <w:tcPr>
            <w:tcW w:w="578" w:type="dxa"/>
            <w:tcBorders>
              <w:left w:val="nil"/>
            </w:tcBorders>
          </w:tcPr>
          <w:p>
            <w:pPr>
              <w:pStyle w:val="20"/>
              <w:rPr>
                <w:rFonts w:ascii="宋体"/>
                <w:b/>
                <w:sz w:val="20"/>
              </w:rPr>
            </w:pPr>
          </w:p>
          <w:p>
            <w:pPr>
              <w:pStyle w:val="20"/>
              <w:spacing w:before="3"/>
              <w:rPr>
                <w:rFonts w:ascii="宋体"/>
                <w:b/>
                <w:sz w:val="28"/>
              </w:rPr>
            </w:pPr>
          </w:p>
          <w:p>
            <w:pPr>
              <w:pStyle w:val="20"/>
              <w:ind w:left="122"/>
              <w:rPr>
                <w:rFonts w:ascii="宋体"/>
                <w:sz w:val="21"/>
              </w:rPr>
            </w:pPr>
            <w:r>
              <w:rPr>
                <w:rFonts w:ascii="宋体"/>
                <w:w w:val="99"/>
                <w:sz w:val="21"/>
              </w:rPr>
              <w:t>7</w:t>
            </w:r>
          </w:p>
        </w:tc>
        <w:tc>
          <w:tcPr>
            <w:tcW w:w="899" w:type="dxa"/>
          </w:tcPr>
          <w:p>
            <w:pPr>
              <w:pStyle w:val="20"/>
              <w:spacing w:before="131"/>
              <w:ind w:left="117"/>
              <w:rPr>
                <w:rFonts w:hint="eastAsia" w:ascii="宋体" w:eastAsia="宋体"/>
                <w:sz w:val="21"/>
              </w:rPr>
            </w:pPr>
            <w:r>
              <w:rPr>
                <w:rFonts w:hint="eastAsia" w:ascii="宋体" w:eastAsia="宋体"/>
                <w:sz w:val="21"/>
              </w:rPr>
              <w:t>警报与</w:t>
            </w:r>
          </w:p>
          <w:p>
            <w:pPr>
              <w:pStyle w:val="20"/>
              <w:spacing w:before="7" w:line="480" w:lineRule="atLeast"/>
              <w:ind w:left="117" w:right="87"/>
              <w:rPr>
                <w:rFonts w:hint="eastAsia" w:ascii="宋体" w:eastAsia="宋体"/>
                <w:sz w:val="21"/>
              </w:rPr>
            </w:pPr>
            <w:r>
              <w:rPr>
                <w:rFonts w:hint="eastAsia" w:ascii="宋体" w:eastAsia="宋体"/>
                <w:sz w:val="21"/>
              </w:rPr>
              <w:t>紧急公告</w:t>
            </w:r>
          </w:p>
        </w:tc>
        <w:tc>
          <w:tcPr>
            <w:tcW w:w="2160" w:type="dxa"/>
          </w:tcPr>
          <w:p>
            <w:pPr>
              <w:pStyle w:val="20"/>
              <w:spacing w:before="76" w:line="376" w:lineRule="auto"/>
              <w:ind w:left="116" w:right="89"/>
              <w:jc w:val="both"/>
              <w:rPr>
                <w:rFonts w:hint="eastAsia" w:ascii="宋体" w:eastAsia="宋体"/>
                <w:sz w:val="21"/>
              </w:rPr>
            </w:pPr>
            <w:r>
              <w:rPr>
                <w:rFonts w:hint="eastAsia" w:ascii="宋体" w:eastAsia="宋体"/>
                <w:sz w:val="21"/>
              </w:rPr>
              <w:t>展示向公众发出警报和宣传保护措施的能力</w:t>
            </w:r>
          </w:p>
        </w:tc>
        <w:tc>
          <w:tcPr>
            <w:tcW w:w="4876" w:type="dxa"/>
            <w:tcBorders>
              <w:right w:val="nil"/>
            </w:tcBorders>
          </w:tcPr>
          <w:p>
            <w:pPr>
              <w:pStyle w:val="20"/>
              <w:spacing w:before="76" w:line="376" w:lineRule="auto"/>
              <w:ind w:left="116" w:right="94"/>
              <w:jc w:val="both"/>
              <w:rPr>
                <w:rFonts w:hint="eastAsia" w:ascii="宋体" w:eastAsia="宋体"/>
                <w:sz w:val="21"/>
              </w:rPr>
            </w:pPr>
            <w:r>
              <w:rPr>
                <w:rFonts w:hint="eastAsia" w:ascii="宋体" w:eastAsia="宋体"/>
                <w:sz w:val="21"/>
              </w:rPr>
              <w:t>要求应急组织具备按照应急预案中的规定，迅速完成向一定区域内公众发布应急防护措施命令和信息的能力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8" w:hRule="atLeast"/>
        </w:trPr>
        <w:tc>
          <w:tcPr>
            <w:tcW w:w="578" w:type="dxa"/>
            <w:tcBorders>
              <w:left w:val="nil"/>
            </w:tcBorders>
          </w:tcPr>
          <w:p>
            <w:pPr>
              <w:pStyle w:val="20"/>
              <w:rPr>
                <w:rFonts w:ascii="宋体"/>
                <w:b/>
                <w:sz w:val="20"/>
              </w:rPr>
            </w:pPr>
          </w:p>
          <w:p>
            <w:pPr>
              <w:pStyle w:val="20"/>
              <w:spacing w:before="4"/>
              <w:rPr>
                <w:rFonts w:ascii="宋体"/>
                <w:b/>
                <w:sz w:val="28"/>
              </w:rPr>
            </w:pPr>
          </w:p>
          <w:p>
            <w:pPr>
              <w:pStyle w:val="20"/>
              <w:ind w:left="122"/>
              <w:rPr>
                <w:rFonts w:ascii="宋体"/>
                <w:sz w:val="21"/>
              </w:rPr>
            </w:pPr>
            <w:r>
              <w:rPr>
                <w:rFonts w:ascii="宋体"/>
                <w:w w:val="99"/>
                <w:sz w:val="21"/>
              </w:rPr>
              <w:t>8</w:t>
            </w:r>
          </w:p>
        </w:tc>
        <w:tc>
          <w:tcPr>
            <w:tcW w:w="899" w:type="dxa"/>
          </w:tcPr>
          <w:p>
            <w:pPr>
              <w:pStyle w:val="20"/>
              <w:spacing w:before="76" w:line="376" w:lineRule="auto"/>
              <w:ind w:left="117" w:right="87"/>
              <w:jc w:val="both"/>
              <w:rPr>
                <w:rFonts w:hint="eastAsia" w:ascii="宋体" w:eastAsia="宋体"/>
                <w:sz w:val="21"/>
              </w:rPr>
            </w:pPr>
            <w:r>
              <w:rPr>
                <w:rFonts w:hint="eastAsia" w:ascii="宋体" w:eastAsia="宋体"/>
                <w:sz w:val="21"/>
              </w:rPr>
              <w:t>应急响应 人员安全</w:t>
            </w:r>
          </w:p>
        </w:tc>
        <w:tc>
          <w:tcPr>
            <w:tcW w:w="2160" w:type="dxa"/>
          </w:tcPr>
          <w:p>
            <w:pPr>
              <w:pStyle w:val="20"/>
              <w:spacing w:before="76" w:line="376" w:lineRule="auto"/>
              <w:ind w:left="116" w:right="87"/>
              <w:jc w:val="both"/>
              <w:rPr>
                <w:rFonts w:hint="eastAsia" w:ascii="宋体" w:eastAsia="宋体"/>
                <w:sz w:val="21"/>
              </w:rPr>
            </w:pPr>
            <w:r>
              <w:rPr>
                <w:rFonts w:hint="eastAsia" w:ascii="宋体" w:eastAsia="宋体"/>
                <w:sz w:val="21"/>
              </w:rPr>
              <w:t>展示监测、控制应急响应人员面 临的危险的能力</w:t>
            </w:r>
          </w:p>
        </w:tc>
        <w:tc>
          <w:tcPr>
            <w:tcW w:w="4876" w:type="dxa"/>
            <w:tcBorders>
              <w:right w:val="nil"/>
            </w:tcBorders>
          </w:tcPr>
          <w:p>
            <w:pPr>
              <w:pStyle w:val="20"/>
              <w:spacing w:before="76" w:line="376" w:lineRule="auto"/>
              <w:ind w:left="116" w:right="-15"/>
              <w:rPr>
                <w:rFonts w:hint="eastAsia" w:ascii="宋体" w:eastAsia="宋体"/>
                <w:sz w:val="21"/>
              </w:rPr>
            </w:pPr>
            <w:r>
              <w:rPr>
                <w:rFonts w:hint="eastAsia" w:ascii="宋体" w:eastAsia="宋体"/>
                <w:sz w:val="21"/>
              </w:rPr>
              <w:t>要求应急组织具备保护应急响应人员安全和健康的</w:t>
            </w:r>
            <w:r>
              <w:rPr>
                <w:rFonts w:hint="eastAsia" w:ascii="宋体" w:eastAsia="宋体"/>
                <w:spacing w:val="-8"/>
                <w:sz w:val="21"/>
              </w:rPr>
              <w:t>能力，主要强调应急区域划分、个体保护装备配备、事态评估机制与通讯活动的管理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578" w:type="dxa"/>
            <w:tcBorders>
              <w:left w:val="nil"/>
            </w:tcBorders>
          </w:tcPr>
          <w:p>
            <w:pPr>
              <w:pStyle w:val="20"/>
              <w:rPr>
                <w:rFonts w:ascii="宋体"/>
                <w:b/>
                <w:sz w:val="20"/>
              </w:rPr>
            </w:pPr>
          </w:p>
          <w:p>
            <w:pPr>
              <w:pStyle w:val="20"/>
              <w:rPr>
                <w:rFonts w:ascii="宋体"/>
                <w:b/>
                <w:sz w:val="20"/>
              </w:rPr>
            </w:pPr>
          </w:p>
          <w:p>
            <w:pPr>
              <w:pStyle w:val="20"/>
              <w:rPr>
                <w:rFonts w:ascii="宋体"/>
                <w:b/>
                <w:sz w:val="20"/>
              </w:rPr>
            </w:pPr>
          </w:p>
          <w:p>
            <w:pPr>
              <w:pStyle w:val="20"/>
              <w:spacing w:before="3"/>
              <w:rPr>
                <w:rFonts w:ascii="宋体"/>
                <w:b/>
                <w:sz w:val="21"/>
              </w:rPr>
            </w:pPr>
          </w:p>
          <w:p>
            <w:pPr>
              <w:pStyle w:val="20"/>
              <w:ind w:left="122"/>
              <w:rPr>
                <w:rFonts w:ascii="宋体"/>
                <w:sz w:val="21"/>
              </w:rPr>
            </w:pPr>
            <w:r>
              <w:rPr>
                <w:rFonts w:ascii="宋体"/>
                <w:w w:val="99"/>
                <w:sz w:val="21"/>
              </w:rPr>
              <w:t>9</w:t>
            </w:r>
          </w:p>
        </w:tc>
        <w:tc>
          <w:tcPr>
            <w:tcW w:w="899" w:type="dxa"/>
          </w:tcPr>
          <w:p>
            <w:pPr>
              <w:pStyle w:val="20"/>
              <w:rPr>
                <w:rFonts w:ascii="宋体"/>
                <w:b/>
                <w:sz w:val="20"/>
              </w:rPr>
            </w:pPr>
          </w:p>
          <w:p>
            <w:pPr>
              <w:pStyle w:val="20"/>
              <w:rPr>
                <w:rFonts w:ascii="宋体"/>
                <w:b/>
                <w:sz w:val="20"/>
              </w:rPr>
            </w:pPr>
          </w:p>
          <w:p>
            <w:pPr>
              <w:pStyle w:val="20"/>
              <w:spacing w:before="5"/>
              <w:rPr>
                <w:rFonts w:ascii="宋体"/>
                <w:b/>
                <w:sz w:val="15"/>
              </w:rPr>
            </w:pPr>
          </w:p>
          <w:p>
            <w:pPr>
              <w:pStyle w:val="20"/>
              <w:spacing w:line="376" w:lineRule="auto"/>
              <w:ind w:left="117" w:right="87"/>
              <w:rPr>
                <w:rFonts w:hint="eastAsia" w:ascii="宋体" w:eastAsia="宋体"/>
                <w:sz w:val="21"/>
              </w:rPr>
            </w:pPr>
            <w:r>
              <w:rPr>
                <w:rFonts w:hint="eastAsia" w:ascii="宋体" w:eastAsia="宋体"/>
                <w:sz w:val="21"/>
              </w:rPr>
              <w:t>警戒与治安</w:t>
            </w:r>
          </w:p>
        </w:tc>
        <w:tc>
          <w:tcPr>
            <w:tcW w:w="2160" w:type="dxa"/>
          </w:tcPr>
          <w:p>
            <w:pPr>
              <w:pStyle w:val="20"/>
              <w:spacing w:before="76" w:line="376" w:lineRule="auto"/>
              <w:ind w:left="116" w:right="89"/>
              <w:jc w:val="both"/>
              <w:rPr>
                <w:rFonts w:hint="eastAsia" w:ascii="宋体" w:eastAsia="宋体"/>
                <w:sz w:val="21"/>
              </w:rPr>
            </w:pPr>
            <w:r>
              <w:rPr>
                <w:rFonts w:hint="eastAsia" w:ascii="宋体" w:eastAsia="宋体"/>
                <w:sz w:val="21"/>
              </w:rPr>
              <w:t>展示维护警戒区域秩序，控制交通流量， 控制疏散区和安置区交通出入口的组织能力和资源</w:t>
            </w:r>
          </w:p>
        </w:tc>
        <w:tc>
          <w:tcPr>
            <w:tcW w:w="4876" w:type="dxa"/>
            <w:tcBorders>
              <w:right w:val="nil"/>
            </w:tcBorders>
          </w:tcPr>
          <w:p>
            <w:pPr>
              <w:pStyle w:val="20"/>
              <w:rPr>
                <w:rFonts w:ascii="宋体"/>
                <w:b/>
                <w:sz w:val="20"/>
              </w:rPr>
            </w:pPr>
          </w:p>
          <w:p>
            <w:pPr>
              <w:pStyle w:val="20"/>
              <w:spacing w:before="12"/>
              <w:rPr>
                <w:rFonts w:ascii="宋体"/>
                <w:b/>
                <w:sz w:val="18"/>
              </w:rPr>
            </w:pPr>
          </w:p>
          <w:p>
            <w:pPr>
              <w:pStyle w:val="20"/>
              <w:spacing w:line="376" w:lineRule="auto"/>
              <w:ind w:left="116" w:right="94"/>
              <w:jc w:val="both"/>
              <w:rPr>
                <w:rFonts w:hint="eastAsia" w:ascii="宋体" w:eastAsia="宋体"/>
                <w:sz w:val="21"/>
              </w:rPr>
            </w:pPr>
            <w:r>
              <w:rPr>
                <w:rFonts w:hint="eastAsia" w:ascii="宋体" w:eastAsia="宋体"/>
                <w:sz w:val="21"/>
              </w:rPr>
              <w:t>要求责任方具备维护治安、管制疏散区域交通道口的能力，强调交通控制点设置、执勤人员配备和路障清理等活动的管理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1" w:hRule="atLeast"/>
        </w:trPr>
        <w:tc>
          <w:tcPr>
            <w:tcW w:w="578" w:type="dxa"/>
            <w:tcBorders>
              <w:left w:val="nil"/>
            </w:tcBorders>
          </w:tcPr>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rPr>
                <w:rFonts w:ascii="宋体"/>
                <w:b/>
                <w:sz w:val="20"/>
              </w:rPr>
            </w:pPr>
          </w:p>
          <w:p>
            <w:pPr>
              <w:pStyle w:val="20"/>
              <w:spacing w:before="4"/>
              <w:rPr>
                <w:rFonts w:ascii="宋体"/>
                <w:b/>
                <w:sz w:val="14"/>
              </w:rPr>
            </w:pPr>
          </w:p>
          <w:p>
            <w:pPr>
              <w:pStyle w:val="20"/>
              <w:ind w:left="122"/>
              <w:rPr>
                <w:rFonts w:ascii="宋体"/>
                <w:sz w:val="21"/>
              </w:rPr>
            </w:pPr>
            <w:r>
              <w:rPr>
                <w:rFonts w:ascii="宋体"/>
                <w:sz w:val="21"/>
              </w:rPr>
              <w:t>10</w:t>
            </w:r>
          </w:p>
        </w:tc>
        <w:tc>
          <w:tcPr>
            <w:tcW w:w="899" w:type="dxa"/>
          </w:tcPr>
          <w:p>
            <w:pPr>
              <w:pStyle w:val="20"/>
              <w:rPr>
                <w:rFonts w:ascii="宋体"/>
                <w:b/>
                <w:sz w:val="20"/>
              </w:rPr>
            </w:pPr>
          </w:p>
          <w:p>
            <w:pPr>
              <w:pStyle w:val="20"/>
              <w:rPr>
                <w:rFonts w:ascii="宋体"/>
                <w:b/>
                <w:sz w:val="20"/>
              </w:rPr>
            </w:pPr>
          </w:p>
          <w:p>
            <w:pPr>
              <w:pStyle w:val="20"/>
              <w:rPr>
                <w:rFonts w:ascii="宋体"/>
                <w:b/>
                <w:sz w:val="20"/>
              </w:rPr>
            </w:pPr>
          </w:p>
          <w:p>
            <w:pPr>
              <w:pStyle w:val="20"/>
              <w:spacing w:before="6"/>
              <w:rPr>
                <w:rFonts w:ascii="宋体"/>
                <w:b/>
                <w:sz w:val="28"/>
              </w:rPr>
            </w:pPr>
          </w:p>
          <w:p>
            <w:pPr>
              <w:pStyle w:val="20"/>
              <w:spacing w:line="376" w:lineRule="auto"/>
              <w:ind w:left="117" w:right="87"/>
              <w:rPr>
                <w:rFonts w:hint="eastAsia" w:ascii="宋体" w:eastAsia="宋体"/>
                <w:sz w:val="21"/>
              </w:rPr>
            </w:pPr>
            <w:r>
              <w:rPr>
                <w:rFonts w:hint="eastAsia" w:ascii="宋体" w:eastAsia="宋体"/>
                <w:sz w:val="21"/>
              </w:rPr>
              <w:t>紧急医疗服务</w:t>
            </w:r>
          </w:p>
        </w:tc>
        <w:tc>
          <w:tcPr>
            <w:tcW w:w="2160" w:type="dxa"/>
          </w:tcPr>
          <w:p>
            <w:pPr>
              <w:pStyle w:val="20"/>
              <w:spacing w:before="75" w:line="376" w:lineRule="auto"/>
              <w:ind w:left="116" w:right="87"/>
              <w:jc w:val="both"/>
              <w:rPr>
                <w:rFonts w:hint="eastAsia" w:ascii="宋体" w:eastAsia="宋体"/>
                <w:sz w:val="21"/>
              </w:rPr>
            </w:pPr>
            <w:r>
              <w:rPr>
                <w:rFonts w:hint="eastAsia" w:ascii="宋体" w:eastAsia="宋体"/>
                <w:sz w:val="21"/>
              </w:rPr>
              <w:t>展示有关现场急救处置、转运伤员的工作程序，交通工具、设施和服务人员的准备情况， 以及医 护人员、医疗设施的准备情况</w:t>
            </w:r>
          </w:p>
        </w:tc>
        <w:tc>
          <w:tcPr>
            <w:tcW w:w="4876" w:type="dxa"/>
            <w:tcBorders>
              <w:right w:val="nil"/>
            </w:tcBorders>
          </w:tcPr>
          <w:p>
            <w:pPr>
              <w:pStyle w:val="20"/>
              <w:rPr>
                <w:rFonts w:ascii="宋体"/>
                <w:b/>
                <w:sz w:val="20"/>
              </w:rPr>
            </w:pPr>
          </w:p>
          <w:p>
            <w:pPr>
              <w:pStyle w:val="20"/>
              <w:rPr>
                <w:rFonts w:ascii="宋体"/>
                <w:b/>
                <w:sz w:val="20"/>
              </w:rPr>
            </w:pPr>
          </w:p>
          <w:p>
            <w:pPr>
              <w:pStyle w:val="20"/>
              <w:rPr>
                <w:rFonts w:ascii="宋体"/>
                <w:b/>
                <w:sz w:val="20"/>
              </w:rPr>
            </w:pPr>
          </w:p>
          <w:p>
            <w:pPr>
              <w:pStyle w:val="20"/>
              <w:spacing w:before="6"/>
              <w:rPr>
                <w:rFonts w:ascii="宋体"/>
                <w:b/>
                <w:sz w:val="28"/>
              </w:rPr>
            </w:pPr>
          </w:p>
          <w:p>
            <w:pPr>
              <w:pStyle w:val="20"/>
              <w:spacing w:line="376" w:lineRule="auto"/>
              <w:ind w:left="116" w:right="94"/>
              <w:rPr>
                <w:rFonts w:hint="eastAsia" w:ascii="宋体" w:eastAsia="宋体"/>
                <w:sz w:val="21"/>
              </w:rPr>
            </w:pPr>
            <w:r>
              <w:rPr>
                <w:rFonts w:hint="eastAsia" w:ascii="宋体" w:eastAsia="宋体"/>
                <w:sz w:val="21"/>
              </w:rPr>
              <w:t>要求应急组织具备将伤病人员运往医疗机构的能力和为伤病人员提供医疗服务的能力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8" w:hRule="atLeast"/>
        </w:trPr>
        <w:tc>
          <w:tcPr>
            <w:tcW w:w="578" w:type="dxa"/>
            <w:tcBorders>
              <w:left w:val="nil"/>
            </w:tcBorders>
          </w:tcPr>
          <w:p>
            <w:pPr>
              <w:pStyle w:val="20"/>
              <w:rPr>
                <w:rFonts w:ascii="宋体"/>
                <w:b/>
                <w:sz w:val="20"/>
              </w:rPr>
            </w:pPr>
          </w:p>
          <w:p>
            <w:pPr>
              <w:pStyle w:val="20"/>
              <w:spacing w:before="3"/>
              <w:rPr>
                <w:rFonts w:ascii="宋体"/>
                <w:b/>
                <w:sz w:val="28"/>
              </w:rPr>
            </w:pPr>
          </w:p>
          <w:p>
            <w:pPr>
              <w:pStyle w:val="20"/>
              <w:ind w:left="122"/>
              <w:rPr>
                <w:rFonts w:ascii="宋体"/>
                <w:sz w:val="21"/>
              </w:rPr>
            </w:pPr>
            <w:r>
              <w:rPr>
                <w:rFonts w:ascii="宋体"/>
                <w:sz w:val="21"/>
              </w:rPr>
              <w:t>11</w:t>
            </w:r>
          </w:p>
        </w:tc>
        <w:tc>
          <w:tcPr>
            <w:tcW w:w="899" w:type="dxa"/>
          </w:tcPr>
          <w:p>
            <w:pPr>
              <w:pStyle w:val="20"/>
              <w:spacing w:before="5"/>
              <w:rPr>
                <w:rFonts w:ascii="宋体"/>
                <w:b/>
                <w:sz w:val="22"/>
              </w:rPr>
            </w:pPr>
          </w:p>
          <w:p>
            <w:pPr>
              <w:pStyle w:val="20"/>
              <w:spacing w:line="376" w:lineRule="auto"/>
              <w:ind w:left="117" w:right="87"/>
              <w:rPr>
                <w:rFonts w:hint="eastAsia" w:ascii="宋体" w:eastAsia="宋体"/>
                <w:sz w:val="21"/>
              </w:rPr>
            </w:pPr>
            <w:r>
              <w:rPr>
                <w:rFonts w:hint="eastAsia" w:ascii="宋体" w:eastAsia="宋体"/>
                <w:sz w:val="21"/>
              </w:rPr>
              <w:t>泄漏物控制</w:t>
            </w:r>
          </w:p>
        </w:tc>
        <w:tc>
          <w:tcPr>
            <w:tcW w:w="2160" w:type="dxa"/>
          </w:tcPr>
          <w:p>
            <w:pPr>
              <w:pStyle w:val="20"/>
              <w:spacing w:before="76" w:line="376" w:lineRule="auto"/>
              <w:ind w:left="116" w:right="89"/>
              <w:jc w:val="both"/>
              <w:rPr>
                <w:rFonts w:hint="eastAsia" w:ascii="宋体" w:eastAsia="宋体"/>
                <w:sz w:val="21"/>
              </w:rPr>
            </w:pPr>
            <w:r>
              <w:rPr>
                <w:rFonts w:hint="eastAsia" w:ascii="宋体" w:eastAsia="宋体"/>
                <w:sz w:val="21"/>
              </w:rPr>
              <w:t>展示采取有效措施遏制粉尘溢漏，避免事态进一步恶化的能力</w:t>
            </w:r>
          </w:p>
        </w:tc>
        <w:tc>
          <w:tcPr>
            <w:tcW w:w="4876" w:type="dxa"/>
            <w:tcBorders>
              <w:right w:val="nil"/>
            </w:tcBorders>
          </w:tcPr>
          <w:p>
            <w:pPr>
              <w:pStyle w:val="20"/>
              <w:spacing w:before="5"/>
              <w:rPr>
                <w:rFonts w:ascii="宋体"/>
                <w:b/>
                <w:sz w:val="22"/>
              </w:rPr>
            </w:pPr>
          </w:p>
          <w:p>
            <w:pPr>
              <w:pStyle w:val="20"/>
              <w:spacing w:line="376" w:lineRule="auto"/>
              <w:ind w:left="116" w:right="94"/>
              <w:rPr>
                <w:rFonts w:hint="eastAsia" w:ascii="宋体" w:eastAsia="宋体"/>
                <w:sz w:val="21"/>
              </w:rPr>
            </w:pPr>
            <w:r>
              <w:rPr>
                <w:rFonts w:hint="eastAsia" w:ascii="宋体" w:eastAsia="宋体"/>
                <w:sz w:val="21"/>
              </w:rPr>
              <w:t>要求应急组织具备采取针对性措施对泄漏物进行围堵、收容、清洗的能力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atLeast"/>
        </w:trPr>
        <w:tc>
          <w:tcPr>
            <w:tcW w:w="578" w:type="dxa"/>
            <w:tcBorders>
              <w:left w:val="nil"/>
            </w:tcBorders>
          </w:tcPr>
          <w:p>
            <w:pPr>
              <w:pStyle w:val="20"/>
              <w:rPr>
                <w:rFonts w:ascii="宋体"/>
                <w:b/>
                <w:sz w:val="20"/>
              </w:rPr>
            </w:pPr>
          </w:p>
          <w:p>
            <w:pPr>
              <w:pStyle w:val="20"/>
              <w:spacing w:before="3"/>
              <w:rPr>
                <w:rFonts w:ascii="宋体"/>
                <w:b/>
                <w:sz w:val="28"/>
              </w:rPr>
            </w:pPr>
          </w:p>
          <w:p>
            <w:pPr>
              <w:pStyle w:val="20"/>
              <w:ind w:left="122"/>
              <w:rPr>
                <w:rFonts w:ascii="宋体"/>
                <w:sz w:val="21"/>
              </w:rPr>
            </w:pPr>
            <w:r>
              <w:rPr>
                <w:rFonts w:ascii="宋体"/>
                <w:sz w:val="21"/>
              </w:rPr>
              <w:t>12</w:t>
            </w:r>
          </w:p>
        </w:tc>
        <w:tc>
          <w:tcPr>
            <w:tcW w:w="899" w:type="dxa"/>
          </w:tcPr>
          <w:p>
            <w:pPr>
              <w:pStyle w:val="20"/>
              <w:spacing w:before="5"/>
              <w:rPr>
                <w:rFonts w:ascii="宋体"/>
                <w:b/>
                <w:sz w:val="22"/>
              </w:rPr>
            </w:pPr>
          </w:p>
          <w:p>
            <w:pPr>
              <w:pStyle w:val="20"/>
              <w:spacing w:line="376" w:lineRule="auto"/>
              <w:ind w:left="117" w:right="87"/>
              <w:rPr>
                <w:rFonts w:hint="eastAsia" w:ascii="宋体" w:eastAsia="宋体"/>
                <w:sz w:val="21"/>
              </w:rPr>
            </w:pPr>
            <w:r>
              <w:rPr>
                <w:rFonts w:hint="eastAsia" w:ascii="宋体" w:eastAsia="宋体"/>
                <w:sz w:val="21"/>
              </w:rPr>
              <w:t>消防与抢 险</w:t>
            </w:r>
          </w:p>
        </w:tc>
        <w:tc>
          <w:tcPr>
            <w:tcW w:w="2160" w:type="dxa"/>
          </w:tcPr>
          <w:p>
            <w:pPr>
              <w:pStyle w:val="20"/>
              <w:spacing w:before="76" w:line="376" w:lineRule="auto"/>
              <w:ind w:left="116" w:right="89"/>
              <w:jc w:val="both"/>
              <w:rPr>
                <w:rFonts w:hint="eastAsia" w:ascii="宋体" w:eastAsia="宋体"/>
                <w:sz w:val="21"/>
              </w:rPr>
            </w:pPr>
            <w:r>
              <w:rPr>
                <w:rFonts w:hint="eastAsia" w:ascii="宋体" w:eastAsia="宋体"/>
                <w:sz w:val="21"/>
              </w:rPr>
              <w:t>展示采取有效措施控制事故发展，及时扑灭火源的能力</w:t>
            </w:r>
          </w:p>
        </w:tc>
        <w:tc>
          <w:tcPr>
            <w:tcW w:w="4876" w:type="dxa"/>
            <w:tcBorders>
              <w:right w:val="nil"/>
            </w:tcBorders>
          </w:tcPr>
          <w:p>
            <w:pPr>
              <w:pStyle w:val="20"/>
              <w:spacing w:before="5"/>
              <w:rPr>
                <w:rFonts w:ascii="宋体"/>
                <w:b/>
                <w:sz w:val="22"/>
              </w:rPr>
            </w:pPr>
          </w:p>
          <w:p>
            <w:pPr>
              <w:pStyle w:val="20"/>
              <w:spacing w:line="376" w:lineRule="auto"/>
              <w:ind w:left="116" w:right="94"/>
              <w:rPr>
                <w:rFonts w:hint="eastAsia" w:ascii="宋体" w:eastAsia="宋体"/>
                <w:sz w:val="21"/>
              </w:rPr>
            </w:pPr>
            <w:r>
              <w:rPr>
                <w:rFonts w:hint="eastAsia" w:ascii="宋体" w:eastAsia="宋体"/>
                <w:sz w:val="21"/>
              </w:rPr>
              <w:t>要求应急组织具备采取针对性措施，及时组织扑灭火源，有效控制事故的能力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578" w:type="dxa"/>
            <w:tcBorders>
              <w:left w:val="nil"/>
              <w:bottom w:val="single" w:color="000000" w:sz="12" w:space="0"/>
            </w:tcBorders>
          </w:tcPr>
          <w:p>
            <w:pPr>
              <w:pStyle w:val="20"/>
              <w:rPr>
                <w:rFonts w:ascii="宋体"/>
                <w:b/>
                <w:sz w:val="20"/>
              </w:rPr>
            </w:pPr>
          </w:p>
          <w:p>
            <w:pPr>
              <w:pStyle w:val="20"/>
              <w:rPr>
                <w:rFonts w:ascii="宋体"/>
                <w:b/>
                <w:sz w:val="20"/>
              </w:rPr>
            </w:pPr>
          </w:p>
          <w:p>
            <w:pPr>
              <w:pStyle w:val="20"/>
              <w:spacing w:before="10"/>
              <w:rPr>
                <w:rFonts w:ascii="宋体"/>
                <w:b/>
                <w:sz w:val="24"/>
              </w:rPr>
            </w:pPr>
          </w:p>
          <w:p>
            <w:pPr>
              <w:pStyle w:val="20"/>
              <w:ind w:left="122"/>
              <w:rPr>
                <w:rFonts w:ascii="宋体"/>
                <w:sz w:val="21"/>
              </w:rPr>
            </w:pPr>
            <w:r>
              <w:rPr>
                <w:rFonts w:ascii="宋体"/>
                <w:sz w:val="21"/>
              </w:rPr>
              <w:t>13</w:t>
            </w:r>
          </w:p>
        </w:tc>
        <w:tc>
          <w:tcPr>
            <w:tcW w:w="899" w:type="dxa"/>
            <w:tcBorders>
              <w:bottom w:val="single" w:color="000000" w:sz="12" w:space="0"/>
            </w:tcBorders>
          </w:tcPr>
          <w:p>
            <w:pPr>
              <w:pStyle w:val="20"/>
              <w:rPr>
                <w:rFonts w:ascii="宋体"/>
                <w:b/>
                <w:sz w:val="20"/>
              </w:rPr>
            </w:pPr>
          </w:p>
          <w:p>
            <w:pPr>
              <w:pStyle w:val="20"/>
              <w:spacing w:before="11"/>
              <w:rPr>
                <w:rFonts w:ascii="宋体"/>
                <w:b/>
                <w:sz w:val="18"/>
              </w:rPr>
            </w:pPr>
          </w:p>
          <w:p>
            <w:pPr>
              <w:pStyle w:val="20"/>
              <w:spacing w:before="1" w:line="376" w:lineRule="auto"/>
              <w:ind w:left="117" w:right="87"/>
              <w:rPr>
                <w:rFonts w:hint="eastAsia" w:ascii="宋体" w:eastAsia="宋体"/>
                <w:sz w:val="21"/>
              </w:rPr>
            </w:pPr>
            <w:r>
              <w:rPr>
                <w:rFonts w:hint="eastAsia" w:ascii="宋体" w:eastAsia="宋体"/>
                <w:sz w:val="21"/>
              </w:rPr>
              <w:t>撤离与疏散</w:t>
            </w:r>
          </w:p>
        </w:tc>
        <w:tc>
          <w:tcPr>
            <w:tcW w:w="2160" w:type="dxa"/>
            <w:tcBorders>
              <w:bottom w:val="single" w:color="000000" w:sz="12" w:space="0"/>
            </w:tcBorders>
          </w:tcPr>
          <w:p>
            <w:pPr>
              <w:pStyle w:val="20"/>
              <w:spacing w:before="5"/>
              <w:rPr>
                <w:rFonts w:ascii="宋体"/>
                <w:b/>
                <w:sz w:val="22"/>
              </w:rPr>
            </w:pPr>
          </w:p>
          <w:p>
            <w:pPr>
              <w:pStyle w:val="20"/>
              <w:spacing w:line="376" w:lineRule="auto"/>
              <w:ind w:left="116" w:right="89"/>
              <w:jc w:val="both"/>
              <w:rPr>
                <w:rFonts w:hint="eastAsia" w:ascii="宋体" w:eastAsia="宋体"/>
                <w:sz w:val="21"/>
              </w:rPr>
            </w:pPr>
            <w:r>
              <w:rPr>
                <w:rFonts w:hint="eastAsia" w:ascii="宋体" w:eastAsia="宋体"/>
                <w:sz w:val="21"/>
              </w:rPr>
              <w:t>展示撤离、疏散程序以及服务人员的准备情况</w:t>
            </w:r>
          </w:p>
        </w:tc>
        <w:tc>
          <w:tcPr>
            <w:tcW w:w="4876" w:type="dxa"/>
            <w:tcBorders>
              <w:bottom w:val="single" w:color="000000" w:sz="12" w:space="0"/>
              <w:right w:val="nil"/>
            </w:tcBorders>
          </w:tcPr>
          <w:p>
            <w:pPr>
              <w:pStyle w:val="20"/>
              <w:spacing w:before="76" w:line="376" w:lineRule="auto"/>
              <w:ind w:left="116" w:right="91"/>
              <w:jc w:val="both"/>
              <w:rPr>
                <w:rFonts w:hint="eastAsia" w:ascii="宋体" w:eastAsia="宋体"/>
                <w:sz w:val="21"/>
              </w:rPr>
            </w:pPr>
            <w:r>
              <w:rPr>
                <w:rFonts w:hint="eastAsia" w:ascii="宋体" w:eastAsia="宋体"/>
                <w:sz w:val="21"/>
              </w:rPr>
              <w:t>要求应急组织具备安排疏散路线、交通工具、目的地的能力以及对疏散人员交通控制、引导、自身防</w:t>
            </w:r>
            <w:r>
              <w:rPr>
                <w:rFonts w:hint="eastAsia" w:ascii="宋体" w:eastAsia="宋体"/>
                <w:spacing w:val="-9"/>
                <w:sz w:val="21"/>
              </w:rPr>
              <w:t>护措施、治安、避免恐慌情绪的能力并 对人群疏散进行跟踪、记录</w:t>
            </w:r>
          </w:p>
        </w:tc>
      </w:tr>
    </w:tbl>
    <w:p>
      <w:pPr>
        <w:spacing w:after="0" w:line="376" w:lineRule="auto"/>
        <w:jc w:val="both"/>
        <w:rPr>
          <w:rFonts w:hint="eastAsia" w:ascii="宋体" w:eastAsia="宋体"/>
          <w:sz w:val="21"/>
        </w:rPr>
        <w:sectPr>
          <w:pgSz w:w="11900" w:h="16840"/>
          <w:pgMar w:top="1420" w:right="80" w:bottom="1200" w:left="260" w:header="882" w:footer="1004" w:gutter="0"/>
          <w:cols w:space="720" w:num="1"/>
        </w:sectPr>
      </w:pPr>
    </w:p>
    <w:p>
      <w:pPr>
        <w:pStyle w:val="19"/>
        <w:numPr>
          <w:ilvl w:val="2"/>
          <w:numId w:val="75"/>
        </w:numPr>
        <w:tabs>
          <w:tab w:val="left" w:pos="2505"/>
        </w:tabs>
        <w:spacing w:before="140" w:after="0" w:line="240" w:lineRule="auto"/>
        <w:ind w:left="2504" w:right="0" w:hanging="845"/>
        <w:jc w:val="left"/>
        <w:rPr>
          <w:b/>
          <w:sz w:val="24"/>
        </w:rPr>
      </w:pPr>
      <w:r>
        <w:rPr>
          <w:b/>
          <w:sz w:val="24"/>
        </w:rPr>
        <w:t>演练范围与频次</w:t>
      </w:r>
    </w:p>
    <w:p>
      <w:pPr>
        <w:pStyle w:val="7"/>
        <w:spacing w:before="8"/>
        <w:rPr>
          <w:b/>
          <w:sz w:val="31"/>
        </w:rPr>
      </w:pPr>
    </w:p>
    <w:p>
      <w:pPr>
        <w:pStyle w:val="7"/>
        <w:ind w:left="2101"/>
      </w:pPr>
      <w:r>
        <w:t>在本公司范围内每年至少一次。</w:t>
      </w:r>
    </w:p>
    <w:p>
      <w:pPr>
        <w:pStyle w:val="7"/>
        <w:rPr>
          <w:sz w:val="23"/>
        </w:rPr>
      </w:pPr>
    </w:p>
    <w:p>
      <w:pPr>
        <w:pStyle w:val="19"/>
        <w:numPr>
          <w:ilvl w:val="2"/>
          <w:numId w:val="75"/>
        </w:numPr>
        <w:tabs>
          <w:tab w:val="left" w:pos="2385"/>
        </w:tabs>
        <w:spacing w:before="1" w:after="0" w:line="240" w:lineRule="auto"/>
        <w:ind w:left="2384" w:right="0" w:hanging="845"/>
        <w:jc w:val="left"/>
        <w:rPr>
          <w:b/>
          <w:sz w:val="24"/>
        </w:rPr>
      </w:pPr>
      <w:r>
        <w:rPr>
          <w:b/>
          <w:sz w:val="24"/>
        </w:rPr>
        <w:t>演练组织</w:t>
      </w:r>
    </w:p>
    <w:p>
      <w:pPr>
        <w:pStyle w:val="7"/>
        <w:spacing w:before="165"/>
        <w:ind w:left="2101"/>
      </w:pPr>
      <w:r>
        <w:t>按照应急预案，由指挥中心统一组织，具体事宜由生技处负责实施。</w:t>
      </w:r>
    </w:p>
    <w:p>
      <w:pPr>
        <w:pStyle w:val="7"/>
        <w:rPr>
          <w:sz w:val="23"/>
        </w:rPr>
      </w:pPr>
    </w:p>
    <w:p>
      <w:pPr>
        <w:pStyle w:val="19"/>
        <w:numPr>
          <w:ilvl w:val="2"/>
          <w:numId w:val="75"/>
        </w:numPr>
        <w:tabs>
          <w:tab w:val="left" w:pos="2385"/>
        </w:tabs>
        <w:spacing w:before="0" w:after="0" w:line="240" w:lineRule="auto"/>
        <w:ind w:left="2384" w:right="0" w:hanging="845"/>
        <w:jc w:val="left"/>
        <w:rPr>
          <w:b/>
          <w:sz w:val="24"/>
        </w:rPr>
      </w:pPr>
      <w:r>
        <w:rPr>
          <w:b/>
          <w:sz w:val="24"/>
        </w:rPr>
        <w:t>应急演练的评价、总结与追踪</w:t>
      </w:r>
    </w:p>
    <w:p>
      <w:pPr>
        <w:pStyle w:val="19"/>
        <w:numPr>
          <w:ilvl w:val="3"/>
          <w:numId w:val="75"/>
        </w:numPr>
        <w:tabs>
          <w:tab w:val="left" w:pos="2868"/>
        </w:tabs>
        <w:spacing w:before="132" w:after="0" w:line="240" w:lineRule="auto"/>
        <w:ind w:left="2867" w:right="0" w:hanging="1088"/>
        <w:jc w:val="left"/>
        <w:rPr>
          <w:b/>
          <w:sz w:val="24"/>
        </w:rPr>
      </w:pPr>
      <w:r>
        <w:rPr>
          <w:b/>
          <w:sz w:val="24"/>
        </w:rPr>
        <w:t>应急演习的评价</w:t>
      </w:r>
    </w:p>
    <w:p>
      <w:pPr>
        <w:pStyle w:val="7"/>
        <w:spacing w:before="165" w:line="494" w:lineRule="auto"/>
        <w:ind w:left="1540" w:right="1619" w:firstLine="561"/>
      </w:pPr>
      <w:r>
        <w:t xml:space="preserve">演习评价是指观察和记录演习活动、比较演习人员表现与演习目标要求， 并提 出演习发现的过程。演习评价的目的是确定演习是否达到演习目标要求， </w:t>
      </w:r>
      <w:r>
        <w:rPr>
          <w:spacing w:val="-4"/>
        </w:rPr>
        <w:t>检验各应急组织指挥人员及应急响应人员完成任务的能力。要全面、正确地评价</w:t>
      </w:r>
      <w:r>
        <w:rPr>
          <w:spacing w:val="-11"/>
        </w:rPr>
        <w:t>演习效果，必须在演习覆盖区域的关键地点和各参演应急组织的关键岗位上，派</w:t>
      </w:r>
      <w:r>
        <w:rPr>
          <w:spacing w:val="-14"/>
        </w:rPr>
        <w:t>驻公正的评价人员。评价人员的作用主要是观察演习的进程，记录演习人员采取</w:t>
      </w:r>
      <w:r>
        <w:rPr>
          <w:spacing w:val="-18"/>
        </w:rPr>
        <w:t>的每一项关键行动及其实施时间，访谈演习人员，要求参演应急组织提供文字材</w:t>
      </w:r>
      <w:r>
        <w:rPr>
          <w:spacing w:val="-11"/>
        </w:rPr>
        <w:t>料，评价参演应急组织和演习人员的表现并反馈演习发现。应急演习评价方法是</w:t>
      </w:r>
      <w:r>
        <w:rPr>
          <w:spacing w:val="-12"/>
        </w:rPr>
        <w:t>指演习评价过程中的程序和策略，包括评价组组成方式、评价目标与评价标准。</w:t>
      </w:r>
      <w:r>
        <w:rPr>
          <w:spacing w:val="-4"/>
        </w:rPr>
        <w:t>评价目标是指在演习过程中要求演习人员展示的活动和功能，可与演习目标相一</w:t>
      </w:r>
      <w:r>
        <w:rPr>
          <w:spacing w:val="-5"/>
        </w:rPr>
        <w:t xml:space="preserve">致。评价标准是指供评价人员对演习人员各个主要行动及关键技巧的评判指标， </w:t>
      </w:r>
      <w:r>
        <w:t>这些指标应具有可测量性。</w:t>
      </w:r>
    </w:p>
    <w:p>
      <w:pPr>
        <w:pStyle w:val="19"/>
        <w:numPr>
          <w:ilvl w:val="3"/>
          <w:numId w:val="75"/>
        </w:numPr>
        <w:tabs>
          <w:tab w:val="left" w:pos="2868"/>
        </w:tabs>
        <w:spacing w:before="0" w:after="0" w:line="285" w:lineRule="exact"/>
        <w:ind w:left="2867" w:right="0" w:hanging="1088"/>
        <w:jc w:val="left"/>
        <w:rPr>
          <w:b/>
          <w:sz w:val="24"/>
        </w:rPr>
      </w:pPr>
      <w:r>
        <w:rPr>
          <w:b/>
          <w:sz w:val="24"/>
        </w:rPr>
        <w:t>应急演习总结与追踪</w:t>
      </w:r>
    </w:p>
    <w:p>
      <w:pPr>
        <w:pStyle w:val="7"/>
        <w:spacing w:before="165" w:line="496" w:lineRule="auto"/>
        <w:ind w:left="1540" w:right="1721" w:firstLine="561"/>
        <w:jc w:val="both"/>
      </w:pPr>
      <w:r>
        <w:t>演习结束后，进行总结与讲评是全面评价演习是否达到演习目标、应急准</w:t>
      </w:r>
      <w:r>
        <w:rPr>
          <w:spacing w:val="-6"/>
        </w:rPr>
        <w:t>备水平及是否需要改进的一个重要步骤，也是演习人员进行自我评价的机会。演</w:t>
      </w:r>
      <w:r>
        <w:rPr>
          <w:spacing w:val="-9"/>
        </w:rPr>
        <w:t>习总结与讲评可以通过访谈、汇报、协商、自我评价、公开会议和通报等形式完</w:t>
      </w:r>
      <w:r>
        <w:t>成。</w:t>
      </w:r>
    </w:p>
    <w:p>
      <w:pPr>
        <w:spacing w:after="0" w:line="496" w:lineRule="auto"/>
        <w:jc w:val="both"/>
        <w:sectPr>
          <w:pgSz w:w="11900" w:h="16840"/>
          <w:pgMar w:top="1420" w:right="80" w:bottom="1200" w:left="260" w:header="882" w:footer="1004" w:gutter="0"/>
          <w:cols w:space="720" w:num="1"/>
        </w:sectPr>
      </w:pPr>
    </w:p>
    <w:p>
      <w:pPr>
        <w:pStyle w:val="7"/>
        <w:spacing w:before="5"/>
        <w:rPr>
          <w:sz w:val="8"/>
        </w:rPr>
      </w:pPr>
    </w:p>
    <w:p>
      <w:pPr>
        <w:pStyle w:val="7"/>
        <w:spacing w:before="66" w:line="494" w:lineRule="auto"/>
        <w:ind w:left="1540" w:right="1721" w:firstLine="561"/>
        <w:jc w:val="both"/>
      </w:pPr>
      <w:r>
        <w:t>策划小组负责人应在演习结束规定期限内，根据评价人员演习过程中收集</w:t>
      </w:r>
      <w:r>
        <w:rPr>
          <w:spacing w:val="-10"/>
        </w:rPr>
        <w:t>和整理的资料，以及演习人员和公开会议中获得的信息，编写演习报告并提交给有关政府部门。演习报告是对演习情况的详细说明和对该次演习的评价。演习报</w:t>
      </w:r>
      <w:r>
        <w:t>告中应包括如下内容：</w:t>
      </w:r>
    </w:p>
    <w:p>
      <w:pPr>
        <w:pStyle w:val="7"/>
        <w:spacing w:before="34"/>
        <w:ind w:left="2101"/>
      </w:pPr>
      <w:r>
        <w:rPr>
          <w:spacing w:val="-240"/>
          <w:position w:val="-3"/>
          <w:sz w:val="36"/>
        </w:rPr>
        <w:t>○</w:t>
      </w:r>
      <w:r>
        <w:t>1 本次演习的背景信息，含演习地点、时间、气象条件等；</w:t>
      </w:r>
    </w:p>
    <w:p>
      <w:pPr>
        <w:pStyle w:val="7"/>
        <w:spacing w:before="12"/>
        <w:rPr>
          <w:sz w:val="29"/>
        </w:rPr>
      </w:pPr>
    </w:p>
    <w:p>
      <w:pPr>
        <w:pStyle w:val="7"/>
        <w:ind w:left="2101"/>
      </w:pPr>
      <w:r>
        <w:rPr>
          <w:spacing w:val="-240"/>
          <w:position w:val="-3"/>
          <w:sz w:val="36"/>
        </w:rPr>
        <w:t>○</w:t>
      </w:r>
      <w:r>
        <w:t>2 参与演习的应急组织；</w:t>
      </w:r>
    </w:p>
    <w:p>
      <w:pPr>
        <w:pStyle w:val="7"/>
        <w:spacing w:before="1"/>
        <w:rPr>
          <w:sz w:val="30"/>
        </w:rPr>
      </w:pPr>
    </w:p>
    <w:p>
      <w:pPr>
        <w:pStyle w:val="7"/>
        <w:ind w:left="2101"/>
      </w:pPr>
      <w:r>
        <w:rPr>
          <w:spacing w:val="-240"/>
          <w:position w:val="-3"/>
          <w:sz w:val="36"/>
        </w:rPr>
        <w:t>○</w:t>
      </w:r>
      <w:r>
        <w:t>3 演习情景与演习方案；</w:t>
      </w:r>
    </w:p>
    <w:p>
      <w:pPr>
        <w:pStyle w:val="7"/>
        <w:spacing w:before="12"/>
        <w:rPr>
          <w:sz w:val="29"/>
        </w:rPr>
      </w:pPr>
    </w:p>
    <w:p>
      <w:pPr>
        <w:pStyle w:val="7"/>
        <w:ind w:left="2101"/>
      </w:pPr>
      <w:r>
        <w:rPr>
          <w:spacing w:val="-240"/>
          <w:position w:val="-3"/>
          <w:sz w:val="36"/>
        </w:rPr>
        <w:t>○</w:t>
      </w:r>
      <w:r>
        <w:t>4 演习目标、演示范围和签订的演示协议；</w:t>
      </w:r>
    </w:p>
    <w:p>
      <w:pPr>
        <w:pStyle w:val="7"/>
        <w:spacing w:before="2"/>
        <w:rPr>
          <w:sz w:val="30"/>
        </w:rPr>
      </w:pPr>
    </w:p>
    <w:p>
      <w:pPr>
        <w:pStyle w:val="7"/>
        <w:ind w:left="2101"/>
      </w:pPr>
      <w:r>
        <w:rPr>
          <w:spacing w:val="-240"/>
          <w:position w:val="-3"/>
          <w:sz w:val="36"/>
        </w:rPr>
        <w:t>○</w:t>
      </w:r>
      <w:r>
        <w:t>5 应急情况的全面评价，含对前次演习不足项在本次演习中表现的描述；</w:t>
      </w:r>
    </w:p>
    <w:p>
      <w:pPr>
        <w:pStyle w:val="7"/>
        <w:spacing w:before="12"/>
        <w:rPr>
          <w:sz w:val="29"/>
        </w:rPr>
      </w:pPr>
    </w:p>
    <w:p>
      <w:pPr>
        <w:pStyle w:val="7"/>
        <w:ind w:left="2101"/>
      </w:pPr>
      <w:r>
        <w:rPr>
          <w:spacing w:val="-240"/>
          <w:position w:val="-3"/>
          <w:sz w:val="36"/>
        </w:rPr>
        <w:t>○</w:t>
      </w:r>
      <w:r>
        <w:t>6 演习发现与纠正措施建议；</w:t>
      </w:r>
    </w:p>
    <w:p>
      <w:pPr>
        <w:pStyle w:val="7"/>
        <w:spacing w:before="1"/>
        <w:rPr>
          <w:sz w:val="30"/>
        </w:rPr>
      </w:pPr>
    </w:p>
    <w:p>
      <w:pPr>
        <w:pStyle w:val="7"/>
        <w:ind w:left="2101"/>
      </w:pPr>
      <w:r>
        <w:rPr>
          <w:spacing w:val="-240"/>
          <w:position w:val="-3"/>
          <w:sz w:val="36"/>
        </w:rPr>
        <w:t>○</w:t>
      </w:r>
      <w:r>
        <w:t>7 对应急预案和有关执行程序的改进建议；</w:t>
      </w:r>
    </w:p>
    <w:p>
      <w:pPr>
        <w:pStyle w:val="7"/>
        <w:spacing w:before="12"/>
        <w:rPr>
          <w:sz w:val="29"/>
        </w:rPr>
      </w:pPr>
    </w:p>
    <w:p>
      <w:pPr>
        <w:pStyle w:val="7"/>
        <w:ind w:left="2101"/>
      </w:pPr>
      <w:r>
        <w:rPr>
          <w:spacing w:val="-240"/>
          <w:position w:val="-3"/>
          <w:sz w:val="36"/>
        </w:rPr>
        <w:t>○</w:t>
      </w:r>
      <w:r>
        <w:t>8 对应急设施、设备维护与更新方面的建议；</w:t>
      </w:r>
    </w:p>
    <w:p>
      <w:pPr>
        <w:pStyle w:val="7"/>
        <w:spacing w:before="2"/>
        <w:rPr>
          <w:sz w:val="30"/>
        </w:rPr>
      </w:pPr>
    </w:p>
    <w:p>
      <w:pPr>
        <w:pStyle w:val="7"/>
        <w:ind w:left="1540" w:firstLine="561"/>
      </w:pPr>
      <w:r>
        <w:rPr>
          <w:spacing w:val="-240"/>
          <w:position w:val="-3"/>
          <w:sz w:val="36"/>
        </w:rPr>
        <w:t>○</w:t>
      </w:r>
      <w:r>
        <w:t>9</w:t>
      </w:r>
      <w:r>
        <w:rPr>
          <w:spacing w:val="-7"/>
        </w:rPr>
        <w:t xml:space="preserve"> 对应急组织、应急响应人员能力与培训方面的建议。追踪是指策划小组</w:t>
      </w:r>
    </w:p>
    <w:p>
      <w:pPr>
        <w:pStyle w:val="7"/>
        <w:spacing w:before="9"/>
        <w:rPr>
          <w:sz w:val="27"/>
        </w:rPr>
      </w:pPr>
    </w:p>
    <w:p>
      <w:pPr>
        <w:pStyle w:val="7"/>
        <w:spacing w:before="1" w:line="494" w:lineRule="auto"/>
        <w:ind w:left="1540" w:right="1721"/>
        <w:jc w:val="both"/>
      </w:pPr>
      <w:r>
        <w:rPr>
          <w:spacing w:val="-1"/>
        </w:rPr>
        <w:t>在演习总结与讲评过程结束之后，安排人员督促相关应急组 织继续解决其中尚</w:t>
      </w:r>
      <w:r>
        <w:rPr>
          <w:spacing w:val="-8"/>
        </w:rPr>
        <w:t>待解决的问题或事项的活动。为确保参演应急组织能从演习中取得最大益处，策</w:t>
      </w:r>
      <w:r>
        <w:rPr>
          <w:spacing w:val="-7"/>
        </w:rPr>
        <w:t>划小组应对演习发现进行充分研究，确定导致该问题的根本原因、纠正方法、纠</w:t>
      </w:r>
      <w:r>
        <w:rPr>
          <w:spacing w:val="-11"/>
        </w:rPr>
        <w:t>正措施及完成时间，并指定专人负责对演习发现中的不足项和整改项的纠正过程</w:t>
      </w:r>
      <w:r>
        <w:t>实施追踪，监督检查纠正措施的进展情况。</w:t>
      </w:r>
    </w:p>
    <w:p>
      <w:pPr>
        <w:spacing w:after="0" w:line="494" w:lineRule="auto"/>
        <w:jc w:val="both"/>
        <w:sectPr>
          <w:pgSz w:w="11900" w:h="16840"/>
          <w:pgMar w:top="1420" w:right="80" w:bottom="1200" w:left="260" w:header="882" w:footer="1004" w:gutter="0"/>
          <w:cols w:space="720" w:num="1"/>
        </w:sectPr>
      </w:pPr>
    </w:p>
    <w:p>
      <w:pPr>
        <w:pStyle w:val="7"/>
        <w:rPr>
          <w:sz w:val="20"/>
        </w:rPr>
      </w:pPr>
    </w:p>
    <w:p>
      <w:pPr>
        <w:pStyle w:val="7"/>
        <w:spacing w:before="3"/>
        <w:rPr>
          <w:sz w:val="20"/>
        </w:rPr>
      </w:pPr>
    </w:p>
    <w:p>
      <w:pPr>
        <w:pStyle w:val="4"/>
        <w:tabs>
          <w:tab w:val="left" w:pos="2159"/>
        </w:tabs>
        <w:spacing w:before="33"/>
      </w:pPr>
      <w:bookmarkStart w:id="259" w:name="_bookmark77"/>
      <w:bookmarkEnd w:id="259"/>
      <w:bookmarkStart w:id="260" w:name="第十五章 奖惩与责任"/>
      <w:bookmarkEnd w:id="260"/>
      <w:r>
        <w:t>第十五章</w:t>
      </w:r>
      <w:r>
        <w:tab/>
      </w:r>
      <w:r>
        <w:t>奖惩与责任</w:t>
      </w:r>
    </w:p>
    <w:p>
      <w:pPr>
        <w:pStyle w:val="7"/>
        <w:spacing w:before="7"/>
        <w:rPr>
          <w:sz w:val="40"/>
        </w:rPr>
      </w:pPr>
    </w:p>
    <w:p>
      <w:pPr>
        <w:pStyle w:val="7"/>
        <w:spacing w:before="1" w:line="494" w:lineRule="auto"/>
        <w:ind w:left="1540" w:right="1721" w:firstLine="561"/>
        <w:jc w:val="both"/>
      </w:pPr>
      <w:r>
        <w:t>对在突发环境事件应急处理工作中做出突出贡献的先进集体和个人，应当</w:t>
      </w:r>
      <w:r>
        <w:rPr>
          <w:spacing w:val="-11"/>
        </w:rPr>
        <w:t>予以表彰、奖励；对在突发环境事件的预防、报告、调查、控制和应急处置过程</w:t>
      </w:r>
      <w:r>
        <w:rPr>
          <w:spacing w:val="-12"/>
        </w:rPr>
        <w:t>中，玩忽职守、滥用职权、徇私舞弊或失职、渎职，以及其他违法违纪行为的人</w:t>
      </w:r>
      <w:r>
        <w:t>员，依法给予行政处分；构成犯罪的，依法追究刑事责任。</w:t>
      </w:r>
    </w:p>
    <w:p>
      <w:pPr>
        <w:spacing w:after="0" w:line="494" w:lineRule="auto"/>
        <w:jc w:val="both"/>
        <w:sectPr>
          <w:pgSz w:w="11900" w:h="16840"/>
          <w:pgMar w:top="1420" w:right="80" w:bottom="1200" w:left="260" w:header="882" w:footer="1004" w:gutter="0"/>
          <w:cols w:space="720" w:num="1"/>
        </w:sectPr>
      </w:pPr>
    </w:p>
    <w:p>
      <w:pPr>
        <w:pStyle w:val="7"/>
        <w:spacing w:before="12"/>
        <w:rPr>
          <w:sz w:val="8"/>
        </w:rPr>
      </w:pPr>
    </w:p>
    <w:p>
      <w:pPr>
        <w:spacing w:before="37"/>
        <w:ind w:left="1616" w:right="0" w:firstLine="0"/>
        <w:jc w:val="left"/>
        <w:rPr>
          <w:sz w:val="44"/>
        </w:rPr>
      </w:pPr>
      <w:bookmarkStart w:id="261" w:name="第十六章 预案的评估、备案、发布和更新"/>
      <w:bookmarkEnd w:id="261"/>
      <w:bookmarkStart w:id="262" w:name="_bookmark78"/>
      <w:bookmarkEnd w:id="262"/>
      <w:r>
        <w:rPr>
          <w:sz w:val="44"/>
        </w:rPr>
        <w:t>第十六章 预案的评估、备案、发布和更新</w:t>
      </w:r>
    </w:p>
    <w:p>
      <w:pPr>
        <w:pStyle w:val="7"/>
        <w:spacing w:before="12"/>
        <w:rPr>
          <w:sz w:val="35"/>
        </w:rPr>
      </w:pPr>
    </w:p>
    <w:p>
      <w:pPr>
        <w:pStyle w:val="5"/>
        <w:numPr>
          <w:ilvl w:val="1"/>
          <w:numId w:val="76"/>
        </w:numPr>
        <w:bidi w:val="0"/>
      </w:pPr>
      <w:bookmarkStart w:id="263" w:name="16.1 预案评估 "/>
      <w:bookmarkEnd w:id="263"/>
      <w:bookmarkStart w:id="264" w:name="_bookmark79"/>
      <w:bookmarkEnd w:id="264"/>
      <w:bookmarkStart w:id="265" w:name="_bookmark79"/>
      <w:bookmarkEnd w:id="265"/>
      <w:r>
        <w:t>预案评估</w:t>
      </w:r>
    </w:p>
    <w:p>
      <w:pPr>
        <w:pStyle w:val="7"/>
        <w:spacing w:before="166" w:line="494" w:lineRule="auto"/>
        <w:ind w:left="1540" w:right="1721" w:firstLine="561"/>
        <w:jc w:val="both"/>
      </w:pPr>
      <w:r>
        <w:t>环境应急预案草案编制完成后，先在公司内部组织评估小组对预案进行评</w:t>
      </w:r>
      <w:r>
        <w:rPr>
          <w:spacing w:val="-11"/>
        </w:rPr>
        <w:t>估，修改完成后，由公司要求专家对公司环境应急预案进行评估，并按照专家组</w:t>
      </w:r>
      <w:r>
        <w:t>意见修改完善。</w:t>
      </w:r>
    </w:p>
    <w:p>
      <w:pPr>
        <w:pStyle w:val="5"/>
        <w:numPr>
          <w:ilvl w:val="1"/>
          <w:numId w:val="76"/>
        </w:numPr>
        <w:bidi w:val="0"/>
      </w:pPr>
      <w:bookmarkStart w:id="266" w:name="_bookmark80"/>
      <w:bookmarkEnd w:id="266"/>
      <w:bookmarkStart w:id="267" w:name="_bookmark80"/>
      <w:bookmarkEnd w:id="267"/>
      <w:bookmarkStart w:id="268" w:name="16.2 预案的备案 "/>
      <w:bookmarkEnd w:id="268"/>
      <w:r>
        <w:t>预案的备案</w:t>
      </w:r>
    </w:p>
    <w:p>
      <w:pPr>
        <w:pStyle w:val="7"/>
        <w:spacing w:before="166" w:line="496" w:lineRule="auto"/>
        <w:ind w:left="1540" w:right="1721" w:firstLine="561"/>
      </w:pPr>
      <w:r>
        <w:t>本公司编制的环境综合应急预案，应当在本单位主要负责人签署发布之日起20个工作日内报环境保护主管部门备案。</w:t>
      </w:r>
    </w:p>
    <w:p>
      <w:pPr>
        <w:pStyle w:val="5"/>
        <w:numPr>
          <w:ilvl w:val="1"/>
          <w:numId w:val="76"/>
        </w:numPr>
        <w:bidi w:val="0"/>
      </w:pPr>
      <w:bookmarkStart w:id="269" w:name="16.3 预案更新 "/>
      <w:bookmarkEnd w:id="269"/>
      <w:bookmarkStart w:id="270" w:name="_bookmark81"/>
      <w:bookmarkEnd w:id="270"/>
      <w:bookmarkStart w:id="271" w:name="_bookmark81"/>
      <w:bookmarkEnd w:id="271"/>
      <w:r>
        <w:t>预案更新</w:t>
      </w:r>
    </w:p>
    <w:p>
      <w:pPr>
        <w:pStyle w:val="7"/>
        <w:spacing w:before="166"/>
        <w:ind w:left="2101"/>
      </w:pPr>
      <w:r>
        <w:t>环境应急预案每三年至少修订一次； 有下列情形之一的，应当及时进行修</w:t>
      </w:r>
    </w:p>
    <w:p>
      <w:pPr>
        <w:pStyle w:val="7"/>
        <w:spacing w:before="8"/>
        <w:rPr>
          <w:sz w:val="25"/>
        </w:rPr>
      </w:pPr>
    </w:p>
    <w:p>
      <w:pPr>
        <w:pStyle w:val="7"/>
        <w:ind w:left="1540"/>
      </w:pPr>
      <w:r>
        <w:t>订：</w:t>
      </w:r>
    </w:p>
    <w:p>
      <w:pPr>
        <w:pStyle w:val="7"/>
        <w:spacing w:before="6"/>
        <w:rPr>
          <w:sz w:val="25"/>
        </w:rPr>
      </w:pPr>
    </w:p>
    <w:p>
      <w:pPr>
        <w:pStyle w:val="19"/>
        <w:numPr>
          <w:ilvl w:val="2"/>
          <w:numId w:val="76"/>
        </w:numPr>
        <w:tabs>
          <w:tab w:val="left" w:pos="2463"/>
        </w:tabs>
        <w:spacing w:before="0" w:after="0" w:line="494" w:lineRule="auto"/>
        <w:ind w:left="1540" w:right="1721" w:firstLine="561"/>
        <w:jc w:val="both"/>
        <w:rPr>
          <w:sz w:val="24"/>
        </w:rPr>
      </w:pPr>
      <w:r>
        <w:rPr>
          <w:sz w:val="24"/>
        </w:rPr>
        <w:t>本单位生产工艺和技术发生变化的；(2)相关单位和人员发生变化或者</w:t>
      </w:r>
      <w:r>
        <w:rPr>
          <w:spacing w:val="-1"/>
          <w:sz w:val="24"/>
        </w:rPr>
        <w:t>应急组织指挥体系或职责调整的；</w:t>
      </w:r>
      <w:r>
        <w:rPr>
          <w:spacing w:val="-14"/>
          <w:sz w:val="24"/>
        </w:rPr>
        <w:t>(3)</w:t>
      </w:r>
      <w:r>
        <w:rPr>
          <w:spacing w:val="-2"/>
          <w:sz w:val="24"/>
        </w:rPr>
        <w:t>周围环境或者环境敏感点发生变化的；</w:t>
      </w:r>
      <w:r>
        <w:rPr>
          <w:spacing w:val="-19"/>
          <w:sz w:val="24"/>
        </w:rPr>
        <w:t xml:space="preserve">(4) </w:t>
      </w:r>
      <w:r>
        <w:rPr>
          <w:spacing w:val="-8"/>
          <w:sz w:val="24"/>
        </w:rPr>
        <w:t xml:space="preserve">环境应急预案依据的法律、法规、规章等发生变化的； </w:t>
      </w:r>
      <w:r>
        <w:rPr>
          <w:sz w:val="24"/>
        </w:rPr>
        <w:t>(5)</w:t>
      </w:r>
      <w:r>
        <w:rPr>
          <w:spacing w:val="-2"/>
          <w:sz w:val="24"/>
        </w:rPr>
        <w:t>本公司认为应当适时</w:t>
      </w:r>
      <w:r>
        <w:rPr>
          <w:sz w:val="24"/>
        </w:rPr>
        <w:t>修订的其他情形。</w:t>
      </w:r>
    </w:p>
    <w:p>
      <w:pPr>
        <w:pStyle w:val="5"/>
        <w:numPr>
          <w:ilvl w:val="1"/>
          <w:numId w:val="76"/>
        </w:numPr>
        <w:bidi w:val="0"/>
      </w:pPr>
      <w:bookmarkStart w:id="272" w:name="_bookmark82"/>
      <w:bookmarkEnd w:id="272"/>
      <w:bookmarkStart w:id="273" w:name="16.4 预案的发布 "/>
      <w:bookmarkEnd w:id="273"/>
      <w:bookmarkStart w:id="274" w:name="_bookmark82"/>
      <w:bookmarkEnd w:id="274"/>
      <w:r>
        <w:t>预案的发布</w:t>
      </w:r>
    </w:p>
    <w:p>
      <w:pPr>
        <w:pStyle w:val="7"/>
        <w:spacing w:before="166"/>
        <w:ind w:left="2101"/>
      </w:pPr>
      <w:r>
        <w:t>公司应急预案经环保部门评估小组评审后，由总经理签署发布。</w:t>
      </w:r>
    </w:p>
    <w:p>
      <w:pPr>
        <w:pStyle w:val="5"/>
        <w:numPr>
          <w:ilvl w:val="1"/>
          <w:numId w:val="76"/>
        </w:numPr>
        <w:bidi w:val="0"/>
      </w:pPr>
      <w:bookmarkStart w:id="275" w:name="_bookmark83"/>
      <w:bookmarkEnd w:id="275"/>
      <w:bookmarkStart w:id="276" w:name="_bookmark83"/>
      <w:bookmarkEnd w:id="276"/>
      <w:bookmarkStart w:id="277" w:name="16.5 预案实施 "/>
      <w:bookmarkEnd w:id="277"/>
      <w:r>
        <w:t>预案实施</w:t>
      </w:r>
    </w:p>
    <w:p>
      <w:pPr>
        <w:pStyle w:val="7"/>
        <w:spacing w:before="167"/>
        <w:ind w:left="2101"/>
      </w:pPr>
      <w:r>
        <w:t>本预案自发布之日起实施。</w:t>
      </w:r>
    </w:p>
    <w:p>
      <w:pPr>
        <w:spacing w:after="0"/>
        <w:sectPr>
          <w:pgSz w:w="11900" w:h="16840"/>
          <w:pgMar w:top="1420" w:right="80" w:bottom="1200" w:left="260" w:header="882" w:footer="1004" w:gutter="0"/>
          <w:cols w:space="720" w:num="1"/>
        </w:sectPr>
      </w:pPr>
    </w:p>
    <w:p>
      <w:pPr>
        <w:pStyle w:val="7"/>
        <w:rPr>
          <w:sz w:val="20"/>
        </w:rPr>
      </w:pPr>
    </w:p>
    <w:p>
      <w:pPr>
        <w:pStyle w:val="7"/>
        <w:spacing w:before="11"/>
        <w:rPr>
          <w:sz w:val="21"/>
        </w:rPr>
      </w:pPr>
    </w:p>
    <w:p>
      <w:pPr>
        <w:spacing w:before="38"/>
        <w:ind w:left="0" w:right="186" w:firstLine="0"/>
        <w:jc w:val="center"/>
        <w:rPr>
          <w:sz w:val="44"/>
        </w:rPr>
      </w:pPr>
      <w:bookmarkStart w:id="278" w:name="_bookmark84"/>
      <w:bookmarkEnd w:id="278"/>
      <w:bookmarkStart w:id="279" w:name="第十七章 附则"/>
      <w:bookmarkEnd w:id="279"/>
      <w:r>
        <w:rPr>
          <w:sz w:val="44"/>
        </w:rPr>
        <w:t>第十七章 附则</w:t>
      </w:r>
    </w:p>
    <w:p>
      <w:pPr>
        <w:pStyle w:val="7"/>
        <w:spacing w:before="11"/>
        <w:rPr>
          <w:sz w:val="35"/>
        </w:rPr>
      </w:pPr>
    </w:p>
    <w:p>
      <w:pPr>
        <w:pStyle w:val="5"/>
        <w:bidi w:val="0"/>
        <w:ind w:firstLine="1928" w:firstLineChars="600"/>
      </w:pPr>
      <w:bookmarkStart w:id="280" w:name="17.1 术语、符号和代号 "/>
      <w:bookmarkEnd w:id="280"/>
      <w:bookmarkStart w:id="281" w:name="_bookmark85"/>
      <w:bookmarkEnd w:id="281"/>
      <w:bookmarkStart w:id="282" w:name="_bookmark85"/>
      <w:bookmarkEnd w:id="282"/>
      <w:r>
        <w:rPr>
          <w:rFonts w:hint="eastAsia"/>
          <w:lang w:val="en-US" w:eastAsia="zh-CN"/>
        </w:rPr>
        <w:t xml:space="preserve">17.1 </w:t>
      </w:r>
      <w:r>
        <w:t>术语、符号和代号</w:t>
      </w:r>
    </w:p>
    <w:p>
      <w:pPr>
        <w:pStyle w:val="7"/>
        <w:spacing w:before="166"/>
        <w:ind w:right="5554"/>
        <w:jc w:val="center"/>
      </w:pPr>
      <w:r>
        <w:t>1、突发环境事件</w:t>
      </w:r>
    </w:p>
    <w:p>
      <w:pPr>
        <w:pStyle w:val="7"/>
        <w:spacing w:before="6"/>
        <w:rPr>
          <w:sz w:val="25"/>
        </w:rPr>
      </w:pPr>
    </w:p>
    <w:p>
      <w:pPr>
        <w:pStyle w:val="7"/>
        <w:spacing w:line="496" w:lineRule="auto"/>
        <w:ind w:left="1540" w:right="1530" w:firstLine="561"/>
      </w:pPr>
      <w:r>
        <w:t>突发环境事件是指因事件或意外性事件等因素，致使环境受到污染或破坏， 公众的生命健康和财产受到危害或威胁的紧急情况。</w:t>
      </w:r>
    </w:p>
    <w:p>
      <w:pPr>
        <w:pStyle w:val="7"/>
        <w:spacing w:line="304" w:lineRule="exact"/>
        <w:ind w:left="2101"/>
      </w:pPr>
      <w:r>
        <w:t>2、突发环境事件应急预案</w:t>
      </w:r>
    </w:p>
    <w:p>
      <w:pPr>
        <w:pStyle w:val="7"/>
        <w:spacing w:before="6"/>
        <w:rPr>
          <w:sz w:val="25"/>
        </w:rPr>
      </w:pPr>
    </w:p>
    <w:p>
      <w:pPr>
        <w:pStyle w:val="7"/>
        <w:spacing w:line="496" w:lineRule="auto"/>
        <w:ind w:left="1540" w:right="1601" w:firstLine="561"/>
      </w:pPr>
      <w:r>
        <w:t>突发环境事件应急预案是指针对可能发生的突发环境事件，为确保迅速、</w:t>
      </w:r>
      <w:r>
        <w:rPr>
          <w:spacing w:val="-17"/>
        </w:rPr>
        <w:t>有序、高效地开展应急处置，减少人员伤亡和经济损失而预先制定的计划或方案。</w:t>
      </w:r>
    </w:p>
    <w:p>
      <w:pPr>
        <w:pStyle w:val="7"/>
        <w:spacing w:line="304" w:lineRule="exact"/>
        <w:ind w:left="2101"/>
      </w:pPr>
      <w:r>
        <w:t>环境风险：环境风险是指突发环境事件对环境(或健康)的危险程度。</w:t>
      </w:r>
    </w:p>
    <w:p>
      <w:pPr>
        <w:pStyle w:val="7"/>
        <w:spacing w:before="6"/>
        <w:rPr>
          <w:sz w:val="25"/>
        </w:rPr>
      </w:pPr>
    </w:p>
    <w:p>
      <w:pPr>
        <w:pStyle w:val="7"/>
        <w:spacing w:line="496" w:lineRule="auto"/>
        <w:ind w:left="1540" w:right="1721" w:firstLine="561"/>
      </w:pPr>
      <w:r>
        <w:t>危险源：危险源是指可能导致伤害或疾病、财产损失、环境破坏或这些情况组合的根源或状态。</w:t>
      </w:r>
    </w:p>
    <w:p>
      <w:pPr>
        <w:pStyle w:val="7"/>
        <w:spacing w:line="496" w:lineRule="auto"/>
        <w:ind w:left="1540" w:right="1721" w:firstLine="561"/>
      </w:pPr>
      <w:r>
        <w:t>环境敏感点：环境敏感点，参照《建设项目环境影响评价分类管理名录》中“环境敏感区”定义。</w:t>
      </w:r>
    </w:p>
    <w:p>
      <w:pPr>
        <w:pStyle w:val="7"/>
        <w:spacing w:line="494" w:lineRule="auto"/>
        <w:ind w:left="1540" w:right="1598" w:firstLine="561"/>
      </w:pPr>
      <w:r>
        <w:rPr>
          <w:spacing w:val="-9"/>
        </w:rPr>
        <w:t>应急演练：应急演练，是指为检验应急预案的有效性、应急准备的完善性、</w:t>
      </w:r>
      <w:r>
        <w:t>应急响应能力的适应性和应急人员的协同性而进行的一种模拟应急响应的实践活动。</w:t>
      </w:r>
    </w:p>
    <w:p>
      <w:pPr>
        <w:pStyle w:val="5"/>
        <w:bidi w:val="0"/>
        <w:ind w:firstLine="1968" w:firstLineChars="700"/>
        <w:rPr>
          <w:b/>
          <w:sz w:val="28"/>
        </w:rPr>
      </w:pPr>
      <w:bookmarkStart w:id="283" w:name="_bookmark86"/>
      <w:bookmarkEnd w:id="283"/>
      <w:bookmarkStart w:id="284" w:name="_bookmark86"/>
      <w:bookmarkEnd w:id="284"/>
      <w:bookmarkStart w:id="285" w:name="17.2 预案解释部门 "/>
      <w:bookmarkEnd w:id="285"/>
      <w:r>
        <w:rPr>
          <w:rFonts w:hint="eastAsia"/>
          <w:b/>
          <w:sz w:val="28"/>
          <w:lang w:val="en-US" w:eastAsia="zh-CN"/>
        </w:rPr>
        <w:t xml:space="preserve">17.2 </w:t>
      </w:r>
      <w:r>
        <w:rPr>
          <w:b/>
          <w:sz w:val="28"/>
        </w:rPr>
        <w:t>预案解释部门</w:t>
      </w:r>
    </w:p>
    <w:p>
      <w:pPr>
        <w:pStyle w:val="7"/>
        <w:spacing w:before="159"/>
        <w:ind w:left="2101"/>
      </w:pPr>
      <w:r>
        <w:t>本预案由本公司应急指挥办公室负责解释。</w:t>
      </w:r>
    </w:p>
    <w:p>
      <w:pPr>
        <w:spacing w:after="0"/>
        <w:sectPr>
          <w:pgSz w:w="11900" w:h="16840"/>
          <w:pgMar w:top="1420" w:right="80" w:bottom="1200" w:left="260" w:header="882" w:footer="1004" w:gutter="0"/>
          <w:cols w:space="720" w:num="1"/>
        </w:sectPr>
      </w:pPr>
    </w:p>
    <w:p>
      <w:pPr>
        <w:spacing w:before="91" w:after="16"/>
        <w:ind w:left="1540" w:right="0" w:firstLine="0"/>
        <w:jc w:val="left"/>
        <w:rPr>
          <w:rFonts w:hint="default" w:eastAsia="宋体"/>
          <w:b/>
          <w:sz w:val="28"/>
          <w:lang w:val="en-US" w:eastAsia="zh-CN"/>
        </w:rPr>
      </w:pPr>
      <w:bookmarkStart w:id="286" w:name="附件1：总平面布置图"/>
      <w:bookmarkEnd w:id="286"/>
      <w:r>
        <w:rPr>
          <w:b/>
          <w:sz w:val="28"/>
        </w:rPr>
        <w:t>附件1：</w:t>
      </w:r>
      <w:r>
        <w:rPr>
          <w:rFonts w:hint="eastAsia"/>
          <w:b/>
          <w:sz w:val="28"/>
          <w:lang w:val="en-US" w:eastAsia="zh-CN"/>
        </w:rPr>
        <w:t>厂区应急处置卡</w:t>
      </w:r>
    </w:p>
    <w:p>
      <w:pPr>
        <w:jc w:val="center"/>
        <w:outlineLvl w:val="9"/>
        <w:rPr>
          <w:rFonts w:hint="eastAsia" w:ascii="Times New Roman" w:hAnsi="Times New Roman" w:cs="Times New Roman"/>
          <w:color w:val="000000" w:themeColor="text1"/>
          <w:sz w:val="28"/>
          <w:szCs w:val="28"/>
          <w:lang w:val="en-US" w:eastAsia="zh-CN"/>
          <w14:textFill>
            <w14:solidFill>
              <w14:schemeClr w14:val="tx1"/>
            </w14:solidFill>
          </w14:textFill>
        </w:rPr>
      </w:pPr>
      <w:bookmarkStart w:id="287" w:name="_Toc6960"/>
      <w:r>
        <w:rPr>
          <w:rFonts w:hint="eastAsia" w:ascii="Times New Roman" w:hAnsi="Times New Roman" w:cs="Times New Roman"/>
          <w:color w:val="000000" w:themeColor="text1"/>
          <w:sz w:val="28"/>
          <w:szCs w:val="28"/>
          <w:lang w:val="en-US" w:eastAsia="zh-CN"/>
          <w14:textFill>
            <w14:solidFill>
              <w14:schemeClr w14:val="tx1"/>
            </w14:solidFill>
          </w14:textFill>
        </w:rPr>
        <w:t>化学品暂存区（原料库、成品库）事故应急处置</w:t>
      </w:r>
      <w:bookmarkEnd w:id="287"/>
    </w:p>
    <w:tbl>
      <w:tblPr>
        <w:tblStyle w:val="15"/>
        <w:tblW w:w="4403" w:type="pct"/>
        <w:tblInd w:w="508" w:type="dxa"/>
        <w:tblLayout w:type="autofit"/>
        <w:tblCellMar>
          <w:top w:w="0" w:type="dxa"/>
          <w:left w:w="0" w:type="dxa"/>
          <w:bottom w:w="0" w:type="dxa"/>
          <w:right w:w="0" w:type="dxa"/>
        </w:tblCellMar>
      </w:tblPr>
      <w:tblGrid>
        <w:gridCol w:w="1512"/>
        <w:gridCol w:w="4403"/>
        <w:gridCol w:w="2817"/>
        <w:gridCol w:w="588"/>
        <w:gridCol w:w="886"/>
      </w:tblGrid>
      <w:tr>
        <w:tblPrEx>
          <w:tblCellMar>
            <w:top w:w="0" w:type="dxa"/>
            <w:left w:w="0" w:type="dxa"/>
            <w:bottom w:w="0" w:type="dxa"/>
            <w:right w:w="0" w:type="dxa"/>
          </w:tblCellMar>
        </w:tblPrEx>
        <w:trPr>
          <w:trHeight w:val="340" w:hRule="atLeast"/>
        </w:trPr>
        <w:tc>
          <w:tcPr>
            <w:tcW w:w="5000" w:type="pct"/>
            <w:gridSpan w:val="5"/>
            <w:tcBorders>
              <w:top w:val="single" w:color="000000" w:sz="12" w:space="0"/>
              <w:left w:val="single" w:color="000000" w:sz="12" w:space="0"/>
              <w:bottom w:val="nil"/>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一、事故特征</w:t>
            </w:r>
          </w:p>
        </w:tc>
      </w:tr>
      <w:tr>
        <w:tblPrEx>
          <w:tblCellMar>
            <w:top w:w="0" w:type="dxa"/>
            <w:left w:w="0" w:type="dxa"/>
            <w:bottom w:w="0" w:type="dxa"/>
            <w:right w:w="0" w:type="dxa"/>
          </w:tblCellMar>
        </w:tblPrEx>
        <w:trPr>
          <w:trHeight w:val="9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危险物质</w:t>
            </w:r>
          </w:p>
        </w:tc>
        <w:tc>
          <w:tcPr>
            <w:tcW w:w="2157" w:type="pct"/>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default" w:ascii="Times New Roman" w:hAnsi="Times New Roman" w:eastAsia="宋体" w:cs="Times New Roman"/>
                <w:color w:val="000000"/>
                <w:sz w:val="21"/>
                <w:szCs w:val="21"/>
              </w:rPr>
              <w:t>环己酮</w:t>
            </w:r>
            <w:r>
              <w:rPr>
                <w:rFonts w:hint="eastAsia"/>
                <w:color w:val="000000" w:themeColor="text1"/>
                <w:szCs w:val="21"/>
                <w14:textFill>
                  <w14:solidFill>
                    <w14:schemeClr w14:val="tx1"/>
                  </w14:solidFill>
                </w14:textFill>
              </w:rPr>
              <w:t>、</w:t>
            </w:r>
            <w:r>
              <w:rPr>
                <w:rFonts w:hint="default" w:ascii="Times New Roman" w:hAnsi="Times New Roman" w:eastAsia="宋体" w:cs="Times New Roman"/>
                <w:color w:val="000000"/>
                <w:sz w:val="21"/>
                <w:szCs w:val="21"/>
              </w:rPr>
              <w:t>二甲苯异构体混合物</w:t>
            </w:r>
            <w:r>
              <w:rPr>
                <w:rFonts w:hint="eastAsia"/>
                <w:color w:val="000000" w:themeColor="text1"/>
                <w:szCs w:val="21"/>
                <w14:textFill>
                  <w14:solidFill>
                    <w14:schemeClr w14:val="tx1"/>
                  </w14:solidFill>
                </w14:textFill>
              </w:rPr>
              <w:t>、</w:t>
            </w:r>
            <w:r>
              <w:rPr>
                <w:rFonts w:hint="default" w:ascii="Times New Roman" w:hAnsi="Times New Roman" w:eastAsia="宋体" w:cs="Times New Roman"/>
                <w:color w:val="000000"/>
                <w:sz w:val="21"/>
                <w:szCs w:val="21"/>
              </w:rPr>
              <w:t>正丁醇</w:t>
            </w:r>
            <w:r>
              <w:rPr>
                <w:rFonts w:hint="eastAsia"/>
                <w:color w:val="000000" w:themeColor="text1"/>
                <w:szCs w:val="21"/>
                <w:lang w:eastAsia="zh-CN"/>
                <w14:textFill>
                  <w14:solidFill>
                    <w14:schemeClr w14:val="tx1"/>
                  </w14:solidFill>
                </w14:textFill>
              </w:rPr>
              <w:t>、</w:t>
            </w:r>
            <w:r>
              <w:rPr>
                <w:rFonts w:hint="default" w:ascii="Times New Roman" w:hAnsi="Times New Roman" w:eastAsia="宋体" w:cs="Times New Roman"/>
                <w:color w:val="000000"/>
                <w:sz w:val="21"/>
                <w:szCs w:val="21"/>
              </w:rPr>
              <w:t>2-丙醇</w:t>
            </w:r>
            <w:r>
              <w:rPr>
                <w:rFonts w:hint="eastAsia"/>
                <w:color w:val="000000" w:themeColor="text1"/>
                <w:szCs w:val="21"/>
                <w14:textFill>
                  <w14:solidFill>
                    <w14:schemeClr w14:val="tx1"/>
                  </w14:solidFill>
                </w14:textFill>
              </w:rPr>
              <w:t>等</w:t>
            </w:r>
          </w:p>
        </w:tc>
        <w:tc>
          <w:tcPr>
            <w:tcW w:w="1668"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可能发生的事故类型</w:t>
            </w:r>
          </w:p>
        </w:tc>
        <w:tc>
          <w:tcPr>
            <w:tcW w:w="432" w:type="pct"/>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火灾、</w:t>
            </w:r>
            <w:r>
              <w:rPr>
                <w:rFonts w:hint="eastAsia"/>
                <w:color w:val="000000" w:themeColor="text1"/>
                <w:szCs w:val="21"/>
                <w:lang w:val="en-US" w:eastAsia="zh-CN"/>
                <w14:textFill>
                  <w14:solidFill>
                    <w14:schemeClr w14:val="tx1"/>
                  </w14:solidFill>
                </w14:textFill>
              </w:rPr>
              <w:t>化学品</w:t>
            </w:r>
            <w:r>
              <w:rPr>
                <w:rFonts w:hint="eastAsia"/>
                <w:color w:val="000000" w:themeColor="text1"/>
                <w:szCs w:val="21"/>
                <w14:textFill>
                  <w14:solidFill>
                    <w14:schemeClr w14:val="tx1"/>
                  </w14:solidFill>
                </w14:textFill>
              </w:rPr>
              <w:t>泄漏</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事故发生区域</w:t>
            </w:r>
          </w:p>
        </w:tc>
        <w:tc>
          <w:tcPr>
            <w:tcW w:w="4258" w:type="pct"/>
            <w:gridSpan w:val="4"/>
            <w:tcBorders>
              <w:top w:val="nil"/>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化学品</w:t>
            </w:r>
            <w:r>
              <w:rPr>
                <w:rFonts w:hint="eastAsia"/>
                <w:color w:val="000000" w:themeColor="text1"/>
                <w:szCs w:val="21"/>
                <w14:textFill>
                  <w14:solidFill>
                    <w14:schemeClr w14:val="tx1"/>
                  </w14:solidFill>
                </w14:textFill>
              </w:rPr>
              <w:t>暂存区</w:t>
            </w:r>
            <w:r>
              <w:rPr>
                <w:rFonts w:hint="eastAsia"/>
                <w:color w:val="000000" w:themeColor="text1"/>
                <w:szCs w:val="21"/>
                <w:lang w:eastAsia="zh-CN"/>
                <w14:textFill>
                  <w14:solidFill>
                    <w14:schemeClr w14:val="tx1"/>
                  </w14:solidFill>
                </w14:textFill>
              </w:rPr>
              <w:t>（</w:t>
            </w:r>
            <w:r>
              <w:rPr>
                <w:rFonts w:hint="eastAsia"/>
                <w:color w:val="000000" w:themeColor="text1"/>
                <w:szCs w:val="21"/>
                <w:lang w:val="en-US" w:eastAsia="zh-CN"/>
                <w14:textFill>
                  <w14:solidFill>
                    <w14:schemeClr w14:val="tx1"/>
                  </w14:solidFill>
                </w14:textFill>
              </w:rPr>
              <w:t>原料库、成品库</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事故危害程度</w:t>
            </w:r>
          </w:p>
        </w:tc>
        <w:tc>
          <w:tcPr>
            <w:tcW w:w="4258"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可能对环境空气、地下水造成污染。</w:t>
            </w:r>
          </w:p>
        </w:tc>
      </w:tr>
      <w:tr>
        <w:tblPrEx>
          <w:tblCellMar>
            <w:top w:w="0" w:type="dxa"/>
            <w:left w:w="0" w:type="dxa"/>
            <w:bottom w:w="0" w:type="dxa"/>
            <w:right w:w="0" w:type="dxa"/>
          </w:tblCellMar>
        </w:tblPrEx>
        <w:trPr>
          <w:trHeight w:val="340" w:hRule="atLeast"/>
        </w:trPr>
        <w:tc>
          <w:tcPr>
            <w:tcW w:w="5000" w:type="pct"/>
            <w:gridSpan w:val="5"/>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二、应急处置</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处置程序</w:t>
            </w:r>
          </w:p>
        </w:tc>
        <w:tc>
          <w:tcPr>
            <w:tcW w:w="3537"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处置措施</w:t>
            </w:r>
          </w:p>
        </w:tc>
        <w:tc>
          <w:tcPr>
            <w:tcW w:w="721"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责任人或责任单位</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事故报告</w:t>
            </w:r>
          </w:p>
        </w:tc>
        <w:tc>
          <w:tcPr>
            <w:tcW w:w="3537"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发现险情人员应第一时间向应急救援指挥部报告，内容包括事故地点、类型及影响范围。</w:t>
            </w:r>
          </w:p>
        </w:tc>
        <w:tc>
          <w:tcPr>
            <w:tcW w:w="721"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发现险情人员</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应急准备</w:t>
            </w:r>
          </w:p>
        </w:tc>
        <w:tc>
          <w:tcPr>
            <w:tcW w:w="3537"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针对不同事故类型，准备消防、应急物资，组织应急小组人员进行救援。</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p>
        </w:tc>
        <w:tc>
          <w:tcPr>
            <w:tcW w:w="721"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应急指挥部</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化学品</w:t>
            </w:r>
            <w:r>
              <w:rPr>
                <w:rFonts w:hint="eastAsia"/>
                <w:color w:val="000000" w:themeColor="text1"/>
                <w:szCs w:val="21"/>
                <w14:textFill>
                  <w14:solidFill>
                    <w14:schemeClr w14:val="tx1"/>
                  </w14:solidFill>
                </w14:textFill>
              </w:rPr>
              <w:t>泄漏现场处置</w:t>
            </w:r>
          </w:p>
        </w:tc>
        <w:tc>
          <w:tcPr>
            <w:tcW w:w="3537"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泄漏，有可能造成地下水污染，同时有可能对环境空气造成污染，其现场处置方案如下：</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（1）利用不产生电火花的工具将地面能收集的</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进行收集。</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（2）关闭污染物质通往厂外的所有污水管线或明沟阀门，以防污染物排入水体。</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（3）用清水和洗消药水进行清洗，并将产生的清洗废水交由</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处置单位进行处理。</w:t>
            </w:r>
          </w:p>
        </w:tc>
        <w:tc>
          <w:tcPr>
            <w:tcW w:w="721"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抢险救援组</w:t>
            </w:r>
            <w:r>
              <w:rPr>
                <w:rFonts w:hint="eastAsia"/>
                <w:color w:val="000000" w:themeColor="text1"/>
                <w:szCs w:val="21"/>
                <w14:textFill>
                  <w14:solidFill>
                    <w14:schemeClr w14:val="tx1"/>
                  </w14:solidFill>
                </w14:textFill>
              </w:rPr>
              <w:t>为主、其他应急小组为辅</w:t>
            </w:r>
          </w:p>
        </w:tc>
      </w:tr>
      <w:tr>
        <w:tblPrEx>
          <w:tblCellMar>
            <w:top w:w="0" w:type="dxa"/>
            <w:left w:w="0" w:type="dxa"/>
            <w:bottom w:w="0" w:type="dxa"/>
            <w:right w:w="0" w:type="dxa"/>
          </w:tblCellMar>
        </w:tblPrEx>
        <w:trPr>
          <w:trHeight w:val="34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火灾现场处置</w:t>
            </w:r>
          </w:p>
        </w:tc>
        <w:tc>
          <w:tcPr>
            <w:tcW w:w="3537"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暂存区若发生火灾，其消防废水有可能造成水体污染，其现场处置方案如下：</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（1）当</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暂存区发生初期火险时，发现险情人员应立即拉响报警器。</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（2）关闭污染物质通往厂外的所有污水管线或明沟阀门，以防污染物排入水体。</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（3）迅速撤离伤员至安全区，并对事故现场进行隔离，严格限值人员出入。</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（4）组织人员进行消防作业，如火势无法控制，应立即撤离，并请求所在区公安消防队进行支援。</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（5）事故扩大，本厂内无法控制时，应立即拨打报警电话进行求助，并告知周边企业、居民区进行应急疏散。</w:t>
            </w:r>
          </w:p>
        </w:tc>
        <w:tc>
          <w:tcPr>
            <w:tcW w:w="721"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抢险救援组</w:t>
            </w:r>
            <w:r>
              <w:rPr>
                <w:rFonts w:hint="eastAsia"/>
                <w:color w:val="000000" w:themeColor="text1"/>
                <w:szCs w:val="21"/>
                <w14:textFill>
                  <w14:solidFill>
                    <w14:schemeClr w14:val="tx1"/>
                  </w14:solidFill>
                </w14:textFill>
              </w:rPr>
              <w:t>为主、其他应急小组为辅</w:t>
            </w:r>
          </w:p>
        </w:tc>
      </w:tr>
      <w:tr>
        <w:tblPrEx>
          <w:tblCellMar>
            <w:top w:w="0" w:type="dxa"/>
            <w:left w:w="0" w:type="dxa"/>
            <w:bottom w:w="0" w:type="dxa"/>
            <w:right w:w="0" w:type="dxa"/>
          </w:tblCellMar>
        </w:tblPrEx>
        <w:trPr>
          <w:trHeight w:val="51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处置程序</w:t>
            </w:r>
          </w:p>
        </w:tc>
        <w:tc>
          <w:tcPr>
            <w:tcW w:w="3537"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处置措施</w:t>
            </w:r>
          </w:p>
        </w:tc>
        <w:tc>
          <w:tcPr>
            <w:tcW w:w="721"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责任人或责任单位</w:t>
            </w:r>
          </w:p>
        </w:tc>
      </w:tr>
      <w:tr>
        <w:tblPrEx>
          <w:tblCellMar>
            <w:top w:w="0" w:type="dxa"/>
            <w:left w:w="0" w:type="dxa"/>
            <w:bottom w:w="0" w:type="dxa"/>
            <w:right w:w="0" w:type="dxa"/>
          </w:tblCellMar>
        </w:tblPrEx>
        <w:trPr>
          <w:trHeight w:val="510" w:hRule="atLeast"/>
        </w:trPr>
        <w:tc>
          <w:tcPr>
            <w:tcW w:w="741" w:type="pct"/>
            <w:tcBorders>
              <w:top w:val="single" w:color="000000" w:sz="4" w:space="0"/>
              <w:left w:val="single" w:color="000000" w:sz="12" w:space="0"/>
              <w:bottom w:val="single" w:color="000000" w:sz="12"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受伤人员现场处置</w:t>
            </w:r>
          </w:p>
        </w:tc>
        <w:tc>
          <w:tcPr>
            <w:tcW w:w="3537" w:type="pct"/>
            <w:gridSpan w:val="2"/>
            <w:tcBorders>
              <w:top w:val="single" w:color="000000" w:sz="4" w:space="0"/>
              <w:left w:val="single" w:color="000000" w:sz="4" w:space="0"/>
              <w:bottom w:val="single" w:color="000000" w:sz="12"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若现场发现窒息者，应立即将窒息人员转移出污染区。保持呼吸道通畅。如呼吸困难，给输氧。如呼吸停止，立即进行人工呼吸，就医。</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p>
        </w:tc>
        <w:tc>
          <w:tcPr>
            <w:tcW w:w="721" w:type="pct"/>
            <w:gridSpan w:val="2"/>
            <w:tcBorders>
              <w:top w:val="single" w:color="000000" w:sz="4" w:space="0"/>
              <w:left w:val="single" w:color="000000" w:sz="4" w:space="0"/>
              <w:bottom w:val="single" w:color="000000" w:sz="12"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抢险救援</w:t>
            </w:r>
            <w:r>
              <w:rPr>
                <w:rFonts w:hint="eastAsia"/>
                <w:color w:val="000000" w:themeColor="text1"/>
                <w:szCs w:val="21"/>
                <w14:textFill>
                  <w14:solidFill>
                    <w14:schemeClr w14:val="tx1"/>
                  </w14:solidFill>
                </w14:textFill>
              </w:rPr>
              <w:t>组为主、其他应急小组为辅</w:t>
            </w:r>
          </w:p>
        </w:tc>
      </w:tr>
      <w:tr>
        <w:tblPrEx>
          <w:tblCellMar>
            <w:top w:w="0" w:type="dxa"/>
            <w:left w:w="0" w:type="dxa"/>
            <w:bottom w:w="0" w:type="dxa"/>
            <w:right w:w="0" w:type="dxa"/>
          </w:tblCellMar>
        </w:tblPrEx>
        <w:trPr>
          <w:trHeight w:val="510" w:hRule="atLeast"/>
        </w:trPr>
        <w:tc>
          <w:tcPr>
            <w:tcW w:w="5000" w:type="pct"/>
            <w:gridSpan w:val="5"/>
            <w:tcBorders>
              <w:top w:val="single" w:color="000000" w:sz="12"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三、人员疏散和隔离</w:t>
            </w:r>
          </w:p>
        </w:tc>
      </w:tr>
      <w:tr>
        <w:tblPrEx>
          <w:tblCellMar>
            <w:top w:w="0" w:type="dxa"/>
            <w:left w:w="0" w:type="dxa"/>
            <w:bottom w:w="0" w:type="dxa"/>
            <w:right w:w="0" w:type="dxa"/>
          </w:tblCellMar>
        </w:tblPrEx>
        <w:trPr>
          <w:trHeight w:val="51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危险区隔离</w:t>
            </w:r>
          </w:p>
        </w:tc>
        <w:tc>
          <w:tcPr>
            <w:tcW w:w="4258"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本厂</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储存量较少，均为临时存储，定期由有资质的单位进行处理。一般情况下，对环境危害较小，若</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暂存区发生事故均能控制在厂区范围内，因而若</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发生泄漏或发生火灾，其危险隔离区域分为一、二、三级。</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（1）一级区域，</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暂存区，在此区域内应采取适当的稀释、收容、处置措施，此区域禁止其他人进入。</w:t>
            </w:r>
          </w:p>
        </w:tc>
      </w:tr>
      <w:tr>
        <w:tblPrEx>
          <w:tblCellMar>
            <w:top w:w="0" w:type="dxa"/>
            <w:left w:w="0" w:type="dxa"/>
            <w:bottom w:w="0" w:type="dxa"/>
            <w:right w:w="0" w:type="dxa"/>
          </w:tblCellMar>
        </w:tblPrEx>
        <w:trPr>
          <w:trHeight w:val="51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危险区隔离</w:t>
            </w:r>
          </w:p>
        </w:tc>
        <w:tc>
          <w:tcPr>
            <w:tcW w:w="4258"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（4）二级区域，</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暂存区50米，此区域应设专人监管，杜绝无关人员进入。</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（5）三级区域，距</w:t>
            </w:r>
            <w:r>
              <w:rPr>
                <w:rFonts w:hint="eastAsia"/>
                <w:color w:val="000000" w:themeColor="text1"/>
                <w:szCs w:val="21"/>
                <w:lang w:eastAsia="zh-CN"/>
                <w14:textFill>
                  <w14:solidFill>
                    <w14:schemeClr w14:val="tx1"/>
                  </w14:solidFill>
                </w14:textFill>
              </w:rPr>
              <w:t>化学品</w:t>
            </w:r>
            <w:r>
              <w:rPr>
                <w:rFonts w:hint="eastAsia"/>
                <w:color w:val="000000" w:themeColor="text1"/>
                <w:szCs w:val="21"/>
                <w14:textFill>
                  <w14:solidFill>
                    <w14:schemeClr w14:val="tx1"/>
                  </w14:solidFill>
                </w14:textFill>
              </w:rPr>
              <w:t>暂存区50米至100米左右。</w:t>
            </w:r>
          </w:p>
        </w:tc>
      </w:tr>
      <w:tr>
        <w:tblPrEx>
          <w:tblCellMar>
            <w:top w:w="0" w:type="dxa"/>
            <w:left w:w="0" w:type="dxa"/>
            <w:bottom w:w="0" w:type="dxa"/>
            <w:right w:w="0" w:type="dxa"/>
          </w:tblCellMar>
        </w:tblPrEx>
        <w:trPr>
          <w:trHeight w:val="510" w:hRule="atLeast"/>
        </w:trPr>
        <w:tc>
          <w:tcPr>
            <w:tcW w:w="741"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人员疏散撤离方法</w:t>
            </w:r>
          </w:p>
        </w:tc>
        <w:tc>
          <w:tcPr>
            <w:tcW w:w="4258"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由本厂应急救援指挥部统一领导，疏散警戒组负责指挥，做好防护，向上风侧疏散撤离，并在安全区域内进行急救。</w:t>
            </w:r>
          </w:p>
        </w:tc>
      </w:tr>
      <w:tr>
        <w:tblPrEx>
          <w:tblCellMar>
            <w:top w:w="0" w:type="dxa"/>
            <w:left w:w="0" w:type="dxa"/>
            <w:bottom w:w="0" w:type="dxa"/>
            <w:right w:w="0" w:type="dxa"/>
          </w:tblCellMar>
        </w:tblPrEx>
        <w:trPr>
          <w:trHeight w:val="510" w:hRule="atLeast"/>
        </w:trPr>
        <w:tc>
          <w:tcPr>
            <w:tcW w:w="741" w:type="pct"/>
            <w:vMerge w:val="restar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事故扩大事故报告及联络方式</w:t>
            </w:r>
          </w:p>
        </w:tc>
        <w:tc>
          <w:tcPr>
            <w:tcW w:w="4258"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事故报告内容要求：事故部位、事故类型、可见或预计事故发展方向、预计将受威胁的区域、已采取和准备采取的防治措施等。</w:t>
            </w:r>
          </w:p>
        </w:tc>
      </w:tr>
      <w:tr>
        <w:tblPrEx>
          <w:tblCellMar>
            <w:top w:w="0" w:type="dxa"/>
            <w:left w:w="0" w:type="dxa"/>
            <w:bottom w:w="0" w:type="dxa"/>
            <w:right w:w="0" w:type="dxa"/>
          </w:tblCellMar>
        </w:tblPrEx>
        <w:trPr>
          <w:trHeight w:val="510" w:hRule="atLeast"/>
        </w:trPr>
        <w:tc>
          <w:tcPr>
            <w:tcW w:w="741" w:type="pct"/>
            <w:vMerge w:val="continue"/>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p>
        </w:tc>
        <w:tc>
          <w:tcPr>
            <w:tcW w:w="4258"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公司应急办公室：</w:t>
            </w:r>
            <w:r>
              <w:rPr>
                <w:rFonts w:hint="eastAsia" w:ascii="宋体" w:hAnsi="宋体"/>
                <w:color w:val="000000" w:themeColor="text1"/>
                <w:szCs w:val="21"/>
                <w:lang w:val="en-US" w:eastAsia="zh-CN"/>
                <w14:textFill>
                  <w14:solidFill>
                    <w14:schemeClr w14:val="tx1"/>
                  </w14:solidFill>
                </w14:textFill>
              </w:rPr>
              <w:t>0795-6520777</w:t>
            </w:r>
          </w:p>
          <w:p>
            <w:pPr>
              <w:keepNext w:val="0"/>
              <w:keepLines w:val="0"/>
              <w:suppressLineNumbers w:val="0"/>
              <w:spacing w:before="0" w:beforeAutospacing="0" w:after="0" w:afterAutospacing="0" w:line="240" w:lineRule="auto"/>
              <w:ind w:left="0" w:right="0"/>
              <w:jc w:val="left"/>
              <w:rPr>
                <w:rFonts w:hint="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公司安</w:t>
            </w:r>
            <w:r>
              <w:rPr>
                <w:rFonts w:hint="eastAsia" w:ascii="宋体" w:hAnsi="宋体"/>
                <w:color w:val="000000" w:themeColor="text1"/>
                <w:szCs w:val="21"/>
                <w:lang w:eastAsia="zh-CN"/>
                <w14:textFill>
                  <w14:solidFill>
                    <w14:schemeClr w14:val="tx1"/>
                  </w14:solidFill>
                </w14:textFill>
              </w:rPr>
              <w:t>环</w:t>
            </w:r>
            <w:r>
              <w:rPr>
                <w:rFonts w:hint="eastAsia" w:ascii="宋体" w:hAnsi="宋体"/>
                <w:color w:val="000000" w:themeColor="text1"/>
                <w:szCs w:val="21"/>
                <w14:textFill>
                  <w14:solidFill>
                    <w14:schemeClr w14:val="tx1"/>
                  </w14:solidFill>
                </w14:textFill>
              </w:rPr>
              <w:t>部：</w:t>
            </w:r>
            <w:r>
              <w:rPr>
                <w:rFonts w:hint="eastAsia" w:ascii="宋体" w:eastAsia="宋体"/>
                <w:sz w:val="24"/>
              </w:rPr>
              <w:t>宋灿</w:t>
            </w:r>
            <w:r>
              <w:rPr>
                <w:rFonts w:ascii="宋体"/>
                <w:sz w:val="24"/>
              </w:rPr>
              <w:t>1376755301</w:t>
            </w:r>
            <w:r>
              <w:rPr>
                <w:rFonts w:hint="eastAsia" w:ascii="宋体"/>
                <w:sz w:val="24"/>
                <w:lang w:val="en-US" w:eastAsia="zh-CN"/>
              </w:rPr>
              <w:t>5</w:t>
            </w:r>
            <w:r>
              <w:rPr>
                <w:rFonts w:hint="eastAsia" w:ascii="宋体" w:hAnsi="宋体"/>
                <w:color w:val="000000" w:themeColor="text1"/>
                <w:szCs w:val="21"/>
                <w14:textFill>
                  <w14:solidFill>
                    <w14:schemeClr w14:val="tx1"/>
                  </w14:solidFill>
                </w14:textFill>
              </w:rPr>
              <w:t xml:space="preserve">   火灾119、救护120</w:t>
            </w:r>
          </w:p>
        </w:tc>
      </w:tr>
      <w:tr>
        <w:tblPrEx>
          <w:tblCellMar>
            <w:top w:w="0" w:type="dxa"/>
            <w:left w:w="0" w:type="dxa"/>
            <w:bottom w:w="0" w:type="dxa"/>
            <w:right w:w="0" w:type="dxa"/>
          </w:tblCellMar>
        </w:tblPrEx>
        <w:trPr>
          <w:trHeight w:val="470" w:hRule="atLeast"/>
        </w:trPr>
        <w:tc>
          <w:tcPr>
            <w:tcW w:w="5000" w:type="pct"/>
            <w:gridSpan w:val="5"/>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四、应急人员防护、监护措施</w:t>
            </w:r>
          </w:p>
        </w:tc>
      </w:tr>
      <w:tr>
        <w:tblPrEx>
          <w:tblCellMar>
            <w:top w:w="0" w:type="dxa"/>
            <w:left w:w="0" w:type="dxa"/>
            <w:bottom w:w="0" w:type="dxa"/>
            <w:right w:w="0" w:type="dxa"/>
          </w:tblCellMar>
        </w:tblPrEx>
        <w:trPr>
          <w:trHeight w:val="510" w:hRule="atLeast"/>
        </w:trPr>
        <w:tc>
          <w:tcPr>
            <w:tcW w:w="5000" w:type="pct"/>
            <w:gridSpan w:val="5"/>
            <w:tcBorders>
              <w:top w:val="single" w:color="000000" w:sz="4" w:space="0"/>
              <w:left w:val="single" w:color="000000" w:sz="12"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（1）应急人员应佩戴全身防火服进行消防作业或其他应急抢险作业。</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（2）现场人员在在保证自身安全的前提下，采取积极有效的方法和措施进行自救和互救。不具备抢救条件时应尽快组织撤离。</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（3）在自救或互救时，严禁各行其是和单独行动，提高预防爆炸、烧伤和中毒的警惕性，避免再生事故的发生。</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（4）应急救援结束后，做好现场检查、人员清点等工作。</w:t>
            </w:r>
          </w:p>
        </w:tc>
      </w:tr>
      <w:tr>
        <w:tblPrEx>
          <w:tblCellMar>
            <w:top w:w="0" w:type="dxa"/>
            <w:left w:w="0" w:type="dxa"/>
            <w:bottom w:w="0" w:type="dxa"/>
            <w:right w:w="0" w:type="dxa"/>
          </w:tblCellMar>
        </w:tblPrEx>
        <w:trPr>
          <w:trHeight w:val="510" w:hRule="atLeast"/>
        </w:trPr>
        <w:tc>
          <w:tcPr>
            <w:tcW w:w="5000" w:type="pct"/>
            <w:gridSpan w:val="5"/>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五、应急监测</w:t>
            </w:r>
          </w:p>
        </w:tc>
      </w:tr>
      <w:tr>
        <w:tblPrEx>
          <w:tblCellMar>
            <w:top w:w="0" w:type="dxa"/>
            <w:left w:w="0" w:type="dxa"/>
            <w:bottom w:w="0" w:type="dxa"/>
            <w:right w:w="0" w:type="dxa"/>
          </w:tblCellMar>
        </w:tblPrEx>
        <w:trPr>
          <w:trHeight w:val="510" w:hRule="atLeast"/>
        </w:trPr>
        <w:tc>
          <w:tcPr>
            <w:tcW w:w="5000" w:type="pct"/>
            <w:gridSpan w:val="5"/>
            <w:tcBorders>
              <w:top w:val="single" w:color="000000" w:sz="4" w:space="0"/>
              <w:left w:val="single" w:color="000000" w:sz="12"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（1）对水体中PH值进行监测。</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（2）选择合适点位，对空气中有害浓度进行监测。</w:t>
            </w:r>
          </w:p>
        </w:tc>
      </w:tr>
      <w:tr>
        <w:tblPrEx>
          <w:tblCellMar>
            <w:top w:w="0" w:type="dxa"/>
            <w:left w:w="0" w:type="dxa"/>
            <w:bottom w:w="0" w:type="dxa"/>
            <w:right w:w="0" w:type="dxa"/>
          </w:tblCellMar>
        </w:tblPrEx>
        <w:trPr>
          <w:trHeight w:val="510" w:hRule="atLeast"/>
        </w:trPr>
        <w:tc>
          <w:tcPr>
            <w:tcW w:w="5000" w:type="pct"/>
            <w:gridSpan w:val="5"/>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六、现场洗消</w:t>
            </w:r>
          </w:p>
        </w:tc>
      </w:tr>
      <w:tr>
        <w:tblPrEx>
          <w:tblCellMar>
            <w:top w:w="0" w:type="dxa"/>
            <w:left w:w="0" w:type="dxa"/>
            <w:bottom w:w="0" w:type="dxa"/>
            <w:right w:w="0" w:type="dxa"/>
          </w:tblCellMar>
        </w:tblPrEx>
        <w:trPr>
          <w:trHeight w:val="510" w:hRule="atLeast"/>
        </w:trPr>
        <w:tc>
          <w:tcPr>
            <w:tcW w:w="5000" w:type="pct"/>
            <w:gridSpan w:val="5"/>
            <w:tcBorders>
              <w:top w:val="single" w:color="000000" w:sz="4" w:space="0"/>
              <w:left w:val="single" w:color="000000" w:sz="12" w:space="0"/>
              <w:bottom w:val="single" w:color="000000" w:sz="12"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（1）在三级区域外围安全区设立洗消站。</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（2）使用相应洗消药剂。</w:t>
            </w:r>
          </w:p>
          <w:p>
            <w:pPr>
              <w:keepNext w:val="0"/>
              <w:keepLines w:val="0"/>
              <w:suppressLineNumbers w:val="0"/>
              <w:spacing w:before="0" w:beforeAutospacing="0" w:after="0" w:afterAutospacing="0" w:line="240" w:lineRule="auto"/>
              <w:ind w:left="0" w:right="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（3）洗消废水及可能产生的洗消废物应交有资质的单位进行处理，以防造成次生灾害。</w:t>
            </w:r>
          </w:p>
        </w:tc>
      </w:tr>
    </w:tbl>
    <w:p>
      <w:pPr>
        <w:ind w:left="0" w:leftChars="0" w:firstLine="0" w:firstLineChars="0"/>
        <w:jc w:val="center"/>
        <w:outlineLvl w:val="9"/>
        <w:rPr>
          <w:rFonts w:hint="eastAsia" w:ascii="Times New Roman" w:hAnsi="Times New Roman" w:cs="Times New Roman"/>
          <w:color w:val="000000" w:themeColor="text1"/>
          <w:sz w:val="28"/>
          <w:szCs w:val="28"/>
          <w:lang w:val="en-US" w:eastAsia="zh-CN"/>
          <w14:textFill>
            <w14:solidFill>
              <w14:schemeClr w14:val="tx1"/>
            </w14:solidFill>
          </w14:textFill>
        </w:rPr>
      </w:pPr>
      <w:bookmarkStart w:id="288" w:name="_Toc26380"/>
    </w:p>
    <w:p>
      <w:pPr>
        <w:ind w:left="0" w:leftChars="0" w:firstLine="0" w:firstLineChars="0"/>
        <w:jc w:val="center"/>
        <w:outlineLvl w:val="9"/>
        <w:rPr>
          <w:color w:val="000000" w:themeColor="text1"/>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生产废气处理设施应急处置</w:t>
      </w:r>
      <w:bookmarkEnd w:id="288"/>
    </w:p>
    <w:tbl>
      <w:tblPr>
        <w:tblStyle w:val="15"/>
        <w:tblW w:w="4377" w:type="pct"/>
        <w:tblInd w:w="568" w:type="dxa"/>
        <w:tblLayout w:type="autofit"/>
        <w:tblCellMar>
          <w:top w:w="0" w:type="dxa"/>
          <w:left w:w="0" w:type="dxa"/>
          <w:bottom w:w="0" w:type="dxa"/>
          <w:right w:w="0" w:type="dxa"/>
        </w:tblCellMar>
      </w:tblPr>
      <w:tblGrid>
        <w:gridCol w:w="1351"/>
        <w:gridCol w:w="89"/>
        <w:gridCol w:w="3387"/>
        <w:gridCol w:w="3267"/>
        <w:gridCol w:w="532"/>
        <w:gridCol w:w="1520"/>
      </w:tblGrid>
      <w:tr>
        <w:tblPrEx>
          <w:tblCellMar>
            <w:top w:w="0" w:type="dxa"/>
            <w:left w:w="0" w:type="dxa"/>
            <w:bottom w:w="0" w:type="dxa"/>
            <w:right w:w="0" w:type="dxa"/>
          </w:tblCellMar>
        </w:tblPrEx>
        <w:trPr>
          <w:trHeight w:val="454" w:hRule="atLeast"/>
        </w:trPr>
        <w:tc>
          <w:tcPr>
            <w:tcW w:w="5000" w:type="pct"/>
            <w:gridSpan w:val="6"/>
            <w:tcBorders>
              <w:top w:val="single" w:color="000000" w:sz="12" w:space="0"/>
              <w:left w:val="single" w:color="000000" w:sz="12" w:space="0"/>
              <w:bottom w:val="nil"/>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一、事故特征</w:t>
            </w:r>
          </w:p>
        </w:tc>
      </w:tr>
      <w:tr>
        <w:tblPrEx>
          <w:tblCellMar>
            <w:top w:w="0" w:type="dxa"/>
            <w:left w:w="0" w:type="dxa"/>
            <w:bottom w:w="0" w:type="dxa"/>
            <w:right w:w="0" w:type="dxa"/>
          </w:tblCellMar>
        </w:tblPrEx>
        <w:trPr>
          <w:trHeight w:val="454" w:hRule="atLeast"/>
        </w:trPr>
        <w:tc>
          <w:tcPr>
            <w:tcW w:w="666"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left"/>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危险物质</w:t>
            </w:r>
          </w:p>
        </w:tc>
        <w:tc>
          <w:tcPr>
            <w:tcW w:w="1713"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left"/>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粉尘</w:t>
            </w:r>
            <w:r>
              <w:rPr>
                <w:rFonts w:hint="eastAsia" w:ascii="Times New Roman" w:hAnsi="Times New Roman" w:cs="Times New Roman"/>
                <w:color w:val="000000" w:themeColor="text1"/>
                <w:szCs w:val="21"/>
                <w14:textFill>
                  <w14:solidFill>
                    <w14:schemeClr w14:val="tx1"/>
                  </w14:solidFill>
                </w14:textFill>
              </w:rPr>
              <w:t>、有机废气等</w:t>
            </w:r>
          </w:p>
        </w:tc>
        <w:tc>
          <w:tcPr>
            <w:tcW w:w="1610" w:type="pct"/>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left"/>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可能发生的事故类型</w:t>
            </w:r>
          </w:p>
        </w:tc>
        <w:tc>
          <w:tcPr>
            <w:tcW w:w="1009" w:type="pct"/>
            <w:gridSpan w:val="2"/>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left"/>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废气泄漏、中毒</w:t>
            </w:r>
          </w:p>
        </w:tc>
      </w:tr>
      <w:tr>
        <w:tblPrEx>
          <w:tblCellMar>
            <w:top w:w="0" w:type="dxa"/>
            <w:left w:w="0" w:type="dxa"/>
            <w:bottom w:w="0" w:type="dxa"/>
            <w:right w:w="0" w:type="dxa"/>
          </w:tblCellMar>
        </w:tblPrEx>
        <w:trPr>
          <w:trHeight w:val="454" w:hRule="atLeast"/>
        </w:trPr>
        <w:tc>
          <w:tcPr>
            <w:tcW w:w="666"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both"/>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事故发生区域</w:t>
            </w:r>
          </w:p>
        </w:tc>
        <w:tc>
          <w:tcPr>
            <w:tcW w:w="4333" w:type="pct"/>
            <w:gridSpan w:val="5"/>
            <w:tcBorders>
              <w:top w:val="nil"/>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废气处理设施</w:t>
            </w:r>
          </w:p>
        </w:tc>
      </w:tr>
      <w:tr>
        <w:tblPrEx>
          <w:tblCellMar>
            <w:top w:w="0" w:type="dxa"/>
            <w:left w:w="0" w:type="dxa"/>
            <w:bottom w:w="0" w:type="dxa"/>
            <w:right w:w="0" w:type="dxa"/>
          </w:tblCellMar>
        </w:tblPrEx>
        <w:trPr>
          <w:trHeight w:val="454" w:hRule="atLeast"/>
        </w:trPr>
        <w:tc>
          <w:tcPr>
            <w:tcW w:w="666" w:type="pc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both"/>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事故危害程度</w:t>
            </w:r>
          </w:p>
        </w:tc>
        <w:tc>
          <w:tcPr>
            <w:tcW w:w="4333" w:type="pct"/>
            <w:gridSpan w:val="5"/>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可能对环境空气造成污染</w:t>
            </w:r>
          </w:p>
        </w:tc>
      </w:tr>
      <w:tr>
        <w:tblPrEx>
          <w:tblCellMar>
            <w:top w:w="0" w:type="dxa"/>
            <w:left w:w="0" w:type="dxa"/>
            <w:bottom w:w="0" w:type="dxa"/>
            <w:right w:w="0" w:type="dxa"/>
          </w:tblCellMar>
        </w:tblPrEx>
        <w:trPr>
          <w:trHeight w:val="510"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二、应急处置</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处置程序</w:t>
            </w:r>
          </w:p>
        </w:tc>
        <w:tc>
          <w:tcPr>
            <w:tcW w:w="3541"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处置措施</w:t>
            </w:r>
          </w:p>
        </w:tc>
        <w:tc>
          <w:tcPr>
            <w:tcW w:w="748" w:type="pct"/>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责任人或责任单位</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事故报告</w:t>
            </w:r>
          </w:p>
        </w:tc>
        <w:tc>
          <w:tcPr>
            <w:tcW w:w="3541"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发现险情人员应第一时间向应急救援指挥部报告，内容包括事故地点、类型及影响范围。</w:t>
            </w:r>
          </w:p>
        </w:tc>
        <w:tc>
          <w:tcPr>
            <w:tcW w:w="748" w:type="pct"/>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发现险情人员</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应急准备</w:t>
            </w:r>
          </w:p>
        </w:tc>
        <w:tc>
          <w:tcPr>
            <w:tcW w:w="3541"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针对不同事故类型，准备消防、应急物资，组织应急小组人员进行救援。</w:t>
            </w:r>
          </w:p>
        </w:tc>
        <w:tc>
          <w:tcPr>
            <w:tcW w:w="748" w:type="pct"/>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应急指挥部</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废气泄漏事故现场处置</w:t>
            </w:r>
          </w:p>
        </w:tc>
        <w:tc>
          <w:tcPr>
            <w:tcW w:w="3541"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酸性废气发生泄漏，危险物质会导致人员中毒、对局部环境空气造成污染，现场应急处置措施如下：</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（1）迅速撤离泄漏污染区人员至上风处安全区，并立即进行隔离，严格限制出入，切断一切火源。</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（2）应急处理人员戴自给正压式呼吸器，穿防寒服。从上风处进入现场。尽可能切断泄漏源。</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（3）不要直接接触泄漏物，尽可能切断泄漏源。</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（4）加强现场通风，将漏出气体利用排风机送入空旷处。</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（5）事故扩大，本厂内无法控制时，应立即拨打报警电话进行求助，并告知周边企业、居民区进行应急疏散。</w:t>
            </w:r>
          </w:p>
        </w:tc>
        <w:tc>
          <w:tcPr>
            <w:tcW w:w="748" w:type="pct"/>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抢险救援组</w:t>
            </w:r>
            <w:r>
              <w:rPr>
                <w:rFonts w:hint="eastAsia" w:ascii="Times New Roman" w:hAnsi="Times New Roman" w:cs="Times New Roman"/>
                <w:color w:val="000000" w:themeColor="text1"/>
                <w:szCs w:val="21"/>
                <w14:textFill>
                  <w14:solidFill>
                    <w14:schemeClr w14:val="tx1"/>
                  </w14:solidFill>
                </w14:textFill>
              </w:rPr>
              <w:t>为主、其他应急小组为辅</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4" w:space="0"/>
              <w:right w:val="single" w:color="000000" w:sz="4"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处置程序</w:t>
            </w:r>
          </w:p>
        </w:tc>
        <w:tc>
          <w:tcPr>
            <w:tcW w:w="3541" w:type="pct"/>
            <w:gridSpan w:val="3"/>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处置措施</w:t>
            </w:r>
          </w:p>
        </w:tc>
        <w:tc>
          <w:tcPr>
            <w:tcW w:w="748" w:type="pct"/>
            <w:tcBorders>
              <w:top w:val="single" w:color="000000" w:sz="4" w:space="0"/>
              <w:left w:val="single" w:color="000000" w:sz="4"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责任人或责任单位</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受伤人员现场处置</w:t>
            </w:r>
          </w:p>
        </w:tc>
        <w:tc>
          <w:tcPr>
            <w:tcW w:w="3541"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若现场发现受伤者，应立即将受伤人员转移出污染区，就医。</w:t>
            </w:r>
          </w:p>
        </w:tc>
        <w:tc>
          <w:tcPr>
            <w:tcW w:w="748" w:type="pct"/>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抢险救援</w:t>
            </w:r>
            <w:r>
              <w:rPr>
                <w:rFonts w:hint="eastAsia" w:ascii="Times New Roman" w:hAnsi="Times New Roman" w:cs="Times New Roman"/>
                <w:color w:val="000000" w:themeColor="text1"/>
                <w:szCs w:val="21"/>
                <w14:textFill>
                  <w14:solidFill>
                    <w14:schemeClr w14:val="tx1"/>
                  </w14:solidFill>
                </w14:textFill>
              </w:rPr>
              <w:t>组为主、其他应急小组为辅</w:t>
            </w:r>
          </w:p>
        </w:tc>
      </w:tr>
      <w:tr>
        <w:tblPrEx>
          <w:tblCellMar>
            <w:top w:w="0" w:type="dxa"/>
            <w:left w:w="0" w:type="dxa"/>
            <w:bottom w:w="0" w:type="dxa"/>
            <w:right w:w="0" w:type="dxa"/>
          </w:tblCellMar>
        </w:tblPrEx>
        <w:trPr>
          <w:trHeight w:val="510"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三、人员疏散和隔离</w:t>
            </w:r>
          </w:p>
        </w:tc>
      </w:tr>
      <w:tr>
        <w:tblPrEx>
          <w:tblCellMar>
            <w:top w:w="0" w:type="dxa"/>
            <w:left w:w="0" w:type="dxa"/>
            <w:bottom w:w="0" w:type="dxa"/>
            <w:right w:w="0" w:type="dxa"/>
          </w:tblCellMar>
        </w:tblPrEx>
        <w:trPr>
          <w:trHeight w:val="510" w:hRule="atLeast"/>
        </w:trPr>
        <w:tc>
          <w:tcPr>
            <w:tcW w:w="710" w:type="pct"/>
            <w:gridSpan w:val="2"/>
            <w:tcBorders>
              <w:top w:val="single" w:color="000000" w:sz="4" w:space="0"/>
              <w:left w:val="single" w:color="000000" w:sz="12" w:space="0"/>
              <w:bottom w:val="single" w:color="000000" w:sz="12"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危险区隔离</w:t>
            </w:r>
          </w:p>
        </w:tc>
        <w:tc>
          <w:tcPr>
            <w:tcW w:w="4289" w:type="pct"/>
            <w:gridSpan w:val="4"/>
            <w:tcBorders>
              <w:top w:val="single" w:color="000000" w:sz="4" w:space="0"/>
              <w:left w:val="single" w:color="000000" w:sz="4" w:space="0"/>
              <w:bottom w:val="single" w:color="000000" w:sz="12"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（1）根据事故等级及当时气象条件确定危险区，并根据酸洗废气泄漏扩散情况</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建立警戒区，对污染危险区采用拉警戒线、挂警示牌等方式进行隔离，并在通往事故现场的主干道上实行交通管制。</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（2）若酸洗废气发生泄漏，泄漏隔离区域分为一、二、三级。</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（3）一级区域，气体储罐周围50米，在此区域内应采取适当的稀释、收容、处置措施，此区域禁止其他人进入。</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（4）二级区域，距危险源上风向50米至100米左右，此区域应设专人监管，杜绝无关人员进入。</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（5）三级区域，距危险源上风向100米至150米左右。</w:t>
            </w:r>
          </w:p>
        </w:tc>
      </w:tr>
      <w:tr>
        <w:tblPrEx>
          <w:tblCellMar>
            <w:top w:w="0" w:type="dxa"/>
            <w:left w:w="0" w:type="dxa"/>
            <w:bottom w:w="0" w:type="dxa"/>
            <w:right w:w="0" w:type="dxa"/>
          </w:tblCellMar>
        </w:tblPrEx>
        <w:trPr>
          <w:trHeight w:val="510" w:hRule="atLeast"/>
        </w:trPr>
        <w:tc>
          <w:tcPr>
            <w:tcW w:w="710" w:type="pct"/>
            <w:gridSpan w:val="2"/>
            <w:tcBorders>
              <w:top w:val="single" w:color="000000" w:sz="12"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人员疏散撤离方法</w:t>
            </w:r>
          </w:p>
        </w:tc>
        <w:tc>
          <w:tcPr>
            <w:tcW w:w="4289" w:type="pct"/>
            <w:gridSpan w:val="4"/>
            <w:tcBorders>
              <w:top w:val="single" w:color="000000" w:sz="12"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由本厂应急救援指挥部统一领导，疏散警戒组负责指挥，做好防护，向上风侧疏散撤离，并在安全区域内进行急救。</w:t>
            </w:r>
          </w:p>
        </w:tc>
      </w:tr>
      <w:tr>
        <w:tblPrEx>
          <w:tblCellMar>
            <w:top w:w="0" w:type="dxa"/>
            <w:left w:w="0" w:type="dxa"/>
            <w:bottom w:w="0" w:type="dxa"/>
            <w:right w:w="0" w:type="dxa"/>
          </w:tblCellMar>
        </w:tblPrEx>
        <w:trPr>
          <w:trHeight w:val="510" w:hRule="atLeast"/>
        </w:trPr>
        <w:tc>
          <w:tcPr>
            <w:tcW w:w="710" w:type="pct"/>
            <w:gridSpan w:val="2"/>
            <w:vMerge w:val="restart"/>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事故扩大事故报告及联络方式</w:t>
            </w:r>
          </w:p>
        </w:tc>
        <w:tc>
          <w:tcPr>
            <w:tcW w:w="4289"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事故报告内容要求：事故部位、事故类型、可见或预计事故发展方向、预计将受威胁的区域、已采取和准备采取的防治措施等。</w:t>
            </w:r>
          </w:p>
        </w:tc>
      </w:tr>
      <w:tr>
        <w:tblPrEx>
          <w:tblCellMar>
            <w:top w:w="0" w:type="dxa"/>
            <w:left w:w="0" w:type="dxa"/>
            <w:bottom w:w="0" w:type="dxa"/>
            <w:right w:w="0" w:type="dxa"/>
          </w:tblCellMar>
        </w:tblPrEx>
        <w:trPr>
          <w:trHeight w:val="510" w:hRule="atLeast"/>
        </w:trPr>
        <w:tc>
          <w:tcPr>
            <w:tcW w:w="710" w:type="pct"/>
            <w:gridSpan w:val="2"/>
            <w:vMerge w:val="continue"/>
            <w:tcBorders>
              <w:top w:val="single" w:color="000000" w:sz="4" w:space="0"/>
              <w:left w:val="single" w:color="000000" w:sz="12" w:space="0"/>
              <w:bottom w:val="single" w:color="000000" w:sz="4" w:space="0"/>
              <w:right w:val="single" w:color="000000" w:sz="4"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p>
        </w:tc>
        <w:tc>
          <w:tcPr>
            <w:tcW w:w="4289" w:type="pct"/>
            <w:gridSpan w:val="4"/>
            <w:tcBorders>
              <w:top w:val="single" w:color="000000" w:sz="4" w:space="0"/>
              <w:left w:val="single" w:color="000000" w:sz="4"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lef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公司应急办公室：</w:t>
            </w:r>
            <w:r>
              <w:rPr>
                <w:rFonts w:hint="eastAsia" w:ascii="宋体" w:hAnsi="宋体"/>
                <w:color w:val="000000" w:themeColor="text1"/>
                <w:szCs w:val="21"/>
                <w:lang w:val="en-US" w:eastAsia="zh-CN"/>
                <w14:textFill>
                  <w14:solidFill>
                    <w14:schemeClr w14:val="tx1"/>
                  </w14:solidFill>
                </w14:textFill>
              </w:rPr>
              <w:t>0795-6520777</w:t>
            </w:r>
          </w:p>
          <w:p>
            <w:pPr>
              <w:keepNext w:val="0"/>
              <w:keepLines w:val="0"/>
              <w:suppressLineNumbers w:val="0"/>
              <w:spacing w:before="0" w:beforeAutospacing="0" w:after="0" w:afterAutospacing="0" w:line="240" w:lineRule="auto"/>
              <w:ind w:left="0" w:right="0"/>
              <w:jc w:val="left"/>
              <w:rPr>
                <w:rFonts w:hint="eastAsia" w:ascii="Times New Roman" w:hAnsi="Times New Roman" w:cs="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公司安</w:t>
            </w:r>
            <w:r>
              <w:rPr>
                <w:rFonts w:hint="eastAsia" w:ascii="宋体" w:hAnsi="宋体"/>
                <w:color w:val="000000" w:themeColor="text1"/>
                <w:szCs w:val="21"/>
                <w:lang w:eastAsia="zh-CN"/>
                <w14:textFill>
                  <w14:solidFill>
                    <w14:schemeClr w14:val="tx1"/>
                  </w14:solidFill>
                </w14:textFill>
              </w:rPr>
              <w:t>环</w:t>
            </w:r>
            <w:r>
              <w:rPr>
                <w:rFonts w:hint="eastAsia" w:ascii="宋体" w:hAnsi="宋体"/>
                <w:color w:val="000000" w:themeColor="text1"/>
                <w:szCs w:val="21"/>
                <w14:textFill>
                  <w14:solidFill>
                    <w14:schemeClr w14:val="tx1"/>
                  </w14:solidFill>
                </w14:textFill>
              </w:rPr>
              <w:t>部：</w:t>
            </w:r>
            <w:r>
              <w:rPr>
                <w:rFonts w:hint="eastAsia" w:ascii="宋体" w:eastAsia="宋体"/>
                <w:sz w:val="24"/>
              </w:rPr>
              <w:t>宋灿</w:t>
            </w:r>
            <w:r>
              <w:rPr>
                <w:rFonts w:ascii="宋体"/>
                <w:sz w:val="24"/>
              </w:rPr>
              <w:t>1376755301</w:t>
            </w:r>
            <w:r>
              <w:rPr>
                <w:rFonts w:hint="eastAsia" w:ascii="宋体"/>
                <w:sz w:val="24"/>
                <w:lang w:val="en-US" w:eastAsia="zh-CN"/>
              </w:rPr>
              <w:t>5</w:t>
            </w:r>
            <w:r>
              <w:rPr>
                <w:rFonts w:hint="eastAsia" w:ascii="宋体" w:hAnsi="宋体"/>
                <w:color w:val="000000" w:themeColor="text1"/>
                <w:szCs w:val="21"/>
                <w14:textFill>
                  <w14:solidFill>
                    <w14:schemeClr w14:val="tx1"/>
                  </w14:solidFill>
                </w14:textFill>
              </w:rPr>
              <w:t xml:space="preserve">    火灾119、救护120</w:t>
            </w:r>
          </w:p>
        </w:tc>
      </w:tr>
      <w:tr>
        <w:tblPrEx>
          <w:tblCellMar>
            <w:top w:w="0" w:type="dxa"/>
            <w:left w:w="0" w:type="dxa"/>
            <w:bottom w:w="0" w:type="dxa"/>
            <w:right w:w="0" w:type="dxa"/>
          </w:tblCellMar>
        </w:tblPrEx>
        <w:trPr>
          <w:trHeight w:val="510"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四、应急人员防护、监护措施</w:t>
            </w:r>
          </w:p>
        </w:tc>
      </w:tr>
      <w:tr>
        <w:tblPrEx>
          <w:tblCellMar>
            <w:top w:w="0" w:type="dxa"/>
            <w:left w:w="0" w:type="dxa"/>
            <w:bottom w:w="0" w:type="dxa"/>
            <w:right w:w="0" w:type="dxa"/>
          </w:tblCellMar>
        </w:tblPrEx>
        <w:trPr>
          <w:trHeight w:val="510" w:hRule="atLeast"/>
        </w:trPr>
        <w:tc>
          <w:tcPr>
            <w:tcW w:w="5000" w:type="pct"/>
            <w:gridSpan w:val="6"/>
            <w:tcBorders>
              <w:top w:val="single" w:color="000000" w:sz="4" w:space="0"/>
              <w:left w:val="single" w:color="000000" w:sz="12"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（1）应急人员应佩戴全身防护服进行应急抢险作业。</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（2）现场人员在在保证自身安全的前提下，采取积极有效的方法和措施进行自救和互救。不具备抢救条件时应尽快组织撤离。</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（3）应急救援结束后，做好现场检查、人员清点等工作。</w:t>
            </w:r>
          </w:p>
        </w:tc>
      </w:tr>
      <w:tr>
        <w:tblPrEx>
          <w:tblCellMar>
            <w:top w:w="0" w:type="dxa"/>
            <w:left w:w="0" w:type="dxa"/>
            <w:bottom w:w="0" w:type="dxa"/>
            <w:right w:w="0" w:type="dxa"/>
          </w:tblCellMar>
        </w:tblPrEx>
        <w:trPr>
          <w:trHeight w:val="454"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五、应急监测</w:t>
            </w:r>
          </w:p>
        </w:tc>
      </w:tr>
      <w:tr>
        <w:tblPrEx>
          <w:tblCellMar>
            <w:top w:w="0" w:type="dxa"/>
            <w:left w:w="0" w:type="dxa"/>
            <w:bottom w:w="0" w:type="dxa"/>
            <w:right w:w="0" w:type="dxa"/>
          </w:tblCellMar>
        </w:tblPrEx>
        <w:trPr>
          <w:trHeight w:val="454" w:hRule="atLeast"/>
        </w:trPr>
        <w:tc>
          <w:tcPr>
            <w:tcW w:w="5000" w:type="pct"/>
            <w:gridSpan w:val="6"/>
            <w:tcBorders>
              <w:top w:val="single" w:color="000000" w:sz="4" w:space="0"/>
              <w:left w:val="single" w:color="000000" w:sz="12" w:space="0"/>
              <w:bottom w:val="single" w:color="000000" w:sz="4"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（1）选择合适点位，对空气中有害物质浓度进行监测，并设立风向标。</w:t>
            </w:r>
          </w:p>
        </w:tc>
      </w:tr>
      <w:tr>
        <w:tblPrEx>
          <w:tblCellMar>
            <w:top w:w="0" w:type="dxa"/>
            <w:left w:w="0" w:type="dxa"/>
            <w:bottom w:w="0" w:type="dxa"/>
            <w:right w:w="0" w:type="dxa"/>
          </w:tblCellMar>
        </w:tblPrEx>
        <w:trPr>
          <w:trHeight w:val="454"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D9D9D9"/>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六、现场洗消</w:t>
            </w:r>
          </w:p>
        </w:tc>
      </w:tr>
      <w:tr>
        <w:tblPrEx>
          <w:tblCellMar>
            <w:top w:w="0" w:type="dxa"/>
            <w:left w:w="0" w:type="dxa"/>
            <w:bottom w:w="0" w:type="dxa"/>
            <w:right w:w="0" w:type="dxa"/>
          </w:tblCellMar>
        </w:tblPrEx>
        <w:trPr>
          <w:trHeight w:val="454" w:hRule="atLeast"/>
        </w:trPr>
        <w:tc>
          <w:tcPr>
            <w:tcW w:w="5000" w:type="pct"/>
            <w:gridSpan w:val="6"/>
            <w:tcBorders>
              <w:top w:val="single" w:color="000000" w:sz="4" w:space="0"/>
              <w:left w:val="single" w:color="000000" w:sz="12" w:space="0"/>
              <w:bottom w:val="single" w:color="000000" w:sz="12" w:space="0"/>
              <w:right w:val="single" w:color="000000" w:sz="12" w:space="0"/>
            </w:tcBorders>
            <w:vAlign w:val="center"/>
          </w:tcPr>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（1）在安全区设立洗消站。</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（2）使用相应洗消药剂。</w:t>
            </w:r>
          </w:p>
          <w:p>
            <w:pPr>
              <w:keepNext w:val="0"/>
              <w:keepLines w:val="0"/>
              <w:suppressLineNumbers w:val="0"/>
              <w:spacing w:before="0" w:beforeAutospacing="0" w:after="0" w:afterAutospacing="0" w:line="240" w:lineRule="auto"/>
              <w:ind w:left="0" w:right="0"/>
              <w:jc w:val="center"/>
              <w:rPr>
                <w:rFonts w:hint="eastAsia"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（3）洗消废水及可能产生的洗消废物应交有资质的单位进行处理，以防造成次生灾害。</w:t>
            </w:r>
          </w:p>
        </w:tc>
      </w:tr>
    </w:tbl>
    <w:p>
      <w:pPr>
        <w:pStyle w:val="7"/>
        <w:ind w:left="100"/>
        <w:jc w:val="center"/>
        <w:rPr>
          <w:sz w:val="20"/>
        </w:rPr>
      </w:pPr>
      <w:r>
        <w:rPr>
          <w:color w:val="000000" w:themeColor="text1"/>
          <w14:textFill>
            <w14:solidFill>
              <w14:schemeClr w14:val="tx1"/>
            </w14:solidFill>
          </w14:textFill>
        </w:rPr>
        <w:drawing>
          <wp:inline distT="0" distB="0" distL="114300" distR="114300">
            <wp:extent cx="6132830" cy="4119245"/>
            <wp:effectExtent l="0" t="0" r="1270" b="14605"/>
            <wp:docPr id="27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4"/>
                    <pic:cNvPicPr>
                      <a:picLocks noChangeAspect="1"/>
                    </pic:cNvPicPr>
                  </pic:nvPicPr>
                  <pic:blipFill>
                    <a:blip r:embed="rId43"/>
                    <a:stretch>
                      <a:fillRect/>
                    </a:stretch>
                  </pic:blipFill>
                  <pic:spPr>
                    <a:xfrm>
                      <a:off x="0" y="0"/>
                      <a:ext cx="6132830" cy="4119245"/>
                    </a:xfrm>
                    <a:prstGeom prst="rect">
                      <a:avLst/>
                    </a:prstGeom>
                    <a:noFill/>
                    <a:ln>
                      <a:noFill/>
                    </a:ln>
                  </pic:spPr>
                </pic:pic>
              </a:graphicData>
            </a:graphic>
          </wp:inline>
        </w:drawing>
      </w:r>
      <w:r>
        <w:rPr>
          <w:color w:val="000000" w:themeColor="text1"/>
          <w14:textFill>
            <w14:solidFill>
              <w14:schemeClr w14:val="tx1"/>
            </w14:solidFill>
          </w14:textFill>
        </w:rPr>
        <w:drawing>
          <wp:inline distT="0" distB="0" distL="114300" distR="114300">
            <wp:extent cx="5996305" cy="3728085"/>
            <wp:effectExtent l="0" t="0" r="4445" b="5715"/>
            <wp:docPr id="27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5"/>
                    <pic:cNvPicPr>
                      <a:picLocks noChangeAspect="1"/>
                    </pic:cNvPicPr>
                  </pic:nvPicPr>
                  <pic:blipFill>
                    <a:blip r:embed="rId44"/>
                    <a:stretch>
                      <a:fillRect/>
                    </a:stretch>
                  </pic:blipFill>
                  <pic:spPr>
                    <a:xfrm>
                      <a:off x="0" y="0"/>
                      <a:ext cx="5996305" cy="3728085"/>
                    </a:xfrm>
                    <a:prstGeom prst="rect">
                      <a:avLst/>
                    </a:prstGeom>
                    <a:noFill/>
                    <a:ln>
                      <a:noFill/>
                    </a:ln>
                  </pic:spPr>
                </pic:pic>
              </a:graphicData>
            </a:graphic>
          </wp:inline>
        </w:drawing>
      </w:r>
      <w:r>
        <w:rPr>
          <w:color w:val="000000" w:themeColor="text1"/>
          <w14:textFill>
            <w14:solidFill>
              <w14:schemeClr w14:val="tx1"/>
            </w14:solidFill>
          </w14:textFill>
        </w:rPr>
        <w:drawing>
          <wp:inline distT="0" distB="0" distL="114300" distR="114300">
            <wp:extent cx="6131560" cy="3618865"/>
            <wp:effectExtent l="0" t="0" r="2540" b="635"/>
            <wp:docPr id="27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6"/>
                    <pic:cNvPicPr>
                      <a:picLocks noChangeAspect="1"/>
                    </pic:cNvPicPr>
                  </pic:nvPicPr>
                  <pic:blipFill>
                    <a:blip r:embed="rId45"/>
                    <a:stretch>
                      <a:fillRect/>
                    </a:stretch>
                  </pic:blipFill>
                  <pic:spPr>
                    <a:xfrm>
                      <a:off x="0" y="0"/>
                      <a:ext cx="6131560" cy="3618865"/>
                    </a:xfrm>
                    <a:prstGeom prst="rect">
                      <a:avLst/>
                    </a:prstGeom>
                    <a:noFill/>
                    <a:ln>
                      <a:noFill/>
                    </a:ln>
                  </pic:spPr>
                </pic:pic>
              </a:graphicData>
            </a:graphic>
          </wp:inline>
        </w:drawing>
      </w:r>
    </w:p>
    <w:sectPr>
      <w:pgSz w:w="11900" w:h="16840"/>
      <w:pgMar w:top="1420" w:right="80" w:bottom="1200" w:left="260" w:header="882" w:footer="100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Simplified Arabic">
    <w:altName w:val="Times New Roman"/>
    <w:panose1 w:val="02020603050405020304"/>
    <w:charset w:val="00"/>
    <w:family w:val="roman"/>
    <w:pitch w:val="default"/>
    <w:sig w:usb0="00000000" w:usb1="00000000" w:usb2="00000000" w:usb3="00000000" w:csb0="00000041" w:csb1="2008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3723640</wp:posOffset>
              </wp:positionH>
              <wp:positionV relativeFrom="page">
                <wp:posOffset>9915525</wp:posOffset>
              </wp:positionV>
              <wp:extent cx="111125" cy="139700"/>
              <wp:effectExtent l="0" t="0" r="0" b="0"/>
              <wp:wrapNone/>
              <wp:docPr id="32" name="文本框 4"/>
              <wp:cNvGraphicFramePr/>
              <a:graphic xmlns:a="http://schemas.openxmlformats.org/drawingml/2006/main">
                <a:graphicData uri="http://schemas.microsoft.com/office/word/2010/wordprocessingShape">
                  <wps:wsp>
                    <wps:cNvSpPr txBox="1"/>
                    <wps:spPr>
                      <a:xfrm>
                        <a:off x="0" y="0"/>
                        <a:ext cx="111125"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4" o:spid="_x0000_s1026" o:spt="202" type="#_x0000_t202" style="position:absolute;left:0pt;margin-left:293.2pt;margin-top:780.75pt;height:11pt;width:8.75pt;mso-position-horizontal-relative:page;mso-position-vertical-relative:page;z-index:-251652096;mso-width-relative:page;mso-height-relative:page;" filled="f" stroked="f" coordsize="21600,21600" o:gfxdata="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Ebvh97bAAAADQEAAA8AAAAAAAAAAQAgAAAAIgAAAGRycy9kb3ducmV2LnhtbFBL&#10;AQIUABQAAAAIAIdO4kCM+beIugEAAHIDAAAOAAAAAAAAAAEAIAAAACoBAABkcnMvZTJvRG9jLnht&#10;bFBLBQYAAAAABgAGAFkBAABW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3698875</wp:posOffset>
              </wp:positionH>
              <wp:positionV relativeFrom="page">
                <wp:posOffset>9915525</wp:posOffset>
              </wp:positionV>
              <wp:extent cx="166370" cy="139700"/>
              <wp:effectExtent l="0" t="0" r="0" b="0"/>
              <wp:wrapNone/>
              <wp:docPr id="34" name="文本框 5"/>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5" o:spid="_x0000_s1026" o:spt="202" type="#_x0000_t202" style="position:absolute;left:0pt;margin-left:291.25pt;margin-top:780.75pt;height:11pt;width:13.1pt;mso-position-horizontal-relative:page;mso-position-vertical-relative:page;z-index:-251651072;mso-width-relative:page;mso-height-relative:page;" filled="f" stroked="f" coordsize="21600,21600" o:gfxdata="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3m6/w2wAAAA0BAAAPAAAAAAAAAAEAIAAAACIAAABkcnMvZG93bnJldi54bWxQ&#10;SwECFAAUAAAACACHTuJA5ke/6bsBAAByAwAADgAAAAAAAAABACAAAAAqAQAAZHJzL2Uyb0RvYy54&#10;bWxQSwUGAAAAAAYABgBZAQAAVwU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3694430</wp:posOffset>
              </wp:positionH>
              <wp:positionV relativeFrom="page">
                <wp:posOffset>9915525</wp:posOffset>
              </wp:positionV>
              <wp:extent cx="170815" cy="139700"/>
              <wp:effectExtent l="0" t="0" r="0" b="0"/>
              <wp:wrapNone/>
              <wp:docPr id="35" name="文本框 6"/>
              <wp:cNvGraphicFramePr/>
              <a:graphic xmlns:a="http://schemas.openxmlformats.org/drawingml/2006/main">
                <a:graphicData uri="http://schemas.microsoft.com/office/word/2010/wordprocessingShape">
                  <wps:wsp>
                    <wps:cNvSpPr txBox="1"/>
                    <wps:spPr>
                      <a:xfrm>
                        <a:off x="0" y="0"/>
                        <a:ext cx="170815" cy="139700"/>
                      </a:xfrm>
                      <a:prstGeom prst="rect">
                        <a:avLst/>
                      </a:prstGeom>
                      <a:noFill/>
                      <a:ln>
                        <a:noFill/>
                      </a:ln>
                    </wps:spPr>
                    <wps:txbx>
                      <w:txbxContent>
                        <w:p>
                          <w:pPr>
                            <w:spacing w:before="0" w:line="220" w:lineRule="exact"/>
                            <w:ind w:left="47" w:right="0" w:firstLine="0"/>
                            <w:jc w:val="left"/>
                            <w:rPr>
                              <w:sz w:val="18"/>
                            </w:rPr>
                          </w:pPr>
                          <w:r>
                            <w:fldChar w:fldCharType="begin"/>
                          </w:r>
                          <w:r>
                            <w:rPr>
                              <w:sz w:val="18"/>
                            </w:rPr>
                            <w:instrText xml:space="preserve"> PAGE </w:instrText>
                          </w:r>
                          <w:r>
                            <w:fldChar w:fldCharType="separate"/>
                          </w:r>
                          <w:r>
                            <w:t>20</w:t>
                          </w:r>
                          <w:r>
                            <w:fldChar w:fldCharType="end"/>
                          </w:r>
                        </w:p>
                      </w:txbxContent>
                    </wps:txbx>
                    <wps:bodyPr lIns="0" tIns="0" rIns="0" bIns="0" upright="1"/>
                  </wps:wsp>
                </a:graphicData>
              </a:graphic>
            </wp:anchor>
          </w:drawing>
        </mc:Choice>
        <mc:Fallback>
          <w:pict>
            <v:shape id="文本框 6" o:spid="_x0000_s1026" o:spt="202" type="#_x0000_t202" style="position:absolute;left:0pt;margin-left:290.9pt;margin-top:780.75pt;height:11pt;width:13.45pt;mso-position-horizontal-relative:page;mso-position-vertical-relative:page;z-index:-251650048;mso-width-relative:page;mso-height-relative:page;" filled="f" stroked="f" coordsize="21600,21600" o:gfxdata="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E7TvkfaAAAADQEAAA8AAAAAAAAAAQAgAAAAIgAAAGRycy9kb3ducmV2LnhtbFBL&#10;AQIUABQAAAAIAIdO4kC+iAbxuwEAAHIDAAAOAAAAAAAAAAEAIAAAACkBAABkcnMvZTJvRG9jLnht&#10;bFBLBQYAAAAABgAGAFkBAABWBQAAAAA=&#10;">
              <v:fill on="f" focussize="0,0"/>
              <v:stroke on="f"/>
              <v:imagedata o:title=""/>
              <o:lock v:ext="edit" aspectratio="f"/>
              <v:textbox inset="0mm,0mm,0mm,0mm">
                <w:txbxContent>
                  <w:p>
                    <w:pPr>
                      <w:spacing w:before="0" w:line="220" w:lineRule="exact"/>
                      <w:ind w:left="47" w:right="0" w:firstLine="0"/>
                      <w:jc w:val="left"/>
                      <w:rPr>
                        <w:sz w:val="18"/>
                      </w:rPr>
                    </w:pPr>
                    <w:r>
                      <w:fldChar w:fldCharType="begin"/>
                    </w:r>
                    <w:r>
                      <w:rPr>
                        <w:sz w:val="18"/>
                      </w:rPr>
                      <w:instrText xml:space="preserve"> PAGE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7456"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36" name="文本框 7"/>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30</w:t>
                          </w:r>
                          <w:r>
                            <w:fldChar w:fldCharType="end"/>
                          </w:r>
                        </w:p>
                      </w:txbxContent>
                    </wps:txbx>
                    <wps:bodyPr lIns="0" tIns="0" rIns="0" bIns="0" upright="1"/>
                  </wps:wsp>
                </a:graphicData>
              </a:graphic>
            </wp:anchor>
          </w:drawing>
        </mc:Choice>
        <mc:Fallback>
          <w:pict>
            <v:shape id="文本框 7" o:spid="_x0000_s1026" o:spt="202" type="#_x0000_t202" style="position:absolute;left:0pt;margin-left:290.9pt;margin-top:780.75pt;height:11pt;width:13.1pt;mso-position-horizontal-relative:page;mso-position-vertical-relative:page;z-index:-251649024;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Pa2LXaAAAADQEAAA8AAAAAAAAAAQAgAAAAIgAAAGRycy9kb3ducmV2LnhtbFBL&#10;AQIUABQAAAAIAIdO4kBNop10uwEAAHIDAAAOAAAAAAAAAAEAIAAAACkBAABkcnMvZTJvRG9jLnht&#10;bFBLBQYAAAAABgAGAFkBAABW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8480"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37" name="文本框 8"/>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40</w:t>
                          </w:r>
                          <w:r>
                            <w:fldChar w:fldCharType="end"/>
                          </w:r>
                        </w:p>
                      </w:txbxContent>
                    </wps:txbx>
                    <wps:bodyPr lIns="0" tIns="0" rIns="0" bIns="0" upright="1"/>
                  </wps:wsp>
                </a:graphicData>
              </a:graphic>
            </wp:anchor>
          </w:drawing>
        </mc:Choice>
        <mc:Fallback>
          <w:pict>
            <v:shape id="文本框 8" o:spid="_x0000_s1026" o:spt="202" type="#_x0000_t202" style="position:absolute;left:0pt;margin-left:290.9pt;margin-top:780.75pt;height:11pt;width:13.1pt;mso-position-horizontal-relative:page;mso-position-vertical-relative:page;z-index:-251648000;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Pa2LXaAAAADQEAAA8AAAAAAAAAAQAgAAAAIgAAAGRycy9kb3ducmV2LnhtbFBL&#10;AQIUABQAAAAIAIdO4kAuXvsbuwEAAHIDAAAOAAAAAAAAAAEAIAAAACkBAABkcnMvZTJvRG9jLnht&#10;bFBLBQYAAAAABgAGAFkBAABW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71552"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41" name="文本框 12"/>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54</w:t>
                          </w:r>
                          <w:r>
                            <w:fldChar w:fldCharType="end"/>
                          </w:r>
                        </w:p>
                      </w:txbxContent>
                    </wps:txbx>
                    <wps:bodyPr lIns="0" tIns="0" rIns="0" bIns="0" upright="1"/>
                  </wps:wsp>
                </a:graphicData>
              </a:graphic>
            </wp:anchor>
          </w:drawing>
        </mc:Choice>
        <mc:Fallback>
          <w:pict>
            <v:shape id="文本框 12" o:spid="_x0000_s1026" o:spt="202" type="#_x0000_t202" style="position:absolute;left:0pt;margin-left:290.9pt;margin-top:780.75pt;height:11pt;width:13.1pt;mso-position-horizontal-relative:page;mso-position-vertical-relative:page;z-index:-251644928;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Pa2LXaAAAADQEAAA8AAAAAAAAAAQAgAAAAIgAAAGRycy9kb3ducmV2LnhtbFBL&#10;AQIUABQAAAAIAIdO4kAfs1SauwEAAHMDAAAOAAAAAAAAAAEAIAAAACkBAABkcnMvZTJvRG9jLnht&#10;bFBLBQYAAAAABgAGAFkBAABW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54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72576"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42" name="文本框 13"/>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60</w:t>
                          </w:r>
                          <w:r>
                            <w:fldChar w:fldCharType="end"/>
                          </w:r>
                        </w:p>
                      </w:txbxContent>
                    </wps:txbx>
                    <wps:bodyPr lIns="0" tIns="0" rIns="0" bIns="0" upright="1"/>
                  </wps:wsp>
                </a:graphicData>
              </a:graphic>
            </wp:anchor>
          </w:drawing>
        </mc:Choice>
        <mc:Fallback>
          <w:pict>
            <v:shape id="文本框 13" o:spid="_x0000_s1026" o:spt="202" type="#_x0000_t202" style="position:absolute;left:0pt;margin-left:290.9pt;margin-top:780.75pt;height:11pt;width:13.1pt;mso-position-horizontal-relative:page;mso-position-vertical-relative:page;z-index:-251643904;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z2ti12gAAAA0BAAAPAAAAAAAAAAEAIAAAACIAAABkcnMvZG93bnJldi54bWxQ&#10;SwECFAAUAAAACACHTuJAzV0zjLwBAABzAwAADgAAAAAAAAABACAAAAApAQAAZHJzL2Uyb0RvYy54&#10;bWxQSwUGAAAAAAYABgBZAQAAVwU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60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73600"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43" name="文本框 14"/>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70</w:t>
                          </w:r>
                          <w:r>
                            <w:fldChar w:fldCharType="end"/>
                          </w:r>
                        </w:p>
                      </w:txbxContent>
                    </wps:txbx>
                    <wps:bodyPr lIns="0" tIns="0" rIns="0" bIns="0" upright="1"/>
                  </wps:wsp>
                </a:graphicData>
              </a:graphic>
            </wp:anchor>
          </w:drawing>
        </mc:Choice>
        <mc:Fallback>
          <w:pict>
            <v:shape id="文本框 14" o:spid="_x0000_s1026" o:spt="202" type="#_x0000_t202" style="position:absolute;left:0pt;margin-left:290.9pt;margin-top:780.75pt;height:11pt;width:13.1pt;mso-position-horizontal-relative:page;mso-position-vertical-relative:page;z-index:-251642880;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z2ti12gAAAA0BAAAPAAAAAAAAAAEAIAAAACIAAABkcnMvZG93bnJldi54bWxQ&#10;SwECFAAUAAAACACHTuJALZGAYLwBAABzAwAADgAAAAAAAAABACAAAAApAQAAZHJzL2Uyb0RvYy54&#10;bWxQSwUGAAAAAAYABgBZAQAAVwU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70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74624"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44" name="文本框 15"/>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80</w:t>
                          </w:r>
                          <w:r>
                            <w:fldChar w:fldCharType="end"/>
                          </w:r>
                        </w:p>
                      </w:txbxContent>
                    </wps:txbx>
                    <wps:bodyPr lIns="0" tIns="0" rIns="0" bIns="0" upright="1"/>
                  </wps:wsp>
                </a:graphicData>
              </a:graphic>
            </wp:anchor>
          </w:drawing>
        </mc:Choice>
        <mc:Fallback>
          <w:pict>
            <v:shape id="文本框 15" o:spid="_x0000_s1026" o:spt="202" type="#_x0000_t202" style="position:absolute;left:0pt;margin-left:290.9pt;margin-top:780.75pt;height:11pt;width:13.1pt;mso-position-horizontal-relative:page;mso-position-vertical-relative:page;z-index:-251641856;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z2ti12gAAAA0BAAAPAAAAAAAAAAEAIAAAACIAAABkcnMvZG93bnJldi54bWxQ&#10;SwECFAAUAAAACACHTuJAkF0lMbwBAABzAwAADgAAAAAAAAABACAAAAApAQAAZHJzL2Uyb0RvYy54&#10;bWxQSwUGAAAAAAYABgBZAQAAVwU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80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75648" behindDoc="1" locked="0" layoutInCell="1" allowOverlap="1">
              <wp:simplePos x="0" y="0"/>
              <wp:positionH relativeFrom="page">
                <wp:posOffset>3694430</wp:posOffset>
              </wp:positionH>
              <wp:positionV relativeFrom="page">
                <wp:posOffset>9915525</wp:posOffset>
              </wp:positionV>
              <wp:extent cx="166370" cy="139700"/>
              <wp:effectExtent l="0" t="0" r="0" b="0"/>
              <wp:wrapNone/>
              <wp:docPr id="45" name="文本框 16"/>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90</w:t>
                          </w:r>
                          <w:r>
                            <w:fldChar w:fldCharType="end"/>
                          </w:r>
                        </w:p>
                      </w:txbxContent>
                    </wps:txbx>
                    <wps:bodyPr lIns="0" tIns="0" rIns="0" bIns="0" upright="1"/>
                  </wps:wsp>
                </a:graphicData>
              </a:graphic>
            </wp:anchor>
          </w:drawing>
        </mc:Choice>
        <mc:Fallback>
          <w:pict>
            <v:shape id="文本框 16" o:spid="_x0000_s1026" o:spt="202" type="#_x0000_t202" style="position:absolute;left:0pt;margin-left:290.9pt;margin-top:780.75pt;height:11pt;width:13.1pt;mso-position-horizontal-relative:page;mso-position-vertical-relative:page;z-index:-251640832;mso-width-relative:page;mso-height-relative:page;" filled="f" stroked="f" coordsize="21600,21600" o:gfxdata="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z2ti12gAAAA0BAAAPAAAAAAAAAAEAIAAAACIAAABkcnMvZG93bnJldi54bWxQ&#10;SwECFAAUAAAACACHTuJAiUxPTLwBAABzAwAADgAAAAAAAAABACAAAAApAQAAZHJzL2Uyb0RvYy54&#10;bWxQSwUGAAAAAAYABgBZAQAAVwU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90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76672" behindDoc="1" locked="0" layoutInCell="1" allowOverlap="1">
              <wp:simplePos x="0" y="0"/>
              <wp:positionH relativeFrom="page">
                <wp:posOffset>3665220</wp:posOffset>
              </wp:positionH>
              <wp:positionV relativeFrom="page">
                <wp:posOffset>9915525</wp:posOffset>
              </wp:positionV>
              <wp:extent cx="222250" cy="139700"/>
              <wp:effectExtent l="0" t="0" r="0" b="0"/>
              <wp:wrapNone/>
              <wp:docPr id="46" name="文本框 17"/>
              <wp:cNvGraphicFramePr/>
              <a:graphic xmlns:a="http://schemas.openxmlformats.org/drawingml/2006/main">
                <a:graphicData uri="http://schemas.microsoft.com/office/word/2010/wordprocessingShape">
                  <wps:wsp>
                    <wps:cNvSpPr txBox="1"/>
                    <wps:spPr>
                      <a:xfrm>
                        <a:off x="0" y="0"/>
                        <a:ext cx="22225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100</w:t>
                          </w:r>
                          <w:r>
                            <w:fldChar w:fldCharType="end"/>
                          </w:r>
                        </w:p>
                      </w:txbxContent>
                    </wps:txbx>
                    <wps:bodyPr lIns="0" tIns="0" rIns="0" bIns="0" upright="1"/>
                  </wps:wsp>
                </a:graphicData>
              </a:graphic>
            </wp:anchor>
          </w:drawing>
        </mc:Choice>
        <mc:Fallback>
          <w:pict>
            <v:shape id="文本框 17" o:spid="_x0000_s1026" o:spt="202" type="#_x0000_t202" style="position:absolute;left:0pt;margin-left:288.6pt;margin-top:780.75pt;height:11pt;width:17.5pt;mso-position-horizontal-relative:page;mso-position-vertical-relative:page;z-index:-251639808;mso-width-relative:page;mso-height-relative:page;" filled="f" stroked="f" coordsize="21600,21600" o:gfxdata="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GU8zXaAAAADQEAAA8AAAAAAAAAAQAgAAAAIgAAAGRycy9kb3ducmV2LnhtbFBL&#10;AQIUABQAAAAIAIdO4kCyyIMtuwEAAHMDAAAOAAAAAAAAAAEAIAAAACkBAABkcnMvZTJvRG9jLnht&#10;bFBLBQYAAAAABgAGAFkBAABW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100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2329180</wp:posOffset>
              </wp:positionH>
              <wp:positionV relativeFrom="page">
                <wp:posOffset>547370</wp:posOffset>
              </wp:positionV>
              <wp:extent cx="2957830" cy="158115"/>
              <wp:effectExtent l="0" t="0" r="0" b="0"/>
              <wp:wrapNone/>
              <wp:docPr id="26" name="文本框 1"/>
              <wp:cNvGraphicFramePr/>
              <a:graphic xmlns:a="http://schemas.openxmlformats.org/drawingml/2006/main">
                <a:graphicData uri="http://schemas.microsoft.com/office/word/2010/wordprocessingShape">
                  <wps:wsp>
                    <wps:cNvSpPr txBox="1"/>
                    <wps:spPr>
                      <a:xfrm>
                        <a:off x="0" y="0"/>
                        <a:ext cx="2957830" cy="158115"/>
                      </a:xfrm>
                      <a:prstGeom prst="rect">
                        <a:avLst/>
                      </a:prstGeom>
                      <a:noFill/>
                      <a:ln>
                        <a:noFill/>
                      </a:ln>
                    </wps:spPr>
                    <wps:txbx>
                      <w:txbxContent>
                        <w:p>
                          <w:pPr>
                            <w:spacing w:before="0" w:line="249" w:lineRule="exact"/>
                            <w:ind w:left="20" w:right="0" w:firstLine="0"/>
                            <w:jc w:val="left"/>
                            <w:rPr>
                              <w:sz w:val="21"/>
                            </w:rPr>
                          </w:pPr>
                          <w:r>
                            <w:rPr>
                              <w:sz w:val="21"/>
                            </w:rPr>
                            <w:t>江西景新漆业股份有限公司突发环境事件应急预案</w:t>
                          </w:r>
                        </w:p>
                      </w:txbxContent>
                    </wps:txbx>
                    <wps:bodyPr lIns="0" tIns="0" rIns="0" bIns="0" upright="1"/>
                  </wps:wsp>
                </a:graphicData>
              </a:graphic>
            </wp:anchor>
          </w:drawing>
        </mc:Choice>
        <mc:Fallback>
          <w:pict>
            <v:shape id="文本框 1" o:spid="_x0000_s1026" o:spt="202" type="#_x0000_t202" style="position:absolute;left:0pt;margin-left:183.4pt;margin-top:43.1pt;height:12.45pt;width:232.9pt;mso-position-horizontal-relative:page;mso-position-vertical-relative:page;z-index:-251655168;mso-width-relative:page;mso-height-relative:page;" filled="f" stroked="f" coordsize="21600,21600" o:gfxdata="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x5j2rXAAAACgEAAA8AAAAAAAAAAQAgAAAAIgAAAGRycy9kb3ducmV2LnhtbFBLAQIU&#10;ABQAAAAIAIdO4kAzbmPjuwEAAHMDAAAOAAAAAAAAAAEAIAAAACYBAABkcnMvZTJvRG9jLnhtbFBL&#10;BQYAAAAABgAGAFkBAABTBQAAAAA=&#10;">
              <v:fill on="f" focussize="0,0"/>
              <v:stroke on="f"/>
              <v:imagedata o:title=""/>
              <o:lock v:ext="edit" aspectratio="f"/>
              <v:textbox inset="0mm,0mm,0mm,0mm">
                <w:txbxContent>
                  <w:p>
                    <w:pPr>
                      <w:spacing w:before="0" w:line="249" w:lineRule="exact"/>
                      <w:ind w:left="20" w:right="0" w:firstLine="0"/>
                      <w:jc w:val="left"/>
                      <w:rPr>
                        <w:sz w:val="21"/>
                      </w:rPr>
                    </w:pPr>
                    <w:r>
                      <w:rPr>
                        <w:sz w:val="21"/>
                      </w:rPr>
                      <w:t>江西景新漆业股份有限公司突发环境事件应急预案</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1143000</wp:posOffset>
              </wp:positionH>
              <wp:positionV relativeFrom="page">
                <wp:posOffset>730250</wp:posOffset>
              </wp:positionV>
              <wp:extent cx="5268595" cy="0"/>
              <wp:effectExtent l="0" t="0" r="0" b="0"/>
              <wp:wrapNone/>
              <wp:docPr id="28" name="直线 2"/>
              <wp:cNvGraphicFramePr/>
              <a:graphic xmlns:a="http://schemas.openxmlformats.org/drawingml/2006/main">
                <a:graphicData uri="http://schemas.microsoft.com/office/word/2010/wordprocessingShape">
                  <wps:wsp>
                    <wps:cNvCnPr/>
                    <wps:spPr>
                      <a:xfrm>
                        <a:off x="0" y="0"/>
                        <a:ext cx="5268595"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90pt;margin-top:57.5pt;height:0pt;width:414.85pt;mso-position-horizontal-relative:page;mso-position-vertical-relative:page;z-index:-251654144;mso-width-relative:page;mso-height-relative:page;" filled="f" stroked="t" coordsize="21600,21600" o:gfxdata="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IOFNQA&#10;AAAMAQAADwAAAAAAAAABACAAAAAiAAAAZHJzL2Rvd25yZXYueG1sUEsBAhQAFAAAAAgAh07iQOQa&#10;x83qAQAA3AMAAA4AAAAAAAAAAQAgAAAAIwEAAGRycy9lMm9Eb2MueG1sUEsFBgAAAAAGAAYAWQEA&#10;AH8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3360" behindDoc="1" locked="0" layoutInCell="1" allowOverlap="1">
              <wp:simplePos x="0" y="0"/>
              <wp:positionH relativeFrom="page">
                <wp:posOffset>2301875</wp:posOffset>
              </wp:positionH>
              <wp:positionV relativeFrom="page">
                <wp:posOffset>547370</wp:posOffset>
              </wp:positionV>
              <wp:extent cx="2957830" cy="158115"/>
              <wp:effectExtent l="0" t="0" r="0" b="0"/>
              <wp:wrapNone/>
              <wp:docPr id="30" name="文本框 3"/>
              <wp:cNvGraphicFramePr/>
              <a:graphic xmlns:a="http://schemas.openxmlformats.org/drawingml/2006/main">
                <a:graphicData uri="http://schemas.microsoft.com/office/word/2010/wordprocessingShape">
                  <wps:wsp>
                    <wps:cNvSpPr txBox="1"/>
                    <wps:spPr>
                      <a:xfrm>
                        <a:off x="0" y="0"/>
                        <a:ext cx="2957830" cy="158115"/>
                      </a:xfrm>
                      <a:prstGeom prst="rect">
                        <a:avLst/>
                      </a:prstGeom>
                      <a:noFill/>
                      <a:ln>
                        <a:noFill/>
                      </a:ln>
                    </wps:spPr>
                    <wps:txbx>
                      <w:txbxContent>
                        <w:p>
                          <w:pPr>
                            <w:spacing w:before="0" w:line="249" w:lineRule="exact"/>
                            <w:ind w:left="20" w:right="0" w:firstLine="0"/>
                            <w:jc w:val="left"/>
                            <w:rPr>
                              <w:sz w:val="21"/>
                            </w:rPr>
                          </w:pPr>
                          <w:r>
                            <w:rPr>
                              <w:sz w:val="21"/>
                            </w:rPr>
                            <w:t>江西景新漆业股份有限公司突发环境事件应急预案</w:t>
                          </w:r>
                        </w:p>
                      </w:txbxContent>
                    </wps:txbx>
                    <wps:bodyPr lIns="0" tIns="0" rIns="0" bIns="0" upright="1"/>
                  </wps:wsp>
                </a:graphicData>
              </a:graphic>
            </wp:anchor>
          </w:drawing>
        </mc:Choice>
        <mc:Fallback>
          <w:pict>
            <v:shape id="文本框 3" o:spid="_x0000_s1026" o:spt="202" type="#_x0000_t202" style="position:absolute;left:0pt;margin-left:181.25pt;margin-top:43.1pt;height:12.45pt;width:232.9pt;mso-position-horizontal-relative:page;mso-position-vertical-relative:page;z-index:-251653120;mso-width-relative:page;mso-height-relative:page;" filled="f" stroked="f" coordsize="21600,21600" o:gfxdata="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JeskHYAAAACgEAAA8AAAAAAAAAAQAgAAAAIgAAAGRycy9kb3ducmV2LnhtbFBLAQIU&#10;ABQAAAAIAIdO4kDTeQ5JugEAAHMDAAAOAAAAAAAAAAEAIAAAACcBAABkcnMvZTJvRG9jLnhtbFBL&#10;BQYAAAAABgAGAFkBAABTBQAAAAA=&#10;">
              <v:fill on="f" focussize="0,0"/>
              <v:stroke on="f"/>
              <v:imagedata o:title=""/>
              <o:lock v:ext="edit" aspectratio="f"/>
              <v:textbox inset="0mm,0mm,0mm,0mm">
                <w:txbxContent>
                  <w:p>
                    <w:pPr>
                      <w:spacing w:before="0" w:line="249" w:lineRule="exact"/>
                      <w:ind w:left="20" w:right="0" w:firstLine="0"/>
                      <w:jc w:val="left"/>
                      <w:rPr>
                        <w:sz w:val="21"/>
                      </w:rPr>
                    </w:pPr>
                    <w:r>
                      <w:rPr>
                        <w:sz w:val="21"/>
                      </w:rPr>
                      <w:t>江西景新漆业股份有限公司突发环境事件应急预案</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9504" behindDoc="1" locked="0" layoutInCell="1" allowOverlap="1">
              <wp:simplePos x="0" y="0"/>
              <wp:positionH relativeFrom="page">
                <wp:posOffset>1143000</wp:posOffset>
              </wp:positionH>
              <wp:positionV relativeFrom="page">
                <wp:posOffset>730250</wp:posOffset>
              </wp:positionV>
              <wp:extent cx="5268595" cy="0"/>
              <wp:effectExtent l="0" t="0" r="0" b="0"/>
              <wp:wrapNone/>
              <wp:docPr id="39" name="直线 10"/>
              <wp:cNvGraphicFramePr/>
              <a:graphic xmlns:a="http://schemas.openxmlformats.org/drawingml/2006/main">
                <a:graphicData uri="http://schemas.microsoft.com/office/word/2010/wordprocessingShape">
                  <wps:wsp>
                    <wps:cNvCnPr/>
                    <wps:spPr>
                      <a:xfrm>
                        <a:off x="0" y="0"/>
                        <a:ext cx="5268595"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直线 10" o:spid="_x0000_s1026" o:spt="20" style="position:absolute;left:0pt;margin-left:90pt;margin-top:57.5pt;height:0pt;width:414.85pt;mso-position-horizontal-relative:page;mso-position-vertical-relative:page;z-index:-251646976;mso-width-relative:page;mso-height-relative:page;" filled="f" stroked="t" coordsize="21600,21600" o:gfxdata="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IOFNQA&#10;AAAMAQAADwAAAAAAAAABACAAAAAiAAAAZHJzL2Rvd25yZXYueG1sUEsBAhQAFAAAAAgAh07iQFuM&#10;B33qAQAA3QMAAA4AAAAAAAAAAQAgAAAAIwEAAGRycy9lMm9Eb2MueG1sUEsFBgAAAAAGAAYAWQEA&#10;AH8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70528" behindDoc="1" locked="0" layoutInCell="1" allowOverlap="1">
              <wp:simplePos x="0" y="0"/>
              <wp:positionH relativeFrom="page">
                <wp:posOffset>2297430</wp:posOffset>
              </wp:positionH>
              <wp:positionV relativeFrom="page">
                <wp:posOffset>547370</wp:posOffset>
              </wp:positionV>
              <wp:extent cx="2957830" cy="158115"/>
              <wp:effectExtent l="0" t="0" r="0" b="0"/>
              <wp:wrapNone/>
              <wp:docPr id="40" name="文本框 11"/>
              <wp:cNvGraphicFramePr/>
              <a:graphic xmlns:a="http://schemas.openxmlformats.org/drawingml/2006/main">
                <a:graphicData uri="http://schemas.microsoft.com/office/word/2010/wordprocessingShape">
                  <wps:wsp>
                    <wps:cNvSpPr txBox="1"/>
                    <wps:spPr>
                      <a:xfrm>
                        <a:off x="0" y="0"/>
                        <a:ext cx="2957830" cy="158115"/>
                      </a:xfrm>
                      <a:prstGeom prst="rect">
                        <a:avLst/>
                      </a:prstGeom>
                      <a:noFill/>
                      <a:ln>
                        <a:noFill/>
                      </a:ln>
                    </wps:spPr>
                    <wps:txbx>
                      <w:txbxContent>
                        <w:p>
                          <w:pPr>
                            <w:spacing w:before="0" w:line="249" w:lineRule="exact"/>
                            <w:ind w:left="20" w:right="0" w:firstLine="0"/>
                            <w:jc w:val="left"/>
                            <w:rPr>
                              <w:sz w:val="21"/>
                            </w:rPr>
                          </w:pPr>
                          <w:r>
                            <w:rPr>
                              <w:sz w:val="21"/>
                            </w:rPr>
                            <w:t>江西景新漆业股份有限公司突发环境事件应急预案</w:t>
                          </w:r>
                        </w:p>
                      </w:txbxContent>
                    </wps:txbx>
                    <wps:bodyPr lIns="0" tIns="0" rIns="0" bIns="0" upright="1"/>
                  </wps:wsp>
                </a:graphicData>
              </a:graphic>
            </wp:anchor>
          </w:drawing>
        </mc:Choice>
        <mc:Fallback>
          <w:pict>
            <v:shape id="文本框 11" o:spid="_x0000_s1026" o:spt="202" type="#_x0000_t202" style="position:absolute;left:0pt;margin-left:180.9pt;margin-top:43.1pt;height:12.45pt;width:232.9pt;mso-position-horizontal-relative:page;mso-position-vertical-relative:page;z-index:-251645952;mso-width-relative:page;mso-height-relative:page;" filled="f" stroked="f" coordsize="21600,21600" o:gfxdata="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55YvG2AAAAAoBAAAPAAAAAAAAAAEAIAAAACIAAABkcnMvZG93bnJldi54bWxQSwEC&#10;FAAUAAAACACHTuJA1mH45bsBAAB0AwAADgAAAAAAAAABACAAAAAnAQAAZHJzL2Uyb0RvYy54bWxQ&#10;SwUGAAAAAAYABgBZAQAAVAUAAAAA&#10;">
              <v:fill on="f" focussize="0,0"/>
              <v:stroke on="f"/>
              <v:imagedata o:title=""/>
              <o:lock v:ext="edit" aspectratio="f"/>
              <v:textbox inset="0mm,0mm,0mm,0mm">
                <w:txbxContent>
                  <w:p>
                    <w:pPr>
                      <w:spacing w:before="0" w:line="249" w:lineRule="exact"/>
                      <w:ind w:left="20" w:right="0" w:firstLine="0"/>
                      <w:jc w:val="left"/>
                      <w:rPr>
                        <w:sz w:val="21"/>
                      </w:rPr>
                    </w:pPr>
                    <w:r>
                      <w:rPr>
                        <w:sz w:val="21"/>
                      </w:rPr>
                      <w:t>江西景新漆业股份有限公司突发环境事件应急预案</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2"/>
      <w:numFmt w:val="decimal"/>
      <w:lvlText w:val="(%1)"/>
      <w:lvlJc w:val="left"/>
      <w:pPr>
        <w:ind w:left="1540" w:hanging="361"/>
        <w:jc w:val="left"/>
      </w:pPr>
      <w:rPr>
        <w:rFonts w:hint="default" w:ascii="宋体" w:hAnsi="宋体" w:eastAsia="宋体" w:cs="宋体"/>
        <w:spacing w:val="-27"/>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1">
    <w:nsid w:val="8461FADE"/>
    <w:multiLevelType w:val="multilevel"/>
    <w:tmpl w:val="8461FADE"/>
    <w:lvl w:ilvl="0" w:tentative="0">
      <w:start w:val="3"/>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2344" w:hanging="804"/>
        <w:jc w:val="right"/>
      </w:pPr>
      <w:rPr>
        <w:rFonts w:hint="default"/>
        <w:b/>
        <w:bCs/>
        <w:spacing w:val="0"/>
        <w:w w:val="93"/>
        <w:lang w:val="zh-CN" w:eastAsia="zh-CN" w:bidi="zh-CN"/>
      </w:rPr>
    </w:lvl>
    <w:lvl w:ilvl="3" w:tentative="0">
      <w:start w:val="1"/>
      <w:numFmt w:val="decimal"/>
      <w:lvlText w:val="（%4）"/>
      <w:lvlJc w:val="left"/>
      <w:pPr>
        <w:ind w:left="2695" w:hanging="804"/>
        <w:jc w:val="left"/>
      </w:pPr>
      <w:rPr>
        <w:rFonts w:hint="default"/>
        <w:spacing w:val="-8"/>
        <w:w w:val="100"/>
        <w:lang w:val="zh-CN" w:eastAsia="zh-CN" w:bidi="zh-CN"/>
      </w:rPr>
    </w:lvl>
    <w:lvl w:ilvl="4" w:tentative="0">
      <w:start w:val="0"/>
      <w:numFmt w:val="bullet"/>
      <w:lvlText w:val="•"/>
      <w:lvlJc w:val="left"/>
      <w:pPr>
        <w:ind w:left="2700" w:hanging="804"/>
      </w:pPr>
      <w:rPr>
        <w:rFonts w:hint="default"/>
        <w:lang w:val="zh-CN" w:eastAsia="zh-CN" w:bidi="zh-CN"/>
      </w:rPr>
    </w:lvl>
    <w:lvl w:ilvl="5" w:tentative="0">
      <w:start w:val="0"/>
      <w:numFmt w:val="bullet"/>
      <w:lvlText w:val="•"/>
      <w:lvlJc w:val="left"/>
      <w:pPr>
        <w:ind w:left="4176" w:hanging="804"/>
      </w:pPr>
      <w:rPr>
        <w:rFonts w:hint="default"/>
        <w:lang w:val="zh-CN" w:eastAsia="zh-CN" w:bidi="zh-CN"/>
      </w:rPr>
    </w:lvl>
    <w:lvl w:ilvl="6" w:tentative="0">
      <w:start w:val="0"/>
      <w:numFmt w:val="bullet"/>
      <w:lvlText w:val="•"/>
      <w:lvlJc w:val="left"/>
      <w:pPr>
        <w:ind w:left="5653" w:hanging="804"/>
      </w:pPr>
      <w:rPr>
        <w:rFonts w:hint="default"/>
        <w:lang w:val="zh-CN" w:eastAsia="zh-CN" w:bidi="zh-CN"/>
      </w:rPr>
    </w:lvl>
    <w:lvl w:ilvl="7" w:tentative="0">
      <w:start w:val="0"/>
      <w:numFmt w:val="bullet"/>
      <w:lvlText w:val="•"/>
      <w:lvlJc w:val="left"/>
      <w:pPr>
        <w:ind w:left="7130" w:hanging="804"/>
      </w:pPr>
      <w:rPr>
        <w:rFonts w:hint="default"/>
        <w:lang w:val="zh-CN" w:eastAsia="zh-CN" w:bidi="zh-CN"/>
      </w:rPr>
    </w:lvl>
    <w:lvl w:ilvl="8" w:tentative="0">
      <w:start w:val="0"/>
      <w:numFmt w:val="bullet"/>
      <w:lvlText w:val="•"/>
      <w:lvlJc w:val="left"/>
      <w:pPr>
        <w:ind w:left="8606" w:hanging="804"/>
      </w:pPr>
      <w:rPr>
        <w:rFonts w:hint="default"/>
        <w:lang w:val="zh-CN" w:eastAsia="zh-CN" w:bidi="zh-CN"/>
      </w:rPr>
    </w:lvl>
  </w:abstractNum>
  <w:abstractNum w:abstractNumId="2">
    <w:nsid w:val="8CAEB125"/>
    <w:multiLevelType w:val="multilevel"/>
    <w:tmpl w:val="8CAEB125"/>
    <w:lvl w:ilvl="0" w:tentative="0">
      <w:start w:val="5"/>
      <w:numFmt w:val="decimal"/>
      <w:lvlText w:val="%1"/>
      <w:lvlJc w:val="left"/>
      <w:pPr>
        <w:ind w:left="2507" w:hanging="968"/>
        <w:jc w:val="left"/>
      </w:pPr>
      <w:rPr>
        <w:rFonts w:hint="default"/>
        <w:lang w:val="zh-CN" w:eastAsia="zh-CN" w:bidi="zh-CN"/>
      </w:rPr>
    </w:lvl>
    <w:lvl w:ilvl="1" w:tentative="0">
      <w:start w:val="3"/>
      <w:numFmt w:val="decimal"/>
      <w:lvlText w:val="%1.%2"/>
      <w:lvlJc w:val="left"/>
      <w:pPr>
        <w:ind w:left="2507" w:hanging="968"/>
        <w:jc w:val="left"/>
      </w:pPr>
      <w:rPr>
        <w:rFonts w:hint="default"/>
        <w:lang w:val="zh-CN" w:eastAsia="zh-CN" w:bidi="zh-CN"/>
      </w:rPr>
    </w:lvl>
    <w:lvl w:ilvl="2" w:tentative="0">
      <w:start w:val="2"/>
      <w:numFmt w:val="decimal"/>
      <w:lvlText w:val="%1.%2.%3"/>
      <w:lvlJc w:val="left"/>
      <w:pPr>
        <w:ind w:left="2507" w:hanging="968"/>
        <w:jc w:val="left"/>
      </w:pPr>
      <w:rPr>
        <w:rFonts w:hint="default"/>
        <w:lang w:val="zh-CN" w:eastAsia="zh-CN" w:bidi="zh-CN"/>
      </w:rPr>
    </w:lvl>
    <w:lvl w:ilvl="3" w:tentative="0">
      <w:start w:val="1"/>
      <w:numFmt w:val="decimal"/>
      <w:lvlText w:val="%1.%2.%3.%4"/>
      <w:lvlJc w:val="left"/>
      <w:pPr>
        <w:ind w:left="2507" w:hanging="968"/>
        <w:jc w:val="left"/>
      </w:pPr>
      <w:rPr>
        <w:rFonts w:hint="default" w:ascii="宋体" w:hAnsi="宋体" w:eastAsia="宋体" w:cs="宋体"/>
        <w:b/>
        <w:bCs/>
        <w:spacing w:val="0"/>
        <w:w w:val="99"/>
        <w:sz w:val="24"/>
        <w:szCs w:val="24"/>
        <w:lang w:val="zh-CN" w:eastAsia="zh-CN" w:bidi="zh-CN"/>
      </w:rPr>
    </w:lvl>
    <w:lvl w:ilvl="4" w:tentative="0">
      <w:start w:val="0"/>
      <w:numFmt w:val="bullet"/>
      <w:lvlText w:val="•"/>
      <w:lvlJc w:val="left"/>
      <w:pPr>
        <w:ind w:left="6124" w:hanging="968"/>
      </w:pPr>
      <w:rPr>
        <w:rFonts w:hint="default"/>
        <w:lang w:val="zh-CN" w:eastAsia="zh-CN" w:bidi="zh-CN"/>
      </w:rPr>
    </w:lvl>
    <w:lvl w:ilvl="5" w:tentative="0">
      <w:start w:val="0"/>
      <w:numFmt w:val="bullet"/>
      <w:lvlText w:val="•"/>
      <w:lvlJc w:val="left"/>
      <w:pPr>
        <w:ind w:left="7030" w:hanging="968"/>
      </w:pPr>
      <w:rPr>
        <w:rFonts w:hint="default"/>
        <w:lang w:val="zh-CN" w:eastAsia="zh-CN" w:bidi="zh-CN"/>
      </w:rPr>
    </w:lvl>
    <w:lvl w:ilvl="6" w:tentative="0">
      <w:start w:val="0"/>
      <w:numFmt w:val="bullet"/>
      <w:lvlText w:val="•"/>
      <w:lvlJc w:val="left"/>
      <w:pPr>
        <w:ind w:left="7936" w:hanging="968"/>
      </w:pPr>
      <w:rPr>
        <w:rFonts w:hint="default"/>
        <w:lang w:val="zh-CN" w:eastAsia="zh-CN" w:bidi="zh-CN"/>
      </w:rPr>
    </w:lvl>
    <w:lvl w:ilvl="7" w:tentative="0">
      <w:start w:val="0"/>
      <w:numFmt w:val="bullet"/>
      <w:lvlText w:val="•"/>
      <w:lvlJc w:val="left"/>
      <w:pPr>
        <w:ind w:left="8842" w:hanging="968"/>
      </w:pPr>
      <w:rPr>
        <w:rFonts w:hint="default"/>
        <w:lang w:val="zh-CN" w:eastAsia="zh-CN" w:bidi="zh-CN"/>
      </w:rPr>
    </w:lvl>
    <w:lvl w:ilvl="8" w:tentative="0">
      <w:start w:val="0"/>
      <w:numFmt w:val="bullet"/>
      <w:lvlText w:val="•"/>
      <w:lvlJc w:val="left"/>
      <w:pPr>
        <w:ind w:left="9748" w:hanging="968"/>
      </w:pPr>
      <w:rPr>
        <w:rFonts w:hint="default"/>
        <w:lang w:val="zh-CN" w:eastAsia="zh-CN" w:bidi="zh-CN"/>
      </w:rPr>
    </w:lvl>
  </w:abstractNum>
  <w:abstractNum w:abstractNumId="3">
    <w:nsid w:val="91995D4F"/>
    <w:multiLevelType w:val="multilevel"/>
    <w:tmpl w:val="91995D4F"/>
    <w:lvl w:ilvl="0" w:tentative="0">
      <w:start w:val="1"/>
      <w:numFmt w:val="decimal"/>
      <w:lvlText w:val="(%1)"/>
      <w:lvlJc w:val="left"/>
      <w:pPr>
        <w:ind w:left="1540" w:hanging="361"/>
        <w:jc w:val="left"/>
      </w:pPr>
      <w:rPr>
        <w:rFonts w:hint="default" w:ascii="宋体" w:hAnsi="宋体" w:eastAsia="宋体" w:cs="宋体"/>
        <w:spacing w:val="-65"/>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4">
    <w:nsid w:val="9239341B"/>
    <w:multiLevelType w:val="multilevel"/>
    <w:tmpl w:val="9239341B"/>
    <w:lvl w:ilvl="0" w:tentative="0">
      <w:start w:val="10"/>
      <w:numFmt w:val="decimal"/>
      <w:lvlText w:val="%1"/>
      <w:lvlJc w:val="left"/>
      <w:pPr>
        <w:ind w:left="1200" w:hanging="600"/>
        <w:jc w:val="left"/>
      </w:pPr>
      <w:rPr>
        <w:rFonts w:hint="default"/>
        <w:lang w:val="zh-CN" w:eastAsia="zh-CN" w:bidi="zh-CN"/>
      </w:rPr>
    </w:lvl>
    <w:lvl w:ilvl="1" w:tentative="0">
      <w:start w:val="1"/>
      <w:numFmt w:val="decimal"/>
      <w:lvlText w:val="%1.%2"/>
      <w:lvlJc w:val="left"/>
      <w:pPr>
        <w:ind w:left="1200" w:hanging="60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688" w:hanging="600"/>
      </w:pPr>
      <w:rPr>
        <w:rFonts w:hint="default"/>
        <w:lang w:val="zh-CN" w:eastAsia="zh-CN" w:bidi="zh-CN"/>
      </w:rPr>
    </w:lvl>
    <w:lvl w:ilvl="3" w:tentative="0">
      <w:start w:val="0"/>
      <w:numFmt w:val="bullet"/>
      <w:lvlText w:val="•"/>
      <w:lvlJc w:val="left"/>
      <w:pPr>
        <w:ind w:left="3432" w:hanging="600"/>
      </w:pPr>
      <w:rPr>
        <w:rFonts w:hint="default"/>
        <w:lang w:val="zh-CN" w:eastAsia="zh-CN" w:bidi="zh-CN"/>
      </w:rPr>
    </w:lvl>
    <w:lvl w:ilvl="4" w:tentative="0">
      <w:start w:val="0"/>
      <w:numFmt w:val="bullet"/>
      <w:lvlText w:val="•"/>
      <w:lvlJc w:val="left"/>
      <w:pPr>
        <w:ind w:left="4176" w:hanging="600"/>
      </w:pPr>
      <w:rPr>
        <w:rFonts w:hint="default"/>
        <w:lang w:val="zh-CN" w:eastAsia="zh-CN" w:bidi="zh-CN"/>
      </w:rPr>
    </w:lvl>
    <w:lvl w:ilvl="5" w:tentative="0">
      <w:start w:val="0"/>
      <w:numFmt w:val="bullet"/>
      <w:lvlText w:val="•"/>
      <w:lvlJc w:val="left"/>
      <w:pPr>
        <w:ind w:left="4920" w:hanging="600"/>
      </w:pPr>
      <w:rPr>
        <w:rFonts w:hint="default"/>
        <w:lang w:val="zh-CN" w:eastAsia="zh-CN" w:bidi="zh-CN"/>
      </w:rPr>
    </w:lvl>
    <w:lvl w:ilvl="6" w:tentative="0">
      <w:start w:val="0"/>
      <w:numFmt w:val="bullet"/>
      <w:lvlText w:val="•"/>
      <w:lvlJc w:val="left"/>
      <w:pPr>
        <w:ind w:left="5664" w:hanging="600"/>
      </w:pPr>
      <w:rPr>
        <w:rFonts w:hint="default"/>
        <w:lang w:val="zh-CN" w:eastAsia="zh-CN" w:bidi="zh-CN"/>
      </w:rPr>
    </w:lvl>
    <w:lvl w:ilvl="7" w:tentative="0">
      <w:start w:val="0"/>
      <w:numFmt w:val="bullet"/>
      <w:lvlText w:val="•"/>
      <w:lvlJc w:val="left"/>
      <w:pPr>
        <w:ind w:left="6408" w:hanging="600"/>
      </w:pPr>
      <w:rPr>
        <w:rFonts w:hint="default"/>
        <w:lang w:val="zh-CN" w:eastAsia="zh-CN" w:bidi="zh-CN"/>
      </w:rPr>
    </w:lvl>
    <w:lvl w:ilvl="8" w:tentative="0">
      <w:start w:val="0"/>
      <w:numFmt w:val="bullet"/>
      <w:lvlText w:val="•"/>
      <w:lvlJc w:val="left"/>
      <w:pPr>
        <w:ind w:left="7152" w:hanging="600"/>
      </w:pPr>
      <w:rPr>
        <w:rFonts w:hint="default"/>
        <w:lang w:val="zh-CN" w:eastAsia="zh-CN" w:bidi="zh-CN"/>
      </w:rPr>
    </w:lvl>
  </w:abstractNum>
  <w:abstractNum w:abstractNumId="5">
    <w:nsid w:val="9288B902"/>
    <w:multiLevelType w:val="multilevel"/>
    <w:tmpl w:val="9288B902"/>
    <w:lvl w:ilvl="0" w:tentative="0">
      <w:start w:val="1"/>
      <w:numFmt w:val="decimal"/>
      <w:lvlText w:val="（%1）"/>
      <w:lvlJc w:val="left"/>
      <w:pPr>
        <w:ind w:left="1377" w:hanging="589"/>
        <w:jc w:val="left"/>
      </w:pPr>
      <w:rPr>
        <w:rFonts w:hint="default" w:ascii="宋体" w:hAnsi="宋体" w:eastAsia="宋体" w:cs="宋体"/>
        <w:spacing w:val="-8"/>
        <w:w w:val="100"/>
        <w:sz w:val="22"/>
        <w:szCs w:val="22"/>
        <w:lang w:val="zh-CN" w:eastAsia="zh-CN" w:bidi="zh-CN"/>
      </w:rPr>
    </w:lvl>
    <w:lvl w:ilvl="1" w:tentative="0">
      <w:start w:val="0"/>
      <w:numFmt w:val="bullet"/>
      <w:lvlText w:val="•"/>
      <w:lvlJc w:val="left"/>
      <w:pPr>
        <w:ind w:left="2127" w:hanging="589"/>
      </w:pPr>
      <w:rPr>
        <w:rFonts w:hint="default"/>
        <w:lang w:val="zh-CN" w:eastAsia="zh-CN" w:bidi="zh-CN"/>
      </w:rPr>
    </w:lvl>
    <w:lvl w:ilvl="2" w:tentative="0">
      <w:start w:val="0"/>
      <w:numFmt w:val="bullet"/>
      <w:lvlText w:val="•"/>
      <w:lvlJc w:val="left"/>
      <w:pPr>
        <w:ind w:left="2874" w:hanging="589"/>
      </w:pPr>
      <w:rPr>
        <w:rFonts w:hint="default"/>
        <w:lang w:val="zh-CN" w:eastAsia="zh-CN" w:bidi="zh-CN"/>
      </w:rPr>
    </w:lvl>
    <w:lvl w:ilvl="3" w:tentative="0">
      <w:start w:val="0"/>
      <w:numFmt w:val="bullet"/>
      <w:lvlText w:val="•"/>
      <w:lvlJc w:val="left"/>
      <w:pPr>
        <w:ind w:left="3621" w:hanging="589"/>
      </w:pPr>
      <w:rPr>
        <w:rFonts w:hint="default"/>
        <w:lang w:val="zh-CN" w:eastAsia="zh-CN" w:bidi="zh-CN"/>
      </w:rPr>
    </w:lvl>
    <w:lvl w:ilvl="4" w:tentative="0">
      <w:start w:val="0"/>
      <w:numFmt w:val="bullet"/>
      <w:lvlText w:val="•"/>
      <w:lvlJc w:val="left"/>
      <w:pPr>
        <w:ind w:left="4368" w:hanging="589"/>
      </w:pPr>
      <w:rPr>
        <w:rFonts w:hint="default"/>
        <w:lang w:val="zh-CN" w:eastAsia="zh-CN" w:bidi="zh-CN"/>
      </w:rPr>
    </w:lvl>
    <w:lvl w:ilvl="5" w:tentative="0">
      <w:start w:val="0"/>
      <w:numFmt w:val="bullet"/>
      <w:lvlText w:val="•"/>
      <w:lvlJc w:val="left"/>
      <w:pPr>
        <w:ind w:left="5115" w:hanging="589"/>
      </w:pPr>
      <w:rPr>
        <w:rFonts w:hint="default"/>
        <w:lang w:val="zh-CN" w:eastAsia="zh-CN" w:bidi="zh-CN"/>
      </w:rPr>
    </w:lvl>
    <w:lvl w:ilvl="6" w:tentative="0">
      <w:start w:val="0"/>
      <w:numFmt w:val="bullet"/>
      <w:lvlText w:val="•"/>
      <w:lvlJc w:val="left"/>
      <w:pPr>
        <w:ind w:left="5862" w:hanging="589"/>
      </w:pPr>
      <w:rPr>
        <w:rFonts w:hint="default"/>
        <w:lang w:val="zh-CN" w:eastAsia="zh-CN" w:bidi="zh-CN"/>
      </w:rPr>
    </w:lvl>
    <w:lvl w:ilvl="7" w:tentative="0">
      <w:start w:val="0"/>
      <w:numFmt w:val="bullet"/>
      <w:lvlText w:val="•"/>
      <w:lvlJc w:val="left"/>
      <w:pPr>
        <w:ind w:left="6609" w:hanging="589"/>
      </w:pPr>
      <w:rPr>
        <w:rFonts w:hint="default"/>
        <w:lang w:val="zh-CN" w:eastAsia="zh-CN" w:bidi="zh-CN"/>
      </w:rPr>
    </w:lvl>
    <w:lvl w:ilvl="8" w:tentative="0">
      <w:start w:val="0"/>
      <w:numFmt w:val="bullet"/>
      <w:lvlText w:val="•"/>
      <w:lvlJc w:val="left"/>
      <w:pPr>
        <w:ind w:left="7356" w:hanging="589"/>
      </w:pPr>
      <w:rPr>
        <w:rFonts w:hint="default"/>
        <w:lang w:val="zh-CN" w:eastAsia="zh-CN" w:bidi="zh-CN"/>
      </w:rPr>
    </w:lvl>
  </w:abstractNum>
  <w:abstractNum w:abstractNumId="6">
    <w:nsid w:val="9C8AC8EF"/>
    <w:multiLevelType w:val="multilevel"/>
    <w:tmpl w:val="9C8AC8EF"/>
    <w:lvl w:ilvl="0" w:tentative="0">
      <w:start w:val="9"/>
      <w:numFmt w:val="decimal"/>
      <w:lvlText w:val="(%1)"/>
      <w:lvlJc w:val="left"/>
      <w:pPr>
        <w:ind w:left="222" w:hanging="361"/>
        <w:jc w:val="left"/>
      </w:pPr>
      <w:rPr>
        <w:rFonts w:hint="default" w:ascii="宋体" w:hAnsi="宋体" w:eastAsia="宋体" w:cs="宋体"/>
        <w:color w:val="0000FF"/>
        <w:spacing w:val="-15"/>
        <w:w w:val="100"/>
        <w:sz w:val="22"/>
        <w:szCs w:val="22"/>
        <w:lang w:val="zh-CN" w:eastAsia="zh-CN" w:bidi="zh-CN"/>
      </w:rPr>
    </w:lvl>
    <w:lvl w:ilvl="1" w:tentative="0">
      <w:start w:val="0"/>
      <w:numFmt w:val="bullet"/>
      <w:lvlText w:val="•"/>
      <w:lvlJc w:val="left"/>
      <w:pPr>
        <w:ind w:left="1083" w:hanging="361"/>
      </w:pPr>
      <w:rPr>
        <w:rFonts w:hint="default"/>
        <w:lang w:val="zh-CN" w:eastAsia="zh-CN" w:bidi="zh-CN"/>
      </w:rPr>
    </w:lvl>
    <w:lvl w:ilvl="2" w:tentative="0">
      <w:start w:val="0"/>
      <w:numFmt w:val="bullet"/>
      <w:lvlText w:val="•"/>
      <w:lvlJc w:val="left"/>
      <w:pPr>
        <w:ind w:left="1946" w:hanging="361"/>
      </w:pPr>
      <w:rPr>
        <w:rFonts w:hint="default"/>
        <w:lang w:val="zh-CN" w:eastAsia="zh-CN" w:bidi="zh-CN"/>
      </w:rPr>
    </w:lvl>
    <w:lvl w:ilvl="3" w:tentative="0">
      <w:start w:val="0"/>
      <w:numFmt w:val="bullet"/>
      <w:lvlText w:val="•"/>
      <w:lvlJc w:val="left"/>
      <w:pPr>
        <w:ind w:left="2809" w:hanging="361"/>
      </w:pPr>
      <w:rPr>
        <w:rFonts w:hint="default"/>
        <w:lang w:val="zh-CN" w:eastAsia="zh-CN" w:bidi="zh-CN"/>
      </w:rPr>
    </w:lvl>
    <w:lvl w:ilvl="4" w:tentative="0">
      <w:start w:val="0"/>
      <w:numFmt w:val="bullet"/>
      <w:lvlText w:val="•"/>
      <w:lvlJc w:val="left"/>
      <w:pPr>
        <w:ind w:left="3672" w:hanging="361"/>
      </w:pPr>
      <w:rPr>
        <w:rFonts w:hint="default"/>
        <w:lang w:val="zh-CN" w:eastAsia="zh-CN" w:bidi="zh-CN"/>
      </w:rPr>
    </w:lvl>
    <w:lvl w:ilvl="5" w:tentative="0">
      <w:start w:val="0"/>
      <w:numFmt w:val="bullet"/>
      <w:lvlText w:val="•"/>
      <w:lvlJc w:val="left"/>
      <w:pPr>
        <w:ind w:left="4535" w:hanging="361"/>
      </w:pPr>
      <w:rPr>
        <w:rFonts w:hint="default"/>
        <w:lang w:val="zh-CN" w:eastAsia="zh-CN" w:bidi="zh-CN"/>
      </w:rPr>
    </w:lvl>
    <w:lvl w:ilvl="6" w:tentative="0">
      <w:start w:val="0"/>
      <w:numFmt w:val="bullet"/>
      <w:lvlText w:val="•"/>
      <w:lvlJc w:val="left"/>
      <w:pPr>
        <w:ind w:left="5398" w:hanging="361"/>
      </w:pPr>
      <w:rPr>
        <w:rFonts w:hint="default"/>
        <w:lang w:val="zh-CN" w:eastAsia="zh-CN" w:bidi="zh-CN"/>
      </w:rPr>
    </w:lvl>
    <w:lvl w:ilvl="7" w:tentative="0">
      <w:start w:val="0"/>
      <w:numFmt w:val="bullet"/>
      <w:lvlText w:val="•"/>
      <w:lvlJc w:val="left"/>
      <w:pPr>
        <w:ind w:left="6261" w:hanging="361"/>
      </w:pPr>
      <w:rPr>
        <w:rFonts w:hint="default"/>
        <w:lang w:val="zh-CN" w:eastAsia="zh-CN" w:bidi="zh-CN"/>
      </w:rPr>
    </w:lvl>
    <w:lvl w:ilvl="8" w:tentative="0">
      <w:start w:val="0"/>
      <w:numFmt w:val="bullet"/>
      <w:lvlText w:val="•"/>
      <w:lvlJc w:val="left"/>
      <w:pPr>
        <w:ind w:left="7124" w:hanging="361"/>
      </w:pPr>
      <w:rPr>
        <w:rFonts w:hint="default"/>
        <w:lang w:val="zh-CN" w:eastAsia="zh-CN" w:bidi="zh-CN"/>
      </w:rPr>
    </w:lvl>
  </w:abstractNum>
  <w:abstractNum w:abstractNumId="7">
    <w:nsid w:val="A0C93552"/>
    <w:multiLevelType w:val="multilevel"/>
    <w:tmpl w:val="A0C93552"/>
    <w:lvl w:ilvl="0" w:tentative="0">
      <w:start w:val="14"/>
      <w:numFmt w:val="decimal"/>
      <w:lvlText w:val="%1"/>
      <w:lvlJc w:val="left"/>
      <w:pPr>
        <w:ind w:left="2668" w:hanging="1128"/>
        <w:jc w:val="left"/>
      </w:pPr>
      <w:rPr>
        <w:rFonts w:hint="default"/>
        <w:lang w:val="zh-CN" w:eastAsia="zh-CN" w:bidi="zh-CN"/>
      </w:rPr>
    </w:lvl>
    <w:lvl w:ilvl="1" w:tentative="0">
      <w:start w:val="2"/>
      <w:numFmt w:val="decimal"/>
      <w:lvlText w:val="%1.%2"/>
      <w:lvlJc w:val="left"/>
      <w:pPr>
        <w:ind w:left="2668" w:hanging="1128"/>
        <w:jc w:val="left"/>
      </w:pPr>
      <w:rPr>
        <w:rFonts w:hint="default"/>
        <w:lang w:val="zh-CN" w:eastAsia="zh-CN" w:bidi="zh-CN"/>
      </w:rPr>
    </w:lvl>
    <w:lvl w:ilvl="2" w:tentative="0">
      <w:start w:val="1"/>
      <w:numFmt w:val="decimal"/>
      <w:lvlText w:val="%1.%2.%3"/>
      <w:lvlJc w:val="left"/>
      <w:pPr>
        <w:ind w:left="2668" w:hanging="1128"/>
        <w:jc w:val="right"/>
      </w:pPr>
      <w:rPr>
        <w:rFonts w:hint="default"/>
        <w:b/>
        <w:bCs/>
        <w:spacing w:val="0"/>
        <w:w w:val="98"/>
        <w:lang w:val="zh-CN" w:eastAsia="zh-CN" w:bidi="zh-CN"/>
      </w:rPr>
    </w:lvl>
    <w:lvl w:ilvl="3" w:tentative="0">
      <w:start w:val="1"/>
      <w:numFmt w:val="decimal"/>
      <w:lvlText w:val="%1.%2.%3.%4"/>
      <w:lvlJc w:val="left"/>
      <w:pPr>
        <w:ind w:left="2867" w:hanging="1088"/>
        <w:jc w:val="left"/>
      </w:pPr>
      <w:rPr>
        <w:rFonts w:hint="default" w:ascii="宋体" w:hAnsi="宋体" w:eastAsia="宋体" w:cs="宋体"/>
        <w:b/>
        <w:bCs/>
        <w:spacing w:val="0"/>
        <w:w w:val="99"/>
        <w:sz w:val="24"/>
        <w:szCs w:val="24"/>
        <w:lang w:val="zh-CN" w:eastAsia="zh-CN" w:bidi="zh-CN"/>
      </w:rPr>
    </w:lvl>
    <w:lvl w:ilvl="4" w:tentative="0">
      <w:start w:val="0"/>
      <w:numFmt w:val="bullet"/>
      <w:lvlText w:val="•"/>
      <w:lvlJc w:val="left"/>
      <w:pPr>
        <w:ind w:left="5760" w:hanging="1088"/>
      </w:pPr>
      <w:rPr>
        <w:rFonts w:hint="default"/>
        <w:lang w:val="zh-CN" w:eastAsia="zh-CN" w:bidi="zh-CN"/>
      </w:rPr>
    </w:lvl>
    <w:lvl w:ilvl="5" w:tentative="0">
      <w:start w:val="0"/>
      <w:numFmt w:val="bullet"/>
      <w:lvlText w:val="•"/>
      <w:lvlJc w:val="left"/>
      <w:pPr>
        <w:ind w:left="6726" w:hanging="1088"/>
      </w:pPr>
      <w:rPr>
        <w:rFonts w:hint="default"/>
        <w:lang w:val="zh-CN" w:eastAsia="zh-CN" w:bidi="zh-CN"/>
      </w:rPr>
    </w:lvl>
    <w:lvl w:ilvl="6" w:tentative="0">
      <w:start w:val="0"/>
      <w:numFmt w:val="bullet"/>
      <w:lvlText w:val="•"/>
      <w:lvlJc w:val="left"/>
      <w:pPr>
        <w:ind w:left="7693" w:hanging="1088"/>
      </w:pPr>
      <w:rPr>
        <w:rFonts w:hint="default"/>
        <w:lang w:val="zh-CN" w:eastAsia="zh-CN" w:bidi="zh-CN"/>
      </w:rPr>
    </w:lvl>
    <w:lvl w:ilvl="7" w:tentative="0">
      <w:start w:val="0"/>
      <w:numFmt w:val="bullet"/>
      <w:lvlText w:val="•"/>
      <w:lvlJc w:val="left"/>
      <w:pPr>
        <w:ind w:left="8660" w:hanging="1088"/>
      </w:pPr>
      <w:rPr>
        <w:rFonts w:hint="default"/>
        <w:lang w:val="zh-CN" w:eastAsia="zh-CN" w:bidi="zh-CN"/>
      </w:rPr>
    </w:lvl>
    <w:lvl w:ilvl="8" w:tentative="0">
      <w:start w:val="0"/>
      <w:numFmt w:val="bullet"/>
      <w:lvlText w:val="•"/>
      <w:lvlJc w:val="left"/>
      <w:pPr>
        <w:ind w:left="9626" w:hanging="1088"/>
      </w:pPr>
      <w:rPr>
        <w:rFonts w:hint="default"/>
        <w:lang w:val="zh-CN" w:eastAsia="zh-CN" w:bidi="zh-CN"/>
      </w:rPr>
    </w:lvl>
  </w:abstractNum>
  <w:abstractNum w:abstractNumId="8">
    <w:nsid w:val="A0F05207"/>
    <w:multiLevelType w:val="multilevel"/>
    <w:tmpl w:val="A0F05207"/>
    <w:lvl w:ilvl="0" w:tentative="0">
      <w:start w:val="11"/>
      <w:numFmt w:val="decimal"/>
      <w:lvlText w:val="%1"/>
      <w:lvlJc w:val="left"/>
      <w:pPr>
        <w:ind w:left="2243" w:hanging="704"/>
        <w:jc w:val="left"/>
      </w:pPr>
      <w:rPr>
        <w:rFonts w:hint="default"/>
        <w:lang w:val="zh-CN" w:eastAsia="zh-CN" w:bidi="zh-CN"/>
      </w:rPr>
    </w:lvl>
    <w:lvl w:ilvl="1" w:tentative="0">
      <w:start w:val="1"/>
      <w:numFmt w:val="decimal"/>
      <w:lvlText w:val="%1.%2"/>
      <w:lvlJc w:val="left"/>
      <w:pPr>
        <w:ind w:left="2243" w:hanging="704"/>
        <w:jc w:val="left"/>
      </w:pPr>
      <w:rPr>
        <w:rFonts w:hint="default" w:ascii="宋体" w:hAnsi="宋体" w:eastAsia="宋体" w:cs="宋体"/>
        <w:b/>
        <w:bCs/>
        <w:spacing w:val="0"/>
        <w:w w:val="99"/>
        <w:sz w:val="28"/>
        <w:szCs w:val="28"/>
        <w:lang w:val="zh-CN" w:eastAsia="zh-CN" w:bidi="zh-CN"/>
      </w:rPr>
    </w:lvl>
    <w:lvl w:ilvl="2" w:tentative="0">
      <w:start w:val="0"/>
      <w:numFmt w:val="bullet"/>
      <w:lvlText w:val="•"/>
      <w:lvlJc w:val="left"/>
      <w:pPr>
        <w:ind w:left="4104" w:hanging="704"/>
      </w:pPr>
      <w:rPr>
        <w:rFonts w:hint="default"/>
        <w:lang w:val="zh-CN" w:eastAsia="zh-CN" w:bidi="zh-CN"/>
      </w:rPr>
    </w:lvl>
    <w:lvl w:ilvl="3" w:tentative="0">
      <w:start w:val="0"/>
      <w:numFmt w:val="bullet"/>
      <w:lvlText w:val="•"/>
      <w:lvlJc w:val="left"/>
      <w:pPr>
        <w:ind w:left="5036" w:hanging="704"/>
      </w:pPr>
      <w:rPr>
        <w:rFonts w:hint="default"/>
        <w:lang w:val="zh-CN" w:eastAsia="zh-CN" w:bidi="zh-CN"/>
      </w:rPr>
    </w:lvl>
    <w:lvl w:ilvl="4" w:tentative="0">
      <w:start w:val="0"/>
      <w:numFmt w:val="bullet"/>
      <w:lvlText w:val="•"/>
      <w:lvlJc w:val="left"/>
      <w:pPr>
        <w:ind w:left="5968" w:hanging="704"/>
      </w:pPr>
      <w:rPr>
        <w:rFonts w:hint="default"/>
        <w:lang w:val="zh-CN" w:eastAsia="zh-CN" w:bidi="zh-CN"/>
      </w:rPr>
    </w:lvl>
    <w:lvl w:ilvl="5" w:tentative="0">
      <w:start w:val="0"/>
      <w:numFmt w:val="bullet"/>
      <w:lvlText w:val="•"/>
      <w:lvlJc w:val="left"/>
      <w:pPr>
        <w:ind w:left="6900" w:hanging="704"/>
      </w:pPr>
      <w:rPr>
        <w:rFonts w:hint="default"/>
        <w:lang w:val="zh-CN" w:eastAsia="zh-CN" w:bidi="zh-CN"/>
      </w:rPr>
    </w:lvl>
    <w:lvl w:ilvl="6" w:tentative="0">
      <w:start w:val="0"/>
      <w:numFmt w:val="bullet"/>
      <w:lvlText w:val="•"/>
      <w:lvlJc w:val="left"/>
      <w:pPr>
        <w:ind w:left="7832" w:hanging="704"/>
      </w:pPr>
      <w:rPr>
        <w:rFonts w:hint="default"/>
        <w:lang w:val="zh-CN" w:eastAsia="zh-CN" w:bidi="zh-CN"/>
      </w:rPr>
    </w:lvl>
    <w:lvl w:ilvl="7" w:tentative="0">
      <w:start w:val="0"/>
      <w:numFmt w:val="bullet"/>
      <w:lvlText w:val="•"/>
      <w:lvlJc w:val="left"/>
      <w:pPr>
        <w:ind w:left="8764" w:hanging="704"/>
      </w:pPr>
      <w:rPr>
        <w:rFonts w:hint="default"/>
        <w:lang w:val="zh-CN" w:eastAsia="zh-CN" w:bidi="zh-CN"/>
      </w:rPr>
    </w:lvl>
    <w:lvl w:ilvl="8" w:tentative="0">
      <w:start w:val="0"/>
      <w:numFmt w:val="bullet"/>
      <w:lvlText w:val="•"/>
      <w:lvlJc w:val="left"/>
      <w:pPr>
        <w:ind w:left="9696" w:hanging="704"/>
      </w:pPr>
      <w:rPr>
        <w:rFonts w:hint="default"/>
        <w:lang w:val="zh-CN" w:eastAsia="zh-CN" w:bidi="zh-CN"/>
      </w:rPr>
    </w:lvl>
  </w:abstractNum>
  <w:abstractNum w:abstractNumId="9">
    <w:nsid w:val="A7649D9A"/>
    <w:multiLevelType w:val="singleLevel"/>
    <w:tmpl w:val="A7649D9A"/>
    <w:lvl w:ilvl="0" w:tentative="0">
      <w:start w:val="1"/>
      <w:numFmt w:val="decimal"/>
      <w:suff w:val="nothing"/>
      <w:lvlText w:val="%1、"/>
      <w:lvlJc w:val="left"/>
    </w:lvl>
  </w:abstractNum>
  <w:abstractNum w:abstractNumId="10">
    <w:nsid w:val="B23A94A9"/>
    <w:multiLevelType w:val="multilevel"/>
    <w:tmpl w:val="B23A94A9"/>
    <w:lvl w:ilvl="0" w:tentative="0">
      <w:start w:val="9"/>
      <w:numFmt w:val="decimal"/>
      <w:lvlText w:val="%1"/>
      <w:lvlJc w:val="left"/>
      <w:pPr>
        <w:ind w:left="2104" w:hanging="564"/>
        <w:jc w:val="left"/>
      </w:pPr>
      <w:rPr>
        <w:rFonts w:hint="default"/>
        <w:lang w:val="zh-CN" w:eastAsia="zh-CN" w:bidi="zh-CN"/>
      </w:rPr>
    </w:lvl>
    <w:lvl w:ilvl="1" w:tentative="0">
      <w:start w:val="3"/>
      <w:numFmt w:val="decimal"/>
      <w:lvlText w:val="%1.%2"/>
      <w:lvlJc w:val="left"/>
      <w:pPr>
        <w:ind w:left="2104" w:hanging="564"/>
        <w:jc w:val="left"/>
      </w:pPr>
      <w:rPr>
        <w:rFonts w:hint="default"/>
        <w:b/>
        <w:bCs/>
        <w:spacing w:val="0"/>
        <w:w w:val="99"/>
        <w:lang w:val="zh-CN" w:eastAsia="zh-CN" w:bidi="zh-CN"/>
      </w:rPr>
    </w:lvl>
    <w:lvl w:ilvl="2" w:tentative="0">
      <w:start w:val="1"/>
      <w:numFmt w:val="decimal"/>
      <w:lvlText w:val="%1.%2.%3"/>
      <w:lvlJc w:val="left"/>
      <w:pPr>
        <w:ind w:left="2264" w:hanging="725"/>
        <w:jc w:val="left"/>
      </w:pPr>
      <w:rPr>
        <w:rFonts w:hint="default" w:ascii="宋体" w:hAnsi="宋体" w:eastAsia="宋体" w:cs="宋体"/>
        <w:b/>
        <w:bCs/>
        <w:spacing w:val="0"/>
        <w:w w:val="99"/>
        <w:sz w:val="24"/>
        <w:szCs w:val="24"/>
        <w:lang w:val="zh-CN" w:eastAsia="zh-CN" w:bidi="zh-CN"/>
      </w:rPr>
    </w:lvl>
    <w:lvl w:ilvl="3" w:tentative="0">
      <w:start w:val="0"/>
      <w:numFmt w:val="bullet"/>
      <w:lvlText w:val="•"/>
      <w:lvlJc w:val="left"/>
      <w:pPr>
        <w:ind w:left="4326" w:hanging="725"/>
      </w:pPr>
      <w:rPr>
        <w:rFonts w:hint="default"/>
        <w:lang w:val="zh-CN" w:eastAsia="zh-CN" w:bidi="zh-CN"/>
      </w:rPr>
    </w:lvl>
    <w:lvl w:ilvl="4" w:tentative="0">
      <w:start w:val="0"/>
      <w:numFmt w:val="bullet"/>
      <w:lvlText w:val="•"/>
      <w:lvlJc w:val="left"/>
      <w:pPr>
        <w:ind w:left="5360" w:hanging="725"/>
      </w:pPr>
      <w:rPr>
        <w:rFonts w:hint="default"/>
        <w:lang w:val="zh-CN" w:eastAsia="zh-CN" w:bidi="zh-CN"/>
      </w:rPr>
    </w:lvl>
    <w:lvl w:ilvl="5" w:tentative="0">
      <w:start w:val="0"/>
      <w:numFmt w:val="bullet"/>
      <w:lvlText w:val="•"/>
      <w:lvlJc w:val="left"/>
      <w:pPr>
        <w:ind w:left="6393" w:hanging="725"/>
      </w:pPr>
      <w:rPr>
        <w:rFonts w:hint="default"/>
        <w:lang w:val="zh-CN" w:eastAsia="zh-CN" w:bidi="zh-CN"/>
      </w:rPr>
    </w:lvl>
    <w:lvl w:ilvl="6" w:tentative="0">
      <w:start w:val="0"/>
      <w:numFmt w:val="bullet"/>
      <w:lvlText w:val="•"/>
      <w:lvlJc w:val="left"/>
      <w:pPr>
        <w:ind w:left="7426" w:hanging="725"/>
      </w:pPr>
      <w:rPr>
        <w:rFonts w:hint="default"/>
        <w:lang w:val="zh-CN" w:eastAsia="zh-CN" w:bidi="zh-CN"/>
      </w:rPr>
    </w:lvl>
    <w:lvl w:ilvl="7" w:tentative="0">
      <w:start w:val="0"/>
      <w:numFmt w:val="bullet"/>
      <w:lvlText w:val="•"/>
      <w:lvlJc w:val="left"/>
      <w:pPr>
        <w:ind w:left="8460" w:hanging="725"/>
      </w:pPr>
      <w:rPr>
        <w:rFonts w:hint="default"/>
        <w:lang w:val="zh-CN" w:eastAsia="zh-CN" w:bidi="zh-CN"/>
      </w:rPr>
    </w:lvl>
    <w:lvl w:ilvl="8" w:tentative="0">
      <w:start w:val="0"/>
      <w:numFmt w:val="bullet"/>
      <w:lvlText w:val="•"/>
      <w:lvlJc w:val="left"/>
      <w:pPr>
        <w:ind w:left="9493" w:hanging="725"/>
      </w:pPr>
      <w:rPr>
        <w:rFonts w:hint="default"/>
        <w:lang w:val="zh-CN" w:eastAsia="zh-CN" w:bidi="zh-CN"/>
      </w:rPr>
    </w:lvl>
  </w:abstractNum>
  <w:abstractNum w:abstractNumId="11">
    <w:nsid w:val="B53F3350"/>
    <w:multiLevelType w:val="multilevel"/>
    <w:tmpl w:val="B53F3350"/>
    <w:lvl w:ilvl="0" w:tentative="0">
      <w:start w:val="1"/>
      <w:numFmt w:val="decimal"/>
      <w:lvlText w:val="(%1)"/>
      <w:lvlJc w:val="left"/>
      <w:pPr>
        <w:ind w:left="1540" w:hanging="361"/>
        <w:jc w:val="left"/>
      </w:pPr>
      <w:rPr>
        <w:rFonts w:hint="default" w:ascii="宋体" w:hAnsi="宋体" w:eastAsia="宋体" w:cs="宋体"/>
        <w:spacing w:val="-22"/>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12">
    <w:nsid w:val="B5E306ED"/>
    <w:multiLevelType w:val="multilevel"/>
    <w:tmpl w:val="B5E306ED"/>
    <w:lvl w:ilvl="0" w:tentative="0">
      <w:start w:val="5"/>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13">
    <w:nsid w:val="B8CEF35B"/>
    <w:multiLevelType w:val="multilevel"/>
    <w:tmpl w:val="B8CEF35B"/>
    <w:lvl w:ilvl="0" w:tentative="0">
      <w:start w:val="5"/>
      <w:numFmt w:val="decimal"/>
      <w:lvlText w:val="(%1)"/>
      <w:lvlJc w:val="left"/>
      <w:pPr>
        <w:ind w:left="1540" w:hanging="361"/>
        <w:jc w:val="left"/>
      </w:pPr>
      <w:rPr>
        <w:rFonts w:hint="default" w:ascii="宋体" w:hAnsi="宋体" w:eastAsia="宋体" w:cs="宋体"/>
        <w:spacing w:val="-34"/>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14">
    <w:nsid w:val="BB64CFA9"/>
    <w:multiLevelType w:val="multilevel"/>
    <w:tmpl w:val="BB64CFA9"/>
    <w:lvl w:ilvl="0" w:tentative="0">
      <w:start w:val="4"/>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b/>
        <w:bCs/>
        <w:spacing w:val="0"/>
        <w:w w:val="99"/>
        <w:lang w:val="zh-CN" w:eastAsia="zh-CN" w:bidi="zh-CN"/>
      </w:rPr>
    </w:lvl>
    <w:lvl w:ilvl="2" w:tentative="0">
      <w:start w:val="1"/>
      <w:numFmt w:val="decimal"/>
      <w:lvlText w:val="%1.%2.%3"/>
      <w:lvlJc w:val="left"/>
      <w:pPr>
        <w:ind w:left="2264" w:hanging="725"/>
        <w:jc w:val="left"/>
      </w:pPr>
      <w:rPr>
        <w:rFonts w:hint="default" w:ascii="宋体" w:hAnsi="宋体" w:eastAsia="宋体" w:cs="宋体"/>
        <w:b/>
        <w:bCs/>
        <w:spacing w:val="0"/>
        <w:w w:val="99"/>
        <w:sz w:val="24"/>
        <w:szCs w:val="24"/>
        <w:lang w:val="zh-CN" w:eastAsia="zh-CN" w:bidi="zh-CN"/>
      </w:rPr>
    </w:lvl>
    <w:lvl w:ilvl="3" w:tentative="0">
      <w:start w:val="0"/>
      <w:numFmt w:val="bullet"/>
      <w:lvlText w:val="•"/>
      <w:lvlJc w:val="left"/>
      <w:pPr>
        <w:ind w:left="4326" w:hanging="725"/>
      </w:pPr>
      <w:rPr>
        <w:rFonts w:hint="default"/>
        <w:lang w:val="zh-CN" w:eastAsia="zh-CN" w:bidi="zh-CN"/>
      </w:rPr>
    </w:lvl>
    <w:lvl w:ilvl="4" w:tentative="0">
      <w:start w:val="0"/>
      <w:numFmt w:val="bullet"/>
      <w:lvlText w:val="•"/>
      <w:lvlJc w:val="left"/>
      <w:pPr>
        <w:ind w:left="5360" w:hanging="725"/>
      </w:pPr>
      <w:rPr>
        <w:rFonts w:hint="default"/>
        <w:lang w:val="zh-CN" w:eastAsia="zh-CN" w:bidi="zh-CN"/>
      </w:rPr>
    </w:lvl>
    <w:lvl w:ilvl="5" w:tentative="0">
      <w:start w:val="0"/>
      <w:numFmt w:val="bullet"/>
      <w:lvlText w:val="•"/>
      <w:lvlJc w:val="left"/>
      <w:pPr>
        <w:ind w:left="6393" w:hanging="725"/>
      </w:pPr>
      <w:rPr>
        <w:rFonts w:hint="default"/>
        <w:lang w:val="zh-CN" w:eastAsia="zh-CN" w:bidi="zh-CN"/>
      </w:rPr>
    </w:lvl>
    <w:lvl w:ilvl="6" w:tentative="0">
      <w:start w:val="0"/>
      <w:numFmt w:val="bullet"/>
      <w:lvlText w:val="•"/>
      <w:lvlJc w:val="left"/>
      <w:pPr>
        <w:ind w:left="7426" w:hanging="725"/>
      </w:pPr>
      <w:rPr>
        <w:rFonts w:hint="default"/>
        <w:lang w:val="zh-CN" w:eastAsia="zh-CN" w:bidi="zh-CN"/>
      </w:rPr>
    </w:lvl>
    <w:lvl w:ilvl="7" w:tentative="0">
      <w:start w:val="0"/>
      <w:numFmt w:val="bullet"/>
      <w:lvlText w:val="•"/>
      <w:lvlJc w:val="left"/>
      <w:pPr>
        <w:ind w:left="8460" w:hanging="725"/>
      </w:pPr>
      <w:rPr>
        <w:rFonts w:hint="default"/>
        <w:lang w:val="zh-CN" w:eastAsia="zh-CN" w:bidi="zh-CN"/>
      </w:rPr>
    </w:lvl>
    <w:lvl w:ilvl="8" w:tentative="0">
      <w:start w:val="0"/>
      <w:numFmt w:val="bullet"/>
      <w:lvlText w:val="•"/>
      <w:lvlJc w:val="left"/>
      <w:pPr>
        <w:ind w:left="9493" w:hanging="725"/>
      </w:pPr>
      <w:rPr>
        <w:rFonts w:hint="default"/>
        <w:lang w:val="zh-CN" w:eastAsia="zh-CN" w:bidi="zh-CN"/>
      </w:rPr>
    </w:lvl>
  </w:abstractNum>
  <w:abstractNum w:abstractNumId="15">
    <w:nsid w:val="BE923771"/>
    <w:multiLevelType w:val="multilevel"/>
    <w:tmpl w:val="BE923771"/>
    <w:lvl w:ilvl="0" w:tentative="0">
      <w:start w:val="1"/>
      <w:numFmt w:val="decimal"/>
      <w:lvlText w:val="%1)"/>
      <w:lvlJc w:val="left"/>
      <w:pPr>
        <w:ind w:left="1029"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803" w:hanging="241"/>
      </w:pPr>
      <w:rPr>
        <w:rFonts w:hint="default"/>
        <w:lang w:val="zh-CN" w:eastAsia="zh-CN" w:bidi="zh-CN"/>
      </w:rPr>
    </w:lvl>
    <w:lvl w:ilvl="2" w:tentative="0">
      <w:start w:val="0"/>
      <w:numFmt w:val="bullet"/>
      <w:lvlText w:val="•"/>
      <w:lvlJc w:val="left"/>
      <w:pPr>
        <w:ind w:left="2586" w:hanging="241"/>
      </w:pPr>
      <w:rPr>
        <w:rFonts w:hint="default"/>
        <w:lang w:val="zh-CN" w:eastAsia="zh-CN" w:bidi="zh-CN"/>
      </w:rPr>
    </w:lvl>
    <w:lvl w:ilvl="3" w:tentative="0">
      <w:start w:val="0"/>
      <w:numFmt w:val="bullet"/>
      <w:lvlText w:val="•"/>
      <w:lvlJc w:val="left"/>
      <w:pPr>
        <w:ind w:left="3369" w:hanging="241"/>
      </w:pPr>
      <w:rPr>
        <w:rFonts w:hint="default"/>
        <w:lang w:val="zh-CN" w:eastAsia="zh-CN" w:bidi="zh-CN"/>
      </w:rPr>
    </w:lvl>
    <w:lvl w:ilvl="4" w:tentative="0">
      <w:start w:val="0"/>
      <w:numFmt w:val="bullet"/>
      <w:lvlText w:val="•"/>
      <w:lvlJc w:val="left"/>
      <w:pPr>
        <w:ind w:left="4152" w:hanging="241"/>
      </w:pPr>
      <w:rPr>
        <w:rFonts w:hint="default"/>
        <w:lang w:val="zh-CN" w:eastAsia="zh-CN" w:bidi="zh-CN"/>
      </w:rPr>
    </w:lvl>
    <w:lvl w:ilvl="5" w:tentative="0">
      <w:start w:val="0"/>
      <w:numFmt w:val="bullet"/>
      <w:lvlText w:val="•"/>
      <w:lvlJc w:val="left"/>
      <w:pPr>
        <w:ind w:left="4935" w:hanging="241"/>
      </w:pPr>
      <w:rPr>
        <w:rFonts w:hint="default"/>
        <w:lang w:val="zh-CN" w:eastAsia="zh-CN" w:bidi="zh-CN"/>
      </w:rPr>
    </w:lvl>
    <w:lvl w:ilvl="6" w:tentative="0">
      <w:start w:val="0"/>
      <w:numFmt w:val="bullet"/>
      <w:lvlText w:val="•"/>
      <w:lvlJc w:val="left"/>
      <w:pPr>
        <w:ind w:left="5718" w:hanging="241"/>
      </w:pPr>
      <w:rPr>
        <w:rFonts w:hint="default"/>
        <w:lang w:val="zh-CN" w:eastAsia="zh-CN" w:bidi="zh-CN"/>
      </w:rPr>
    </w:lvl>
    <w:lvl w:ilvl="7" w:tentative="0">
      <w:start w:val="0"/>
      <w:numFmt w:val="bullet"/>
      <w:lvlText w:val="•"/>
      <w:lvlJc w:val="left"/>
      <w:pPr>
        <w:ind w:left="6501" w:hanging="241"/>
      </w:pPr>
      <w:rPr>
        <w:rFonts w:hint="default"/>
        <w:lang w:val="zh-CN" w:eastAsia="zh-CN" w:bidi="zh-CN"/>
      </w:rPr>
    </w:lvl>
    <w:lvl w:ilvl="8" w:tentative="0">
      <w:start w:val="0"/>
      <w:numFmt w:val="bullet"/>
      <w:lvlText w:val="•"/>
      <w:lvlJc w:val="left"/>
      <w:pPr>
        <w:ind w:left="7284" w:hanging="241"/>
      </w:pPr>
      <w:rPr>
        <w:rFonts w:hint="default"/>
        <w:lang w:val="zh-CN" w:eastAsia="zh-CN" w:bidi="zh-CN"/>
      </w:rPr>
    </w:lvl>
  </w:abstractNum>
  <w:abstractNum w:abstractNumId="16">
    <w:nsid w:val="BF205925"/>
    <w:multiLevelType w:val="multilevel"/>
    <w:tmpl w:val="BF205925"/>
    <w:lvl w:ilvl="0" w:tentative="0">
      <w:start w:val="4"/>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17">
    <w:nsid w:val="C0915F4F"/>
    <w:multiLevelType w:val="multilevel"/>
    <w:tmpl w:val="C0915F4F"/>
    <w:lvl w:ilvl="0" w:tentative="0">
      <w:start w:val="1"/>
      <w:numFmt w:val="decimal"/>
      <w:lvlText w:val="(%1)"/>
      <w:lvlJc w:val="left"/>
      <w:pPr>
        <w:ind w:left="2462"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3370" w:hanging="361"/>
      </w:pPr>
      <w:rPr>
        <w:rFonts w:hint="default"/>
        <w:lang w:val="zh-CN" w:eastAsia="zh-CN" w:bidi="zh-CN"/>
      </w:rPr>
    </w:lvl>
    <w:lvl w:ilvl="2" w:tentative="0">
      <w:start w:val="0"/>
      <w:numFmt w:val="bullet"/>
      <w:lvlText w:val="•"/>
      <w:lvlJc w:val="left"/>
      <w:pPr>
        <w:ind w:left="4280" w:hanging="361"/>
      </w:pPr>
      <w:rPr>
        <w:rFonts w:hint="default"/>
        <w:lang w:val="zh-CN" w:eastAsia="zh-CN" w:bidi="zh-CN"/>
      </w:rPr>
    </w:lvl>
    <w:lvl w:ilvl="3" w:tentative="0">
      <w:start w:val="0"/>
      <w:numFmt w:val="bullet"/>
      <w:lvlText w:val="•"/>
      <w:lvlJc w:val="left"/>
      <w:pPr>
        <w:ind w:left="5190" w:hanging="361"/>
      </w:pPr>
      <w:rPr>
        <w:rFonts w:hint="default"/>
        <w:lang w:val="zh-CN" w:eastAsia="zh-CN" w:bidi="zh-CN"/>
      </w:rPr>
    </w:lvl>
    <w:lvl w:ilvl="4" w:tentative="0">
      <w:start w:val="0"/>
      <w:numFmt w:val="bullet"/>
      <w:lvlText w:val="•"/>
      <w:lvlJc w:val="left"/>
      <w:pPr>
        <w:ind w:left="6100" w:hanging="361"/>
      </w:pPr>
      <w:rPr>
        <w:rFonts w:hint="default"/>
        <w:lang w:val="zh-CN" w:eastAsia="zh-CN" w:bidi="zh-CN"/>
      </w:rPr>
    </w:lvl>
    <w:lvl w:ilvl="5" w:tentative="0">
      <w:start w:val="0"/>
      <w:numFmt w:val="bullet"/>
      <w:lvlText w:val="•"/>
      <w:lvlJc w:val="left"/>
      <w:pPr>
        <w:ind w:left="7010" w:hanging="361"/>
      </w:pPr>
      <w:rPr>
        <w:rFonts w:hint="default"/>
        <w:lang w:val="zh-CN" w:eastAsia="zh-CN" w:bidi="zh-CN"/>
      </w:rPr>
    </w:lvl>
    <w:lvl w:ilvl="6" w:tentative="0">
      <w:start w:val="0"/>
      <w:numFmt w:val="bullet"/>
      <w:lvlText w:val="•"/>
      <w:lvlJc w:val="left"/>
      <w:pPr>
        <w:ind w:left="7920" w:hanging="361"/>
      </w:pPr>
      <w:rPr>
        <w:rFonts w:hint="default"/>
        <w:lang w:val="zh-CN" w:eastAsia="zh-CN" w:bidi="zh-CN"/>
      </w:rPr>
    </w:lvl>
    <w:lvl w:ilvl="7" w:tentative="0">
      <w:start w:val="0"/>
      <w:numFmt w:val="bullet"/>
      <w:lvlText w:val="•"/>
      <w:lvlJc w:val="left"/>
      <w:pPr>
        <w:ind w:left="8830" w:hanging="361"/>
      </w:pPr>
      <w:rPr>
        <w:rFonts w:hint="default"/>
        <w:lang w:val="zh-CN" w:eastAsia="zh-CN" w:bidi="zh-CN"/>
      </w:rPr>
    </w:lvl>
    <w:lvl w:ilvl="8" w:tentative="0">
      <w:start w:val="0"/>
      <w:numFmt w:val="bullet"/>
      <w:lvlText w:val="•"/>
      <w:lvlJc w:val="left"/>
      <w:pPr>
        <w:ind w:left="9740" w:hanging="361"/>
      </w:pPr>
      <w:rPr>
        <w:rFonts w:hint="default"/>
        <w:lang w:val="zh-CN" w:eastAsia="zh-CN" w:bidi="zh-CN"/>
      </w:rPr>
    </w:lvl>
  </w:abstractNum>
  <w:abstractNum w:abstractNumId="18">
    <w:nsid w:val="C4E0D24A"/>
    <w:multiLevelType w:val="multilevel"/>
    <w:tmpl w:val="C4E0D24A"/>
    <w:lvl w:ilvl="0" w:tentative="0">
      <w:start w:val="14"/>
      <w:numFmt w:val="decimal"/>
      <w:lvlText w:val="%1"/>
      <w:lvlJc w:val="left"/>
      <w:pPr>
        <w:ind w:left="2243" w:hanging="704"/>
        <w:jc w:val="left"/>
      </w:pPr>
      <w:rPr>
        <w:rFonts w:hint="default"/>
        <w:lang w:val="zh-CN" w:eastAsia="zh-CN" w:bidi="zh-CN"/>
      </w:rPr>
    </w:lvl>
    <w:lvl w:ilvl="1" w:tentative="0">
      <w:start w:val="1"/>
      <w:numFmt w:val="decimal"/>
      <w:lvlText w:val="%1.%2"/>
      <w:lvlJc w:val="left"/>
      <w:pPr>
        <w:ind w:left="2243" w:hanging="704"/>
        <w:jc w:val="left"/>
      </w:pPr>
      <w:rPr>
        <w:rFonts w:hint="default" w:ascii="宋体" w:hAnsi="宋体" w:eastAsia="宋体" w:cs="宋体"/>
        <w:b/>
        <w:bCs/>
        <w:spacing w:val="0"/>
        <w:w w:val="99"/>
        <w:sz w:val="28"/>
        <w:szCs w:val="28"/>
        <w:lang w:val="zh-CN" w:eastAsia="zh-CN" w:bidi="zh-CN"/>
      </w:rPr>
    </w:lvl>
    <w:lvl w:ilvl="2" w:tentative="0">
      <w:start w:val="1"/>
      <w:numFmt w:val="decimal"/>
      <w:lvlText w:val="(%3)"/>
      <w:lvlJc w:val="left"/>
      <w:pPr>
        <w:ind w:left="1540" w:hanging="361"/>
        <w:jc w:val="left"/>
      </w:pPr>
      <w:rPr>
        <w:rFonts w:hint="default" w:ascii="宋体" w:hAnsi="宋体" w:eastAsia="宋体" w:cs="宋体"/>
        <w:spacing w:val="-17"/>
        <w:w w:val="100"/>
        <w:sz w:val="22"/>
        <w:szCs w:val="22"/>
        <w:lang w:val="zh-CN" w:eastAsia="zh-CN" w:bidi="zh-CN"/>
      </w:rPr>
    </w:lvl>
    <w:lvl w:ilvl="3" w:tentative="0">
      <w:start w:val="0"/>
      <w:numFmt w:val="bullet"/>
      <w:lvlText w:val="•"/>
      <w:lvlJc w:val="left"/>
      <w:pPr>
        <w:ind w:left="4311" w:hanging="361"/>
      </w:pPr>
      <w:rPr>
        <w:rFonts w:hint="default"/>
        <w:lang w:val="zh-CN" w:eastAsia="zh-CN" w:bidi="zh-CN"/>
      </w:rPr>
    </w:lvl>
    <w:lvl w:ilvl="4" w:tentative="0">
      <w:start w:val="0"/>
      <w:numFmt w:val="bullet"/>
      <w:lvlText w:val="•"/>
      <w:lvlJc w:val="left"/>
      <w:pPr>
        <w:ind w:left="5346" w:hanging="361"/>
      </w:pPr>
      <w:rPr>
        <w:rFonts w:hint="default"/>
        <w:lang w:val="zh-CN" w:eastAsia="zh-CN" w:bidi="zh-CN"/>
      </w:rPr>
    </w:lvl>
    <w:lvl w:ilvl="5" w:tentative="0">
      <w:start w:val="0"/>
      <w:numFmt w:val="bullet"/>
      <w:lvlText w:val="•"/>
      <w:lvlJc w:val="left"/>
      <w:pPr>
        <w:ind w:left="6382" w:hanging="361"/>
      </w:pPr>
      <w:rPr>
        <w:rFonts w:hint="default"/>
        <w:lang w:val="zh-CN" w:eastAsia="zh-CN" w:bidi="zh-CN"/>
      </w:rPr>
    </w:lvl>
    <w:lvl w:ilvl="6" w:tentative="0">
      <w:start w:val="0"/>
      <w:numFmt w:val="bullet"/>
      <w:lvlText w:val="•"/>
      <w:lvlJc w:val="left"/>
      <w:pPr>
        <w:ind w:left="7417" w:hanging="361"/>
      </w:pPr>
      <w:rPr>
        <w:rFonts w:hint="default"/>
        <w:lang w:val="zh-CN" w:eastAsia="zh-CN" w:bidi="zh-CN"/>
      </w:rPr>
    </w:lvl>
    <w:lvl w:ilvl="7" w:tentative="0">
      <w:start w:val="0"/>
      <w:numFmt w:val="bullet"/>
      <w:lvlText w:val="•"/>
      <w:lvlJc w:val="left"/>
      <w:pPr>
        <w:ind w:left="8453" w:hanging="361"/>
      </w:pPr>
      <w:rPr>
        <w:rFonts w:hint="default"/>
        <w:lang w:val="zh-CN" w:eastAsia="zh-CN" w:bidi="zh-CN"/>
      </w:rPr>
    </w:lvl>
    <w:lvl w:ilvl="8" w:tentative="0">
      <w:start w:val="0"/>
      <w:numFmt w:val="bullet"/>
      <w:lvlText w:val="•"/>
      <w:lvlJc w:val="left"/>
      <w:pPr>
        <w:ind w:left="9488" w:hanging="361"/>
      </w:pPr>
      <w:rPr>
        <w:rFonts w:hint="default"/>
        <w:lang w:val="zh-CN" w:eastAsia="zh-CN" w:bidi="zh-CN"/>
      </w:rPr>
    </w:lvl>
  </w:abstractNum>
  <w:abstractNum w:abstractNumId="19">
    <w:nsid w:val="C8879AEF"/>
    <w:multiLevelType w:val="multilevel"/>
    <w:tmpl w:val="C8879AEF"/>
    <w:lvl w:ilvl="0" w:tentative="0">
      <w:start w:val="13"/>
      <w:numFmt w:val="decimal"/>
      <w:lvlText w:val="%1"/>
      <w:lvlJc w:val="left"/>
      <w:pPr>
        <w:ind w:left="1200" w:hanging="600"/>
        <w:jc w:val="left"/>
      </w:pPr>
      <w:rPr>
        <w:rFonts w:hint="default"/>
        <w:lang w:val="zh-CN" w:eastAsia="zh-CN" w:bidi="zh-CN"/>
      </w:rPr>
    </w:lvl>
    <w:lvl w:ilvl="1" w:tentative="0">
      <w:start w:val="1"/>
      <w:numFmt w:val="decimal"/>
      <w:lvlText w:val="%1.%2"/>
      <w:lvlJc w:val="left"/>
      <w:pPr>
        <w:ind w:left="1200" w:hanging="60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688" w:hanging="600"/>
      </w:pPr>
      <w:rPr>
        <w:rFonts w:hint="default"/>
        <w:lang w:val="zh-CN" w:eastAsia="zh-CN" w:bidi="zh-CN"/>
      </w:rPr>
    </w:lvl>
    <w:lvl w:ilvl="3" w:tentative="0">
      <w:start w:val="0"/>
      <w:numFmt w:val="bullet"/>
      <w:lvlText w:val="•"/>
      <w:lvlJc w:val="left"/>
      <w:pPr>
        <w:ind w:left="3432" w:hanging="600"/>
      </w:pPr>
      <w:rPr>
        <w:rFonts w:hint="default"/>
        <w:lang w:val="zh-CN" w:eastAsia="zh-CN" w:bidi="zh-CN"/>
      </w:rPr>
    </w:lvl>
    <w:lvl w:ilvl="4" w:tentative="0">
      <w:start w:val="0"/>
      <w:numFmt w:val="bullet"/>
      <w:lvlText w:val="•"/>
      <w:lvlJc w:val="left"/>
      <w:pPr>
        <w:ind w:left="4176" w:hanging="600"/>
      </w:pPr>
      <w:rPr>
        <w:rFonts w:hint="default"/>
        <w:lang w:val="zh-CN" w:eastAsia="zh-CN" w:bidi="zh-CN"/>
      </w:rPr>
    </w:lvl>
    <w:lvl w:ilvl="5" w:tentative="0">
      <w:start w:val="0"/>
      <w:numFmt w:val="bullet"/>
      <w:lvlText w:val="•"/>
      <w:lvlJc w:val="left"/>
      <w:pPr>
        <w:ind w:left="4920" w:hanging="600"/>
      </w:pPr>
      <w:rPr>
        <w:rFonts w:hint="default"/>
        <w:lang w:val="zh-CN" w:eastAsia="zh-CN" w:bidi="zh-CN"/>
      </w:rPr>
    </w:lvl>
    <w:lvl w:ilvl="6" w:tentative="0">
      <w:start w:val="0"/>
      <w:numFmt w:val="bullet"/>
      <w:lvlText w:val="•"/>
      <w:lvlJc w:val="left"/>
      <w:pPr>
        <w:ind w:left="5664" w:hanging="600"/>
      </w:pPr>
      <w:rPr>
        <w:rFonts w:hint="default"/>
        <w:lang w:val="zh-CN" w:eastAsia="zh-CN" w:bidi="zh-CN"/>
      </w:rPr>
    </w:lvl>
    <w:lvl w:ilvl="7" w:tentative="0">
      <w:start w:val="0"/>
      <w:numFmt w:val="bullet"/>
      <w:lvlText w:val="•"/>
      <w:lvlJc w:val="left"/>
      <w:pPr>
        <w:ind w:left="6408" w:hanging="600"/>
      </w:pPr>
      <w:rPr>
        <w:rFonts w:hint="default"/>
        <w:lang w:val="zh-CN" w:eastAsia="zh-CN" w:bidi="zh-CN"/>
      </w:rPr>
    </w:lvl>
    <w:lvl w:ilvl="8" w:tentative="0">
      <w:start w:val="0"/>
      <w:numFmt w:val="bullet"/>
      <w:lvlText w:val="•"/>
      <w:lvlJc w:val="left"/>
      <w:pPr>
        <w:ind w:left="7152" w:hanging="600"/>
      </w:pPr>
      <w:rPr>
        <w:rFonts w:hint="default"/>
        <w:lang w:val="zh-CN" w:eastAsia="zh-CN" w:bidi="zh-CN"/>
      </w:rPr>
    </w:lvl>
  </w:abstractNum>
  <w:abstractNum w:abstractNumId="20">
    <w:nsid w:val="CF092B84"/>
    <w:multiLevelType w:val="multilevel"/>
    <w:tmpl w:val="CF092B84"/>
    <w:lvl w:ilvl="0" w:tentative="0">
      <w:start w:val="2"/>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21">
    <w:nsid w:val="D7D140E4"/>
    <w:multiLevelType w:val="multilevel"/>
    <w:tmpl w:val="D7D140E4"/>
    <w:lvl w:ilvl="0" w:tentative="0">
      <w:start w:val="8"/>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2264" w:hanging="725"/>
        <w:jc w:val="left"/>
      </w:pPr>
      <w:rPr>
        <w:rFonts w:hint="default" w:ascii="宋体" w:hAnsi="宋体" w:eastAsia="宋体" w:cs="宋体"/>
        <w:b/>
        <w:bCs/>
        <w:spacing w:val="0"/>
        <w:w w:val="99"/>
        <w:sz w:val="24"/>
        <w:szCs w:val="24"/>
        <w:lang w:val="zh-CN" w:eastAsia="zh-CN" w:bidi="zh-CN"/>
      </w:rPr>
    </w:lvl>
    <w:lvl w:ilvl="3" w:tentative="0">
      <w:start w:val="1"/>
      <w:numFmt w:val="decimal"/>
      <w:lvlText w:val="%1.%2.%3.%4"/>
      <w:lvlJc w:val="left"/>
      <w:pPr>
        <w:ind w:left="2747" w:hanging="968"/>
        <w:jc w:val="left"/>
      </w:pPr>
      <w:rPr>
        <w:rFonts w:hint="default" w:ascii="宋体" w:hAnsi="宋体" w:eastAsia="宋体" w:cs="宋体"/>
        <w:b/>
        <w:bCs/>
        <w:spacing w:val="0"/>
        <w:w w:val="99"/>
        <w:sz w:val="24"/>
        <w:szCs w:val="24"/>
        <w:lang w:val="zh-CN" w:eastAsia="zh-CN" w:bidi="zh-CN"/>
      </w:rPr>
    </w:lvl>
    <w:lvl w:ilvl="4" w:tentative="0">
      <w:start w:val="1"/>
      <w:numFmt w:val="decimal"/>
      <w:lvlText w:val="%1.%2.%3.%4.%5"/>
      <w:lvlJc w:val="left"/>
      <w:pPr>
        <w:ind w:left="2989" w:hanging="1210"/>
        <w:jc w:val="left"/>
      </w:pPr>
      <w:rPr>
        <w:rFonts w:hint="default" w:ascii="宋体" w:hAnsi="宋体" w:eastAsia="宋体" w:cs="宋体"/>
        <w:b/>
        <w:bCs/>
        <w:spacing w:val="0"/>
        <w:w w:val="99"/>
        <w:sz w:val="24"/>
        <w:szCs w:val="24"/>
        <w:lang w:val="zh-CN" w:eastAsia="zh-CN" w:bidi="zh-CN"/>
      </w:rPr>
    </w:lvl>
    <w:lvl w:ilvl="5" w:tentative="0">
      <w:start w:val="1"/>
      <w:numFmt w:val="decimal"/>
      <w:lvlText w:val="(%6)"/>
      <w:lvlJc w:val="left"/>
      <w:pPr>
        <w:ind w:left="1540" w:hanging="361"/>
        <w:jc w:val="left"/>
      </w:pPr>
      <w:rPr>
        <w:rFonts w:hint="default" w:ascii="宋体" w:hAnsi="宋体" w:eastAsia="宋体" w:cs="宋体"/>
        <w:w w:val="100"/>
        <w:sz w:val="22"/>
        <w:szCs w:val="22"/>
        <w:lang w:val="zh-CN" w:eastAsia="zh-CN" w:bidi="zh-CN"/>
      </w:rPr>
    </w:lvl>
    <w:lvl w:ilvl="6" w:tentative="0">
      <w:start w:val="0"/>
      <w:numFmt w:val="bullet"/>
      <w:lvlText w:val="•"/>
      <w:lvlJc w:val="left"/>
      <w:pPr>
        <w:ind w:left="5840" w:hanging="361"/>
      </w:pPr>
      <w:rPr>
        <w:rFonts w:hint="default"/>
        <w:lang w:val="zh-CN" w:eastAsia="zh-CN" w:bidi="zh-CN"/>
      </w:rPr>
    </w:lvl>
    <w:lvl w:ilvl="7" w:tentative="0">
      <w:start w:val="0"/>
      <w:numFmt w:val="bullet"/>
      <w:lvlText w:val="•"/>
      <w:lvlJc w:val="left"/>
      <w:pPr>
        <w:ind w:left="7270" w:hanging="361"/>
      </w:pPr>
      <w:rPr>
        <w:rFonts w:hint="default"/>
        <w:lang w:val="zh-CN" w:eastAsia="zh-CN" w:bidi="zh-CN"/>
      </w:rPr>
    </w:lvl>
    <w:lvl w:ilvl="8" w:tentative="0">
      <w:start w:val="0"/>
      <w:numFmt w:val="bullet"/>
      <w:lvlText w:val="•"/>
      <w:lvlJc w:val="left"/>
      <w:pPr>
        <w:ind w:left="8700" w:hanging="361"/>
      </w:pPr>
      <w:rPr>
        <w:rFonts w:hint="default"/>
        <w:lang w:val="zh-CN" w:eastAsia="zh-CN" w:bidi="zh-CN"/>
      </w:rPr>
    </w:lvl>
  </w:abstractNum>
  <w:abstractNum w:abstractNumId="22">
    <w:nsid w:val="D7F9FE59"/>
    <w:multiLevelType w:val="multilevel"/>
    <w:tmpl w:val="D7F9FE59"/>
    <w:lvl w:ilvl="0" w:tentative="0">
      <w:start w:val="6"/>
      <w:numFmt w:val="decimal"/>
      <w:lvlText w:val="(%1)"/>
      <w:lvlJc w:val="left"/>
      <w:pPr>
        <w:ind w:left="1151" w:hanging="363"/>
        <w:jc w:val="left"/>
      </w:pPr>
      <w:rPr>
        <w:rFonts w:hint="default" w:ascii="宋体" w:hAnsi="宋体" w:eastAsia="宋体" w:cs="宋体"/>
        <w:color w:val="0000FF"/>
        <w:w w:val="100"/>
        <w:sz w:val="22"/>
        <w:szCs w:val="22"/>
        <w:lang w:val="zh-CN" w:eastAsia="zh-CN" w:bidi="zh-CN"/>
      </w:rPr>
    </w:lvl>
    <w:lvl w:ilvl="1" w:tentative="0">
      <w:start w:val="0"/>
      <w:numFmt w:val="bullet"/>
      <w:lvlText w:val="•"/>
      <w:lvlJc w:val="left"/>
      <w:pPr>
        <w:ind w:left="1929" w:hanging="363"/>
      </w:pPr>
      <w:rPr>
        <w:rFonts w:hint="default"/>
        <w:lang w:val="zh-CN" w:eastAsia="zh-CN" w:bidi="zh-CN"/>
      </w:rPr>
    </w:lvl>
    <w:lvl w:ilvl="2" w:tentative="0">
      <w:start w:val="0"/>
      <w:numFmt w:val="bullet"/>
      <w:lvlText w:val="•"/>
      <w:lvlJc w:val="left"/>
      <w:pPr>
        <w:ind w:left="2698" w:hanging="363"/>
      </w:pPr>
      <w:rPr>
        <w:rFonts w:hint="default"/>
        <w:lang w:val="zh-CN" w:eastAsia="zh-CN" w:bidi="zh-CN"/>
      </w:rPr>
    </w:lvl>
    <w:lvl w:ilvl="3" w:tentative="0">
      <w:start w:val="0"/>
      <w:numFmt w:val="bullet"/>
      <w:lvlText w:val="•"/>
      <w:lvlJc w:val="left"/>
      <w:pPr>
        <w:ind w:left="3467" w:hanging="363"/>
      </w:pPr>
      <w:rPr>
        <w:rFonts w:hint="default"/>
        <w:lang w:val="zh-CN" w:eastAsia="zh-CN" w:bidi="zh-CN"/>
      </w:rPr>
    </w:lvl>
    <w:lvl w:ilvl="4" w:tentative="0">
      <w:start w:val="0"/>
      <w:numFmt w:val="bullet"/>
      <w:lvlText w:val="•"/>
      <w:lvlJc w:val="left"/>
      <w:pPr>
        <w:ind w:left="4236" w:hanging="363"/>
      </w:pPr>
      <w:rPr>
        <w:rFonts w:hint="default"/>
        <w:lang w:val="zh-CN" w:eastAsia="zh-CN" w:bidi="zh-CN"/>
      </w:rPr>
    </w:lvl>
    <w:lvl w:ilvl="5" w:tentative="0">
      <w:start w:val="0"/>
      <w:numFmt w:val="bullet"/>
      <w:lvlText w:val="•"/>
      <w:lvlJc w:val="left"/>
      <w:pPr>
        <w:ind w:left="5005" w:hanging="363"/>
      </w:pPr>
      <w:rPr>
        <w:rFonts w:hint="default"/>
        <w:lang w:val="zh-CN" w:eastAsia="zh-CN" w:bidi="zh-CN"/>
      </w:rPr>
    </w:lvl>
    <w:lvl w:ilvl="6" w:tentative="0">
      <w:start w:val="0"/>
      <w:numFmt w:val="bullet"/>
      <w:lvlText w:val="•"/>
      <w:lvlJc w:val="left"/>
      <w:pPr>
        <w:ind w:left="5774" w:hanging="363"/>
      </w:pPr>
      <w:rPr>
        <w:rFonts w:hint="default"/>
        <w:lang w:val="zh-CN" w:eastAsia="zh-CN" w:bidi="zh-CN"/>
      </w:rPr>
    </w:lvl>
    <w:lvl w:ilvl="7" w:tentative="0">
      <w:start w:val="0"/>
      <w:numFmt w:val="bullet"/>
      <w:lvlText w:val="•"/>
      <w:lvlJc w:val="left"/>
      <w:pPr>
        <w:ind w:left="6543" w:hanging="363"/>
      </w:pPr>
      <w:rPr>
        <w:rFonts w:hint="default"/>
        <w:lang w:val="zh-CN" w:eastAsia="zh-CN" w:bidi="zh-CN"/>
      </w:rPr>
    </w:lvl>
    <w:lvl w:ilvl="8" w:tentative="0">
      <w:start w:val="0"/>
      <w:numFmt w:val="bullet"/>
      <w:lvlText w:val="•"/>
      <w:lvlJc w:val="left"/>
      <w:pPr>
        <w:ind w:left="7312" w:hanging="363"/>
      </w:pPr>
      <w:rPr>
        <w:rFonts w:hint="default"/>
        <w:lang w:val="zh-CN" w:eastAsia="zh-CN" w:bidi="zh-CN"/>
      </w:rPr>
    </w:lvl>
  </w:abstractNum>
  <w:abstractNum w:abstractNumId="23">
    <w:nsid w:val="DCBA6B53"/>
    <w:multiLevelType w:val="multilevel"/>
    <w:tmpl w:val="DCBA6B53"/>
    <w:lvl w:ilvl="0" w:tentative="0">
      <w:start w:val="3"/>
      <w:numFmt w:val="decimal"/>
      <w:lvlText w:val="(%1)"/>
      <w:lvlJc w:val="left"/>
      <w:pPr>
        <w:ind w:left="222" w:hanging="368"/>
        <w:jc w:val="left"/>
      </w:pPr>
      <w:rPr>
        <w:rFonts w:hint="default" w:ascii="宋体" w:hAnsi="宋体" w:eastAsia="宋体" w:cs="宋体"/>
        <w:color w:val="0000FF"/>
        <w:w w:val="100"/>
        <w:sz w:val="22"/>
        <w:szCs w:val="22"/>
        <w:lang w:val="zh-CN" w:eastAsia="zh-CN" w:bidi="zh-CN"/>
      </w:rPr>
    </w:lvl>
    <w:lvl w:ilvl="1" w:tentative="0">
      <w:start w:val="0"/>
      <w:numFmt w:val="bullet"/>
      <w:lvlText w:val="•"/>
      <w:lvlJc w:val="left"/>
      <w:pPr>
        <w:ind w:left="1083" w:hanging="368"/>
      </w:pPr>
      <w:rPr>
        <w:rFonts w:hint="default"/>
        <w:lang w:val="zh-CN" w:eastAsia="zh-CN" w:bidi="zh-CN"/>
      </w:rPr>
    </w:lvl>
    <w:lvl w:ilvl="2" w:tentative="0">
      <w:start w:val="0"/>
      <w:numFmt w:val="bullet"/>
      <w:lvlText w:val="•"/>
      <w:lvlJc w:val="left"/>
      <w:pPr>
        <w:ind w:left="1946" w:hanging="368"/>
      </w:pPr>
      <w:rPr>
        <w:rFonts w:hint="default"/>
        <w:lang w:val="zh-CN" w:eastAsia="zh-CN" w:bidi="zh-CN"/>
      </w:rPr>
    </w:lvl>
    <w:lvl w:ilvl="3" w:tentative="0">
      <w:start w:val="0"/>
      <w:numFmt w:val="bullet"/>
      <w:lvlText w:val="•"/>
      <w:lvlJc w:val="left"/>
      <w:pPr>
        <w:ind w:left="2809" w:hanging="368"/>
      </w:pPr>
      <w:rPr>
        <w:rFonts w:hint="default"/>
        <w:lang w:val="zh-CN" w:eastAsia="zh-CN" w:bidi="zh-CN"/>
      </w:rPr>
    </w:lvl>
    <w:lvl w:ilvl="4" w:tentative="0">
      <w:start w:val="0"/>
      <w:numFmt w:val="bullet"/>
      <w:lvlText w:val="•"/>
      <w:lvlJc w:val="left"/>
      <w:pPr>
        <w:ind w:left="3672" w:hanging="368"/>
      </w:pPr>
      <w:rPr>
        <w:rFonts w:hint="default"/>
        <w:lang w:val="zh-CN" w:eastAsia="zh-CN" w:bidi="zh-CN"/>
      </w:rPr>
    </w:lvl>
    <w:lvl w:ilvl="5" w:tentative="0">
      <w:start w:val="0"/>
      <w:numFmt w:val="bullet"/>
      <w:lvlText w:val="•"/>
      <w:lvlJc w:val="left"/>
      <w:pPr>
        <w:ind w:left="4535" w:hanging="368"/>
      </w:pPr>
      <w:rPr>
        <w:rFonts w:hint="default"/>
        <w:lang w:val="zh-CN" w:eastAsia="zh-CN" w:bidi="zh-CN"/>
      </w:rPr>
    </w:lvl>
    <w:lvl w:ilvl="6" w:tentative="0">
      <w:start w:val="0"/>
      <w:numFmt w:val="bullet"/>
      <w:lvlText w:val="•"/>
      <w:lvlJc w:val="left"/>
      <w:pPr>
        <w:ind w:left="5398" w:hanging="368"/>
      </w:pPr>
      <w:rPr>
        <w:rFonts w:hint="default"/>
        <w:lang w:val="zh-CN" w:eastAsia="zh-CN" w:bidi="zh-CN"/>
      </w:rPr>
    </w:lvl>
    <w:lvl w:ilvl="7" w:tentative="0">
      <w:start w:val="0"/>
      <w:numFmt w:val="bullet"/>
      <w:lvlText w:val="•"/>
      <w:lvlJc w:val="left"/>
      <w:pPr>
        <w:ind w:left="6261" w:hanging="368"/>
      </w:pPr>
      <w:rPr>
        <w:rFonts w:hint="default"/>
        <w:lang w:val="zh-CN" w:eastAsia="zh-CN" w:bidi="zh-CN"/>
      </w:rPr>
    </w:lvl>
    <w:lvl w:ilvl="8" w:tentative="0">
      <w:start w:val="0"/>
      <w:numFmt w:val="bullet"/>
      <w:lvlText w:val="•"/>
      <w:lvlJc w:val="left"/>
      <w:pPr>
        <w:ind w:left="7124" w:hanging="368"/>
      </w:pPr>
      <w:rPr>
        <w:rFonts w:hint="default"/>
        <w:lang w:val="zh-CN" w:eastAsia="zh-CN" w:bidi="zh-CN"/>
      </w:rPr>
    </w:lvl>
  </w:abstractNum>
  <w:abstractNum w:abstractNumId="24">
    <w:nsid w:val="E093A4B0"/>
    <w:multiLevelType w:val="multilevel"/>
    <w:tmpl w:val="E093A4B0"/>
    <w:lvl w:ilvl="0" w:tentative="0">
      <w:start w:val="1"/>
      <w:numFmt w:val="decimal"/>
      <w:lvlText w:val="(%1)"/>
      <w:lvlJc w:val="left"/>
      <w:pPr>
        <w:ind w:left="2486" w:hanging="349"/>
        <w:jc w:val="left"/>
      </w:pPr>
      <w:rPr>
        <w:rFonts w:hint="default" w:ascii="宋体" w:hAnsi="宋体" w:eastAsia="宋体" w:cs="宋体"/>
        <w:spacing w:val="-12"/>
        <w:w w:val="100"/>
        <w:sz w:val="22"/>
        <w:szCs w:val="22"/>
        <w:lang w:val="zh-CN" w:eastAsia="zh-CN" w:bidi="zh-CN"/>
      </w:rPr>
    </w:lvl>
    <w:lvl w:ilvl="1" w:tentative="0">
      <w:start w:val="0"/>
      <w:numFmt w:val="bullet"/>
      <w:lvlText w:val="•"/>
      <w:lvlJc w:val="left"/>
      <w:pPr>
        <w:ind w:left="3388" w:hanging="349"/>
      </w:pPr>
      <w:rPr>
        <w:rFonts w:hint="default"/>
        <w:lang w:val="zh-CN" w:eastAsia="zh-CN" w:bidi="zh-CN"/>
      </w:rPr>
    </w:lvl>
    <w:lvl w:ilvl="2" w:tentative="0">
      <w:start w:val="0"/>
      <w:numFmt w:val="bullet"/>
      <w:lvlText w:val="•"/>
      <w:lvlJc w:val="left"/>
      <w:pPr>
        <w:ind w:left="4296" w:hanging="349"/>
      </w:pPr>
      <w:rPr>
        <w:rFonts w:hint="default"/>
        <w:lang w:val="zh-CN" w:eastAsia="zh-CN" w:bidi="zh-CN"/>
      </w:rPr>
    </w:lvl>
    <w:lvl w:ilvl="3" w:tentative="0">
      <w:start w:val="0"/>
      <w:numFmt w:val="bullet"/>
      <w:lvlText w:val="•"/>
      <w:lvlJc w:val="left"/>
      <w:pPr>
        <w:ind w:left="5204" w:hanging="349"/>
      </w:pPr>
      <w:rPr>
        <w:rFonts w:hint="default"/>
        <w:lang w:val="zh-CN" w:eastAsia="zh-CN" w:bidi="zh-CN"/>
      </w:rPr>
    </w:lvl>
    <w:lvl w:ilvl="4" w:tentative="0">
      <w:start w:val="0"/>
      <w:numFmt w:val="bullet"/>
      <w:lvlText w:val="•"/>
      <w:lvlJc w:val="left"/>
      <w:pPr>
        <w:ind w:left="6112" w:hanging="349"/>
      </w:pPr>
      <w:rPr>
        <w:rFonts w:hint="default"/>
        <w:lang w:val="zh-CN" w:eastAsia="zh-CN" w:bidi="zh-CN"/>
      </w:rPr>
    </w:lvl>
    <w:lvl w:ilvl="5" w:tentative="0">
      <w:start w:val="0"/>
      <w:numFmt w:val="bullet"/>
      <w:lvlText w:val="•"/>
      <w:lvlJc w:val="left"/>
      <w:pPr>
        <w:ind w:left="7020" w:hanging="349"/>
      </w:pPr>
      <w:rPr>
        <w:rFonts w:hint="default"/>
        <w:lang w:val="zh-CN" w:eastAsia="zh-CN" w:bidi="zh-CN"/>
      </w:rPr>
    </w:lvl>
    <w:lvl w:ilvl="6" w:tentative="0">
      <w:start w:val="0"/>
      <w:numFmt w:val="bullet"/>
      <w:lvlText w:val="•"/>
      <w:lvlJc w:val="left"/>
      <w:pPr>
        <w:ind w:left="7928" w:hanging="349"/>
      </w:pPr>
      <w:rPr>
        <w:rFonts w:hint="default"/>
        <w:lang w:val="zh-CN" w:eastAsia="zh-CN" w:bidi="zh-CN"/>
      </w:rPr>
    </w:lvl>
    <w:lvl w:ilvl="7" w:tentative="0">
      <w:start w:val="0"/>
      <w:numFmt w:val="bullet"/>
      <w:lvlText w:val="•"/>
      <w:lvlJc w:val="left"/>
      <w:pPr>
        <w:ind w:left="8836" w:hanging="349"/>
      </w:pPr>
      <w:rPr>
        <w:rFonts w:hint="default"/>
        <w:lang w:val="zh-CN" w:eastAsia="zh-CN" w:bidi="zh-CN"/>
      </w:rPr>
    </w:lvl>
    <w:lvl w:ilvl="8" w:tentative="0">
      <w:start w:val="0"/>
      <w:numFmt w:val="bullet"/>
      <w:lvlText w:val="•"/>
      <w:lvlJc w:val="left"/>
      <w:pPr>
        <w:ind w:left="9744" w:hanging="349"/>
      </w:pPr>
      <w:rPr>
        <w:rFonts w:hint="default"/>
        <w:lang w:val="zh-CN" w:eastAsia="zh-CN" w:bidi="zh-CN"/>
      </w:rPr>
    </w:lvl>
  </w:abstractNum>
  <w:abstractNum w:abstractNumId="25">
    <w:nsid w:val="E504947C"/>
    <w:multiLevelType w:val="multilevel"/>
    <w:tmpl w:val="E504947C"/>
    <w:lvl w:ilvl="0" w:tentative="0">
      <w:start w:val="13"/>
      <w:numFmt w:val="decimal"/>
      <w:lvlText w:val="%1"/>
      <w:lvlJc w:val="left"/>
      <w:pPr>
        <w:ind w:left="2668" w:hanging="1128"/>
        <w:jc w:val="left"/>
      </w:pPr>
      <w:rPr>
        <w:rFonts w:hint="default"/>
        <w:lang w:val="zh-CN" w:eastAsia="zh-CN" w:bidi="zh-CN"/>
      </w:rPr>
    </w:lvl>
    <w:lvl w:ilvl="1" w:tentative="0">
      <w:start w:val="5"/>
      <w:numFmt w:val="decimal"/>
      <w:lvlText w:val="%1.%2"/>
      <w:lvlJc w:val="left"/>
      <w:pPr>
        <w:ind w:left="2668" w:hanging="1128"/>
        <w:jc w:val="left"/>
      </w:pPr>
      <w:rPr>
        <w:rFonts w:hint="default"/>
        <w:lang w:val="zh-CN" w:eastAsia="zh-CN" w:bidi="zh-CN"/>
      </w:rPr>
    </w:lvl>
    <w:lvl w:ilvl="2" w:tentative="0">
      <w:start w:val="1"/>
      <w:numFmt w:val="decimal"/>
      <w:lvlText w:val="%1.%2.%3"/>
      <w:lvlJc w:val="left"/>
      <w:pPr>
        <w:ind w:left="2668" w:hanging="1128"/>
        <w:jc w:val="left"/>
      </w:pPr>
      <w:rPr>
        <w:rFonts w:hint="default" w:ascii="宋体" w:hAnsi="宋体" w:eastAsia="宋体" w:cs="宋体"/>
        <w:b/>
        <w:bCs/>
        <w:spacing w:val="0"/>
        <w:w w:val="98"/>
        <w:sz w:val="32"/>
        <w:szCs w:val="32"/>
        <w:lang w:val="zh-CN" w:eastAsia="zh-CN" w:bidi="zh-CN"/>
      </w:rPr>
    </w:lvl>
    <w:lvl w:ilvl="3" w:tentative="0">
      <w:start w:val="1"/>
      <w:numFmt w:val="decimal"/>
      <w:lvlText w:val="(%4)"/>
      <w:lvlJc w:val="left"/>
      <w:pPr>
        <w:ind w:left="1540" w:hanging="361"/>
        <w:jc w:val="left"/>
      </w:pPr>
      <w:rPr>
        <w:rFonts w:hint="default" w:ascii="宋体" w:hAnsi="宋体" w:eastAsia="宋体" w:cs="宋体"/>
        <w:spacing w:val="-34"/>
        <w:w w:val="100"/>
        <w:sz w:val="22"/>
        <w:szCs w:val="22"/>
        <w:lang w:val="zh-CN" w:eastAsia="zh-CN" w:bidi="zh-CN"/>
      </w:rPr>
    </w:lvl>
    <w:lvl w:ilvl="4" w:tentative="0">
      <w:start w:val="0"/>
      <w:numFmt w:val="bullet"/>
      <w:lvlText w:val="•"/>
      <w:lvlJc w:val="left"/>
      <w:pPr>
        <w:ind w:left="5626" w:hanging="361"/>
      </w:pPr>
      <w:rPr>
        <w:rFonts w:hint="default"/>
        <w:lang w:val="zh-CN" w:eastAsia="zh-CN" w:bidi="zh-CN"/>
      </w:rPr>
    </w:lvl>
    <w:lvl w:ilvl="5" w:tentative="0">
      <w:start w:val="0"/>
      <w:numFmt w:val="bullet"/>
      <w:lvlText w:val="•"/>
      <w:lvlJc w:val="left"/>
      <w:pPr>
        <w:ind w:left="6615" w:hanging="361"/>
      </w:pPr>
      <w:rPr>
        <w:rFonts w:hint="default"/>
        <w:lang w:val="zh-CN" w:eastAsia="zh-CN" w:bidi="zh-CN"/>
      </w:rPr>
    </w:lvl>
    <w:lvl w:ilvl="6" w:tentative="0">
      <w:start w:val="0"/>
      <w:numFmt w:val="bullet"/>
      <w:lvlText w:val="•"/>
      <w:lvlJc w:val="left"/>
      <w:pPr>
        <w:ind w:left="7604" w:hanging="361"/>
      </w:pPr>
      <w:rPr>
        <w:rFonts w:hint="default"/>
        <w:lang w:val="zh-CN" w:eastAsia="zh-CN" w:bidi="zh-CN"/>
      </w:rPr>
    </w:lvl>
    <w:lvl w:ilvl="7" w:tentative="0">
      <w:start w:val="0"/>
      <w:numFmt w:val="bullet"/>
      <w:lvlText w:val="•"/>
      <w:lvlJc w:val="left"/>
      <w:pPr>
        <w:ind w:left="8593" w:hanging="361"/>
      </w:pPr>
      <w:rPr>
        <w:rFonts w:hint="default"/>
        <w:lang w:val="zh-CN" w:eastAsia="zh-CN" w:bidi="zh-CN"/>
      </w:rPr>
    </w:lvl>
    <w:lvl w:ilvl="8" w:tentative="0">
      <w:start w:val="0"/>
      <w:numFmt w:val="bullet"/>
      <w:lvlText w:val="•"/>
      <w:lvlJc w:val="left"/>
      <w:pPr>
        <w:ind w:left="9582" w:hanging="361"/>
      </w:pPr>
      <w:rPr>
        <w:rFonts w:hint="default"/>
        <w:lang w:val="zh-CN" w:eastAsia="zh-CN" w:bidi="zh-CN"/>
      </w:rPr>
    </w:lvl>
  </w:abstractNum>
  <w:abstractNum w:abstractNumId="26">
    <w:nsid w:val="F0E89278"/>
    <w:multiLevelType w:val="multilevel"/>
    <w:tmpl w:val="F0E89278"/>
    <w:lvl w:ilvl="0" w:tentative="0">
      <w:start w:val="1"/>
      <w:numFmt w:val="decimal"/>
      <w:lvlText w:val="(%1)"/>
      <w:lvlJc w:val="left"/>
      <w:pPr>
        <w:ind w:left="1540" w:hanging="361"/>
        <w:jc w:val="left"/>
      </w:pPr>
      <w:rPr>
        <w:rFonts w:hint="default" w:ascii="宋体" w:hAnsi="宋体" w:eastAsia="宋体" w:cs="宋体"/>
        <w:spacing w:val="-48"/>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27">
    <w:nsid w:val="F4B5D9F5"/>
    <w:multiLevelType w:val="multilevel"/>
    <w:tmpl w:val="F4B5D9F5"/>
    <w:lvl w:ilvl="0" w:tentative="0">
      <w:start w:val="17"/>
      <w:numFmt w:val="decimal"/>
      <w:lvlText w:val="%1"/>
      <w:lvlJc w:val="left"/>
      <w:pPr>
        <w:ind w:left="1200" w:hanging="600"/>
        <w:jc w:val="left"/>
      </w:pPr>
      <w:rPr>
        <w:rFonts w:hint="default"/>
        <w:lang w:val="zh-CN" w:eastAsia="zh-CN" w:bidi="zh-CN"/>
      </w:rPr>
    </w:lvl>
    <w:lvl w:ilvl="1" w:tentative="0">
      <w:start w:val="1"/>
      <w:numFmt w:val="decimal"/>
      <w:lvlText w:val="%1.%2"/>
      <w:lvlJc w:val="left"/>
      <w:pPr>
        <w:ind w:left="1200" w:hanging="60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688" w:hanging="600"/>
      </w:pPr>
      <w:rPr>
        <w:rFonts w:hint="default"/>
        <w:lang w:val="zh-CN" w:eastAsia="zh-CN" w:bidi="zh-CN"/>
      </w:rPr>
    </w:lvl>
    <w:lvl w:ilvl="3" w:tentative="0">
      <w:start w:val="0"/>
      <w:numFmt w:val="bullet"/>
      <w:lvlText w:val="•"/>
      <w:lvlJc w:val="left"/>
      <w:pPr>
        <w:ind w:left="3432" w:hanging="600"/>
      </w:pPr>
      <w:rPr>
        <w:rFonts w:hint="default"/>
        <w:lang w:val="zh-CN" w:eastAsia="zh-CN" w:bidi="zh-CN"/>
      </w:rPr>
    </w:lvl>
    <w:lvl w:ilvl="4" w:tentative="0">
      <w:start w:val="0"/>
      <w:numFmt w:val="bullet"/>
      <w:lvlText w:val="•"/>
      <w:lvlJc w:val="left"/>
      <w:pPr>
        <w:ind w:left="4176" w:hanging="600"/>
      </w:pPr>
      <w:rPr>
        <w:rFonts w:hint="default"/>
        <w:lang w:val="zh-CN" w:eastAsia="zh-CN" w:bidi="zh-CN"/>
      </w:rPr>
    </w:lvl>
    <w:lvl w:ilvl="5" w:tentative="0">
      <w:start w:val="0"/>
      <w:numFmt w:val="bullet"/>
      <w:lvlText w:val="•"/>
      <w:lvlJc w:val="left"/>
      <w:pPr>
        <w:ind w:left="4920" w:hanging="600"/>
      </w:pPr>
      <w:rPr>
        <w:rFonts w:hint="default"/>
        <w:lang w:val="zh-CN" w:eastAsia="zh-CN" w:bidi="zh-CN"/>
      </w:rPr>
    </w:lvl>
    <w:lvl w:ilvl="6" w:tentative="0">
      <w:start w:val="0"/>
      <w:numFmt w:val="bullet"/>
      <w:lvlText w:val="•"/>
      <w:lvlJc w:val="left"/>
      <w:pPr>
        <w:ind w:left="5664" w:hanging="600"/>
      </w:pPr>
      <w:rPr>
        <w:rFonts w:hint="default"/>
        <w:lang w:val="zh-CN" w:eastAsia="zh-CN" w:bidi="zh-CN"/>
      </w:rPr>
    </w:lvl>
    <w:lvl w:ilvl="7" w:tentative="0">
      <w:start w:val="0"/>
      <w:numFmt w:val="bullet"/>
      <w:lvlText w:val="•"/>
      <w:lvlJc w:val="left"/>
      <w:pPr>
        <w:ind w:left="6408" w:hanging="600"/>
      </w:pPr>
      <w:rPr>
        <w:rFonts w:hint="default"/>
        <w:lang w:val="zh-CN" w:eastAsia="zh-CN" w:bidi="zh-CN"/>
      </w:rPr>
    </w:lvl>
    <w:lvl w:ilvl="8" w:tentative="0">
      <w:start w:val="0"/>
      <w:numFmt w:val="bullet"/>
      <w:lvlText w:val="•"/>
      <w:lvlJc w:val="left"/>
      <w:pPr>
        <w:ind w:left="7152" w:hanging="600"/>
      </w:pPr>
      <w:rPr>
        <w:rFonts w:hint="default"/>
        <w:lang w:val="zh-CN" w:eastAsia="zh-CN" w:bidi="zh-CN"/>
      </w:rPr>
    </w:lvl>
  </w:abstractNum>
  <w:abstractNum w:abstractNumId="28">
    <w:nsid w:val="F689643B"/>
    <w:multiLevelType w:val="multilevel"/>
    <w:tmpl w:val="F689643B"/>
    <w:lvl w:ilvl="0" w:tentative="0">
      <w:start w:val="12"/>
      <w:numFmt w:val="decimal"/>
      <w:lvlText w:val="%1"/>
      <w:lvlJc w:val="left"/>
      <w:pPr>
        <w:ind w:left="2243" w:hanging="704"/>
        <w:jc w:val="left"/>
      </w:pPr>
      <w:rPr>
        <w:rFonts w:hint="default"/>
        <w:lang w:val="zh-CN" w:eastAsia="zh-CN" w:bidi="zh-CN"/>
      </w:rPr>
    </w:lvl>
    <w:lvl w:ilvl="1" w:tentative="0">
      <w:start w:val="1"/>
      <w:numFmt w:val="decimal"/>
      <w:lvlText w:val="%1.%2"/>
      <w:lvlJc w:val="left"/>
      <w:pPr>
        <w:ind w:left="2243" w:hanging="704"/>
        <w:jc w:val="left"/>
      </w:pPr>
      <w:rPr>
        <w:rFonts w:hint="default" w:ascii="宋体" w:hAnsi="宋体" w:eastAsia="宋体" w:cs="宋体"/>
        <w:b/>
        <w:bCs/>
        <w:spacing w:val="0"/>
        <w:w w:val="99"/>
        <w:sz w:val="28"/>
        <w:szCs w:val="28"/>
        <w:lang w:val="zh-CN" w:eastAsia="zh-CN" w:bidi="zh-CN"/>
      </w:rPr>
    </w:lvl>
    <w:lvl w:ilvl="2" w:tentative="0">
      <w:start w:val="1"/>
      <w:numFmt w:val="decimal"/>
      <w:lvlText w:val="(%3)"/>
      <w:lvlJc w:val="left"/>
      <w:pPr>
        <w:ind w:left="2462" w:hanging="361"/>
        <w:jc w:val="left"/>
      </w:pPr>
      <w:rPr>
        <w:rFonts w:hint="default" w:ascii="宋体" w:hAnsi="宋体" w:eastAsia="宋体" w:cs="宋体"/>
        <w:w w:val="100"/>
        <w:sz w:val="22"/>
        <w:szCs w:val="22"/>
        <w:lang w:val="zh-CN" w:eastAsia="zh-CN" w:bidi="zh-CN"/>
      </w:rPr>
    </w:lvl>
    <w:lvl w:ilvl="3" w:tentative="0">
      <w:start w:val="0"/>
      <w:numFmt w:val="bullet"/>
      <w:lvlText w:val="•"/>
      <w:lvlJc w:val="left"/>
      <w:pPr>
        <w:ind w:left="3597" w:hanging="361"/>
      </w:pPr>
      <w:rPr>
        <w:rFonts w:hint="default"/>
        <w:lang w:val="zh-CN" w:eastAsia="zh-CN" w:bidi="zh-CN"/>
      </w:rPr>
    </w:lvl>
    <w:lvl w:ilvl="4" w:tentative="0">
      <w:start w:val="0"/>
      <w:numFmt w:val="bullet"/>
      <w:lvlText w:val="•"/>
      <w:lvlJc w:val="left"/>
      <w:pPr>
        <w:ind w:left="4735" w:hanging="361"/>
      </w:pPr>
      <w:rPr>
        <w:rFonts w:hint="default"/>
        <w:lang w:val="zh-CN" w:eastAsia="zh-CN" w:bidi="zh-CN"/>
      </w:rPr>
    </w:lvl>
    <w:lvl w:ilvl="5" w:tentative="0">
      <w:start w:val="0"/>
      <w:numFmt w:val="bullet"/>
      <w:lvlText w:val="•"/>
      <w:lvlJc w:val="left"/>
      <w:pPr>
        <w:ind w:left="5872" w:hanging="361"/>
      </w:pPr>
      <w:rPr>
        <w:rFonts w:hint="default"/>
        <w:lang w:val="zh-CN" w:eastAsia="zh-CN" w:bidi="zh-CN"/>
      </w:rPr>
    </w:lvl>
    <w:lvl w:ilvl="6" w:tentative="0">
      <w:start w:val="0"/>
      <w:numFmt w:val="bullet"/>
      <w:lvlText w:val="•"/>
      <w:lvlJc w:val="left"/>
      <w:pPr>
        <w:ind w:left="7010" w:hanging="361"/>
      </w:pPr>
      <w:rPr>
        <w:rFonts w:hint="default"/>
        <w:lang w:val="zh-CN" w:eastAsia="zh-CN" w:bidi="zh-CN"/>
      </w:rPr>
    </w:lvl>
    <w:lvl w:ilvl="7" w:tentative="0">
      <w:start w:val="0"/>
      <w:numFmt w:val="bullet"/>
      <w:lvlText w:val="•"/>
      <w:lvlJc w:val="left"/>
      <w:pPr>
        <w:ind w:left="8147" w:hanging="361"/>
      </w:pPr>
      <w:rPr>
        <w:rFonts w:hint="default"/>
        <w:lang w:val="zh-CN" w:eastAsia="zh-CN" w:bidi="zh-CN"/>
      </w:rPr>
    </w:lvl>
    <w:lvl w:ilvl="8" w:tentative="0">
      <w:start w:val="0"/>
      <w:numFmt w:val="bullet"/>
      <w:lvlText w:val="•"/>
      <w:lvlJc w:val="left"/>
      <w:pPr>
        <w:ind w:left="9285" w:hanging="361"/>
      </w:pPr>
      <w:rPr>
        <w:rFonts w:hint="default"/>
        <w:lang w:val="zh-CN" w:eastAsia="zh-CN" w:bidi="zh-CN"/>
      </w:rPr>
    </w:lvl>
  </w:abstractNum>
  <w:abstractNum w:abstractNumId="29">
    <w:nsid w:val="F7735DC9"/>
    <w:multiLevelType w:val="multilevel"/>
    <w:tmpl w:val="F7735DC9"/>
    <w:lvl w:ilvl="0" w:tentative="0">
      <w:start w:val="1"/>
      <w:numFmt w:val="decimal"/>
      <w:lvlText w:val="（%1）"/>
      <w:lvlJc w:val="left"/>
      <w:pPr>
        <w:ind w:left="2681" w:hanging="575"/>
        <w:jc w:val="left"/>
      </w:pPr>
      <w:rPr>
        <w:rFonts w:hint="default" w:ascii="宋体" w:hAnsi="宋体" w:eastAsia="宋体" w:cs="宋体"/>
        <w:spacing w:val="-20"/>
        <w:w w:val="100"/>
        <w:sz w:val="22"/>
        <w:szCs w:val="22"/>
        <w:lang w:val="zh-CN" w:eastAsia="zh-CN" w:bidi="zh-CN"/>
      </w:rPr>
    </w:lvl>
    <w:lvl w:ilvl="1" w:tentative="0">
      <w:start w:val="0"/>
      <w:numFmt w:val="bullet"/>
      <w:lvlText w:val="•"/>
      <w:lvlJc w:val="left"/>
      <w:pPr>
        <w:ind w:left="3568" w:hanging="575"/>
      </w:pPr>
      <w:rPr>
        <w:rFonts w:hint="default"/>
        <w:lang w:val="zh-CN" w:eastAsia="zh-CN" w:bidi="zh-CN"/>
      </w:rPr>
    </w:lvl>
    <w:lvl w:ilvl="2" w:tentative="0">
      <w:start w:val="0"/>
      <w:numFmt w:val="bullet"/>
      <w:lvlText w:val="•"/>
      <w:lvlJc w:val="left"/>
      <w:pPr>
        <w:ind w:left="4456" w:hanging="575"/>
      </w:pPr>
      <w:rPr>
        <w:rFonts w:hint="default"/>
        <w:lang w:val="zh-CN" w:eastAsia="zh-CN" w:bidi="zh-CN"/>
      </w:rPr>
    </w:lvl>
    <w:lvl w:ilvl="3" w:tentative="0">
      <w:start w:val="0"/>
      <w:numFmt w:val="bullet"/>
      <w:lvlText w:val="•"/>
      <w:lvlJc w:val="left"/>
      <w:pPr>
        <w:ind w:left="5344" w:hanging="575"/>
      </w:pPr>
      <w:rPr>
        <w:rFonts w:hint="default"/>
        <w:lang w:val="zh-CN" w:eastAsia="zh-CN" w:bidi="zh-CN"/>
      </w:rPr>
    </w:lvl>
    <w:lvl w:ilvl="4" w:tentative="0">
      <w:start w:val="0"/>
      <w:numFmt w:val="bullet"/>
      <w:lvlText w:val="•"/>
      <w:lvlJc w:val="left"/>
      <w:pPr>
        <w:ind w:left="6232" w:hanging="575"/>
      </w:pPr>
      <w:rPr>
        <w:rFonts w:hint="default"/>
        <w:lang w:val="zh-CN" w:eastAsia="zh-CN" w:bidi="zh-CN"/>
      </w:rPr>
    </w:lvl>
    <w:lvl w:ilvl="5" w:tentative="0">
      <w:start w:val="0"/>
      <w:numFmt w:val="bullet"/>
      <w:lvlText w:val="•"/>
      <w:lvlJc w:val="left"/>
      <w:pPr>
        <w:ind w:left="7120" w:hanging="575"/>
      </w:pPr>
      <w:rPr>
        <w:rFonts w:hint="default"/>
        <w:lang w:val="zh-CN" w:eastAsia="zh-CN" w:bidi="zh-CN"/>
      </w:rPr>
    </w:lvl>
    <w:lvl w:ilvl="6" w:tentative="0">
      <w:start w:val="0"/>
      <w:numFmt w:val="bullet"/>
      <w:lvlText w:val="•"/>
      <w:lvlJc w:val="left"/>
      <w:pPr>
        <w:ind w:left="8008" w:hanging="575"/>
      </w:pPr>
      <w:rPr>
        <w:rFonts w:hint="default"/>
        <w:lang w:val="zh-CN" w:eastAsia="zh-CN" w:bidi="zh-CN"/>
      </w:rPr>
    </w:lvl>
    <w:lvl w:ilvl="7" w:tentative="0">
      <w:start w:val="0"/>
      <w:numFmt w:val="bullet"/>
      <w:lvlText w:val="•"/>
      <w:lvlJc w:val="left"/>
      <w:pPr>
        <w:ind w:left="8896" w:hanging="575"/>
      </w:pPr>
      <w:rPr>
        <w:rFonts w:hint="default"/>
        <w:lang w:val="zh-CN" w:eastAsia="zh-CN" w:bidi="zh-CN"/>
      </w:rPr>
    </w:lvl>
    <w:lvl w:ilvl="8" w:tentative="0">
      <w:start w:val="0"/>
      <w:numFmt w:val="bullet"/>
      <w:lvlText w:val="•"/>
      <w:lvlJc w:val="left"/>
      <w:pPr>
        <w:ind w:left="9784" w:hanging="575"/>
      </w:pPr>
      <w:rPr>
        <w:rFonts w:hint="default"/>
        <w:lang w:val="zh-CN" w:eastAsia="zh-CN" w:bidi="zh-CN"/>
      </w:rPr>
    </w:lvl>
  </w:abstractNum>
  <w:abstractNum w:abstractNumId="30">
    <w:nsid w:val="FEC2EA36"/>
    <w:multiLevelType w:val="multilevel"/>
    <w:tmpl w:val="FEC2EA36"/>
    <w:lvl w:ilvl="0" w:tentative="0">
      <w:start w:val="12"/>
      <w:numFmt w:val="decimal"/>
      <w:lvlText w:val="%1"/>
      <w:lvlJc w:val="left"/>
      <w:pPr>
        <w:ind w:left="2384" w:hanging="845"/>
        <w:jc w:val="left"/>
      </w:pPr>
      <w:rPr>
        <w:rFonts w:hint="default"/>
        <w:lang w:val="zh-CN" w:eastAsia="zh-CN" w:bidi="zh-CN"/>
      </w:rPr>
    </w:lvl>
    <w:lvl w:ilvl="1" w:tentative="0">
      <w:start w:val="8"/>
      <w:numFmt w:val="decimal"/>
      <w:lvlText w:val="%1.%2"/>
      <w:lvlJc w:val="left"/>
      <w:pPr>
        <w:ind w:left="2384" w:hanging="845"/>
        <w:jc w:val="left"/>
      </w:pPr>
      <w:rPr>
        <w:rFonts w:hint="default"/>
        <w:lang w:val="zh-CN" w:eastAsia="zh-CN" w:bidi="zh-CN"/>
      </w:rPr>
    </w:lvl>
    <w:lvl w:ilvl="2" w:tentative="0">
      <w:start w:val="1"/>
      <w:numFmt w:val="decimal"/>
      <w:lvlText w:val="%1.%2.%3"/>
      <w:lvlJc w:val="left"/>
      <w:pPr>
        <w:ind w:left="2384" w:hanging="845"/>
        <w:jc w:val="left"/>
      </w:pPr>
      <w:rPr>
        <w:rFonts w:hint="default" w:ascii="宋体" w:hAnsi="宋体" w:eastAsia="宋体" w:cs="宋体"/>
        <w:b/>
        <w:bCs/>
        <w:spacing w:val="0"/>
        <w:w w:val="99"/>
        <w:sz w:val="24"/>
        <w:szCs w:val="24"/>
        <w:lang w:val="zh-CN" w:eastAsia="zh-CN" w:bidi="zh-CN"/>
      </w:rPr>
    </w:lvl>
    <w:lvl w:ilvl="3" w:tentative="0">
      <w:start w:val="1"/>
      <w:numFmt w:val="decimal"/>
      <w:lvlText w:val="(%4)"/>
      <w:lvlJc w:val="left"/>
      <w:pPr>
        <w:ind w:left="2101" w:hanging="361"/>
        <w:jc w:val="left"/>
      </w:pPr>
      <w:rPr>
        <w:rFonts w:hint="default" w:ascii="宋体" w:hAnsi="宋体" w:eastAsia="宋体" w:cs="宋体"/>
        <w:spacing w:val="-17"/>
        <w:w w:val="100"/>
        <w:sz w:val="22"/>
        <w:szCs w:val="22"/>
        <w:lang w:val="zh-CN" w:eastAsia="zh-CN" w:bidi="zh-CN"/>
      </w:rPr>
    </w:lvl>
    <w:lvl w:ilvl="4" w:tentative="0">
      <w:start w:val="0"/>
      <w:numFmt w:val="bullet"/>
      <w:lvlText w:val="•"/>
      <w:lvlJc w:val="left"/>
      <w:pPr>
        <w:ind w:left="5440" w:hanging="361"/>
      </w:pPr>
      <w:rPr>
        <w:rFonts w:hint="default"/>
        <w:lang w:val="zh-CN" w:eastAsia="zh-CN" w:bidi="zh-CN"/>
      </w:rPr>
    </w:lvl>
    <w:lvl w:ilvl="5" w:tentative="0">
      <w:start w:val="0"/>
      <w:numFmt w:val="bullet"/>
      <w:lvlText w:val="•"/>
      <w:lvlJc w:val="left"/>
      <w:pPr>
        <w:ind w:left="6460" w:hanging="361"/>
      </w:pPr>
      <w:rPr>
        <w:rFonts w:hint="default"/>
        <w:lang w:val="zh-CN" w:eastAsia="zh-CN" w:bidi="zh-CN"/>
      </w:rPr>
    </w:lvl>
    <w:lvl w:ilvl="6" w:tentative="0">
      <w:start w:val="0"/>
      <w:numFmt w:val="bullet"/>
      <w:lvlText w:val="•"/>
      <w:lvlJc w:val="left"/>
      <w:pPr>
        <w:ind w:left="7480" w:hanging="361"/>
      </w:pPr>
      <w:rPr>
        <w:rFonts w:hint="default"/>
        <w:lang w:val="zh-CN" w:eastAsia="zh-CN" w:bidi="zh-CN"/>
      </w:rPr>
    </w:lvl>
    <w:lvl w:ilvl="7" w:tentative="0">
      <w:start w:val="0"/>
      <w:numFmt w:val="bullet"/>
      <w:lvlText w:val="•"/>
      <w:lvlJc w:val="left"/>
      <w:pPr>
        <w:ind w:left="8500" w:hanging="361"/>
      </w:pPr>
      <w:rPr>
        <w:rFonts w:hint="default"/>
        <w:lang w:val="zh-CN" w:eastAsia="zh-CN" w:bidi="zh-CN"/>
      </w:rPr>
    </w:lvl>
    <w:lvl w:ilvl="8" w:tentative="0">
      <w:start w:val="0"/>
      <w:numFmt w:val="bullet"/>
      <w:lvlText w:val="•"/>
      <w:lvlJc w:val="left"/>
      <w:pPr>
        <w:ind w:left="9520" w:hanging="361"/>
      </w:pPr>
      <w:rPr>
        <w:rFonts w:hint="default"/>
        <w:lang w:val="zh-CN" w:eastAsia="zh-CN" w:bidi="zh-CN"/>
      </w:rPr>
    </w:lvl>
  </w:abstractNum>
  <w:abstractNum w:abstractNumId="31">
    <w:nsid w:val="0053208E"/>
    <w:multiLevelType w:val="multilevel"/>
    <w:tmpl w:val="0053208E"/>
    <w:lvl w:ilvl="0" w:tentative="0">
      <w:start w:val="1"/>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32">
    <w:nsid w:val="0248C179"/>
    <w:multiLevelType w:val="multilevel"/>
    <w:tmpl w:val="0248C179"/>
    <w:lvl w:ilvl="0" w:tentative="0">
      <w:start w:val="9"/>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33">
    <w:nsid w:val="03A63A41"/>
    <w:multiLevelType w:val="multilevel"/>
    <w:tmpl w:val="03A63A41"/>
    <w:lvl w:ilvl="0" w:tentative="0">
      <w:start w:val="1"/>
      <w:numFmt w:val="decimal"/>
      <w:lvlText w:val="(%1)"/>
      <w:lvlJc w:val="left"/>
      <w:pPr>
        <w:ind w:left="1540" w:hanging="361"/>
        <w:jc w:val="left"/>
      </w:pPr>
      <w:rPr>
        <w:rFonts w:hint="default" w:ascii="宋体" w:hAnsi="宋体" w:eastAsia="宋体" w:cs="宋体"/>
        <w:spacing w:val="-94"/>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34">
    <w:nsid w:val="03D62ECE"/>
    <w:multiLevelType w:val="multilevel"/>
    <w:tmpl w:val="03D62ECE"/>
    <w:lvl w:ilvl="0" w:tentative="0">
      <w:start w:val="6"/>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35">
    <w:nsid w:val="0709FD3E"/>
    <w:multiLevelType w:val="multilevel"/>
    <w:tmpl w:val="0709FD3E"/>
    <w:lvl w:ilvl="0" w:tentative="0">
      <w:start w:val="9"/>
      <w:numFmt w:val="decimal"/>
      <w:lvlText w:val="(%1)"/>
      <w:lvlJc w:val="left"/>
      <w:pPr>
        <w:ind w:left="1540" w:hanging="361"/>
        <w:jc w:val="left"/>
      </w:pPr>
      <w:rPr>
        <w:rFonts w:hint="default" w:ascii="宋体" w:hAnsi="宋体" w:eastAsia="宋体" w:cs="宋体"/>
        <w:spacing w:val="-34"/>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36">
    <w:nsid w:val="0CEF100B"/>
    <w:multiLevelType w:val="multilevel"/>
    <w:tmpl w:val="0CEF100B"/>
    <w:lvl w:ilvl="0" w:tentative="0">
      <w:start w:val="7"/>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2504" w:hanging="965"/>
        <w:jc w:val="left"/>
      </w:pPr>
      <w:rPr>
        <w:rFonts w:hint="default"/>
        <w:b/>
        <w:bCs/>
        <w:spacing w:val="0"/>
        <w:w w:val="98"/>
        <w:lang w:val="zh-CN" w:eastAsia="zh-CN" w:bidi="zh-CN"/>
      </w:rPr>
    </w:lvl>
    <w:lvl w:ilvl="3" w:tentative="0">
      <w:start w:val="0"/>
      <w:numFmt w:val="bullet"/>
      <w:lvlText w:val="•"/>
      <w:lvlJc w:val="left"/>
      <w:pPr>
        <w:ind w:left="3632" w:hanging="965"/>
      </w:pPr>
      <w:rPr>
        <w:rFonts w:hint="default"/>
        <w:lang w:val="zh-CN" w:eastAsia="zh-CN" w:bidi="zh-CN"/>
      </w:rPr>
    </w:lvl>
    <w:lvl w:ilvl="4" w:tentative="0">
      <w:start w:val="0"/>
      <w:numFmt w:val="bullet"/>
      <w:lvlText w:val="•"/>
      <w:lvlJc w:val="left"/>
      <w:pPr>
        <w:ind w:left="4765" w:hanging="965"/>
      </w:pPr>
      <w:rPr>
        <w:rFonts w:hint="default"/>
        <w:lang w:val="zh-CN" w:eastAsia="zh-CN" w:bidi="zh-CN"/>
      </w:rPr>
    </w:lvl>
    <w:lvl w:ilvl="5" w:tentative="0">
      <w:start w:val="0"/>
      <w:numFmt w:val="bullet"/>
      <w:lvlText w:val="•"/>
      <w:lvlJc w:val="left"/>
      <w:pPr>
        <w:ind w:left="5897" w:hanging="965"/>
      </w:pPr>
      <w:rPr>
        <w:rFonts w:hint="default"/>
        <w:lang w:val="zh-CN" w:eastAsia="zh-CN" w:bidi="zh-CN"/>
      </w:rPr>
    </w:lvl>
    <w:lvl w:ilvl="6" w:tentative="0">
      <w:start w:val="0"/>
      <w:numFmt w:val="bullet"/>
      <w:lvlText w:val="•"/>
      <w:lvlJc w:val="left"/>
      <w:pPr>
        <w:ind w:left="7030" w:hanging="965"/>
      </w:pPr>
      <w:rPr>
        <w:rFonts w:hint="default"/>
        <w:lang w:val="zh-CN" w:eastAsia="zh-CN" w:bidi="zh-CN"/>
      </w:rPr>
    </w:lvl>
    <w:lvl w:ilvl="7" w:tentative="0">
      <w:start w:val="0"/>
      <w:numFmt w:val="bullet"/>
      <w:lvlText w:val="•"/>
      <w:lvlJc w:val="left"/>
      <w:pPr>
        <w:ind w:left="8162" w:hanging="965"/>
      </w:pPr>
      <w:rPr>
        <w:rFonts w:hint="default"/>
        <w:lang w:val="zh-CN" w:eastAsia="zh-CN" w:bidi="zh-CN"/>
      </w:rPr>
    </w:lvl>
    <w:lvl w:ilvl="8" w:tentative="0">
      <w:start w:val="0"/>
      <w:numFmt w:val="bullet"/>
      <w:lvlText w:val="•"/>
      <w:lvlJc w:val="left"/>
      <w:pPr>
        <w:ind w:left="9295" w:hanging="965"/>
      </w:pPr>
      <w:rPr>
        <w:rFonts w:hint="default"/>
        <w:lang w:val="zh-CN" w:eastAsia="zh-CN" w:bidi="zh-CN"/>
      </w:rPr>
    </w:lvl>
  </w:abstractNum>
  <w:abstractNum w:abstractNumId="37">
    <w:nsid w:val="0E640482"/>
    <w:multiLevelType w:val="multilevel"/>
    <w:tmpl w:val="0E640482"/>
    <w:lvl w:ilvl="0" w:tentative="0">
      <w:start w:val="7"/>
      <w:numFmt w:val="decimal"/>
      <w:lvlText w:val="(%1)"/>
      <w:lvlJc w:val="left"/>
      <w:pPr>
        <w:ind w:left="1149"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911" w:hanging="361"/>
      </w:pPr>
      <w:rPr>
        <w:rFonts w:hint="default"/>
        <w:lang w:val="zh-CN" w:eastAsia="zh-CN" w:bidi="zh-CN"/>
      </w:rPr>
    </w:lvl>
    <w:lvl w:ilvl="2" w:tentative="0">
      <w:start w:val="0"/>
      <w:numFmt w:val="bullet"/>
      <w:lvlText w:val="•"/>
      <w:lvlJc w:val="left"/>
      <w:pPr>
        <w:ind w:left="2682" w:hanging="361"/>
      </w:pPr>
      <w:rPr>
        <w:rFonts w:hint="default"/>
        <w:lang w:val="zh-CN" w:eastAsia="zh-CN" w:bidi="zh-CN"/>
      </w:rPr>
    </w:lvl>
    <w:lvl w:ilvl="3" w:tentative="0">
      <w:start w:val="0"/>
      <w:numFmt w:val="bullet"/>
      <w:lvlText w:val="•"/>
      <w:lvlJc w:val="left"/>
      <w:pPr>
        <w:ind w:left="3453" w:hanging="361"/>
      </w:pPr>
      <w:rPr>
        <w:rFonts w:hint="default"/>
        <w:lang w:val="zh-CN" w:eastAsia="zh-CN" w:bidi="zh-CN"/>
      </w:rPr>
    </w:lvl>
    <w:lvl w:ilvl="4" w:tentative="0">
      <w:start w:val="0"/>
      <w:numFmt w:val="bullet"/>
      <w:lvlText w:val="•"/>
      <w:lvlJc w:val="left"/>
      <w:pPr>
        <w:ind w:left="4224" w:hanging="361"/>
      </w:pPr>
      <w:rPr>
        <w:rFonts w:hint="default"/>
        <w:lang w:val="zh-CN" w:eastAsia="zh-CN" w:bidi="zh-CN"/>
      </w:rPr>
    </w:lvl>
    <w:lvl w:ilvl="5" w:tentative="0">
      <w:start w:val="0"/>
      <w:numFmt w:val="bullet"/>
      <w:lvlText w:val="•"/>
      <w:lvlJc w:val="left"/>
      <w:pPr>
        <w:ind w:left="4995" w:hanging="361"/>
      </w:pPr>
      <w:rPr>
        <w:rFonts w:hint="default"/>
        <w:lang w:val="zh-CN" w:eastAsia="zh-CN" w:bidi="zh-CN"/>
      </w:rPr>
    </w:lvl>
    <w:lvl w:ilvl="6" w:tentative="0">
      <w:start w:val="0"/>
      <w:numFmt w:val="bullet"/>
      <w:lvlText w:val="•"/>
      <w:lvlJc w:val="left"/>
      <w:pPr>
        <w:ind w:left="5766" w:hanging="361"/>
      </w:pPr>
      <w:rPr>
        <w:rFonts w:hint="default"/>
        <w:lang w:val="zh-CN" w:eastAsia="zh-CN" w:bidi="zh-CN"/>
      </w:rPr>
    </w:lvl>
    <w:lvl w:ilvl="7" w:tentative="0">
      <w:start w:val="0"/>
      <w:numFmt w:val="bullet"/>
      <w:lvlText w:val="•"/>
      <w:lvlJc w:val="left"/>
      <w:pPr>
        <w:ind w:left="6537" w:hanging="361"/>
      </w:pPr>
      <w:rPr>
        <w:rFonts w:hint="default"/>
        <w:lang w:val="zh-CN" w:eastAsia="zh-CN" w:bidi="zh-CN"/>
      </w:rPr>
    </w:lvl>
    <w:lvl w:ilvl="8" w:tentative="0">
      <w:start w:val="0"/>
      <w:numFmt w:val="bullet"/>
      <w:lvlText w:val="•"/>
      <w:lvlJc w:val="left"/>
      <w:pPr>
        <w:ind w:left="7308" w:hanging="361"/>
      </w:pPr>
      <w:rPr>
        <w:rFonts w:hint="default"/>
        <w:lang w:val="zh-CN" w:eastAsia="zh-CN" w:bidi="zh-CN"/>
      </w:rPr>
    </w:lvl>
  </w:abstractNum>
  <w:abstractNum w:abstractNumId="38">
    <w:nsid w:val="0F9F9CCA"/>
    <w:multiLevelType w:val="multilevel"/>
    <w:tmpl w:val="0F9F9CCA"/>
    <w:lvl w:ilvl="0" w:tentative="0">
      <w:start w:val="6"/>
      <w:numFmt w:val="decimal"/>
      <w:lvlText w:val="(%1)"/>
      <w:lvlJc w:val="left"/>
      <w:pPr>
        <w:ind w:left="1540" w:hanging="361"/>
        <w:jc w:val="left"/>
      </w:pPr>
      <w:rPr>
        <w:rFonts w:hint="default" w:ascii="宋体" w:hAnsi="宋体" w:eastAsia="宋体" w:cs="宋体"/>
        <w:spacing w:val="-65"/>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39">
    <w:nsid w:val="12EADF99"/>
    <w:multiLevelType w:val="multilevel"/>
    <w:tmpl w:val="12EADF99"/>
    <w:lvl w:ilvl="0" w:tentative="0">
      <w:start w:val="9"/>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2264" w:hanging="725"/>
        <w:jc w:val="left"/>
      </w:pPr>
      <w:rPr>
        <w:rFonts w:hint="default" w:ascii="宋体" w:hAnsi="宋体" w:eastAsia="宋体" w:cs="宋体"/>
        <w:b/>
        <w:bCs/>
        <w:spacing w:val="0"/>
        <w:w w:val="99"/>
        <w:sz w:val="24"/>
        <w:szCs w:val="24"/>
        <w:lang w:val="zh-CN" w:eastAsia="zh-CN" w:bidi="zh-CN"/>
      </w:rPr>
    </w:lvl>
    <w:lvl w:ilvl="3" w:tentative="0">
      <w:start w:val="1"/>
      <w:numFmt w:val="decimal"/>
      <w:lvlText w:val="%1.%2.%3.%4"/>
      <w:lvlJc w:val="left"/>
      <w:pPr>
        <w:ind w:left="2507" w:hanging="968"/>
        <w:jc w:val="left"/>
      </w:pPr>
      <w:rPr>
        <w:rFonts w:hint="default" w:ascii="宋体" w:hAnsi="宋体" w:eastAsia="宋体" w:cs="宋体"/>
        <w:b/>
        <w:bCs/>
        <w:spacing w:val="0"/>
        <w:w w:val="99"/>
        <w:sz w:val="24"/>
        <w:szCs w:val="24"/>
        <w:lang w:val="zh-CN" w:eastAsia="zh-CN" w:bidi="zh-CN"/>
      </w:rPr>
    </w:lvl>
    <w:lvl w:ilvl="4" w:tentative="0">
      <w:start w:val="0"/>
      <w:numFmt w:val="bullet"/>
      <w:lvlText w:val="•"/>
      <w:lvlJc w:val="left"/>
      <w:pPr>
        <w:ind w:left="4765" w:hanging="968"/>
      </w:pPr>
      <w:rPr>
        <w:rFonts w:hint="default"/>
        <w:lang w:val="zh-CN" w:eastAsia="zh-CN" w:bidi="zh-CN"/>
      </w:rPr>
    </w:lvl>
    <w:lvl w:ilvl="5" w:tentative="0">
      <w:start w:val="0"/>
      <w:numFmt w:val="bullet"/>
      <w:lvlText w:val="•"/>
      <w:lvlJc w:val="left"/>
      <w:pPr>
        <w:ind w:left="5897" w:hanging="968"/>
      </w:pPr>
      <w:rPr>
        <w:rFonts w:hint="default"/>
        <w:lang w:val="zh-CN" w:eastAsia="zh-CN" w:bidi="zh-CN"/>
      </w:rPr>
    </w:lvl>
    <w:lvl w:ilvl="6" w:tentative="0">
      <w:start w:val="0"/>
      <w:numFmt w:val="bullet"/>
      <w:lvlText w:val="•"/>
      <w:lvlJc w:val="left"/>
      <w:pPr>
        <w:ind w:left="7030" w:hanging="968"/>
      </w:pPr>
      <w:rPr>
        <w:rFonts w:hint="default"/>
        <w:lang w:val="zh-CN" w:eastAsia="zh-CN" w:bidi="zh-CN"/>
      </w:rPr>
    </w:lvl>
    <w:lvl w:ilvl="7" w:tentative="0">
      <w:start w:val="0"/>
      <w:numFmt w:val="bullet"/>
      <w:lvlText w:val="•"/>
      <w:lvlJc w:val="left"/>
      <w:pPr>
        <w:ind w:left="8162" w:hanging="968"/>
      </w:pPr>
      <w:rPr>
        <w:rFonts w:hint="default"/>
        <w:lang w:val="zh-CN" w:eastAsia="zh-CN" w:bidi="zh-CN"/>
      </w:rPr>
    </w:lvl>
    <w:lvl w:ilvl="8" w:tentative="0">
      <w:start w:val="0"/>
      <w:numFmt w:val="bullet"/>
      <w:lvlText w:val="•"/>
      <w:lvlJc w:val="left"/>
      <w:pPr>
        <w:ind w:left="9295" w:hanging="968"/>
      </w:pPr>
      <w:rPr>
        <w:rFonts w:hint="default"/>
        <w:lang w:val="zh-CN" w:eastAsia="zh-CN" w:bidi="zh-CN"/>
      </w:rPr>
    </w:lvl>
  </w:abstractNum>
  <w:abstractNum w:abstractNumId="40">
    <w:nsid w:val="18F74015"/>
    <w:multiLevelType w:val="multilevel"/>
    <w:tmpl w:val="18F74015"/>
    <w:lvl w:ilvl="0" w:tentative="0">
      <w:start w:val="3"/>
      <w:numFmt w:val="decimal"/>
      <w:lvlText w:val="(%1)"/>
      <w:lvlJc w:val="left"/>
      <w:pPr>
        <w:ind w:left="1540" w:hanging="361"/>
        <w:jc w:val="left"/>
      </w:pPr>
      <w:rPr>
        <w:rFonts w:hint="default" w:ascii="宋体" w:hAnsi="宋体" w:eastAsia="宋体" w:cs="宋体"/>
        <w:spacing w:val="-65"/>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41">
    <w:nsid w:val="1ACDE60F"/>
    <w:multiLevelType w:val="multilevel"/>
    <w:tmpl w:val="1ACDE60F"/>
    <w:lvl w:ilvl="0" w:tentative="0">
      <w:start w:val="5"/>
      <w:numFmt w:val="decimal"/>
      <w:lvlText w:val="%1"/>
      <w:lvlJc w:val="left"/>
      <w:pPr>
        <w:ind w:left="2507" w:hanging="968"/>
        <w:jc w:val="left"/>
      </w:pPr>
      <w:rPr>
        <w:rFonts w:hint="default"/>
        <w:lang w:val="zh-CN" w:eastAsia="zh-CN" w:bidi="zh-CN"/>
      </w:rPr>
    </w:lvl>
    <w:lvl w:ilvl="1" w:tentative="0">
      <w:start w:val="2"/>
      <w:numFmt w:val="decimal"/>
      <w:lvlText w:val="%1.%2"/>
      <w:lvlJc w:val="left"/>
      <w:pPr>
        <w:ind w:left="2507" w:hanging="968"/>
        <w:jc w:val="left"/>
      </w:pPr>
      <w:rPr>
        <w:rFonts w:hint="default"/>
        <w:lang w:val="zh-CN" w:eastAsia="zh-CN" w:bidi="zh-CN"/>
      </w:rPr>
    </w:lvl>
    <w:lvl w:ilvl="2" w:tentative="0">
      <w:start w:val="4"/>
      <w:numFmt w:val="decimal"/>
      <w:lvlText w:val="%1.%2.%3"/>
      <w:lvlJc w:val="left"/>
      <w:pPr>
        <w:ind w:left="2507" w:hanging="968"/>
        <w:jc w:val="left"/>
      </w:pPr>
      <w:rPr>
        <w:rFonts w:hint="default"/>
        <w:lang w:val="zh-CN" w:eastAsia="zh-CN" w:bidi="zh-CN"/>
      </w:rPr>
    </w:lvl>
    <w:lvl w:ilvl="3" w:tentative="0">
      <w:start w:val="1"/>
      <w:numFmt w:val="decimal"/>
      <w:lvlText w:val="%1.%2.%3.%4"/>
      <w:lvlJc w:val="left"/>
      <w:pPr>
        <w:ind w:left="2507" w:hanging="968"/>
        <w:jc w:val="left"/>
      </w:pPr>
      <w:rPr>
        <w:rFonts w:hint="default" w:ascii="宋体" w:hAnsi="宋体" w:eastAsia="宋体" w:cs="宋体"/>
        <w:b/>
        <w:bCs/>
        <w:spacing w:val="0"/>
        <w:w w:val="99"/>
        <w:sz w:val="24"/>
        <w:szCs w:val="24"/>
        <w:lang w:val="zh-CN" w:eastAsia="zh-CN" w:bidi="zh-CN"/>
      </w:rPr>
    </w:lvl>
    <w:lvl w:ilvl="4" w:tentative="0">
      <w:start w:val="1"/>
      <w:numFmt w:val="decimal"/>
      <w:lvlText w:val="(%5)"/>
      <w:lvlJc w:val="left"/>
      <w:pPr>
        <w:ind w:left="1540" w:hanging="361"/>
        <w:jc w:val="left"/>
      </w:pPr>
      <w:rPr>
        <w:rFonts w:hint="default" w:ascii="宋体" w:hAnsi="宋体" w:eastAsia="宋体" w:cs="宋体"/>
        <w:spacing w:val="-17"/>
        <w:w w:val="100"/>
        <w:sz w:val="22"/>
        <w:szCs w:val="22"/>
        <w:lang w:val="zh-CN" w:eastAsia="zh-CN" w:bidi="zh-CN"/>
      </w:rPr>
    </w:lvl>
    <w:lvl w:ilvl="5" w:tentative="0">
      <w:start w:val="0"/>
      <w:numFmt w:val="bullet"/>
      <w:lvlText w:val="•"/>
      <w:lvlJc w:val="left"/>
      <w:pPr>
        <w:ind w:left="6526" w:hanging="361"/>
      </w:pPr>
      <w:rPr>
        <w:rFonts w:hint="default"/>
        <w:lang w:val="zh-CN" w:eastAsia="zh-CN" w:bidi="zh-CN"/>
      </w:rPr>
    </w:lvl>
    <w:lvl w:ilvl="6" w:tentative="0">
      <w:start w:val="0"/>
      <w:numFmt w:val="bullet"/>
      <w:lvlText w:val="•"/>
      <w:lvlJc w:val="left"/>
      <w:pPr>
        <w:ind w:left="7533" w:hanging="361"/>
      </w:pPr>
      <w:rPr>
        <w:rFonts w:hint="default"/>
        <w:lang w:val="zh-CN" w:eastAsia="zh-CN" w:bidi="zh-CN"/>
      </w:rPr>
    </w:lvl>
    <w:lvl w:ilvl="7" w:tentative="0">
      <w:start w:val="0"/>
      <w:numFmt w:val="bullet"/>
      <w:lvlText w:val="•"/>
      <w:lvlJc w:val="left"/>
      <w:pPr>
        <w:ind w:left="8540" w:hanging="361"/>
      </w:pPr>
      <w:rPr>
        <w:rFonts w:hint="default"/>
        <w:lang w:val="zh-CN" w:eastAsia="zh-CN" w:bidi="zh-CN"/>
      </w:rPr>
    </w:lvl>
    <w:lvl w:ilvl="8" w:tentative="0">
      <w:start w:val="0"/>
      <w:numFmt w:val="bullet"/>
      <w:lvlText w:val="•"/>
      <w:lvlJc w:val="left"/>
      <w:pPr>
        <w:ind w:left="9546" w:hanging="361"/>
      </w:pPr>
      <w:rPr>
        <w:rFonts w:hint="default"/>
        <w:lang w:val="zh-CN" w:eastAsia="zh-CN" w:bidi="zh-CN"/>
      </w:rPr>
    </w:lvl>
  </w:abstractNum>
  <w:abstractNum w:abstractNumId="42">
    <w:nsid w:val="1C257C7B"/>
    <w:multiLevelType w:val="multilevel"/>
    <w:tmpl w:val="1C257C7B"/>
    <w:lvl w:ilvl="0" w:tentative="0">
      <w:start w:val="1"/>
      <w:numFmt w:val="decimal"/>
      <w:lvlText w:val="(%1)"/>
      <w:lvlJc w:val="left"/>
      <w:pPr>
        <w:ind w:left="1540" w:hanging="361"/>
        <w:jc w:val="left"/>
      </w:pPr>
      <w:rPr>
        <w:rFonts w:hint="default" w:ascii="宋体" w:hAnsi="宋体" w:eastAsia="宋体" w:cs="宋体"/>
        <w:spacing w:val="-63"/>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43">
    <w:nsid w:val="23E97754"/>
    <w:multiLevelType w:val="multilevel"/>
    <w:tmpl w:val="23E97754"/>
    <w:lvl w:ilvl="0" w:tentative="0">
      <w:start w:val="1"/>
      <w:numFmt w:val="decimal"/>
      <w:lvlText w:val="(%1)"/>
      <w:lvlJc w:val="left"/>
      <w:pPr>
        <w:ind w:left="1540" w:hanging="361"/>
        <w:jc w:val="left"/>
      </w:pPr>
      <w:rPr>
        <w:rFonts w:hint="default" w:ascii="宋体" w:hAnsi="宋体" w:eastAsia="宋体" w:cs="宋体"/>
        <w:spacing w:val="-34"/>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44">
    <w:nsid w:val="243FCF68"/>
    <w:multiLevelType w:val="multilevel"/>
    <w:tmpl w:val="243FCF68"/>
    <w:lvl w:ilvl="0" w:tentative="0">
      <w:start w:val="3"/>
      <w:numFmt w:val="decimal"/>
      <w:lvlText w:val="%1"/>
      <w:lvlJc w:val="left"/>
      <w:pPr>
        <w:ind w:left="2610" w:hanging="1071"/>
        <w:jc w:val="left"/>
      </w:pPr>
      <w:rPr>
        <w:rFonts w:hint="default"/>
        <w:lang w:val="zh-CN" w:eastAsia="zh-CN" w:bidi="zh-CN"/>
      </w:rPr>
    </w:lvl>
    <w:lvl w:ilvl="1" w:tentative="0">
      <w:start w:val="3"/>
      <w:numFmt w:val="decimal"/>
      <w:lvlText w:val="%1.%2"/>
      <w:lvlJc w:val="left"/>
      <w:pPr>
        <w:ind w:left="2610" w:hanging="1071"/>
        <w:jc w:val="left"/>
      </w:pPr>
      <w:rPr>
        <w:rFonts w:hint="default"/>
        <w:lang w:val="zh-CN" w:eastAsia="zh-CN" w:bidi="zh-CN"/>
      </w:rPr>
    </w:lvl>
    <w:lvl w:ilvl="2" w:tentative="0">
      <w:start w:val="3"/>
      <w:numFmt w:val="decimal"/>
      <w:lvlText w:val="%1.%2.%3"/>
      <w:lvlJc w:val="left"/>
      <w:pPr>
        <w:ind w:left="2610" w:hanging="1071"/>
        <w:jc w:val="left"/>
      </w:pPr>
      <w:rPr>
        <w:rFonts w:hint="default"/>
        <w:lang w:val="zh-CN" w:eastAsia="zh-CN" w:bidi="zh-CN"/>
      </w:rPr>
    </w:lvl>
    <w:lvl w:ilvl="3" w:tentative="0">
      <w:start w:val="1"/>
      <w:numFmt w:val="decimal"/>
      <w:lvlText w:val="%1.%2.%3.%4"/>
      <w:lvlJc w:val="left"/>
      <w:pPr>
        <w:ind w:left="2610" w:hanging="1071"/>
        <w:jc w:val="left"/>
      </w:pPr>
      <w:rPr>
        <w:rFonts w:hint="default" w:ascii="宋体" w:hAnsi="宋体" w:eastAsia="宋体" w:cs="宋体"/>
        <w:b/>
        <w:bCs/>
        <w:spacing w:val="0"/>
        <w:w w:val="93"/>
        <w:sz w:val="28"/>
        <w:szCs w:val="28"/>
        <w:lang w:val="zh-CN" w:eastAsia="zh-CN" w:bidi="zh-CN"/>
      </w:rPr>
    </w:lvl>
    <w:lvl w:ilvl="4" w:tentative="0">
      <w:start w:val="1"/>
      <w:numFmt w:val="decimal"/>
      <w:lvlText w:val="%5）"/>
      <w:lvlJc w:val="left"/>
      <w:pPr>
        <w:ind w:left="1540" w:hanging="359"/>
        <w:jc w:val="left"/>
      </w:pPr>
      <w:rPr>
        <w:rFonts w:hint="default" w:ascii="宋体" w:hAnsi="宋体" w:eastAsia="宋体" w:cs="宋体"/>
        <w:spacing w:val="-8"/>
        <w:w w:val="100"/>
        <w:sz w:val="22"/>
        <w:szCs w:val="22"/>
        <w:lang w:val="zh-CN" w:eastAsia="zh-CN" w:bidi="zh-CN"/>
      </w:rPr>
    </w:lvl>
    <w:lvl w:ilvl="5" w:tentative="0">
      <w:start w:val="0"/>
      <w:numFmt w:val="bullet"/>
      <w:lvlText w:val="•"/>
      <w:lvlJc w:val="left"/>
      <w:pPr>
        <w:ind w:left="6593" w:hanging="359"/>
      </w:pPr>
      <w:rPr>
        <w:rFonts w:hint="default"/>
        <w:lang w:val="zh-CN" w:eastAsia="zh-CN" w:bidi="zh-CN"/>
      </w:rPr>
    </w:lvl>
    <w:lvl w:ilvl="6" w:tentative="0">
      <w:start w:val="0"/>
      <w:numFmt w:val="bullet"/>
      <w:lvlText w:val="•"/>
      <w:lvlJc w:val="left"/>
      <w:pPr>
        <w:ind w:left="7586" w:hanging="359"/>
      </w:pPr>
      <w:rPr>
        <w:rFonts w:hint="default"/>
        <w:lang w:val="zh-CN" w:eastAsia="zh-CN" w:bidi="zh-CN"/>
      </w:rPr>
    </w:lvl>
    <w:lvl w:ilvl="7" w:tentative="0">
      <w:start w:val="0"/>
      <w:numFmt w:val="bullet"/>
      <w:lvlText w:val="•"/>
      <w:lvlJc w:val="left"/>
      <w:pPr>
        <w:ind w:left="8580" w:hanging="359"/>
      </w:pPr>
      <w:rPr>
        <w:rFonts w:hint="default"/>
        <w:lang w:val="zh-CN" w:eastAsia="zh-CN" w:bidi="zh-CN"/>
      </w:rPr>
    </w:lvl>
    <w:lvl w:ilvl="8" w:tentative="0">
      <w:start w:val="0"/>
      <w:numFmt w:val="bullet"/>
      <w:lvlText w:val="•"/>
      <w:lvlJc w:val="left"/>
      <w:pPr>
        <w:ind w:left="9573" w:hanging="359"/>
      </w:pPr>
      <w:rPr>
        <w:rFonts w:hint="default"/>
        <w:lang w:val="zh-CN" w:eastAsia="zh-CN" w:bidi="zh-CN"/>
      </w:rPr>
    </w:lvl>
  </w:abstractNum>
  <w:abstractNum w:abstractNumId="45">
    <w:nsid w:val="2470EC97"/>
    <w:multiLevelType w:val="multilevel"/>
    <w:tmpl w:val="2470EC97"/>
    <w:lvl w:ilvl="0" w:tentative="0">
      <w:start w:val="1"/>
      <w:numFmt w:val="decimal"/>
      <w:lvlText w:val="%1"/>
      <w:lvlJc w:val="left"/>
      <w:pPr>
        <w:ind w:left="786" w:hanging="564"/>
        <w:jc w:val="left"/>
      </w:pPr>
      <w:rPr>
        <w:rFonts w:hint="default"/>
        <w:lang w:val="zh-CN" w:eastAsia="zh-CN" w:bidi="zh-CN"/>
      </w:rPr>
    </w:lvl>
    <w:lvl w:ilvl="1" w:tentative="0">
      <w:start w:val="1"/>
      <w:numFmt w:val="decimal"/>
      <w:lvlText w:val="%1.%2"/>
      <w:lvlJc w:val="left"/>
      <w:pPr>
        <w:ind w:left="786" w:hanging="564"/>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1069" w:hanging="848"/>
        <w:jc w:val="left"/>
      </w:pPr>
      <w:rPr>
        <w:rFonts w:hint="default"/>
        <w:b/>
        <w:bCs/>
        <w:spacing w:val="0"/>
        <w:w w:val="99"/>
        <w:lang w:val="zh-CN" w:eastAsia="zh-CN" w:bidi="zh-CN"/>
      </w:rPr>
    </w:lvl>
    <w:lvl w:ilvl="3" w:tentative="0">
      <w:start w:val="1"/>
      <w:numFmt w:val="decimal"/>
      <w:lvlText w:val="(%4)"/>
      <w:lvlJc w:val="left"/>
      <w:pPr>
        <w:ind w:left="222" w:hanging="363"/>
        <w:jc w:val="left"/>
      </w:pPr>
      <w:rPr>
        <w:rFonts w:hint="default"/>
        <w:w w:val="100"/>
        <w:lang w:val="zh-CN" w:eastAsia="zh-CN" w:bidi="zh-CN"/>
      </w:rPr>
    </w:lvl>
    <w:lvl w:ilvl="4" w:tentative="0">
      <w:start w:val="0"/>
      <w:numFmt w:val="bullet"/>
      <w:lvlText w:val="•"/>
      <w:lvlJc w:val="left"/>
      <w:pPr>
        <w:ind w:left="1180" w:hanging="363"/>
      </w:pPr>
      <w:rPr>
        <w:rFonts w:hint="default"/>
        <w:lang w:val="zh-CN" w:eastAsia="zh-CN" w:bidi="zh-CN"/>
      </w:rPr>
    </w:lvl>
    <w:lvl w:ilvl="5" w:tentative="0">
      <w:start w:val="0"/>
      <w:numFmt w:val="bullet"/>
      <w:lvlText w:val="•"/>
      <w:lvlJc w:val="left"/>
      <w:pPr>
        <w:ind w:left="2458" w:hanging="363"/>
      </w:pPr>
      <w:rPr>
        <w:rFonts w:hint="default"/>
        <w:lang w:val="zh-CN" w:eastAsia="zh-CN" w:bidi="zh-CN"/>
      </w:rPr>
    </w:lvl>
    <w:lvl w:ilvl="6" w:tentative="0">
      <w:start w:val="0"/>
      <w:numFmt w:val="bullet"/>
      <w:lvlText w:val="•"/>
      <w:lvlJc w:val="left"/>
      <w:pPr>
        <w:ind w:left="3736" w:hanging="363"/>
      </w:pPr>
      <w:rPr>
        <w:rFonts w:hint="default"/>
        <w:lang w:val="zh-CN" w:eastAsia="zh-CN" w:bidi="zh-CN"/>
      </w:rPr>
    </w:lvl>
    <w:lvl w:ilvl="7" w:tentative="0">
      <w:start w:val="0"/>
      <w:numFmt w:val="bullet"/>
      <w:lvlText w:val="•"/>
      <w:lvlJc w:val="left"/>
      <w:pPr>
        <w:ind w:left="5015" w:hanging="363"/>
      </w:pPr>
      <w:rPr>
        <w:rFonts w:hint="default"/>
        <w:lang w:val="zh-CN" w:eastAsia="zh-CN" w:bidi="zh-CN"/>
      </w:rPr>
    </w:lvl>
    <w:lvl w:ilvl="8" w:tentative="0">
      <w:start w:val="0"/>
      <w:numFmt w:val="bullet"/>
      <w:lvlText w:val="•"/>
      <w:lvlJc w:val="left"/>
      <w:pPr>
        <w:ind w:left="6293" w:hanging="363"/>
      </w:pPr>
      <w:rPr>
        <w:rFonts w:hint="default"/>
        <w:lang w:val="zh-CN" w:eastAsia="zh-CN" w:bidi="zh-CN"/>
      </w:rPr>
    </w:lvl>
  </w:abstractNum>
  <w:abstractNum w:abstractNumId="46">
    <w:nsid w:val="25B654F3"/>
    <w:multiLevelType w:val="multilevel"/>
    <w:tmpl w:val="25B654F3"/>
    <w:lvl w:ilvl="0" w:tentative="0">
      <w:start w:val="7"/>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47">
    <w:nsid w:val="2A8F537B"/>
    <w:multiLevelType w:val="multilevel"/>
    <w:tmpl w:val="2A8F537B"/>
    <w:lvl w:ilvl="0" w:tentative="0">
      <w:start w:val="11"/>
      <w:numFmt w:val="decimal"/>
      <w:lvlText w:val="%1"/>
      <w:lvlJc w:val="left"/>
      <w:pPr>
        <w:ind w:left="1200" w:hanging="600"/>
        <w:jc w:val="left"/>
      </w:pPr>
      <w:rPr>
        <w:rFonts w:hint="default"/>
        <w:lang w:val="zh-CN" w:eastAsia="zh-CN" w:bidi="zh-CN"/>
      </w:rPr>
    </w:lvl>
    <w:lvl w:ilvl="1" w:tentative="0">
      <w:start w:val="1"/>
      <w:numFmt w:val="decimal"/>
      <w:lvlText w:val="%1.%2"/>
      <w:lvlJc w:val="left"/>
      <w:pPr>
        <w:ind w:left="1200" w:hanging="60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688" w:hanging="600"/>
      </w:pPr>
      <w:rPr>
        <w:rFonts w:hint="default"/>
        <w:lang w:val="zh-CN" w:eastAsia="zh-CN" w:bidi="zh-CN"/>
      </w:rPr>
    </w:lvl>
    <w:lvl w:ilvl="3" w:tentative="0">
      <w:start w:val="0"/>
      <w:numFmt w:val="bullet"/>
      <w:lvlText w:val="•"/>
      <w:lvlJc w:val="left"/>
      <w:pPr>
        <w:ind w:left="3432" w:hanging="600"/>
      </w:pPr>
      <w:rPr>
        <w:rFonts w:hint="default"/>
        <w:lang w:val="zh-CN" w:eastAsia="zh-CN" w:bidi="zh-CN"/>
      </w:rPr>
    </w:lvl>
    <w:lvl w:ilvl="4" w:tentative="0">
      <w:start w:val="0"/>
      <w:numFmt w:val="bullet"/>
      <w:lvlText w:val="•"/>
      <w:lvlJc w:val="left"/>
      <w:pPr>
        <w:ind w:left="4176" w:hanging="600"/>
      </w:pPr>
      <w:rPr>
        <w:rFonts w:hint="default"/>
        <w:lang w:val="zh-CN" w:eastAsia="zh-CN" w:bidi="zh-CN"/>
      </w:rPr>
    </w:lvl>
    <w:lvl w:ilvl="5" w:tentative="0">
      <w:start w:val="0"/>
      <w:numFmt w:val="bullet"/>
      <w:lvlText w:val="•"/>
      <w:lvlJc w:val="left"/>
      <w:pPr>
        <w:ind w:left="4920" w:hanging="600"/>
      </w:pPr>
      <w:rPr>
        <w:rFonts w:hint="default"/>
        <w:lang w:val="zh-CN" w:eastAsia="zh-CN" w:bidi="zh-CN"/>
      </w:rPr>
    </w:lvl>
    <w:lvl w:ilvl="6" w:tentative="0">
      <w:start w:val="0"/>
      <w:numFmt w:val="bullet"/>
      <w:lvlText w:val="•"/>
      <w:lvlJc w:val="left"/>
      <w:pPr>
        <w:ind w:left="5664" w:hanging="600"/>
      </w:pPr>
      <w:rPr>
        <w:rFonts w:hint="default"/>
        <w:lang w:val="zh-CN" w:eastAsia="zh-CN" w:bidi="zh-CN"/>
      </w:rPr>
    </w:lvl>
    <w:lvl w:ilvl="7" w:tentative="0">
      <w:start w:val="0"/>
      <w:numFmt w:val="bullet"/>
      <w:lvlText w:val="•"/>
      <w:lvlJc w:val="left"/>
      <w:pPr>
        <w:ind w:left="6408" w:hanging="600"/>
      </w:pPr>
      <w:rPr>
        <w:rFonts w:hint="default"/>
        <w:lang w:val="zh-CN" w:eastAsia="zh-CN" w:bidi="zh-CN"/>
      </w:rPr>
    </w:lvl>
    <w:lvl w:ilvl="8" w:tentative="0">
      <w:start w:val="0"/>
      <w:numFmt w:val="bullet"/>
      <w:lvlText w:val="•"/>
      <w:lvlJc w:val="left"/>
      <w:pPr>
        <w:ind w:left="7152" w:hanging="600"/>
      </w:pPr>
      <w:rPr>
        <w:rFonts w:hint="default"/>
        <w:lang w:val="zh-CN" w:eastAsia="zh-CN" w:bidi="zh-CN"/>
      </w:rPr>
    </w:lvl>
  </w:abstractNum>
  <w:abstractNum w:abstractNumId="48">
    <w:nsid w:val="30A0AC00"/>
    <w:multiLevelType w:val="multilevel"/>
    <w:tmpl w:val="30A0AC00"/>
    <w:lvl w:ilvl="0" w:tentative="0">
      <w:start w:val="5"/>
      <w:numFmt w:val="decimal"/>
      <w:lvlText w:val="(%1)"/>
      <w:lvlJc w:val="left"/>
      <w:pPr>
        <w:ind w:left="1540" w:hanging="361"/>
        <w:jc w:val="left"/>
      </w:pPr>
      <w:rPr>
        <w:rFonts w:hint="default" w:ascii="宋体" w:hAnsi="宋体" w:eastAsia="宋体" w:cs="宋体"/>
        <w:spacing w:val="-34"/>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49">
    <w:nsid w:val="30FC5B15"/>
    <w:multiLevelType w:val="multilevel"/>
    <w:tmpl w:val="30FC5B15"/>
    <w:lvl w:ilvl="0" w:tentative="0">
      <w:start w:val="1"/>
      <w:numFmt w:val="decimal"/>
      <w:lvlText w:val="(%1)"/>
      <w:lvlJc w:val="left"/>
      <w:pPr>
        <w:ind w:left="1657" w:hanging="349"/>
        <w:jc w:val="left"/>
      </w:pPr>
      <w:rPr>
        <w:rFonts w:hint="default" w:ascii="宋体" w:hAnsi="宋体" w:eastAsia="宋体" w:cs="宋体"/>
        <w:spacing w:val="-12"/>
        <w:w w:val="100"/>
        <w:sz w:val="22"/>
        <w:szCs w:val="22"/>
        <w:lang w:val="zh-CN" w:eastAsia="zh-CN" w:bidi="zh-CN"/>
      </w:rPr>
    </w:lvl>
    <w:lvl w:ilvl="1" w:tentative="0">
      <w:start w:val="0"/>
      <w:numFmt w:val="bullet"/>
      <w:lvlText w:val="•"/>
      <w:lvlJc w:val="left"/>
      <w:pPr>
        <w:ind w:left="2650" w:hanging="349"/>
      </w:pPr>
      <w:rPr>
        <w:rFonts w:hint="default"/>
        <w:lang w:val="zh-CN" w:eastAsia="zh-CN" w:bidi="zh-CN"/>
      </w:rPr>
    </w:lvl>
    <w:lvl w:ilvl="2" w:tentative="0">
      <w:start w:val="0"/>
      <w:numFmt w:val="bullet"/>
      <w:lvlText w:val="•"/>
      <w:lvlJc w:val="left"/>
      <w:pPr>
        <w:ind w:left="3640" w:hanging="349"/>
      </w:pPr>
      <w:rPr>
        <w:rFonts w:hint="default"/>
        <w:lang w:val="zh-CN" w:eastAsia="zh-CN" w:bidi="zh-CN"/>
      </w:rPr>
    </w:lvl>
    <w:lvl w:ilvl="3" w:tentative="0">
      <w:start w:val="0"/>
      <w:numFmt w:val="bullet"/>
      <w:lvlText w:val="•"/>
      <w:lvlJc w:val="left"/>
      <w:pPr>
        <w:ind w:left="4630" w:hanging="349"/>
      </w:pPr>
      <w:rPr>
        <w:rFonts w:hint="default"/>
        <w:lang w:val="zh-CN" w:eastAsia="zh-CN" w:bidi="zh-CN"/>
      </w:rPr>
    </w:lvl>
    <w:lvl w:ilvl="4" w:tentative="0">
      <w:start w:val="0"/>
      <w:numFmt w:val="bullet"/>
      <w:lvlText w:val="•"/>
      <w:lvlJc w:val="left"/>
      <w:pPr>
        <w:ind w:left="5620" w:hanging="349"/>
      </w:pPr>
      <w:rPr>
        <w:rFonts w:hint="default"/>
        <w:lang w:val="zh-CN" w:eastAsia="zh-CN" w:bidi="zh-CN"/>
      </w:rPr>
    </w:lvl>
    <w:lvl w:ilvl="5" w:tentative="0">
      <w:start w:val="0"/>
      <w:numFmt w:val="bullet"/>
      <w:lvlText w:val="•"/>
      <w:lvlJc w:val="left"/>
      <w:pPr>
        <w:ind w:left="6610" w:hanging="349"/>
      </w:pPr>
      <w:rPr>
        <w:rFonts w:hint="default"/>
        <w:lang w:val="zh-CN" w:eastAsia="zh-CN" w:bidi="zh-CN"/>
      </w:rPr>
    </w:lvl>
    <w:lvl w:ilvl="6" w:tentative="0">
      <w:start w:val="0"/>
      <w:numFmt w:val="bullet"/>
      <w:lvlText w:val="•"/>
      <w:lvlJc w:val="left"/>
      <w:pPr>
        <w:ind w:left="7600" w:hanging="349"/>
      </w:pPr>
      <w:rPr>
        <w:rFonts w:hint="default"/>
        <w:lang w:val="zh-CN" w:eastAsia="zh-CN" w:bidi="zh-CN"/>
      </w:rPr>
    </w:lvl>
    <w:lvl w:ilvl="7" w:tentative="0">
      <w:start w:val="0"/>
      <w:numFmt w:val="bullet"/>
      <w:lvlText w:val="•"/>
      <w:lvlJc w:val="left"/>
      <w:pPr>
        <w:ind w:left="8590" w:hanging="349"/>
      </w:pPr>
      <w:rPr>
        <w:rFonts w:hint="default"/>
        <w:lang w:val="zh-CN" w:eastAsia="zh-CN" w:bidi="zh-CN"/>
      </w:rPr>
    </w:lvl>
    <w:lvl w:ilvl="8" w:tentative="0">
      <w:start w:val="0"/>
      <w:numFmt w:val="bullet"/>
      <w:lvlText w:val="•"/>
      <w:lvlJc w:val="left"/>
      <w:pPr>
        <w:ind w:left="9580" w:hanging="349"/>
      </w:pPr>
      <w:rPr>
        <w:rFonts w:hint="default"/>
        <w:lang w:val="zh-CN" w:eastAsia="zh-CN" w:bidi="zh-CN"/>
      </w:rPr>
    </w:lvl>
  </w:abstractNum>
  <w:abstractNum w:abstractNumId="50">
    <w:nsid w:val="322D85CA"/>
    <w:multiLevelType w:val="multilevel"/>
    <w:tmpl w:val="322D85CA"/>
    <w:lvl w:ilvl="0" w:tentative="0">
      <w:start w:val="1"/>
      <w:numFmt w:val="decimal"/>
      <w:lvlText w:val="(%1)"/>
      <w:lvlJc w:val="left"/>
      <w:pPr>
        <w:ind w:left="1540" w:hanging="361"/>
        <w:jc w:val="left"/>
      </w:pPr>
      <w:rPr>
        <w:rFonts w:hint="default" w:ascii="宋体" w:hAnsi="宋体" w:eastAsia="宋体" w:cs="宋体"/>
        <w:spacing w:val="-17"/>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51">
    <w:nsid w:val="32A7AF2D"/>
    <w:multiLevelType w:val="multilevel"/>
    <w:tmpl w:val="32A7AF2D"/>
    <w:lvl w:ilvl="0" w:tentative="0">
      <w:start w:val="1"/>
      <w:numFmt w:val="decimal"/>
      <w:lvlText w:val="(%1)"/>
      <w:lvlJc w:val="left"/>
      <w:pPr>
        <w:ind w:left="1540" w:hanging="361"/>
        <w:jc w:val="left"/>
      </w:pPr>
      <w:rPr>
        <w:rFonts w:hint="default" w:ascii="宋体" w:hAnsi="宋体" w:eastAsia="宋体" w:cs="宋体"/>
        <w:spacing w:val="-65"/>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52">
    <w:nsid w:val="35E83B33"/>
    <w:multiLevelType w:val="multilevel"/>
    <w:tmpl w:val="35E83B33"/>
    <w:lvl w:ilvl="0" w:tentative="0">
      <w:start w:val="1"/>
      <w:numFmt w:val="decimal"/>
      <w:lvlText w:val="(%1)"/>
      <w:lvlJc w:val="left"/>
      <w:pPr>
        <w:ind w:left="1540" w:hanging="361"/>
        <w:jc w:val="left"/>
      </w:pPr>
      <w:rPr>
        <w:rFonts w:hint="default" w:ascii="宋体" w:hAnsi="宋体" w:eastAsia="宋体" w:cs="宋体"/>
        <w:spacing w:val="-36"/>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53">
    <w:nsid w:val="39A0D9AC"/>
    <w:multiLevelType w:val="multilevel"/>
    <w:tmpl w:val="39A0D9AC"/>
    <w:lvl w:ilvl="0" w:tentative="0">
      <w:start w:val="3"/>
      <w:numFmt w:val="decimal"/>
      <w:lvlText w:val="（%1）"/>
      <w:lvlJc w:val="left"/>
      <w:pPr>
        <w:ind w:left="340" w:hanging="592"/>
        <w:jc w:val="left"/>
      </w:pPr>
      <w:rPr>
        <w:rFonts w:hint="default" w:ascii="宋体" w:hAnsi="宋体" w:eastAsia="宋体" w:cs="宋体"/>
        <w:spacing w:val="-8"/>
        <w:w w:val="100"/>
        <w:sz w:val="22"/>
        <w:szCs w:val="22"/>
        <w:lang w:val="zh-CN" w:eastAsia="zh-CN" w:bidi="zh-CN"/>
      </w:rPr>
    </w:lvl>
    <w:lvl w:ilvl="1" w:tentative="0">
      <w:start w:val="0"/>
      <w:numFmt w:val="bullet"/>
      <w:lvlText w:val="•"/>
      <w:lvlJc w:val="left"/>
      <w:pPr>
        <w:ind w:left="1191" w:hanging="592"/>
      </w:pPr>
      <w:rPr>
        <w:rFonts w:hint="default"/>
        <w:lang w:val="zh-CN" w:eastAsia="zh-CN" w:bidi="zh-CN"/>
      </w:rPr>
    </w:lvl>
    <w:lvl w:ilvl="2" w:tentative="0">
      <w:start w:val="0"/>
      <w:numFmt w:val="bullet"/>
      <w:lvlText w:val="•"/>
      <w:lvlJc w:val="left"/>
      <w:pPr>
        <w:ind w:left="2042" w:hanging="592"/>
      </w:pPr>
      <w:rPr>
        <w:rFonts w:hint="default"/>
        <w:lang w:val="zh-CN" w:eastAsia="zh-CN" w:bidi="zh-CN"/>
      </w:rPr>
    </w:lvl>
    <w:lvl w:ilvl="3" w:tentative="0">
      <w:start w:val="0"/>
      <w:numFmt w:val="bullet"/>
      <w:lvlText w:val="•"/>
      <w:lvlJc w:val="left"/>
      <w:pPr>
        <w:ind w:left="2893" w:hanging="592"/>
      </w:pPr>
      <w:rPr>
        <w:rFonts w:hint="default"/>
        <w:lang w:val="zh-CN" w:eastAsia="zh-CN" w:bidi="zh-CN"/>
      </w:rPr>
    </w:lvl>
    <w:lvl w:ilvl="4" w:tentative="0">
      <w:start w:val="0"/>
      <w:numFmt w:val="bullet"/>
      <w:lvlText w:val="•"/>
      <w:lvlJc w:val="left"/>
      <w:pPr>
        <w:ind w:left="3744" w:hanging="592"/>
      </w:pPr>
      <w:rPr>
        <w:rFonts w:hint="default"/>
        <w:lang w:val="zh-CN" w:eastAsia="zh-CN" w:bidi="zh-CN"/>
      </w:rPr>
    </w:lvl>
    <w:lvl w:ilvl="5" w:tentative="0">
      <w:start w:val="0"/>
      <w:numFmt w:val="bullet"/>
      <w:lvlText w:val="•"/>
      <w:lvlJc w:val="left"/>
      <w:pPr>
        <w:ind w:left="4595" w:hanging="592"/>
      </w:pPr>
      <w:rPr>
        <w:rFonts w:hint="default"/>
        <w:lang w:val="zh-CN" w:eastAsia="zh-CN" w:bidi="zh-CN"/>
      </w:rPr>
    </w:lvl>
    <w:lvl w:ilvl="6" w:tentative="0">
      <w:start w:val="0"/>
      <w:numFmt w:val="bullet"/>
      <w:lvlText w:val="•"/>
      <w:lvlJc w:val="left"/>
      <w:pPr>
        <w:ind w:left="5446" w:hanging="592"/>
      </w:pPr>
      <w:rPr>
        <w:rFonts w:hint="default"/>
        <w:lang w:val="zh-CN" w:eastAsia="zh-CN" w:bidi="zh-CN"/>
      </w:rPr>
    </w:lvl>
    <w:lvl w:ilvl="7" w:tentative="0">
      <w:start w:val="0"/>
      <w:numFmt w:val="bullet"/>
      <w:lvlText w:val="•"/>
      <w:lvlJc w:val="left"/>
      <w:pPr>
        <w:ind w:left="6297" w:hanging="592"/>
      </w:pPr>
      <w:rPr>
        <w:rFonts w:hint="default"/>
        <w:lang w:val="zh-CN" w:eastAsia="zh-CN" w:bidi="zh-CN"/>
      </w:rPr>
    </w:lvl>
    <w:lvl w:ilvl="8" w:tentative="0">
      <w:start w:val="0"/>
      <w:numFmt w:val="bullet"/>
      <w:lvlText w:val="•"/>
      <w:lvlJc w:val="left"/>
      <w:pPr>
        <w:ind w:left="7148" w:hanging="592"/>
      </w:pPr>
      <w:rPr>
        <w:rFonts w:hint="default"/>
        <w:lang w:val="zh-CN" w:eastAsia="zh-CN" w:bidi="zh-CN"/>
      </w:rPr>
    </w:lvl>
  </w:abstractNum>
  <w:abstractNum w:abstractNumId="54">
    <w:nsid w:val="3B8127DF"/>
    <w:multiLevelType w:val="multilevel"/>
    <w:tmpl w:val="3B8127DF"/>
    <w:lvl w:ilvl="0" w:tentative="0">
      <w:start w:val="10"/>
      <w:numFmt w:val="decimal"/>
      <w:lvlText w:val="%1"/>
      <w:lvlJc w:val="left"/>
      <w:pPr>
        <w:ind w:left="2243" w:hanging="704"/>
        <w:jc w:val="left"/>
      </w:pPr>
      <w:rPr>
        <w:rFonts w:hint="default"/>
        <w:lang w:val="zh-CN" w:eastAsia="zh-CN" w:bidi="zh-CN"/>
      </w:rPr>
    </w:lvl>
    <w:lvl w:ilvl="1" w:tentative="0">
      <w:start w:val="1"/>
      <w:numFmt w:val="decimal"/>
      <w:lvlText w:val="%1.%2"/>
      <w:lvlJc w:val="left"/>
      <w:pPr>
        <w:ind w:left="2243" w:hanging="704"/>
        <w:jc w:val="left"/>
      </w:pPr>
      <w:rPr>
        <w:rFonts w:hint="default" w:ascii="宋体" w:hAnsi="宋体" w:eastAsia="宋体" w:cs="宋体"/>
        <w:b/>
        <w:bCs/>
        <w:spacing w:val="0"/>
        <w:w w:val="99"/>
        <w:sz w:val="28"/>
        <w:szCs w:val="28"/>
        <w:lang w:val="zh-CN" w:eastAsia="zh-CN" w:bidi="zh-CN"/>
      </w:rPr>
    </w:lvl>
    <w:lvl w:ilvl="2" w:tentative="0">
      <w:start w:val="0"/>
      <w:numFmt w:val="bullet"/>
      <w:lvlText w:val="•"/>
      <w:lvlJc w:val="left"/>
      <w:pPr>
        <w:ind w:left="4104" w:hanging="704"/>
      </w:pPr>
      <w:rPr>
        <w:rFonts w:hint="default"/>
        <w:lang w:val="zh-CN" w:eastAsia="zh-CN" w:bidi="zh-CN"/>
      </w:rPr>
    </w:lvl>
    <w:lvl w:ilvl="3" w:tentative="0">
      <w:start w:val="0"/>
      <w:numFmt w:val="bullet"/>
      <w:lvlText w:val="•"/>
      <w:lvlJc w:val="left"/>
      <w:pPr>
        <w:ind w:left="5036" w:hanging="704"/>
      </w:pPr>
      <w:rPr>
        <w:rFonts w:hint="default"/>
        <w:lang w:val="zh-CN" w:eastAsia="zh-CN" w:bidi="zh-CN"/>
      </w:rPr>
    </w:lvl>
    <w:lvl w:ilvl="4" w:tentative="0">
      <w:start w:val="0"/>
      <w:numFmt w:val="bullet"/>
      <w:lvlText w:val="•"/>
      <w:lvlJc w:val="left"/>
      <w:pPr>
        <w:ind w:left="5968" w:hanging="704"/>
      </w:pPr>
      <w:rPr>
        <w:rFonts w:hint="default"/>
        <w:lang w:val="zh-CN" w:eastAsia="zh-CN" w:bidi="zh-CN"/>
      </w:rPr>
    </w:lvl>
    <w:lvl w:ilvl="5" w:tentative="0">
      <w:start w:val="0"/>
      <w:numFmt w:val="bullet"/>
      <w:lvlText w:val="•"/>
      <w:lvlJc w:val="left"/>
      <w:pPr>
        <w:ind w:left="6900" w:hanging="704"/>
      </w:pPr>
      <w:rPr>
        <w:rFonts w:hint="default"/>
        <w:lang w:val="zh-CN" w:eastAsia="zh-CN" w:bidi="zh-CN"/>
      </w:rPr>
    </w:lvl>
    <w:lvl w:ilvl="6" w:tentative="0">
      <w:start w:val="0"/>
      <w:numFmt w:val="bullet"/>
      <w:lvlText w:val="•"/>
      <w:lvlJc w:val="left"/>
      <w:pPr>
        <w:ind w:left="7832" w:hanging="704"/>
      </w:pPr>
      <w:rPr>
        <w:rFonts w:hint="default"/>
        <w:lang w:val="zh-CN" w:eastAsia="zh-CN" w:bidi="zh-CN"/>
      </w:rPr>
    </w:lvl>
    <w:lvl w:ilvl="7" w:tentative="0">
      <w:start w:val="0"/>
      <w:numFmt w:val="bullet"/>
      <w:lvlText w:val="•"/>
      <w:lvlJc w:val="left"/>
      <w:pPr>
        <w:ind w:left="8764" w:hanging="704"/>
      </w:pPr>
      <w:rPr>
        <w:rFonts w:hint="default"/>
        <w:lang w:val="zh-CN" w:eastAsia="zh-CN" w:bidi="zh-CN"/>
      </w:rPr>
    </w:lvl>
    <w:lvl w:ilvl="8" w:tentative="0">
      <w:start w:val="0"/>
      <w:numFmt w:val="bullet"/>
      <w:lvlText w:val="•"/>
      <w:lvlJc w:val="left"/>
      <w:pPr>
        <w:ind w:left="9696" w:hanging="704"/>
      </w:pPr>
      <w:rPr>
        <w:rFonts w:hint="default"/>
        <w:lang w:val="zh-CN" w:eastAsia="zh-CN" w:bidi="zh-CN"/>
      </w:rPr>
    </w:lvl>
  </w:abstractNum>
  <w:abstractNum w:abstractNumId="55">
    <w:nsid w:val="40B249F9"/>
    <w:multiLevelType w:val="multilevel"/>
    <w:tmpl w:val="40B249F9"/>
    <w:lvl w:ilvl="0" w:tentative="0">
      <w:start w:val="1"/>
      <w:numFmt w:val="decimal"/>
      <w:lvlText w:val="(%1)"/>
      <w:lvlJc w:val="left"/>
      <w:pPr>
        <w:ind w:left="1540" w:hanging="361"/>
        <w:jc w:val="left"/>
      </w:pPr>
      <w:rPr>
        <w:rFonts w:hint="default" w:ascii="宋体" w:hAnsi="宋体" w:eastAsia="宋体" w:cs="宋体"/>
        <w:spacing w:val="-65"/>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56">
    <w:nsid w:val="46A08BB8"/>
    <w:multiLevelType w:val="multilevel"/>
    <w:tmpl w:val="46A08BB8"/>
    <w:lvl w:ilvl="0" w:tentative="0">
      <w:start w:val="5"/>
      <w:numFmt w:val="decimal"/>
      <w:lvlText w:val="(%1)"/>
      <w:lvlJc w:val="left"/>
      <w:pPr>
        <w:ind w:left="1149"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911" w:hanging="361"/>
      </w:pPr>
      <w:rPr>
        <w:rFonts w:hint="default"/>
        <w:lang w:val="zh-CN" w:eastAsia="zh-CN" w:bidi="zh-CN"/>
      </w:rPr>
    </w:lvl>
    <w:lvl w:ilvl="2" w:tentative="0">
      <w:start w:val="0"/>
      <w:numFmt w:val="bullet"/>
      <w:lvlText w:val="•"/>
      <w:lvlJc w:val="left"/>
      <w:pPr>
        <w:ind w:left="2682" w:hanging="361"/>
      </w:pPr>
      <w:rPr>
        <w:rFonts w:hint="default"/>
        <w:lang w:val="zh-CN" w:eastAsia="zh-CN" w:bidi="zh-CN"/>
      </w:rPr>
    </w:lvl>
    <w:lvl w:ilvl="3" w:tentative="0">
      <w:start w:val="0"/>
      <w:numFmt w:val="bullet"/>
      <w:lvlText w:val="•"/>
      <w:lvlJc w:val="left"/>
      <w:pPr>
        <w:ind w:left="3453" w:hanging="361"/>
      </w:pPr>
      <w:rPr>
        <w:rFonts w:hint="default"/>
        <w:lang w:val="zh-CN" w:eastAsia="zh-CN" w:bidi="zh-CN"/>
      </w:rPr>
    </w:lvl>
    <w:lvl w:ilvl="4" w:tentative="0">
      <w:start w:val="0"/>
      <w:numFmt w:val="bullet"/>
      <w:lvlText w:val="•"/>
      <w:lvlJc w:val="left"/>
      <w:pPr>
        <w:ind w:left="4224" w:hanging="361"/>
      </w:pPr>
      <w:rPr>
        <w:rFonts w:hint="default"/>
        <w:lang w:val="zh-CN" w:eastAsia="zh-CN" w:bidi="zh-CN"/>
      </w:rPr>
    </w:lvl>
    <w:lvl w:ilvl="5" w:tentative="0">
      <w:start w:val="0"/>
      <w:numFmt w:val="bullet"/>
      <w:lvlText w:val="•"/>
      <w:lvlJc w:val="left"/>
      <w:pPr>
        <w:ind w:left="4995" w:hanging="361"/>
      </w:pPr>
      <w:rPr>
        <w:rFonts w:hint="default"/>
        <w:lang w:val="zh-CN" w:eastAsia="zh-CN" w:bidi="zh-CN"/>
      </w:rPr>
    </w:lvl>
    <w:lvl w:ilvl="6" w:tentative="0">
      <w:start w:val="0"/>
      <w:numFmt w:val="bullet"/>
      <w:lvlText w:val="•"/>
      <w:lvlJc w:val="left"/>
      <w:pPr>
        <w:ind w:left="5766" w:hanging="361"/>
      </w:pPr>
      <w:rPr>
        <w:rFonts w:hint="default"/>
        <w:lang w:val="zh-CN" w:eastAsia="zh-CN" w:bidi="zh-CN"/>
      </w:rPr>
    </w:lvl>
    <w:lvl w:ilvl="7" w:tentative="0">
      <w:start w:val="0"/>
      <w:numFmt w:val="bullet"/>
      <w:lvlText w:val="•"/>
      <w:lvlJc w:val="left"/>
      <w:pPr>
        <w:ind w:left="6537" w:hanging="361"/>
      </w:pPr>
      <w:rPr>
        <w:rFonts w:hint="default"/>
        <w:lang w:val="zh-CN" w:eastAsia="zh-CN" w:bidi="zh-CN"/>
      </w:rPr>
    </w:lvl>
    <w:lvl w:ilvl="8" w:tentative="0">
      <w:start w:val="0"/>
      <w:numFmt w:val="bullet"/>
      <w:lvlText w:val="•"/>
      <w:lvlJc w:val="left"/>
      <w:pPr>
        <w:ind w:left="7308" w:hanging="361"/>
      </w:pPr>
      <w:rPr>
        <w:rFonts w:hint="default"/>
        <w:lang w:val="zh-CN" w:eastAsia="zh-CN" w:bidi="zh-CN"/>
      </w:rPr>
    </w:lvl>
  </w:abstractNum>
  <w:abstractNum w:abstractNumId="57">
    <w:nsid w:val="4C3D7A74"/>
    <w:multiLevelType w:val="multilevel"/>
    <w:tmpl w:val="4C3D7A74"/>
    <w:lvl w:ilvl="0" w:tentative="0">
      <w:start w:val="6"/>
      <w:numFmt w:val="decimal"/>
      <w:lvlText w:val="%1"/>
      <w:lvlJc w:val="left"/>
      <w:pPr>
        <w:ind w:left="2264" w:hanging="725"/>
        <w:jc w:val="left"/>
      </w:pPr>
      <w:rPr>
        <w:rFonts w:hint="default"/>
        <w:lang w:val="zh-CN" w:eastAsia="zh-CN" w:bidi="zh-CN"/>
      </w:rPr>
    </w:lvl>
    <w:lvl w:ilvl="1" w:tentative="0">
      <w:start w:val="7"/>
      <w:numFmt w:val="decimal"/>
      <w:lvlText w:val="%1.%2"/>
      <w:lvlJc w:val="left"/>
      <w:pPr>
        <w:ind w:left="2264" w:hanging="725"/>
        <w:jc w:val="left"/>
      </w:pPr>
      <w:rPr>
        <w:rFonts w:hint="default"/>
        <w:lang w:val="zh-CN" w:eastAsia="zh-CN" w:bidi="zh-CN"/>
      </w:rPr>
    </w:lvl>
    <w:lvl w:ilvl="2" w:tentative="0">
      <w:start w:val="1"/>
      <w:numFmt w:val="decimal"/>
      <w:lvlText w:val="%1.%2.%3"/>
      <w:lvlJc w:val="left"/>
      <w:pPr>
        <w:ind w:left="2264" w:hanging="725"/>
        <w:jc w:val="right"/>
      </w:pPr>
      <w:rPr>
        <w:rFonts w:hint="default" w:ascii="宋体" w:hAnsi="宋体" w:eastAsia="宋体" w:cs="宋体"/>
        <w:b/>
        <w:bCs/>
        <w:spacing w:val="0"/>
        <w:w w:val="99"/>
        <w:sz w:val="24"/>
        <w:szCs w:val="24"/>
        <w:lang w:val="zh-CN" w:eastAsia="zh-CN" w:bidi="zh-CN"/>
      </w:rPr>
    </w:lvl>
    <w:lvl w:ilvl="3" w:tentative="0">
      <w:start w:val="1"/>
      <w:numFmt w:val="decimal"/>
      <w:lvlText w:val="(%4)"/>
      <w:lvlJc w:val="left"/>
      <w:pPr>
        <w:ind w:left="1540" w:hanging="361"/>
        <w:jc w:val="left"/>
      </w:pPr>
      <w:rPr>
        <w:rFonts w:hint="default" w:ascii="宋体" w:hAnsi="宋体" w:eastAsia="宋体" w:cs="宋体"/>
        <w:spacing w:val="-34"/>
        <w:w w:val="100"/>
        <w:sz w:val="22"/>
        <w:szCs w:val="22"/>
        <w:lang w:val="zh-CN" w:eastAsia="zh-CN" w:bidi="zh-CN"/>
      </w:rPr>
    </w:lvl>
    <w:lvl w:ilvl="4" w:tentative="0">
      <w:start w:val="0"/>
      <w:numFmt w:val="bullet"/>
      <w:lvlText w:val="•"/>
      <w:lvlJc w:val="left"/>
      <w:pPr>
        <w:ind w:left="4735" w:hanging="361"/>
      </w:pPr>
      <w:rPr>
        <w:rFonts w:hint="default"/>
        <w:lang w:val="zh-CN" w:eastAsia="zh-CN" w:bidi="zh-CN"/>
      </w:rPr>
    </w:lvl>
    <w:lvl w:ilvl="5" w:tentative="0">
      <w:start w:val="0"/>
      <w:numFmt w:val="bullet"/>
      <w:lvlText w:val="•"/>
      <w:lvlJc w:val="left"/>
      <w:pPr>
        <w:ind w:left="5872" w:hanging="361"/>
      </w:pPr>
      <w:rPr>
        <w:rFonts w:hint="default"/>
        <w:lang w:val="zh-CN" w:eastAsia="zh-CN" w:bidi="zh-CN"/>
      </w:rPr>
    </w:lvl>
    <w:lvl w:ilvl="6" w:tentative="0">
      <w:start w:val="0"/>
      <w:numFmt w:val="bullet"/>
      <w:lvlText w:val="•"/>
      <w:lvlJc w:val="left"/>
      <w:pPr>
        <w:ind w:left="7010" w:hanging="361"/>
      </w:pPr>
      <w:rPr>
        <w:rFonts w:hint="default"/>
        <w:lang w:val="zh-CN" w:eastAsia="zh-CN" w:bidi="zh-CN"/>
      </w:rPr>
    </w:lvl>
    <w:lvl w:ilvl="7" w:tentative="0">
      <w:start w:val="0"/>
      <w:numFmt w:val="bullet"/>
      <w:lvlText w:val="•"/>
      <w:lvlJc w:val="left"/>
      <w:pPr>
        <w:ind w:left="8147" w:hanging="361"/>
      </w:pPr>
      <w:rPr>
        <w:rFonts w:hint="default"/>
        <w:lang w:val="zh-CN" w:eastAsia="zh-CN" w:bidi="zh-CN"/>
      </w:rPr>
    </w:lvl>
    <w:lvl w:ilvl="8" w:tentative="0">
      <w:start w:val="0"/>
      <w:numFmt w:val="bullet"/>
      <w:lvlText w:val="•"/>
      <w:lvlJc w:val="left"/>
      <w:pPr>
        <w:ind w:left="9285" w:hanging="361"/>
      </w:pPr>
      <w:rPr>
        <w:rFonts w:hint="default"/>
        <w:lang w:val="zh-CN" w:eastAsia="zh-CN" w:bidi="zh-CN"/>
      </w:rPr>
    </w:lvl>
  </w:abstractNum>
  <w:abstractNum w:abstractNumId="58">
    <w:nsid w:val="4D4DC07F"/>
    <w:multiLevelType w:val="multilevel"/>
    <w:tmpl w:val="4D4DC07F"/>
    <w:lvl w:ilvl="0" w:tentative="0">
      <w:start w:val="16"/>
      <w:numFmt w:val="decimal"/>
      <w:lvlText w:val="%1"/>
      <w:lvlJc w:val="left"/>
      <w:pPr>
        <w:ind w:left="1200" w:hanging="600"/>
        <w:jc w:val="left"/>
      </w:pPr>
      <w:rPr>
        <w:rFonts w:hint="default"/>
        <w:lang w:val="zh-CN" w:eastAsia="zh-CN" w:bidi="zh-CN"/>
      </w:rPr>
    </w:lvl>
    <w:lvl w:ilvl="1" w:tentative="0">
      <w:start w:val="1"/>
      <w:numFmt w:val="decimal"/>
      <w:lvlText w:val="%1.%2"/>
      <w:lvlJc w:val="left"/>
      <w:pPr>
        <w:ind w:left="1200" w:hanging="60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688" w:hanging="600"/>
      </w:pPr>
      <w:rPr>
        <w:rFonts w:hint="default"/>
        <w:lang w:val="zh-CN" w:eastAsia="zh-CN" w:bidi="zh-CN"/>
      </w:rPr>
    </w:lvl>
    <w:lvl w:ilvl="3" w:tentative="0">
      <w:start w:val="0"/>
      <w:numFmt w:val="bullet"/>
      <w:lvlText w:val="•"/>
      <w:lvlJc w:val="left"/>
      <w:pPr>
        <w:ind w:left="3432" w:hanging="600"/>
      </w:pPr>
      <w:rPr>
        <w:rFonts w:hint="default"/>
        <w:lang w:val="zh-CN" w:eastAsia="zh-CN" w:bidi="zh-CN"/>
      </w:rPr>
    </w:lvl>
    <w:lvl w:ilvl="4" w:tentative="0">
      <w:start w:val="0"/>
      <w:numFmt w:val="bullet"/>
      <w:lvlText w:val="•"/>
      <w:lvlJc w:val="left"/>
      <w:pPr>
        <w:ind w:left="4176" w:hanging="600"/>
      </w:pPr>
      <w:rPr>
        <w:rFonts w:hint="default"/>
        <w:lang w:val="zh-CN" w:eastAsia="zh-CN" w:bidi="zh-CN"/>
      </w:rPr>
    </w:lvl>
    <w:lvl w:ilvl="5" w:tentative="0">
      <w:start w:val="0"/>
      <w:numFmt w:val="bullet"/>
      <w:lvlText w:val="•"/>
      <w:lvlJc w:val="left"/>
      <w:pPr>
        <w:ind w:left="4920" w:hanging="600"/>
      </w:pPr>
      <w:rPr>
        <w:rFonts w:hint="default"/>
        <w:lang w:val="zh-CN" w:eastAsia="zh-CN" w:bidi="zh-CN"/>
      </w:rPr>
    </w:lvl>
    <w:lvl w:ilvl="6" w:tentative="0">
      <w:start w:val="0"/>
      <w:numFmt w:val="bullet"/>
      <w:lvlText w:val="•"/>
      <w:lvlJc w:val="left"/>
      <w:pPr>
        <w:ind w:left="5664" w:hanging="600"/>
      </w:pPr>
      <w:rPr>
        <w:rFonts w:hint="default"/>
        <w:lang w:val="zh-CN" w:eastAsia="zh-CN" w:bidi="zh-CN"/>
      </w:rPr>
    </w:lvl>
    <w:lvl w:ilvl="7" w:tentative="0">
      <w:start w:val="0"/>
      <w:numFmt w:val="bullet"/>
      <w:lvlText w:val="•"/>
      <w:lvlJc w:val="left"/>
      <w:pPr>
        <w:ind w:left="6408" w:hanging="600"/>
      </w:pPr>
      <w:rPr>
        <w:rFonts w:hint="default"/>
        <w:lang w:val="zh-CN" w:eastAsia="zh-CN" w:bidi="zh-CN"/>
      </w:rPr>
    </w:lvl>
    <w:lvl w:ilvl="8" w:tentative="0">
      <w:start w:val="0"/>
      <w:numFmt w:val="bullet"/>
      <w:lvlText w:val="•"/>
      <w:lvlJc w:val="left"/>
      <w:pPr>
        <w:ind w:left="7152" w:hanging="600"/>
      </w:pPr>
      <w:rPr>
        <w:rFonts w:hint="default"/>
        <w:lang w:val="zh-CN" w:eastAsia="zh-CN" w:bidi="zh-CN"/>
      </w:rPr>
    </w:lvl>
  </w:abstractNum>
  <w:abstractNum w:abstractNumId="59">
    <w:nsid w:val="4D94DA66"/>
    <w:multiLevelType w:val="multilevel"/>
    <w:tmpl w:val="4D94DA66"/>
    <w:lvl w:ilvl="0" w:tentative="0">
      <w:start w:val="1"/>
      <w:numFmt w:val="decimal"/>
      <w:lvlText w:val="%1）"/>
      <w:lvlJc w:val="left"/>
      <w:pPr>
        <w:ind w:left="2381"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3298" w:hanging="361"/>
      </w:pPr>
      <w:rPr>
        <w:rFonts w:hint="default"/>
        <w:lang w:val="zh-CN" w:eastAsia="zh-CN" w:bidi="zh-CN"/>
      </w:rPr>
    </w:lvl>
    <w:lvl w:ilvl="2" w:tentative="0">
      <w:start w:val="0"/>
      <w:numFmt w:val="bullet"/>
      <w:lvlText w:val="•"/>
      <w:lvlJc w:val="left"/>
      <w:pPr>
        <w:ind w:left="4216" w:hanging="361"/>
      </w:pPr>
      <w:rPr>
        <w:rFonts w:hint="default"/>
        <w:lang w:val="zh-CN" w:eastAsia="zh-CN" w:bidi="zh-CN"/>
      </w:rPr>
    </w:lvl>
    <w:lvl w:ilvl="3" w:tentative="0">
      <w:start w:val="0"/>
      <w:numFmt w:val="bullet"/>
      <w:lvlText w:val="•"/>
      <w:lvlJc w:val="left"/>
      <w:pPr>
        <w:ind w:left="5134" w:hanging="361"/>
      </w:pPr>
      <w:rPr>
        <w:rFonts w:hint="default"/>
        <w:lang w:val="zh-CN" w:eastAsia="zh-CN" w:bidi="zh-CN"/>
      </w:rPr>
    </w:lvl>
    <w:lvl w:ilvl="4" w:tentative="0">
      <w:start w:val="0"/>
      <w:numFmt w:val="bullet"/>
      <w:lvlText w:val="•"/>
      <w:lvlJc w:val="left"/>
      <w:pPr>
        <w:ind w:left="6052" w:hanging="361"/>
      </w:pPr>
      <w:rPr>
        <w:rFonts w:hint="default"/>
        <w:lang w:val="zh-CN" w:eastAsia="zh-CN" w:bidi="zh-CN"/>
      </w:rPr>
    </w:lvl>
    <w:lvl w:ilvl="5" w:tentative="0">
      <w:start w:val="0"/>
      <w:numFmt w:val="bullet"/>
      <w:lvlText w:val="•"/>
      <w:lvlJc w:val="left"/>
      <w:pPr>
        <w:ind w:left="6970" w:hanging="361"/>
      </w:pPr>
      <w:rPr>
        <w:rFonts w:hint="default"/>
        <w:lang w:val="zh-CN" w:eastAsia="zh-CN" w:bidi="zh-CN"/>
      </w:rPr>
    </w:lvl>
    <w:lvl w:ilvl="6" w:tentative="0">
      <w:start w:val="0"/>
      <w:numFmt w:val="bullet"/>
      <w:lvlText w:val="•"/>
      <w:lvlJc w:val="left"/>
      <w:pPr>
        <w:ind w:left="7888" w:hanging="361"/>
      </w:pPr>
      <w:rPr>
        <w:rFonts w:hint="default"/>
        <w:lang w:val="zh-CN" w:eastAsia="zh-CN" w:bidi="zh-CN"/>
      </w:rPr>
    </w:lvl>
    <w:lvl w:ilvl="7" w:tentative="0">
      <w:start w:val="0"/>
      <w:numFmt w:val="bullet"/>
      <w:lvlText w:val="•"/>
      <w:lvlJc w:val="left"/>
      <w:pPr>
        <w:ind w:left="8806" w:hanging="361"/>
      </w:pPr>
      <w:rPr>
        <w:rFonts w:hint="default"/>
        <w:lang w:val="zh-CN" w:eastAsia="zh-CN" w:bidi="zh-CN"/>
      </w:rPr>
    </w:lvl>
    <w:lvl w:ilvl="8" w:tentative="0">
      <w:start w:val="0"/>
      <w:numFmt w:val="bullet"/>
      <w:lvlText w:val="•"/>
      <w:lvlJc w:val="left"/>
      <w:pPr>
        <w:ind w:left="9724" w:hanging="361"/>
      </w:pPr>
      <w:rPr>
        <w:rFonts w:hint="default"/>
        <w:lang w:val="zh-CN" w:eastAsia="zh-CN" w:bidi="zh-CN"/>
      </w:rPr>
    </w:lvl>
  </w:abstractNum>
  <w:abstractNum w:abstractNumId="60">
    <w:nsid w:val="58765686"/>
    <w:multiLevelType w:val="multilevel"/>
    <w:tmpl w:val="58765686"/>
    <w:lvl w:ilvl="0" w:tentative="0">
      <w:start w:val="1"/>
      <w:numFmt w:val="decimal"/>
      <w:lvlText w:val="（%1）"/>
      <w:lvlJc w:val="left"/>
      <w:pPr>
        <w:ind w:left="2695" w:hanging="589"/>
        <w:jc w:val="left"/>
      </w:pPr>
      <w:rPr>
        <w:rFonts w:hint="default" w:ascii="宋体" w:hAnsi="宋体" w:eastAsia="宋体" w:cs="宋体"/>
        <w:spacing w:val="-8"/>
        <w:w w:val="100"/>
        <w:sz w:val="22"/>
        <w:szCs w:val="22"/>
        <w:lang w:val="zh-CN" w:eastAsia="zh-CN" w:bidi="zh-CN"/>
      </w:rPr>
    </w:lvl>
    <w:lvl w:ilvl="1" w:tentative="0">
      <w:start w:val="0"/>
      <w:numFmt w:val="bullet"/>
      <w:lvlText w:val="•"/>
      <w:lvlJc w:val="left"/>
      <w:pPr>
        <w:ind w:left="3586" w:hanging="589"/>
      </w:pPr>
      <w:rPr>
        <w:rFonts w:hint="default"/>
        <w:lang w:val="zh-CN" w:eastAsia="zh-CN" w:bidi="zh-CN"/>
      </w:rPr>
    </w:lvl>
    <w:lvl w:ilvl="2" w:tentative="0">
      <w:start w:val="0"/>
      <w:numFmt w:val="bullet"/>
      <w:lvlText w:val="•"/>
      <w:lvlJc w:val="left"/>
      <w:pPr>
        <w:ind w:left="4472" w:hanging="589"/>
      </w:pPr>
      <w:rPr>
        <w:rFonts w:hint="default"/>
        <w:lang w:val="zh-CN" w:eastAsia="zh-CN" w:bidi="zh-CN"/>
      </w:rPr>
    </w:lvl>
    <w:lvl w:ilvl="3" w:tentative="0">
      <w:start w:val="0"/>
      <w:numFmt w:val="bullet"/>
      <w:lvlText w:val="•"/>
      <w:lvlJc w:val="left"/>
      <w:pPr>
        <w:ind w:left="5358" w:hanging="589"/>
      </w:pPr>
      <w:rPr>
        <w:rFonts w:hint="default"/>
        <w:lang w:val="zh-CN" w:eastAsia="zh-CN" w:bidi="zh-CN"/>
      </w:rPr>
    </w:lvl>
    <w:lvl w:ilvl="4" w:tentative="0">
      <w:start w:val="0"/>
      <w:numFmt w:val="bullet"/>
      <w:lvlText w:val="•"/>
      <w:lvlJc w:val="left"/>
      <w:pPr>
        <w:ind w:left="6244" w:hanging="589"/>
      </w:pPr>
      <w:rPr>
        <w:rFonts w:hint="default"/>
        <w:lang w:val="zh-CN" w:eastAsia="zh-CN" w:bidi="zh-CN"/>
      </w:rPr>
    </w:lvl>
    <w:lvl w:ilvl="5" w:tentative="0">
      <w:start w:val="0"/>
      <w:numFmt w:val="bullet"/>
      <w:lvlText w:val="•"/>
      <w:lvlJc w:val="left"/>
      <w:pPr>
        <w:ind w:left="7130" w:hanging="589"/>
      </w:pPr>
      <w:rPr>
        <w:rFonts w:hint="default"/>
        <w:lang w:val="zh-CN" w:eastAsia="zh-CN" w:bidi="zh-CN"/>
      </w:rPr>
    </w:lvl>
    <w:lvl w:ilvl="6" w:tentative="0">
      <w:start w:val="0"/>
      <w:numFmt w:val="bullet"/>
      <w:lvlText w:val="•"/>
      <w:lvlJc w:val="left"/>
      <w:pPr>
        <w:ind w:left="8016" w:hanging="589"/>
      </w:pPr>
      <w:rPr>
        <w:rFonts w:hint="default"/>
        <w:lang w:val="zh-CN" w:eastAsia="zh-CN" w:bidi="zh-CN"/>
      </w:rPr>
    </w:lvl>
    <w:lvl w:ilvl="7" w:tentative="0">
      <w:start w:val="0"/>
      <w:numFmt w:val="bullet"/>
      <w:lvlText w:val="•"/>
      <w:lvlJc w:val="left"/>
      <w:pPr>
        <w:ind w:left="8902" w:hanging="589"/>
      </w:pPr>
      <w:rPr>
        <w:rFonts w:hint="default"/>
        <w:lang w:val="zh-CN" w:eastAsia="zh-CN" w:bidi="zh-CN"/>
      </w:rPr>
    </w:lvl>
    <w:lvl w:ilvl="8" w:tentative="0">
      <w:start w:val="0"/>
      <w:numFmt w:val="bullet"/>
      <w:lvlText w:val="•"/>
      <w:lvlJc w:val="left"/>
      <w:pPr>
        <w:ind w:left="9788" w:hanging="589"/>
      </w:pPr>
      <w:rPr>
        <w:rFonts w:hint="default"/>
        <w:lang w:val="zh-CN" w:eastAsia="zh-CN" w:bidi="zh-CN"/>
      </w:rPr>
    </w:lvl>
  </w:abstractNum>
  <w:abstractNum w:abstractNumId="61">
    <w:nsid w:val="59ADCABA"/>
    <w:multiLevelType w:val="multilevel"/>
    <w:tmpl w:val="59ADCABA"/>
    <w:lvl w:ilvl="0" w:tentative="0">
      <w:start w:val="3"/>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62">
    <w:nsid w:val="5A241D34"/>
    <w:multiLevelType w:val="multilevel"/>
    <w:tmpl w:val="5A241D34"/>
    <w:lvl w:ilvl="0" w:tentative="0">
      <w:start w:val="12"/>
      <w:numFmt w:val="decimal"/>
      <w:lvlText w:val="%1"/>
      <w:lvlJc w:val="left"/>
      <w:pPr>
        <w:ind w:left="1200" w:hanging="600"/>
        <w:jc w:val="left"/>
      </w:pPr>
      <w:rPr>
        <w:rFonts w:hint="default"/>
        <w:lang w:val="zh-CN" w:eastAsia="zh-CN" w:bidi="zh-CN"/>
      </w:rPr>
    </w:lvl>
    <w:lvl w:ilvl="1" w:tentative="0">
      <w:start w:val="1"/>
      <w:numFmt w:val="decimal"/>
      <w:lvlText w:val="%1.%2"/>
      <w:lvlJc w:val="left"/>
      <w:pPr>
        <w:ind w:left="1200" w:hanging="60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688" w:hanging="600"/>
      </w:pPr>
      <w:rPr>
        <w:rFonts w:hint="default"/>
        <w:lang w:val="zh-CN" w:eastAsia="zh-CN" w:bidi="zh-CN"/>
      </w:rPr>
    </w:lvl>
    <w:lvl w:ilvl="3" w:tentative="0">
      <w:start w:val="0"/>
      <w:numFmt w:val="bullet"/>
      <w:lvlText w:val="•"/>
      <w:lvlJc w:val="left"/>
      <w:pPr>
        <w:ind w:left="3432" w:hanging="600"/>
      </w:pPr>
      <w:rPr>
        <w:rFonts w:hint="default"/>
        <w:lang w:val="zh-CN" w:eastAsia="zh-CN" w:bidi="zh-CN"/>
      </w:rPr>
    </w:lvl>
    <w:lvl w:ilvl="4" w:tentative="0">
      <w:start w:val="0"/>
      <w:numFmt w:val="bullet"/>
      <w:lvlText w:val="•"/>
      <w:lvlJc w:val="left"/>
      <w:pPr>
        <w:ind w:left="4176" w:hanging="600"/>
      </w:pPr>
      <w:rPr>
        <w:rFonts w:hint="default"/>
        <w:lang w:val="zh-CN" w:eastAsia="zh-CN" w:bidi="zh-CN"/>
      </w:rPr>
    </w:lvl>
    <w:lvl w:ilvl="5" w:tentative="0">
      <w:start w:val="0"/>
      <w:numFmt w:val="bullet"/>
      <w:lvlText w:val="•"/>
      <w:lvlJc w:val="left"/>
      <w:pPr>
        <w:ind w:left="4920" w:hanging="600"/>
      </w:pPr>
      <w:rPr>
        <w:rFonts w:hint="default"/>
        <w:lang w:val="zh-CN" w:eastAsia="zh-CN" w:bidi="zh-CN"/>
      </w:rPr>
    </w:lvl>
    <w:lvl w:ilvl="6" w:tentative="0">
      <w:start w:val="0"/>
      <w:numFmt w:val="bullet"/>
      <w:lvlText w:val="•"/>
      <w:lvlJc w:val="left"/>
      <w:pPr>
        <w:ind w:left="5664" w:hanging="600"/>
      </w:pPr>
      <w:rPr>
        <w:rFonts w:hint="default"/>
        <w:lang w:val="zh-CN" w:eastAsia="zh-CN" w:bidi="zh-CN"/>
      </w:rPr>
    </w:lvl>
    <w:lvl w:ilvl="7" w:tentative="0">
      <w:start w:val="0"/>
      <w:numFmt w:val="bullet"/>
      <w:lvlText w:val="•"/>
      <w:lvlJc w:val="left"/>
      <w:pPr>
        <w:ind w:left="6408" w:hanging="600"/>
      </w:pPr>
      <w:rPr>
        <w:rFonts w:hint="default"/>
        <w:lang w:val="zh-CN" w:eastAsia="zh-CN" w:bidi="zh-CN"/>
      </w:rPr>
    </w:lvl>
    <w:lvl w:ilvl="8" w:tentative="0">
      <w:start w:val="0"/>
      <w:numFmt w:val="bullet"/>
      <w:lvlText w:val="•"/>
      <w:lvlJc w:val="left"/>
      <w:pPr>
        <w:ind w:left="7152" w:hanging="600"/>
      </w:pPr>
      <w:rPr>
        <w:rFonts w:hint="default"/>
        <w:lang w:val="zh-CN" w:eastAsia="zh-CN" w:bidi="zh-CN"/>
      </w:rPr>
    </w:lvl>
  </w:abstractNum>
  <w:abstractNum w:abstractNumId="63">
    <w:nsid w:val="5E29AB5A"/>
    <w:multiLevelType w:val="multilevel"/>
    <w:tmpl w:val="5E29AB5A"/>
    <w:lvl w:ilvl="0" w:tentative="0">
      <w:start w:val="5"/>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b/>
        <w:bCs/>
        <w:spacing w:val="0"/>
        <w:w w:val="99"/>
        <w:lang w:val="zh-CN" w:eastAsia="zh-CN" w:bidi="zh-CN"/>
      </w:rPr>
    </w:lvl>
    <w:lvl w:ilvl="2" w:tentative="0">
      <w:start w:val="1"/>
      <w:numFmt w:val="decimal"/>
      <w:lvlText w:val="%1.%2.%3"/>
      <w:lvlJc w:val="left"/>
      <w:pPr>
        <w:ind w:left="2264" w:hanging="725"/>
        <w:jc w:val="left"/>
      </w:pPr>
      <w:rPr>
        <w:rFonts w:hint="default" w:ascii="宋体" w:hAnsi="宋体" w:eastAsia="宋体" w:cs="宋体"/>
        <w:b/>
        <w:bCs/>
        <w:spacing w:val="0"/>
        <w:w w:val="99"/>
        <w:sz w:val="24"/>
        <w:szCs w:val="24"/>
        <w:lang w:val="zh-CN" w:eastAsia="zh-CN" w:bidi="zh-CN"/>
      </w:rPr>
    </w:lvl>
    <w:lvl w:ilvl="3" w:tentative="0">
      <w:start w:val="1"/>
      <w:numFmt w:val="decimal"/>
      <w:lvlText w:val="(%4)"/>
      <w:lvlJc w:val="left"/>
      <w:pPr>
        <w:ind w:left="2462" w:hanging="361"/>
        <w:jc w:val="left"/>
      </w:pPr>
      <w:rPr>
        <w:rFonts w:hint="default" w:ascii="宋体" w:hAnsi="宋体" w:eastAsia="宋体" w:cs="宋体"/>
        <w:w w:val="100"/>
        <w:sz w:val="22"/>
        <w:szCs w:val="22"/>
        <w:lang w:val="zh-CN" w:eastAsia="zh-CN" w:bidi="zh-CN"/>
      </w:rPr>
    </w:lvl>
    <w:lvl w:ilvl="4" w:tentative="0">
      <w:start w:val="0"/>
      <w:numFmt w:val="bullet"/>
      <w:lvlText w:val="•"/>
      <w:lvlJc w:val="left"/>
      <w:pPr>
        <w:ind w:left="3760" w:hanging="361"/>
      </w:pPr>
      <w:rPr>
        <w:rFonts w:hint="default"/>
        <w:lang w:val="zh-CN" w:eastAsia="zh-CN" w:bidi="zh-CN"/>
      </w:rPr>
    </w:lvl>
    <w:lvl w:ilvl="5" w:tentative="0">
      <w:start w:val="0"/>
      <w:numFmt w:val="bullet"/>
      <w:lvlText w:val="•"/>
      <w:lvlJc w:val="left"/>
      <w:pPr>
        <w:ind w:left="5060" w:hanging="361"/>
      </w:pPr>
      <w:rPr>
        <w:rFonts w:hint="default"/>
        <w:lang w:val="zh-CN" w:eastAsia="zh-CN" w:bidi="zh-CN"/>
      </w:rPr>
    </w:lvl>
    <w:lvl w:ilvl="6" w:tentative="0">
      <w:start w:val="0"/>
      <w:numFmt w:val="bullet"/>
      <w:lvlText w:val="•"/>
      <w:lvlJc w:val="left"/>
      <w:pPr>
        <w:ind w:left="6360" w:hanging="361"/>
      </w:pPr>
      <w:rPr>
        <w:rFonts w:hint="default"/>
        <w:lang w:val="zh-CN" w:eastAsia="zh-CN" w:bidi="zh-CN"/>
      </w:rPr>
    </w:lvl>
    <w:lvl w:ilvl="7" w:tentative="0">
      <w:start w:val="0"/>
      <w:numFmt w:val="bullet"/>
      <w:lvlText w:val="•"/>
      <w:lvlJc w:val="left"/>
      <w:pPr>
        <w:ind w:left="7660" w:hanging="361"/>
      </w:pPr>
      <w:rPr>
        <w:rFonts w:hint="default"/>
        <w:lang w:val="zh-CN" w:eastAsia="zh-CN" w:bidi="zh-CN"/>
      </w:rPr>
    </w:lvl>
    <w:lvl w:ilvl="8" w:tentative="0">
      <w:start w:val="0"/>
      <w:numFmt w:val="bullet"/>
      <w:lvlText w:val="•"/>
      <w:lvlJc w:val="left"/>
      <w:pPr>
        <w:ind w:left="8960" w:hanging="361"/>
      </w:pPr>
      <w:rPr>
        <w:rFonts w:hint="default"/>
        <w:lang w:val="zh-CN" w:eastAsia="zh-CN" w:bidi="zh-CN"/>
      </w:rPr>
    </w:lvl>
  </w:abstractNum>
  <w:abstractNum w:abstractNumId="64">
    <w:nsid w:val="5FFFB1A7"/>
    <w:multiLevelType w:val="multilevel"/>
    <w:tmpl w:val="5FFFB1A7"/>
    <w:lvl w:ilvl="0" w:tentative="0">
      <w:start w:val="2"/>
      <w:numFmt w:val="decimal"/>
      <w:lvlText w:val="(%1)"/>
      <w:lvlJc w:val="left"/>
      <w:pPr>
        <w:ind w:left="2462"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3370" w:hanging="361"/>
      </w:pPr>
      <w:rPr>
        <w:rFonts w:hint="default"/>
        <w:lang w:val="zh-CN" w:eastAsia="zh-CN" w:bidi="zh-CN"/>
      </w:rPr>
    </w:lvl>
    <w:lvl w:ilvl="2" w:tentative="0">
      <w:start w:val="0"/>
      <w:numFmt w:val="bullet"/>
      <w:lvlText w:val="•"/>
      <w:lvlJc w:val="left"/>
      <w:pPr>
        <w:ind w:left="4280" w:hanging="361"/>
      </w:pPr>
      <w:rPr>
        <w:rFonts w:hint="default"/>
        <w:lang w:val="zh-CN" w:eastAsia="zh-CN" w:bidi="zh-CN"/>
      </w:rPr>
    </w:lvl>
    <w:lvl w:ilvl="3" w:tentative="0">
      <w:start w:val="0"/>
      <w:numFmt w:val="bullet"/>
      <w:lvlText w:val="•"/>
      <w:lvlJc w:val="left"/>
      <w:pPr>
        <w:ind w:left="5190" w:hanging="361"/>
      </w:pPr>
      <w:rPr>
        <w:rFonts w:hint="default"/>
        <w:lang w:val="zh-CN" w:eastAsia="zh-CN" w:bidi="zh-CN"/>
      </w:rPr>
    </w:lvl>
    <w:lvl w:ilvl="4" w:tentative="0">
      <w:start w:val="0"/>
      <w:numFmt w:val="bullet"/>
      <w:lvlText w:val="•"/>
      <w:lvlJc w:val="left"/>
      <w:pPr>
        <w:ind w:left="6100" w:hanging="361"/>
      </w:pPr>
      <w:rPr>
        <w:rFonts w:hint="default"/>
        <w:lang w:val="zh-CN" w:eastAsia="zh-CN" w:bidi="zh-CN"/>
      </w:rPr>
    </w:lvl>
    <w:lvl w:ilvl="5" w:tentative="0">
      <w:start w:val="0"/>
      <w:numFmt w:val="bullet"/>
      <w:lvlText w:val="•"/>
      <w:lvlJc w:val="left"/>
      <w:pPr>
        <w:ind w:left="7010" w:hanging="361"/>
      </w:pPr>
      <w:rPr>
        <w:rFonts w:hint="default"/>
        <w:lang w:val="zh-CN" w:eastAsia="zh-CN" w:bidi="zh-CN"/>
      </w:rPr>
    </w:lvl>
    <w:lvl w:ilvl="6" w:tentative="0">
      <w:start w:val="0"/>
      <w:numFmt w:val="bullet"/>
      <w:lvlText w:val="•"/>
      <w:lvlJc w:val="left"/>
      <w:pPr>
        <w:ind w:left="7920" w:hanging="361"/>
      </w:pPr>
      <w:rPr>
        <w:rFonts w:hint="default"/>
        <w:lang w:val="zh-CN" w:eastAsia="zh-CN" w:bidi="zh-CN"/>
      </w:rPr>
    </w:lvl>
    <w:lvl w:ilvl="7" w:tentative="0">
      <w:start w:val="0"/>
      <w:numFmt w:val="bullet"/>
      <w:lvlText w:val="•"/>
      <w:lvlJc w:val="left"/>
      <w:pPr>
        <w:ind w:left="8830" w:hanging="361"/>
      </w:pPr>
      <w:rPr>
        <w:rFonts w:hint="default"/>
        <w:lang w:val="zh-CN" w:eastAsia="zh-CN" w:bidi="zh-CN"/>
      </w:rPr>
    </w:lvl>
    <w:lvl w:ilvl="8" w:tentative="0">
      <w:start w:val="0"/>
      <w:numFmt w:val="bullet"/>
      <w:lvlText w:val="•"/>
      <w:lvlJc w:val="left"/>
      <w:pPr>
        <w:ind w:left="9740" w:hanging="361"/>
      </w:pPr>
      <w:rPr>
        <w:rFonts w:hint="default"/>
        <w:lang w:val="zh-CN" w:eastAsia="zh-CN" w:bidi="zh-CN"/>
      </w:rPr>
    </w:lvl>
  </w:abstractNum>
  <w:abstractNum w:abstractNumId="65">
    <w:nsid w:val="60382F6E"/>
    <w:multiLevelType w:val="multilevel"/>
    <w:tmpl w:val="60382F6E"/>
    <w:lvl w:ilvl="0" w:tentative="0">
      <w:start w:val="4"/>
      <w:numFmt w:val="decimal"/>
      <w:lvlText w:val="(%1)"/>
      <w:lvlJc w:val="left"/>
      <w:pPr>
        <w:ind w:left="222" w:hanging="363"/>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083" w:hanging="363"/>
      </w:pPr>
      <w:rPr>
        <w:rFonts w:hint="default"/>
        <w:lang w:val="zh-CN" w:eastAsia="zh-CN" w:bidi="zh-CN"/>
      </w:rPr>
    </w:lvl>
    <w:lvl w:ilvl="2" w:tentative="0">
      <w:start w:val="0"/>
      <w:numFmt w:val="bullet"/>
      <w:lvlText w:val="•"/>
      <w:lvlJc w:val="left"/>
      <w:pPr>
        <w:ind w:left="1946" w:hanging="363"/>
      </w:pPr>
      <w:rPr>
        <w:rFonts w:hint="default"/>
        <w:lang w:val="zh-CN" w:eastAsia="zh-CN" w:bidi="zh-CN"/>
      </w:rPr>
    </w:lvl>
    <w:lvl w:ilvl="3" w:tentative="0">
      <w:start w:val="0"/>
      <w:numFmt w:val="bullet"/>
      <w:lvlText w:val="•"/>
      <w:lvlJc w:val="left"/>
      <w:pPr>
        <w:ind w:left="2809" w:hanging="363"/>
      </w:pPr>
      <w:rPr>
        <w:rFonts w:hint="default"/>
        <w:lang w:val="zh-CN" w:eastAsia="zh-CN" w:bidi="zh-CN"/>
      </w:rPr>
    </w:lvl>
    <w:lvl w:ilvl="4" w:tentative="0">
      <w:start w:val="0"/>
      <w:numFmt w:val="bullet"/>
      <w:lvlText w:val="•"/>
      <w:lvlJc w:val="left"/>
      <w:pPr>
        <w:ind w:left="3672" w:hanging="363"/>
      </w:pPr>
      <w:rPr>
        <w:rFonts w:hint="default"/>
        <w:lang w:val="zh-CN" w:eastAsia="zh-CN" w:bidi="zh-CN"/>
      </w:rPr>
    </w:lvl>
    <w:lvl w:ilvl="5" w:tentative="0">
      <w:start w:val="0"/>
      <w:numFmt w:val="bullet"/>
      <w:lvlText w:val="•"/>
      <w:lvlJc w:val="left"/>
      <w:pPr>
        <w:ind w:left="4535" w:hanging="363"/>
      </w:pPr>
      <w:rPr>
        <w:rFonts w:hint="default"/>
        <w:lang w:val="zh-CN" w:eastAsia="zh-CN" w:bidi="zh-CN"/>
      </w:rPr>
    </w:lvl>
    <w:lvl w:ilvl="6" w:tentative="0">
      <w:start w:val="0"/>
      <w:numFmt w:val="bullet"/>
      <w:lvlText w:val="•"/>
      <w:lvlJc w:val="left"/>
      <w:pPr>
        <w:ind w:left="5398" w:hanging="363"/>
      </w:pPr>
      <w:rPr>
        <w:rFonts w:hint="default"/>
        <w:lang w:val="zh-CN" w:eastAsia="zh-CN" w:bidi="zh-CN"/>
      </w:rPr>
    </w:lvl>
    <w:lvl w:ilvl="7" w:tentative="0">
      <w:start w:val="0"/>
      <w:numFmt w:val="bullet"/>
      <w:lvlText w:val="•"/>
      <w:lvlJc w:val="left"/>
      <w:pPr>
        <w:ind w:left="6261" w:hanging="363"/>
      </w:pPr>
      <w:rPr>
        <w:rFonts w:hint="default"/>
        <w:lang w:val="zh-CN" w:eastAsia="zh-CN" w:bidi="zh-CN"/>
      </w:rPr>
    </w:lvl>
    <w:lvl w:ilvl="8" w:tentative="0">
      <w:start w:val="0"/>
      <w:numFmt w:val="bullet"/>
      <w:lvlText w:val="•"/>
      <w:lvlJc w:val="left"/>
      <w:pPr>
        <w:ind w:left="7124" w:hanging="363"/>
      </w:pPr>
      <w:rPr>
        <w:rFonts w:hint="default"/>
        <w:lang w:val="zh-CN" w:eastAsia="zh-CN" w:bidi="zh-CN"/>
      </w:rPr>
    </w:lvl>
  </w:abstractNum>
  <w:abstractNum w:abstractNumId="66">
    <w:nsid w:val="629F7852"/>
    <w:multiLevelType w:val="multilevel"/>
    <w:tmpl w:val="629F7852"/>
    <w:lvl w:ilvl="0" w:tentative="0">
      <w:start w:val="2"/>
      <w:numFmt w:val="decimal"/>
      <w:lvlText w:val="%1"/>
      <w:lvlJc w:val="left"/>
      <w:pPr>
        <w:ind w:left="786" w:hanging="564"/>
        <w:jc w:val="left"/>
      </w:pPr>
      <w:rPr>
        <w:rFonts w:hint="default"/>
        <w:lang w:val="zh-CN" w:eastAsia="zh-CN" w:bidi="zh-CN"/>
      </w:rPr>
    </w:lvl>
    <w:lvl w:ilvl="1" w:tentative="0">
      <w:start w:val="1"/>
      <w:numFmt w:val="decimal"/>
      <w:lvlText w:val="%1.%2"/>
      <w:lvlJc w:val="left"/>
      <w:pPr>
        <w:ind w:left="786" w:hanging="564"/>
        <w:jc w:val="left"/>
      </w:pPr>
      <w:rPr>
        <w:rFonts w:hint="default"/>
        <w:b/>
        <w:bCs/>
        <w:spacing w:val="0"/>
        <w:w w:val="99"/>
        <w:lang w:val="zh-CN" w:eastAsia="zh-CN" w:bidi="zh-CN"/>
      </w:rPr>
    </w:lvl>
    <w:lvl w:ilvl="2" w:tentative="0">
      <w:start w:val="1"/>
      <w:numFmt w:val="decimal"/>
      <w:lvlText w:val="%1.%2.%3"/>
      <w:lvlJc w:val="left"/>
      <w:pPr>
        <w:ind w:left="1069" w:hanging="848"/>
        <w:jc w:val="left"/>
      </w:pPr>
      <w:rPr>
        <w:rFonts w:hint="default" w:ascii="宋体" w:hAnsi="宋体" w:eastAsia="宋体" w:cs="宋体"/>
        <w:b/>
        <w:bCs/>
        <w:spacing w:val="0"/>
        <w:w w:val="99"/>
        <w:sz w:val="28"/>
        <w:szCs w:val="28"/>
        <w:lang w:val="zh-CN" w:eastAsia="zh-CN" w:bidi="zh-CN"/>
      </w:rPr>
    </w:lvl>
    <w:lvl w:ilvl="3" w:tentative="0">
      <w:start w:val="1"/>
      <w:numFmt w:val="decimal"/>
      <w:lvlText w:val="（%4）"/>
      <w:lvlJc w:val="left"/>
      <w:pPr>
        <w:ind w:left="340" w:hanging="601"/>
        <w:jc w:val="left"/>
      </w:pPr>
      <w:rPr>
        <w:rFonts w:hint="default" w:ascii="宋体" w:hAnsi="宋体" w:eastAsia="宋体" w:cs="宋体"/>
        <w:w w:val="100"/>
        <w:sz w:val="22"/>
        <w:szCs w:val="22"/>
        <w:lang w:val="zh-CN" w:eastAsia="zh-CN" w:bidi="zh-CN"/>
      </w:rPr>
    </w:lvl>
    <w:lvl w:ilvl="4" w:tentative="0">
      <w:start w:val="0"/>
      <w:numFmt w:val="bullet"/>
      <w:lvlText w:val="•"/>
      <w:lvlJc w:val="left"/>
      <w:pPr>
        <w:ind w:left="3007" w:hanging="601"/>
      </w:pPr>
      <w:rPr>
        <w:rFonts w:hint="default"/>
        <w:lang w:val="zh-CN" w:eastAsia="zh-CN" w:bidi="zh-CN"/>
      </w:rPr>
    </w:lvl>
    <w:lvl w:ilvl="5" w:tentative="0">
      <w:start w:val="0"/>
      <w:numFmt w:val="bullet"/>
      <w:lvlText w:val="•"/>
      <w:lvlJc w:val="left"/>
      <w:pPr>
        <w:ind w:left="3981" w:hanging="601"/>
      </w:pPr>
      <w:rPr>
        <w:rFonts w:hint="default"/>
        <w:lang w:val="zh-CN" w:eastAsia="zh-CN" w:bidi="zh-CN"/>
      </w:rPr>
    </w:lvl>
    <w:lvl w:ilvl="6" w:tentative="0">
      <w:start w:val="0"/>
      <w:numFmt w:val="bullet"/>
      <w:lvlText w:val="•"/>
      <w:lvlJc w:val="left"/>
      <w:pPr>
        <w:ind w:left="4955" w:hanging="601"/>
      </w:pPr>
      <w:rPr>
        <w:rFonts w:hint="default"/>
        <w:lang w:val="zh-CN" w:eastAsia="zh-CN" w:bidi="zh-CN"/>
      </w:rPr>
    </w:lvl>
    <w:lvl w:ilvl="7" w:tentative="0">
      <w:start w:val="0"/>
      <w:numFmt w:val="bullet"/>
      <w:lvlText w:val="•"/>
      <w:lvlJc w:val="left"/>
      <w:pPr>
        <w:ind w:left="5928" w:hanging="601"/>
      </w:pPr>
      <w:rPr>
        <w:rFonts w:hint="default"/>
        <w:lang w:val="zh-CN" w:eastAsia="zh-CN" w:bidi="zh-CN"/>
      </w:rPr>
    </w:lvl>
    <w:lvl w:ilvl="8" w:tentative="0">
      <w:start w:val="0"/>
      <w:numFmt w:val="bullet"/>
      <w:lvlText w:val="•"/>
      <w:lvlJc w:val="left"/>
      <w:pPr>
        <w:ind w:left="6902" w:hanging="601"/>
      </w:pPr>
      <w:rPr>
        <w:rFonts w:hint="default"/>
        <w:lang w:val="zh-CN" w:eastAsia="zh-CN" w:bidi="zh-CN"/>
      </w:rPr>
    </w:lvl>
  </w:abstractNum>
  <w:abstractNum w:abstractNumId="67">
    <w:nsid w:val="65CD0074"/>
    <w:multiLevelType w:val="multilevel"/>
    <w:tmpl w:val="65CD0074"/>
    <w:lvl w:ilvl="0" w:tentative="0">
      <w:start w:val="5"/>
      <w:numFmt w:val="decimal"/>
      <w:lvlText w:val="(%1)"/>
      <w:lvlJc w:val="left"/>
      <w:pPr>
        <w:ind w:left="1540" w:hanging="361"/>
        <w:jc w:val="left"/>
      </w:pPr>
      <w:rPr>
        <w:rFonts w:hint="default" w:ascii="宋体" w:hAnsi="宋体" w:eastAsia="宋体" w:cs="宋体"/>
        <w:spacing w:val="-65"/>
        <w:w w:val="100"/>
        <w:sz w:val="22"/>
        <w:szCs w:val="22"/>
        <w:lang w:val="zh-CN" w:eastAsia="zh-CN" w:bidi="zh-CN"/>
      </w:rPr>
    </w:lvl>
    <w:lvl w:ilvl="1" w:tentative="0">
      <w:start w:val="0"/>
      <w:numFmt w:val="bullet"/>
      <w:lvlText w:val="•"/>
      <w:lvlJc w:val="left"/>
      <w:pPr>
        <w:ind w:left="2542" w:hanging="361"/>
      </w:pPr>
      <w:rPr>
        <w:rFonts w:hint="default"/>
        <w:lang w:val="zh-CN" w:eastAsia="zh-CN" w:bidi="zh-CN"/>
      </w:rPr>
    </w:lvl>
    <w:lvl w:ilvl="2" w:tentative="0">
      <w:start w:val="0"/>
      <w:numFmt w:val="bullet"/>
      <w:lvlText w:val="•"/>
      <w:lvlJc w:val="left"/>
      <w:pPr>
        <w:ind w:left="3544" w:hanging="361"/>
      </w:pPr>
      <w:rPr>
        <w:rFonts w:hint="default"/>
        <w:lang w:val="zh-CN" w:eastAsia="zh-CN" w:bidi="zh-CN"/>
      </w:rPr>
    </w:lvl>
    <w:lvl w:ilvl="3" w:tentative="0">
      <w:start w:val="0"/>
      <w:numFmt w:val="bullet"/>
      <w:lvlText w:val="•"/>
      <w:lvlJc w:val="left"/>
      <w:pPr>
        <w:ind w:left="4546" w:hanging="361"/>
      </w:pPr>
      <w:rPr>
        <w:rFonts w:hint="default"/>
        <w:lang w:val="zh-CN" w:eastAsia="zh-CN" w:bidi="zh-CN"/>
      </w:rPr>
    </w:lvl>
    <w:lvl w:ilvl="4" w:tentative="0">
      <w:start w:val="0"/>
      <w:numFmt w:val="bullet"/>
      <w:lvlText w:val="•"/>
      <w:lvlJc w:val="left"/>
      <w:pPr>
        <w:ind w:left="5548" w:hanging="361"/>
      </w:pPr>
      <w:rPr>
        <w:rFonts w:hint="default"/>
        <w:lang w:val="zh-CN" w:eastAsia="zh-CN" w:bidi="zh-CN"/>
      </w:rPr>
    </w:lvl>
    <w:lvl w:ilvl="5" w:tentative="0">
      <w:start w:val="0"/>
      <w:numFmt w:val="bullet"/>
      <w:lvlText w:val="•"/>
      <w:lvlJc w:val="left"/>
      <w:pPr>
        <w:ind w:left="6550" w:hanging="361"/>
      </w:pPr>
      <w:rPr>
        <w:rFonts w:hint="default"/>
        <w:lang w:val="zh-CN" w:eastAsia="zh-CN" w:bidi="zh-CN"/>
      </w:rPr>
    </w:lvl>
    <w:lvl w:ilvl="6" w:tentative="0">
      <w:start w:val="0"/>
      <w:numFmt w:val="bullet"/>
      <w:lvlText w:val="•"/>
      <w:lvlJc w:val="left"/>
      <w:pPr>
        <w:ind w:left="7552" w:hanging="361"/>
      </w:pPr>
      <w:rPr>
        <w:rFonts w:hint="default"/>
        <w:lang w:val="zh-CN" w:eastAsia="zh-CN" w:bidi="zh-CN"/>
      </w:rPr>
    </w:lvl>
    <w:lvl w:ilvl="7" w:tentative="0">
      <w:start w:val="0"/>
      <w:numFmt w:val="bullet"/>
      <w:lvlText w:val="•"/>
      <w:lvlJc w:val="left"/>
      <w:pPr>
        <w:ind w:left="8554" w:hanging="361"/>
      </w:pPr>
      <w:rPr>
        <w:rFonts w:hint="default"/>
        <w:lang w:val="zh-CN" w:eastAsia="zh-CN" w:bidi="zh-CN"/>
      </w:rPr>
    </w:lvl>
    <w:lvl w:ilvl="8" w:tentative="0">
      <w:start w:val="0"/>
      <w:numFmt w:val="bullet"/>
      <w:lvlText w:val="•"/>
      <w:lvlJc w:val="left"/>
      <w:pPr>
        <w:ind w:left="9556" w:hanging="361"/>
      </w:pPr>
      <w:rPr>
        <w:rFonts w:hint="default"/>
        <w:lang w:val="zh-CN" w:eastAsia="zh-CN" w:bidi="zh-CN"/>
      </w:rPr>
    </w:lvl>
  </w:abstractNum>
  <w:abstractNum w:abstractNumId="68">
    <w:nsid w:val="700FDCEF"/>
    <w:multiLevelType w:val="multilevel"/>
    <w:tmpl w:val="700FDCEF"/>
    <w:lvl w:ilvl="0" w:tentative="0">
      <w:start w:val="13"/>
      <w:numFmt w:val="decimal"/>
      <w:lvlText w:val="%1"/>
      <w:lvlJc w:val="left"/>
      <w:pPr>
        <w:ind w:left="2243" w:hanging="704"/>
        <w:jc w:val="left"/>
      </w:pPr>
      <w:rPr>
        <w:rFonts w:hint="default"/>
        <w:lang w:val="zh-CN" w:eastAsia="zh-CN" w:bidi="zh-CN"/>
      </w:rPr>
    </w:lvl>
    <w:lvl w:ilvl="1" w:tentative="0">
      <w:start w:val="1"/>
      <w:numFmt w:val="decimal"/>
      <w:lvlText w:val="%1.%2"/>
      <w:lvlJc w:val="left"/>
      <w:pPr>
        <w:ind w:left="2243" w:hanging="704"/>
        <w:jc w:val="left"/>
      </w:pPr>
      <w:rPr>
        <w:rFonts w:hint="default" w:ascii="宋体" w:hAnsi="宋体" w:eastAsia="宋体" w:cs="宋体"/>
        <w:b/>
        <w:bCs/>
        <w:spacing w:val="0"/>
        <w:w w:val="99"/>
        <w:sz w:val="28"/>
        <w:szCs w:val="28"/>
        <w:lang w:val="zh-CN" w:eastAsia="zh-CN" w:bidi="zh-CN"/>
      </w:rPr>
    </w:lvl>
    <w:lvl w:ilvl="2" w:tentative="0">
      <w:start w:val="1"/>
      <w:numFmt w:val="decimal"/>
      <w:lvlText w:val="(%3)"/>
      <w:lvlJc w:val="left"/>
      <w:pPr>
        <w:ind w:left="1540" w:hanging="361"/>
        <w:jc w:val="left"/>
      </w:pPr>
      <w:rPr>
        <w:rFonts w:hint="default" w:ascii="宋体" w:hAnsi="宋体" w:eastAsia="宋体" w:cs="宋体"/>
        <w:spacing w:val="-65"/>
        <w:w w:val="100"/>
        <w:sz w:val="22"/>
        <w:szCs w:val="22"/>
        <w:lang w:val="zh-CN" w:eastAsia="zh-CN" w:bidi="zh-CN"/>
      </w:rPr>
    </w:lvl>
    <w:lvl w:ilvl="3" w:tentative="0">
      <w:start w:val="0"/>
      <w:numFmt w:val="bullet"/>
      <w:lvlText w:val="•"/>
      <w:lvlJc w:val="left"/>
      <w:pPr>
        <w:ind w:left="4311" w:hanging="361"/>
      </w:pPr>
      <w:rPr>
        <w:rFonts w:hint="default"/>
        <w:lang w:val="zh-CN" w:eastAsia="zh-CN" w:bidi="zh-CN"/>
      </w:rPr>
    </w:lvl>
    <w:lvl w:ilvl="4" w:tentative="0">
      <w:start w:val="0"/>
      <w:numFmt w:val="bullet"/>
      <w:lvlText w:val="•"/>
      <w:lvlJc w:val="left"/>
      <w:pPr>
        <w:ind w:left="5346" w:hanging="361"/>
      </w:pPr>
      <w:rPr>
        <w:rFonts w:hint="default"/>
        <w:lang w:val="zh-CN" w:eastAsia="zh-CN" w:bidi="zh-CN"/>
      </w:rPr>
    </w:lvl>
    <w:lvl w:ilvl="5" w:tentative="0">
      <w:start w:val="0"/>
      <w:numFmt w:val="bullet"/>
      <w:lvlText w:val="•"/>
      <w:lvlJc w:val="left"/>
      <w:pPr>
        <w:ind w:left="6382" w:hanging="361"/>
      </w:pPr>
      <w:rPr>
        <w:rFonts w:hint="default"/>
        <w:lang w:val="zh-CN" w:eastAsia="zh-CN" w:bidi="zh-CN"/>
      </w:rPr>
    </w:lvl>
    <w:lvl w:ilvl="6" w:tentative="0">
      <w:start w:val="0"/>
      <w:numFmt w:val="bullet"/>
      <w:lvlText w:val="•"/>
      <w:lvlJc w:val="left"/>
      <w:pPr>
        <w:ind w:left="7417" w:hanging="361"/>
      </w:pPr>
      <w:rPr>
        <w:rFonts w:hint="default"/>
        <w:lang w:val="zh-CN" w:eastAsia="zh-CN" w:bidi="zh-CN"/>
      </w:rPr>
    </w:lvl>
    <w:lvl w:ilvl="7" w:tentative="0">
      <w:start w:val="0"/>
      <w:numFmt w:val="bullet"/>
      <w:lvlText w:val="•"/>
      <w:lvlJc w:val="left"/>
      <w:pPr>
        <w:ind w:left="8453" w:hanging="361"/>
      </w:pPr>
      <w:rPr>
        <w:rFonts w:hint="default"/>
        <w:lang w:val="zh-CN" w:eastAsia="zh-CN" w:bidi="zh-CN"/>
      </w:rPr>
    </w:lvl>
    <w:lvl w:ilvl="8" w:tentative="0">
      <w:start w:val="0"/>
      <w:numFmt w:val="bullet"/>
      <w:lvlText w:val="•"/>
      <w:lvlJc w:val="left"/>
      <w:pPr>
        <w:ind w:left="9488" w:hanging="361"/>
      </w:pPr>
      <w:rPr>
        <w:rFonts w:hint="default"/>
        <w:lang w:val="zh-CN" w:eastAsia="zh-CN" w:bidi="zh-CN"/>
      </w:rPr>
    </w:lvl>
  </w:abstractNum>
  <w:abstractNum w:abstractNumId="69">
    <w:nsid w:val="72183CF9"/>
    <w:multiLevelType w:val="multilevel"/>
    <w:tmpl w:val="72183CF9"/>
    <w:lvl w:ilvl="0" w:tentative="0">
      <w:start w:val="8"/>
      <w:numFmt w:val="decimal"/>
      <w:lvlText w:val="%1"/>
      <w:lvlJc w:val="left"/>
      <w:pPr>
        <w:ind w:left="1080" w:hanging="480"/>
        <w:jc w:val="left"/>
      </w:pPr>
      <w:rPr>
        <w:rFonts w:hint="default"/>
        <w:lang w:val="zh-CN" w:eastAsia="zh-CN" w:bidi="zh-CN"/>
      </w:rPr>
    </w:lvl>
    <w:lvl w:ilvl="1" w:tentative="0">
      <w:start w:val="1"/>
      <w:numFmt w:val="decimal"/>
      <w:lvlText w:val="%1.%2"/>
      <w:lvlJc w:val="left"/>
      <w:pPr>
        <w:ind w:left="1080"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2592" w:hanging="480"/>
      </w:pPr>
      <w:rPr>
        <w:rFonts w:hint="default"/>
        <w:lang w:val="zh-CN" w:eastAsia="zh-CN" w:bidi="zh-CN"/>
      </w:rPr>
    </w:lvl>
    <w:lvl w:ilvl="3" w:tentative="0">
      <w:start w:val="0"/>
      <w:numFmt w:val="bullet"/>
      <w:lvlText w:val="•"/>
      <w:lvlJc w:val="left"/>
      <w:pPr>
        <w:ind w:left="3348" w:hanging="480"/>
      </w:pPr>
      <w:rPr>
        <w:rFonts w:hint="default"/>
        <w:lang w:val="zh-CN" w:eastAsia="zh-CN" w:bidi="zh-CN"/>
      </w:rPr>
    </w:lvl>
    <w:lvl w:ilvl="4" w:tentative="0">
      <w:start w:val="0"/>
      <w:numFmt w:val="bullet"/>
      <w:lvlText w:val="•"/>
      <w:lvlJc w:val="left"/>
      <w:pPr>
        <w:ind w:left="4104" w:hanging="480"/>
      </w:pPr>
      <w:rPr>
        <w:rFonts w:hint="default"/>
        <w:lang w:val="zh-CN" w:eastAsia="zh-CN" w:bidi="zh-CN"/>
      </w:rPr>
    </w:lvl>
    <w:lvl w:ilvl="5" w:tentative="0">
      <w:start w:val="0"/>
      <w:numFmt w:val="bullet"/>
      <w:lvlText w:val="•"/>
      <w:lvlJc w:val="left"/>
      <w:pPr>
        <w:ind w:left="4860" w:hanging="480"/>
      </w:pPr>
      <w:rPr>
        <w:rFonts w:hint="default"/>
        <w:lang w:val="zh-CN" w:eastAsia="zh-CN" w:bidi="zh-CN"/>
      </w:rPr>
    </w:lvl>
    <w:lvl w:ilvl="6" w:tentative="0">
      <w:start w:val="0"/>
      <w:numFmt w:val="bullet"/>
      <w:lvlText w:val="•"/>
      <w:lvlJc w:val="left"/>
      <w:pPr>
        <w:ind w:left="5616" w:hanging="480"/>
      </w:pPr>
      <w:rPr>
        <w:rFonts w:hint="default"/>
        <w:lang w:val="zh-CN" w:eastAsia="zh-CN" w:bidi="zh-CN"/>
      </w:rPr>
    </w:lvl>
    <w:lvl w:ilvl="7" w:tentative="0">
      <w:start w:val="0"/>
      <w:numFmt w:val="bullet"/>
      <w:lvlText w:val="•"/>
      <w:lvlJc w:val="left"/>
      <w:pPr>
        <w:ind w:left="6372" w:hanging="480"/>
      </w:pPr>
      <w:rPr>
        <w:rFonts w:hint="default"/>
        <w:lang w:val="zh-CN" w:eastAsia="zh-CN" w:bidi="zh-CN"/>
      </w:rPr>
    </w:lvl>
    <w:lvl w:ilvl="8" w:tentative="0">
      <w:start w:val="0"/>
      <w:numFmt w:val="bullet"/>
      <w:lvlText w:val="•"/>
      <w:lvlJc w:val="left"/>
      <w:pPr>
        <w:ind w:left="7128" w:hanging="480"/>
      </w:pPr>
      <w:rPr>
        <w:rFonts w:hint="default"/>
        <w:lang w:val="zh-CN" w:eastAsia="zh-CN" w:bidi="zh-CN"/>
      </w:rPr>
    </w:lvl>
  </w:abstractNum>
  <w:abstractNum w:abstractNumId="70">
    <w:nsid w:val="74C28B35"/>
    <w:multiLevelType w:val="multilevel"/>
    <w:tmpl w:val="74C28B35"/>
    <w:lvl w:ilvl="0" w:tentative="0">
      <w:start w:val="6"/>
      <w:numFmt w:val="decimal"/>
      <w:lvlText w:val="%1"/>
      <w:lvlJc w:val="left"/>
      <w:pPr>
        <w:ind w:left="2104" w:hanging="564"/>
        <w:jc w:val="left"/>
      </w:pPr>
      <w:rPr>
        <w:rFonts w:hint="default"/>
        <w:lang w:val="zh-CN" w:eastAsia="zh-CN" w:bidi="zh-CN"/>
      </w:rPr>
    </w:lvl>
    <w:lvl w:ilvl="1" w:tentative="0">
      <w:start w:val="1"/>
      <w:numFmt w:val="decimal"/>
      <w:lvlText w:val="%1.%2"/>
      <w:lvlJc w:val="left"/>
      <w:pPr>
        <w:ind w:left="2104" w:hanging="564"/>
        <w:jc w:val="left"/>
      </w:pPr>
      <w:rPr>
        <w:rFonts w:hint="default"/>
        <w:b/>
        <w:bCs/>
        <w:spacing w:val="0"/>
        <w:w w:val="99"/>
        <w:lang w:val="zh-CN" w:eastAsia="zh-CN" w:bidi="zh-CN"/>
      </w:rPr>
    </w:lvl>
    <w:lvl w:ilvl="2" w:tentative="0">
      <w:start w:val="1"/>
      <w:numFmt w:val="decimal"/>
      <w:lvlText w:val="(%3)"/>
      <w:lvlJc w:val="left"/>
      <w:pPr>
        <w:ind w:left="2462" w:hanging="361"/>
        <w:jc w:val="left"/>
      </w:pPr>
      <w:rPr>
        <w:rFonts w:hint="default" w:ascii="宋体" w:hAnsi="宋体" w:eastAsia="宋体" w:cs="宋体"/>
        <w:w w:val="100"/>
        <w:sz w:val="22"/>
        <w:szCs w:val="22"/>
        <w:lang w:val="zh-CN" w:eastAsia="zh-CN" w:bidi="zh-CN"/>
      </w:rPr>
    </w:lvl>
    <w:lvl w:ilvl="3" w:tentative="0">
      <w:start w:val="0"/>
      <w:numFmt w:val="bullet"/>
      <w:lvlText w:val="•"/>
      <w:lvlJc w:val="left"/>
      <w:pPr>
        <w:ind w:left="4482" w:hanging="361"/>
      </w:pPr>
      <w:rPr>
        <w:rFonts w:hint="default"/>
        <w:lang w:val="zh-CN" w:eastAsia="zh-CN" w:bidi="zh-CN"/>
      </w:rPr>
    </w:lvl>
    <w:lvl w:ilvl="4" w:tentative="0">
      <w:start w:val="0"/>
      <w:numFmt w:val="bullet"/>
      <w:lvlText w:val="•"/>
      <w:lvlJc w:val="left"/>
      <w:pPr>
        <w:ind w:left="5493" w:hanging="361"/>
      </w:pPr>
      <w:rPr>
        <w:rFonts w:hint="default"/>
        <w:lang w:val="zh-CN" w:eastAsia="zh-CN" w:bidi="zh-CN"/>
      </w:rPr>
    </w:lvl>
    <w:lvl w:ilvl="5" w:tentative="0">
      <w:start w:val="0"/>
      <w:numFmt w:val="bullet"/>
      <w:lvlText w:val="•"/>
      <w:lvlJc w:val="left"/>
      <w:pPr>
        <w:ind w:left="6504" w:hanging="361"/>
      </w:pPr>
      <w:rPr>
        <w:rFonts w:hint="default"/>
        <w:lang w:val="zh-CN" w:eastAsia="zh-CN" w:bidi="zh-CN"/>
      </w:rPr>
    </w:lvl>
    <w:lvl w:ilvl="6" w:tentative="0">
      <w:start w:val="0"/>
      <w:numFmt w:val="bullet"/>
      <w:lvlText w:val="•"/>
      <w:lvlJc w:val="left"/>
      <w:pPr>
        <w:ind w:left="7515" w:hanging="361"/>
      </w:pPr>
      <w:rPr>
        <w:rFonts w:hint="default"/>
        <w:lang w:val="zh-CN" w:eastAsia="zh-CN" w:bidi="zh-CN"/>
      </w:rPr>
    </w:lvl>
    <w:lvl w:ilvl="7" w:tentative="0">
      <w:start w:val="0"/>
      <w:numFmt w:val="bullet"/>
      <w:lvlText w:val="•"/>
      <w:lvlJc w:val="left"/>
      <w:pPr>
        <w:ind w:left="8526" w:hanging="361"/>
      </w:pPr>
      <w:rPr>
        <w:rFonts w:hint="default"/>
        <w:lang w:val="zh-CN" w:eastAsia="zh-CN" w:bidi="zh-CN"/>
      </w:rPr>
    </w:lvl>
    <w:lvl w:ilvl="8" w:tentative="0">
      <w:start w:val="0"/>
      <w:numFmt w:val="bullet"/>
      <w:lvlText w:val="•"/>
      <w:lvlJc w:val="left"/>
      <w:pPr>
        <w:ind w:left="9537" w:hanging="361"/>
      </w:pPr>
      <w:rPr>
        <w:rFonts w:hint="default"/>
        <w:lang w:val="zh-CN" w:eastAsia="zh-CN" w:bidi="zh-CN"/>
      </w:rPr>
    </w:lvl>
  </w:abstractNum>
  <w:abstractNum w:abstractNumId="71">
    <w:nsid w:val="77633216"/>
    <w:multiLevelType w:val="multilevel"/>
    <w:tmpl w:val="77633216"/>
    <w:lvl w:ilvl="0" w:tentative="0">
      <w:start w:val="16"/>
      <w:numFmt w:val="decimal"/>
      <w:lvlText w:val="%1"/>
      <w:lvlJc w:val="left"/>
      <w:pPr>
        <w:ind w:left="2243" w:hanging="704"/>
        <w:jc w:val="left"/>
      </w:pPr>
      <w:rPr>
        <w:rFonts w:hint="default"/>
        <w:lang w:val="zh-CN" w:eastAsia="zh-CN" w:bidi="zh-CN"/>
      </w:rPr>
    </w:lvl>
    <w:lvl w:ilvl="1" w:tentative="0">
      <w:start w:val="1"/>
      <w:numFmt w:val="decimal"/>
      <w:lvlText w:val="%1.%2"/>
      <w:lvlJc w:val="left"/>
      <w:pPr>
        <w:ind w:left="2243" w:hanging="704"/>
        <w:jc w:val="left"/>
      </w:pPr>
      <w:rPr>
        <w:rFonts w:hint="default"/>
        <w:b/>
        <w:bCs/>
        <w:spacing w:val="0"/>
        <w:w w:val="99"/>
        <w:lang w:val="zh-CN" w:eastAsia="zh-CN" w:bidi="zh-CN"/>
      </w:rPr>
    </w:lvl>
    <w:lvl w:ilvl="2" w:tentative="0">
      <w:start w:val="1"/>
      <w:numFmt w:val="decimal"/>
      <w:lvlText w:val="(%3)"/>
      <w:lvlJc w:val="left"/>
      <w:pPr>
        <w:ind w:left="1540" w:hanging="361"/>
        <w:jc w:val="left"/>
      </w:pPr>
      <w:rPr>
        <w:rFonts w:hint="default" w:ascii="宋体" w:hAnsi="宋体" w:eastAsia="宋体" w:cs="宋体"/>
        <w:w w:val="100"/>
        <w:sz w:val="22"/>
        <w:szCs w:val="22"/>
        <w:lang w:val="zh-CN" w:eastAsia="zh-CN" w:bidi="zh-CN"/>
      </w:rPr>
    </w:lvl>
    <w:lvl w:ilvl="3" w:tentative="0">
      <w:start w:val="0"/>
      <w:numFmt w:val="bullet"/>
      <w:lvlText w:val="•"/>
      <w:lvlJc w:val="left"/>
      <w:pPr>
        <w:ind w:left="4311" w:hanging="361"/>
      </w:pPr>
      <w:rPr>
        <w:rFonts w:hint="default"/>
        <w:lang w:val="zh-CN" w:eastAsia="zh-CN" w:bidi="zh-CN"/>
      </w:rPr>
    </w:lvl>
    <w:lvl w:ilvl="4" w:tentative="0">
      <w:start w:val="0"/>
      <w:numFmt w:val="bullet"/>
      <w:lvlText w:val="•"/>
      <w:lvlJc w:val="left"/>
      <w:pPr>
        <w:ind w:left="5346" w:hanging="361"/>
      </w:pPr>
      <w:rPr>
        <w:rFonts w:hint="default"/>
        <w:lang w:val="zh-CN" w:eastAsia="zh-CN" w:bidi="zh-CN"/>
      </w:rPr>
    </w:lvl>
    <w:lvl w:ilvl="5" w:tentative="0">
      <w:start w:val="0"/>
      <w:numFmt w:val="bullet"/>
      <w:lvlText w:val="•"/>
      <w:lvlJc w:val="left"/>
      <w:pPr>
        <w:ind w:left="6382" w:hanging="361"/>
      </w:pPr>
      <w:rPr>
        <w:rFonts w:hint="default"/>
        <w:lang w:val="zh-CN" w:eastAsia="zh-CN" w:bidi="zh-CN"/>
      </w:rPr>
    </w:lvl>
    <w:lvl w:ilvl="6" w:tentative="0">
      <w:start w:val="0"/>
      <w:numFmt w:val="bullet"/>
      <w:lvlText w:val="•"/>
      <w:lvlJc w:val="left"/>
      <w:pPr>
        <w:ind w:left="7417" w:hanging="361"/>
      </w:pPr>
      <w:rPr>
        <w:rFonts w:hint="default"/>
        <w:lang w:val="zh-CN" w:eastAsia="zh-CN" w:bidi="zh-CN"/>
      </w:rPr>
    </w:lvl>
    <w:lvl w:ilvl="7" w:tentative="0">
      <w:start w:val="0"/>
      <w:numFmt w:val="bullet"/>
      <w:lvlText w:val="•"/>
      <w:lvlJc w:val="left"/>
      <w:pPr>
        <w:ind w:left="8453" w:hanging="361"/>
      </w:pPr>
      <w:rPr>
        <w:rFonts w:hint="default"/>
        <w:lang w:val="zh-CN" w:eastAsia="zh-CN" w:bidi="zh-CN"/>
      </w:rPr>
    </w:lvl>
    <w:lvl w:ilvl="8" w:tentative="0">
      <w:start w:val="0"/>
      <w:numFmt w:val="bullet"/>
      <w:lvlText w:val="•"/>
      <w:lvlJc w:val="left"/>
      <w:pPr>
        <w:ind w:left="9488" w:hanging="361"/>
      </w:pPr>
      <w:rPr>
        <w:rFonts w:hint="default"/>
        <w:lang w:val="zh-CN" w:eastAsia="zh-CN" w:bidi="zh-CN"/>
      </w:rPr>
    </w:lvl>
  </w:abstractNum>
  <w:abstractNum w:abstractNumId="72">
    <w:nsid w:val="77ECEA79"/>
    <w:multiLevelType w:val="multilevel"/>
    <w:tmpl w:val="77ECEA79"/>
    <w:lvl w:ilvl="0" w:tentative="0">
      <w:start w:val="1"/>
      <w:numFmt w:val="decimal"/>
      <w:lvlText w:val="%1)"/>
      <w:lvlJc w:val="left"/>
      <w:pPr>
        <w:ind w:left="1038" w:hanging="250"/>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821" w:hanging="250"/>
      </w:pPr>
      <w:rPr>
        <w:rFonts w:hint="default"/>
        <w:lang w:val="zh-CN" w:eastAsia="zh-CN" w:bidi="zh-CN"/>
      </w:rPr>
    </w:lvl>
    <w:lvl w:ilvl="2" w:tentative="0">
      <w:start w:val="0"/>
      <w:numFmt w:val="bullet"/>
      <w:lvlText w:val="•"/>
      <w:lvlJc w:val="left"/>
      <w:pPr>
        <w:ind w:left="2602" w:hanging="250"/>
      </w:pPr>
      <w:rPr>
        <w:rFonts w:hint="default"/>
        <w:lang w:val="zh-CN" w:eastAsia="zh-CN" w:bidi="zh-CN"/>
      </w:rPr>
    </w:lvl>
    <w:lvl w:ilvl="3" w:tentative="0">
      <w:start w:val="0"/>
      <w:numFmt w:val="bullet"/>
      <w:lvlText w:val="•"/>
      <w:lvlJc w:val="left"/>
      <w:pPr>
        <w:ind w:left="3383" w:hanging="250"/>
      </w:pPr>
      <w:rPr>
        <w:rFonts w:hint="default"/>
        <w:lang w:val="zh-CN" w:eastAsia="zh-CN" w:bidi="zh-CN"/>
      </w:rPr>
    </w:lvl>
    <w:lvl w:ilvl="4" w:tentative="0">
      <w:start w:val="0"/>
      <w:numFmt w:val="bullet"/>
      <w:lvlText w:val="•"/>
      <w:lvlJc w:val="left"/>
      <w:pPr>
        <w:ind w:left="4164" w:hanging="250"/>
      </w:pPr>
      <w:rPr>
        <w:rFonts w:hint="default"/>
        <w:lang w:val="zh-CN" w:eastAsia="zh-CN" w:bidi="zh-CN"/>
      </w:rPr>
    </w:lvl>
    <w:lvl w:ilvl="5" w:tentative="0">
      <w:start w:val="0"/>
      <w:numFmt w:val="bullet"/>
      <w:lvlText w:val="•"/>
      <w:lvlJc w:val="left"/>
      <w:pPr>
        <w:ind w:left="4945" w:hanging="250"/>
      </w:pPr>
      <w:rPr>
        <w:rFonts w:hint="default"/>
        <w:lang w:val="zh-CN" w:eastAsia="zh-CN" w:bidi="zh-CN"/>
      </w:rPr>
    </w:lvl>
    <w:lvl w:ilvl="6" w:tentative="0">
      <w:start w:val="0"/>
      <w:numFmt w:val="bullet"/>
      <w:lvlText w:val="•"/>
      <w:lvlJc w:val="left"/>
      <w:pPr>
        <w:ind w:left="5726" w:hanging="250"/>
      </w:pPr>
      <w:rPr>
        <w:rFonts w:hint="default"/>
        <w:lang w:val="zh-CN" w:eastAsia="zh-CN" w:bidi="zh-CN"/>
      </w:rPr>
    </w:lvl>
    <w:lvl w:ilvl="7" w:tentative="0">
      <w:start w:val="0"/>
      <w:numFmt w:val="bullet"/>
      <w:lvlText w:val="•"/>
      <w:lvlJc w:val="left"/>
      <w:pPr>
        <w:ind w:left="6507" w:hanging="250"/>
      </w:pPr>
      <w:rPr>
        <w:rFonts w:hint="default"/>
        <w:lang w:val="zh-CN" w:eastAsia="zh-CN" w:bidi="zh-CN"/>
      </w:rPr>
    </w:lvl>
    <w:lvl w:ilvl="8" w:tentative="0">
      <w:start w:val="0"/>
      <w:numFmt w:val="bullet"/>
      <w:lvlText w:val="•"/>
      <w:lvlJc w:val="left"/>
      <w:pPr>
        <w:ind w:left="7288" w:hanging="250"/>
      </w:pPr>
      <w:rPr>
        <w:rFonts w:hint="default"/>
        <w:lang w:val="zh-CN" w:eastAsia="zh-CN" w:bidi="zh-CN"/>
      </w:rPr>
    </w:lvl>
  </w:abstractNum>
  <w:abstractNum w:abstractNumId="73">
    <w:nsid w:val="79AA4FA4"/>
    <w:multiLevelType w:val="multilevel"/>
    <w:tmpl w:val="79AA4FA4"/>
    <w:lvl w:ilvl="0" w:tentative="0">
      <w:start w:val="1"/>
      <w:numFmt w:val="decimal"/>
      <w:lvlText w:val="（%1）"/>
      <w:lvlJc w:val="left"/>
      <w:pPr>
        <w:ind w:left="2738" w:hanging="601"/>
        <w:jc w:val="left"/>
      </w:pPr>
      <w:rPr>
        <w:rFonts w:hint="default" w:ascii="宋体" w:hAnsi="宋体" w:eastAsia="宋体" w:cs="宋体"/>
        <w:b/>
        <w:bCs/>
        <w:w w:val="99"/>
        <w:sz w:val="22"/>
        <w:szCs w:val="22"/>
        <w:lang w:val="zh-CN" w:eastAsia="zh-CN" w:bidi="zh-CN"/>
      </w:rPr>
    </w:lvl>
    <w:lvl w:ilvl="1" w:tentative="0">
      <w:start w:val="0"/>
      <w:numFmt w:val="bullet"/>
      <w:lvlText w:val="•"/>
      <w:lvlJc w:val="left"/>
      <w:pPr>
        <w:ind w:left="3622" w:hanging="601"/>
      </w:pPr>
      <w:rPr>
        <w:rFonts w:hint="default"/>
        <w:lang w:val="zh-CN" w:eastAsia="zh-CN" w:bidi="zh-CN"/>
      </w:rPr>
    </w:lvl>
    <w:lvl w:ilvl="2" w:tentative="0">
      <w:start w:val="0"/>
      <w:numFmt w:val="bullet"/>
      <w:lvlText w:val="•"/>
      <w:lvlJc w:val="left"/>
      <w:pPr>
        <w:ind w:left="4504" w:hanging="601"/>
      </w:pPr>
      <w:rPr>
        <w:rFonts w:hint="default"/>
        <w:lang w:val="zh-CN" w:eastAsia="zh-CN" w:bidi="zh-CN"/>
      </w:rPr>
    </w:lvl>
    <w:lvl w:ilvl="3" w:tentative="0">
      <w:start w:val="0"/>
      <w:numFmt w:val="bullet"/>
      <w:lvlText w:val="•"/>
      <w:lvlJc w:val="left"/>
      <w:pPr>
        <w:ind w:left="5386" w:hanging="601"/>
      </w:pPr>
      <w:rPr>
        <w:rFonts w:hint="default"/>
        <w:lang w:val="zh-CN" w:eastAsia="zh-CN" w:bidi="zh-CN"/>
      </w:rPr>
    </w:lvl>
    <w:lvl w:ilvl="4" w:tentative="0">
      <w:start w:val="0"/>
      <w:numFmt w:val="bullet"/>
      <w:lvlText w:val="•"/>
      <w:lvlJc w:val="left"/>
      <w:pPr>
        <w:ind w:left="6268" w:hanging="601"/>
      </w:pPr>
      <w:rPr>
        <w:rFonts w:hint="default"/>
        <w:lang w:val="zh-CN" w:eastAsia="zh-CN" w:bidi="zh-CN"/>
      </w:rPr>
    </w:lvl>
    <w:lvl w:ilvl="5" w:tentative="0">
      <w:start w:val="0"/>
      <w:numFmt w:val="bullet"/>
      <w:lvlText w:val="•"/>
      <w:lvlJc w:val="left"/>
      <w:pPr>
        <w:ind w:left="7150" w:hanging="601"/>
      </w:pPr>
      <w:rPr>
        <w:rFonts w:hint="default"/>
        <w:lang w:val="zh-CN" w:eastAsia="zh-CN" w:bidi="zh-CN"/>
      </w:rPr>
    </w:lvl>
    <w:lvl w:ilvl="6" w:tentative="0">
      <w:start w:val="0"/>
      <w:numFmt w:val="bullet"/>
      <w:lvlText w:val="•"/>
      <w:lvlJc w:val="left"/>
      <w:pPr>
        <w:ind w:left="8032" w:hanging="601"/>
      </w:pPr>
      <w:rPr>
        <w:rFonts w:hint="default"/>
        <w:lang w:val="zh-CN" w:eastAsia="zh-CN" w:bidi="zh-CN"/>
      </w:rPr>
    </w:lvl>
    <w:lvl w:ilvl="7" w:tentative="0">
      <w:start w:val="0"/>
      <w:numFmt w:val="bullet"/>
      <w:lvlText w:val="•"/>
      <w:lvlJc w:val="left"/>
      <w:pPr>
        <w:ind w:left="8914" w:hanging="601"/>
      </w:pPr>
      <w:rPr>
        <w:rFonts w:hint="default"/>
        <w:lang w:val="zh-CN" w:eastAsia="zh-CN" w:bidi="zh-CN"/>
      </w:rPr>
    </w:lvl>
    <w:lvl w:ilvl="8" w:tentative="0">
      <w:start w:val="0"/>
      <w:numFmt w:val="bullet"/>
      <w:lvlText w:val="•"/>
      <w:lvlJc w:val="left"/>
      <w:pPr>
        <w:ind w:left="9796" w:hanging="601"/>
      </w:pPr>
      <w:rPr>
        <w:rFonts w:hint="default"/>
        <w:lang w:val="zh-CN" w:eastAsia="zh-CN" w:bidi="zh-CN"/>
      </w:rPr>
    </w:lvl>
  </w:abstractNum>
  <w:abstractNum w:abstractNumId="74">
    <w:nsid w:val="7C246926"/>
    <w:multiLevelType w:val="multilevel"/>
    <w:tmpl w:val="7C246926"/>
    <w:lvl w:ilvl="0" w:tentative="0">
      <w:start w:val="1"/>
      <w:numFmt w:val="decimal"/>
      <w:lvlText w:val="%1)"/>
      <w:lvlJc w:val="left"/>
      <w:pPr>
        <w:ind w:left="1029"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803" w:hanging="241"/>
      </w:pPr>
      <w:rPr>
        <w:rFonts w:hint="default"/>
        <w:lang w:val="zh-CN" w:eastAsia="zh-CN" w:bidi="zh-CN"/>
      </w:rPr>
    </w:lvl>
    <w:lvl w:ilvl="2" w:tentative="0">
      <w:start w:val="0"/>
      <w:numFmt w:val="bullet"/>
      <w:lvlText w:val="•"/>
      <w:lvlJc w:val="left"/>
      <w:pPr>
        <w:ind w:left="2586" w:hanging="241"/>
      </w:pPr>
      <w:rPr>
        <w:rFonts w:hint="default"/>
        <w:lang w:val="zh-CN" w:eastAsia="zh-CN" w:bidi="zh-CN"/>
      </w:rPr>
    </w:lvl>
    <w:lvl w:ilvl="3" w:tentative="0">
      <w:start w:val="0"/>
      <w:numFmt w:val="bullet"/>
      <w:lvlText w:val="•"/>
      <w:lvlJc w:val="left"/>
      <w:pPr>
        <w:ind w:left="3369" w:hanging="241"/>
      </w:pPr>
      <w:rPr>
        <w:rFonts w:hint="default"/>
        <w:lang w:val="zh-CN" w:eastAsia="zh-CN" w:bidi="zh-CN"/>
      </w:rPr>
    </w:lvl>
    <w:lvl w:ilvl="4" w:tentative="0">
      <w:start w:val="0"/>
      <w:numFmt w:val="bullet"/>
      <w:lvlText w:val="•"/>
      <w:lvlJc w:val="left"/>
      <w:pPr>
        <w:ind w:left="4152" w:hanging="241"/>
      </w:pPr>
      <w:rPr>
        <w:rFonts w:hint="default"/>
        <w:lang w:val="zh-CN" w:eastAsia="zh-CN" w:bidi="zh-CN"/>
      </w:rPr>
    </w:lvl>
    <w:lvl w:ilvl="5" w:tentative="0">
      <w:start w:val="0"/>
      <w:numFmt w:val="bullet"/>
      <w:lvlText w:val="•"/>
      <w:lvlJc w:val="left"/>
      <w:pPr>
        <w:ind w:left="4935" w:hanging="241"/>
      </w:pPr>
      <w:rPr>
        <w:rFonts w:hint="default"/>
        <w:lang w:val="zh-CN" w:eastAsia="zh-CN" w:bidi="zh-CN"/>
      </w:rPr>
    </w:lvl>
    <w:lvl w:ilvl="6" w:tentative="0">
      <w:start w:val="0"/>
      <w:numFmt w:val="bullet"/>
      <w:lvlText w:val="•"/>
      <w:lvlJc w:val="left"/>
      <w:pPr>
        <w:ind w:left="5718" w:hanging="241"/>
      </w:pPr>
      <w:rPr>
        <w:rFonts w:hint="default"/>
        <w:lang w:val="zh-CN" w:eastAsia="zh-CN" w:bidi="zh-CN"/>
      </w:rPr>
    </w:lvl>
    <w:lvl w:ilvl="7" w:tentative="0">
      <w:start w:val="0"/>
      <w:numFmt w:val="bullet"/>
      <w:lvlText w:val="•"/>
      <w:lvlJc w:val="left"/>
      <w:pPr>
        <w:ind w:left="6501" w:hanging="241"/>
      </w:pPr>
      <w:rPr>
        <w:rFonts w:hint="default"/>
        <w:lang w:val="zh-CN" w:eastAsia="zh-CN" w:bidi="zh-CN"/>
      </w:rPr>
    </w:lvl>
    <w:lvl w:ilvl="8" w:tentative="0">
      <w:start w:val="0"/>
      <w:numFmt w:val="bullet"/>
      <w:lvlText w:val="•"/>
      <w:lvlJc w:val="left"/>
      <w:pPr>
        <w:ind w:left="7284" w:hanging="241"/>
      </w:pPr>
      <w:rPr>
        <w:rFonts w:hint="default"/>
        <w:lang w:val="zh-CN" w:eastAsia="zh-CN" w:bidi="zh-CN"/>
      </w:rPr>
    </w:lvl>
  </w:abstractNum>
  <w:abstractNum w:abstractNumId="75">
    <w:nsid w:val="7DEC2089"/>
    <w:multiLevelType w:val="multilevel"/>
    <w:tmpl w:val="7DEC2089"/>
    <w:lvl w:ilvl="0" w:tentative="0">
      <w:start w:val="1"/>
      <w:numFmt w:val="decimal"/>
      <w:lvlText w:val="（%1）"/>
      <w:lvlJc w:val="left"/>
      <w:pPr>
        <w:ind w:left="2695" w:hanging="589"/>
        <w:jc w:val="left"/>
      </w:pPr>
      <w:rPr>
        <w:rFonts w:hint="default" w:ascii="宋体" w:hAnsi="宋体" w:eastAsia="宋体" w:cs="宋体"/>
        <w:spacing w:val="-8"/>
        <w:w w:val="100"/>
        <w:sz w:val="22"/>
        <w:szCs w:val="22"/>
        <w:lang w:val="zh-CN" w:eastAsia="zh-CN" w:bidi="zh-CN"/>
      </w:rPr>
    </w:lvl>
    <w:lvl w:ilvl="1" w:tentative="0">
      <w:start w:val="0"/>
      <w:numFmt w:val="bullet"/>
      <w:lvlText w:val="•"/>
      <w:lvlJc w:val="left"/>
      <w:pPr>
        <w:ind w:left="3586" w:hanging="589"/>
      </w:pPr>
      <w:rPr>
        <w:rFonts w:hint="default"/>
        <w:lang w:val="zh-CN" w:eastAsia="zh-CN" w:bidi="zh-CN"/>
      </w:rPr>
    </w:lvl>
    <w:lvl w:ilvl="2" w:tentative="0">
      <w:start w:val="0"/>
      <w:numFmt w:val="bullet"/>
      <w:lvlText w:val="•"/>
      <w:lvlJc w:val="left"/>
      <w:pPr>
        <w:ind w:left="4472" w:hanging="589"/>
      </w:pPr>
      <w:rPr>
        <w:rFonts w:hint="default"/>
        <w:lang w:val="zh-CN" w:eastAsia="zh-CN" w:bidi="zh-CN"/>
      </w:rPr>
    </w:lvl>
    <w:lvl w:ilvl="3" w:tentative="0">
      <w:start w:val="0"/>
      <w:numFmt w:val="bullet"/>
      <w:lvlText w:val="•"/>
      <w:lvlJc w:val="left"/>
      <w:pPr>
        <w:ind w:left="5358" w:hanging="589"/>
      </w:pPr>
      <w:rPr>
        <w:rFonts w:hint="default"/>
        <w:lang w:val="zh-CN" w:eastAsia="zh-CN" w:bidi="zh-CN"/>
      </w:rPr>
    </w:lvl>
    <w:lvl w:ilvl="4" w:tentative="0">
      <w:start w:val="0"/>
      <w:numFmt w:val="bullet"/>
      <w:lvlText w:val="•"/>
      <w:lvlJc w:val="left"/>
      <w:pPr>
        <w:ind w:left="6244" w:hanging="589"/>
      </w:pPr>
      <w:rPr>
        <w:rFonts w:hint="default"/>
        <w:lang w:val="zh-CN" w:eastAsia="zh-CN" w:bidi="zh-CN"/>
      </w:rPr>
    </w:lvl>
    <w:lvl w:ilvl="5" w:tentative="0">
      <w:start w:val="0"/>
      <w:numFmt w:val="bullet"/>
      <w:lvlText w:val="•"/>
      <w:lvlJc w:val="left"/>
      <w:pPr>
        <w:ind w:left="7130" w:hanging="589"/>
      </w:pPr>
      <w:rPr>
        <w:rFonts w:hint="default"/>
        <w:lang w:val="zh-CN" w:eastAsia="zh-CN" w:bidi="zh-CN"/>
      </w:rPr>
    </w:lvl>
    <w:lvl w:ilvl="6" w:tentative="0">
      <w:start w:val="0"/>
      <w:numFmt w:val="bullet"/>
      <w:lvlText w:val="•"/>
      <w:lvlJc w:val="left"/>
      <w:pPr>
        <w:ind w:left="8016" w:hanging="589"/>
      </w:pPr>
      <w:rPr>
        <w:rFonts w:hint="default"/>
        <w:lang w:val="zh-CN" w:eastAsia="zh-CN" w:bidi="zh-CN"/>
      </w:rPr>
    </w:lvl>
    <w:lvl w:ilvl="7" w:tentative="0">
      <w:start w:val="0"/>
      <w:numFmt w:val="bullet"/>
      <w:lvlText w:val="•"/>
      <w:lvlJc w:val="left"/>
      <w:pPr>
        <w:ind w:left="8902" w:hanging="589"/>
      </w:pPr>
      <w:rPr>
        <w:rFonts w:hint="default"/>
        <w:lang w:val="zh-CN" w:eastAsia="zh-CN" w:bidi="zh-CN"/>
      </w:rPr>
    </w:lvl>
    <w:lvl w:ilvl="8" w:tentative="0">
      <w:start w:val="0"/>
      <w:numFmt w:val="bullet"/>
      <w:lvlText w:val="•"/>
      <w:lvlJc w:val="left"/>
      <w:pPr>
        <w:ind w:left="9788" w:hanging="589"/>
      </w:pPr>
      <w:rPr>
        <w:rFonts w:hint="default"/>
        <w:lang w:val="zh-CN" w:eastAsia="zh-CN" w:bidi="zh-CN"/>
      </w:rPr>
    </w:lvl>
  </w:abstractNum>
  <w:num w:numId="1">
    <w:abstractNumId w:val="31"/>
  </w:num>
  <w:num w:numId="2">
    <w:abstractNumId w:val="20"/>
  </w:num>
  <w:num w:numId="3">
    <w:abstractNumId w:val="61"/>
  </w:num>
  <w:num w:numId="4">
    <w:abstractNumId w:val="16"/>
  </w:num>
  <w:num w:numId="5">
    <w:abstractNumId w:val="12"/>
  </w:num>
  <w:num w:numId="6">
    <w:abstractNumId w:val="34"/>
  </w:num>
  <w:num w:numId="7">
    <w:abstractNumId w:val="46"/>
  </w:num>
  <w:num w:numId="8">
    <w:abstractNumId w:val="69"/>
  </w:num>
  <w:num w:numId="9">
    <w:abstractNumId w:val="32"/>
  </w:num>
  <w:num w:numId="10">
    <w:abstractNumId w:val="4"/>
  </w:num>
  <w:num w:numId="11">
    <w:abstractNumId w:val="47"/>
  </w:num>
  <w:num w:numId="12">
    <w:abstractNumId w:val="62"/>
  </w:num>
  <w:num w:numId="13">
    <w:abstractNumId w:val="19"/>
  </w:num>
  <w:num w:numId="14">
    <w:abstractNumId w:val="58"/>
  </w:num>
  <w:num w:numId="15">
    <w:abstractNumId w:val="27"/>
  </w:num>
  <w:num w:numId="16">
    <w:abstractNumId w:val="45"/>
  </w:num>
  <w:num w:numId="17">
    <w:abstractNumId w:val="23"/>
  </w:num>
  <w:num w:numId="18">
    <w:abstractNumId w:val="22"/>
  </w:num>
  <w:num w:numId="19">
    <w:abstractNumId w:val="6"/>
  </w:num>
  <w:num w:numId="20">
    <w:abstractNumId w:val="65"/>
  </w:num>
  <w:num w:numId="21">
    <w:abstractNumId w:val="37"/>
  </w:num>
  <w:num w:numId="22">
    <w:abstractNumId w:val="56"/>
  </w:num>
  <w:num w:numId="23">
    <w:abstractNumId w:val="9"/>
  </w:num>
  <w:num w:numId="24">
    <w:abstractNumId w:val="74"/>
  </w:num>
  <w:num w:numId="25">
    <w:abstractNumId w:val="72"/>
  </w:num>
  <w:num w:numId="26">
    <w:abstractNumId w:val="15"/>
  </w:num>
  <w:num w:numId="27">
    <w:abstractNumId w:val="66"/>
  </w:num>
  <w:num w:numId="28">
    <w:abstractNumId w:val="5"/>
  </w:num>
  <w:num w:numId="29">
    <w:abstractNumId w:val="53"/>
  </w:num>
  <w:num w:numId="30">
    <w:abstractNumId w:val="1"/>
  </w:num>
  <w:num w:numId="31">
    <w:abstractNumId w:val="60"/>
  </w:num>
  <w:num w:numId="32">
    <w:abstractNumId w:val="75"/>
  </w:num>
  <w:num w:numId="33">
    <w:abstractNumId w:val="44"/>
  </w:num>
  <w:num w:numId="34">
    <w:abstractNumId w:val="59"/>
  </w:num>
  <w:num w:numId="35">
    <w:abstractNumId w:val="29"/>
  </w:num>
  <w:num w:numId="36">
    <w:abstractNumId w:val="24"/>
  </w:num>
  <w:num w:numId="37">
    <w:abstractNumId w:val="49"/>
  </w:num>
  <w:num w:numId="38">
    <w:abstractNumId w:val="73"/>
  </w:num>
  <w:num w:numId="39">
    <w:abstractNumId w:val="14"/>
  </w:num>
  <w:num w:numId="40">
    <w:abstractNumId w:val="3"/>
  </w:num>
  <w:num w:numId="41">
    <w:abstractNumId w:val="13"/>
  </w:num>
  <w:num w:numId="42">
    <w:abstractNumId w:val="63"/>
  </w:num>
  <w:num w:numId="43">
    <w:abstractNumId w:val="0"/>
  </w:num>
  <w:num w:numId="44">
    <w:abstractNumId w:val="41"/>
  </w:num>
  <w:num w:numId="45">
    <w:abstractNumId w:val="2"/>
  </w:num>
  <w:num w:numId="46">
    <w:abstractNumId w:val="64"/>
  </w:num>
  <w:num w:numId="47">
    <w:abstractNumId w:val="70"/>
  </w:num>
  <w:num w:numId="48">
    <w:abstractNumId w:val="57"/>
  </w:num>
  <w:num w:numId="49">
    <w:abstractNumId w:val="50"/>
  </w:num>
  <w:num w:numId="50">
    <w:abstractNumId w:val="67"/>
  </w:num>
  <w:num w:numId="51">
    <w:abstractNumId w:val="35"/>
  </w:num>
  <w:num w:numId="52">
    <w:abstractNumId w:val="36"/>
  </w:num>
  <w:num w:numId="53">
    <w:abstractNumId w:val="21"/>
  </w:num>
  <w:num w:numId="54">
    <w:abstractNumId w:val="51"/>
  </w:num>
  <w:num w:numId="55">
    <w:abstractNumId w:val="42"/>
  </w:num>
  <w:num w:numId="56">
    <w:abstractNumId w:val="26"/>
  </w:num>
  <w:num w:numId="57">
    <w:abstractNumId w:val="43"/>
  </w:num>
  <w:num w:numId="58">
    <w:abstractNumId w:val="11"/>
  </w:num>
  <w:num w:numId="59">
    <w:abstractNumId w:val="55"/>
  </w:num>
  <w:num w:numId="60">
    <w:abstractNumId w:val="38"/>
  </w:num>
  <w:num w:numId="61">
    <w:abstractNumId w:val="52"/>
  </w:num>
  <w:num w:numId="62">
    <w:abstractNumId w:val="33"/>
  </w:num>
  <w:num w:numId="63">
    <w:abstractNumId w:val="17"/>
  </w:num>
  <w:num w:numId="64">
    <w:abstractNumId w:val="39"/>
  </w:num>
  <w:num w:numId="65">
    <w:abstractNumId w:val="10"/>
  </w:num>
  <w:num w:numId="66">
    <w:abstractNumId w:val="54"/>
  </w:num>
  <w:num w:numId="67">
    <w:abstractNumId w:val="8"/>
  </w:num>
  <w:num w:numId="68">
    <w:abstractNumId w:val="28"/>
  </w:num>
  <w:num w:numId="69">
    <w:abstractNumId w:val="48"/>
  </w:num>
  <w:num w:numId="70">
    <w:abstractNumId w:val="30"/>
  </w:num>
  <w:num w:numId="71">
    <w:abstractNumId w:val="40"/>
  </w:num>
  <w:num w:numId="72">
    <w:abstractNumId w:val="68"/>
  </w:num>
  <w:num w:numId="73">
    <w:abstractNumId w:val="25"/>
  </w:num>
  <w:num w:numId="74">
    <w:abstractNumId w:val="18"/>
  </w:num>
  <w:num w:numId="75">
    <w:abstractNumId w:val="7"/>
  </w:num>
  <w:num w:numId="76">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YmY4OThlNWM3MTk5NTMzODQyZjg0YTg4OTdmYTQifQ=="/>
  </w:docVars>
  <w:rsids>
    <w:rsidRoot w:val="00000000"/>
    <w:rsid w:val="1D6054A7"/>
    <w:rsid w:val="2CF2031B"/>
    <w:rsid w:val="41954AE1"/>
    <w:rsid w:val="41BB6E59"/>
    <w:rsid w:val="4EC37329"/>
    <w:rsid w:val="513D3E0F"/>
    <w:rsid w:val="6F864A74"/>
    <w:rsid w:val="737B0183"/>
    <w:rsid w:val="7A705D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4">
    <w:name w:val="heading 1"/>
    <w:basedOn w:val="1"/>
    <w:next w:val="1"/>
    <w:qFormat/>
    <w:uiPriority w:val="1"/>
    <w:pPr>
      <w:spacing w:before="124"/>
      <w:ind w:right="183"/>
      <w:jc w:val="center"/>
      <w:outlineLvl w:val="1"/>
    </w:pPr>
    <w:rPr>
      <w:rFonts w:ascii="宋体" w:hAnsi="宋体" w:eastAsia="宋体" w:cs="宋体"/>
      <w:sz w:val="48"/>
      <w:szCs w:val="48"/>
      <w:lang w:val="zh-CN" w:eastAsia="zh-CN" w:bidi="zh-CN"/>
    </w:rPr>
  </w:style>
  <w:style w:type="paragraph" w:styleId="5">
    <w:name w:val="heading 2"/>
    <w:basedOn w:val="1"/>
    <w:next w:val="1"/>
    <w:link w:val="2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6">
    <w:name w:val="Default Paragraph Font"/>
    <w:semiHidden/>
    <w:unhideWhenUsed/>
    <w:uiPriority w:val="1"/>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Default1"/>
    <w:basedOn w:val="3"/>
    <w:qFormat/>
    <w:uiPriority w:val="0"/>
    <w:pPr>
      <w:widowControl w:val="0"/>
      <w:autoSpaceDE w:val="0"/>
      <w:autoSpaceDN w:val="0"/>
      <w:adjustRightInd w:val="0"/>
    </w:pPr>
    <w:rPr>
      <w:rFonts w:ascii="宋体" w:hAnsi="Times New Roman" w:eastAsia="宋体" w:cs="宋体"/>
      <w:snapToGrid w:val="0"/>
      <w:color w:val="000000"/>
      <w:sz w:val="24"/>
      <w:szCs w:val="24"/>
      <w:lang w:val="en-US" w:eastAsia="zh-CN" w:bidi="ar-SA"/>
    </w:rPr>
  </w:style>
  <w:style w:type="paragraph" w:customStyle="1" w:styleId="3">
    <w:name w:val="Normal_14_0"/>
    <w:qFormat/>
    <w:uiPriority w:val="0"/>
    <w:pPr>
      <w:spacing w:before="120" w:after="240"/>
      <w:jc w:val="both"/>
    </w:pPr>
    <w:rPr>
      <w:rFonts w:ascii="Calibri" w:hAnsi="Calibri" w:eastAsia="Calibri" w:cs="Times New Roman"/>
      <w:sz w:val="22"/>
      <w:szCs w:val="22"/>
      <w:lang w:val="ru-RU" w:eastAsia="en-US" w:bidi="ar-SA"/>
    </w:rPr>
  </w:style>
  <w:style w:type="paragraph" w:styleId="6">
    <w:name w:val="List 3"/>
    <w:basedOn w:val="1"/>
    <w:qFormat/>
    <w:uiPriority w:val="0"/>
    <w:pPr>
      <w:ind w:left="100" w:leftChars="400" w:hanging="200" w:hangingChars="200"/>
    </w:pPr>
    <w:rPr>
      <w:rFonts w:ascii="Times New Roman" w:hAnsi="Times New Roman" w:eastAsia="宋体" w:cs="Times New Roman"/>
    </w:rPr>
  </w:style>
  <w:style w:type="paragraph" w:styleId="7">
    <w:name w:val="Body Text"/>
    <w:basedOn w:val="1"/>
    <w:next w:val="8"/>
    <w:qFormat/>
    <w:uiPriority w:val="1"/>
    <w:rPr>
      <w:rFonts w:ascii="宋体" w:hAnsi="宋体" w:eastAsia="宋体" w:cs="宋体"/>
      <w:sz w:val="24"/>
      <w:szCs w:val="24"/>
      <w:lang w:val="zh-CN" w:eastAsia="zh-CN" w:bidi="zh-CN"/>
    </w:rPr>
  </w:style>
  <w:style w:type="paragraph" w:customStyle="1" w:styleId="8">
    <w:name w:val="xl27"/>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kern w:val="0"/>
      <w:szCs w:val="21"/>
    </w:rPr>
  </w:style>
  <w:style w:type="paragraph" w:styleId="9">
    <w:name w:val="Body Text Indent"/>
    <w:basedOn w:val="1"/>
    <w:next w:val="1"/>
    <w:qFormat/>
    <w:uiPriority w:val="0"/>
    <w:pPr>
      <w:adjustRightInd w:val="0"/>
      <w:spacing w:line="480" w:lineRule="exact"/>
      <w:ind w:firstLine="480"/>
      <w:textAlignment w:val="baseline"/>
    </w:pPr>
    <w:rPr>
      <w:rFonts w:ascii="宋体" w:hAnsi="宋体"/>
      <w:kern w:val="0"/>
      <w:sz w:val="24"/>
      <w:szCs w:val="20"/>
    </w:rPr>
  </w:style>
  <w:style w:type="paragraph" w:styleId="10">
    <w:name w:val="Body Text Indent 2"/>
    <w:basedOn w:val="1"/>
    <w:qFormat/>
    <w:uiPriority w:val="0"/>
    <w:pPr>
      <w:spacing w:after="120" w:line="480" w:lineRule="auto"/>
      <w:ind w:left="420" w:leftChars="200"/>
    </w:pPr>
    <w:rPr>
      <w:rFonts w:ascii="Times New Roman" w:hAnsi="Times New Roman"/>
      <w:kern w:val="0"/>
      <w:sz w:val="20"/>
    </w:rPr>
  </w:style>
  <w:style w:type="paragraph" w:styleId="11">
    <w:name w:val="footer"/>
    <w:basedOn w:val="1"/>
    <w:uiPriority w:val="0"/>
    <w:pPr>
      <w:tabs>
        <w:tab w:val="center" w:pos="4153"/>
        <w:tab w:val="right" w:pos="8306"/>
      </w:tabs>
      <w:snapToGrid w:val="0"/>
      <w:jc w:val="left"/>
    </w:pPr>
    <w:rPr>
      <w:sz w:val="18"/>
    </w:rPr>
  </w:style>
  <w:style w:type="paragraph" w:styleId="12">
    <w:name w:val="toc 1"/>
    <w:basedOn w:val="1"/>
    <w:next w:val="1"/>
    <w:qFormat/>
    <w:uiPriority w:val="1"/>
    <w:pPr>
      <w:spacing w:before="25"/>
      <w:ind w:left="1080" w:right="116" w:hanging="1080"/>
      <w:jc w:val="right"/>
    </w:pPr>
    <w:rPr>
      <w:rFonts w:ascii="宋体" w:hAnsi="宋体" w:eastAsia="宋体" w:cs="宋体"/>
      <w:sz w:val="24"/>
      <w:szCs w:val="24"/>
      <w:lang w:val="zh-CN" w:eastAsia="zh-CN" w:bidi="zh-CN"/>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4">
    <w:name w:val="Body Text First Indent 2"/>
    <w:basedOn w:val="9"/>
    <w:next w:val="1"/>
    <w:qFormat/>
    <w:uiPriority w:val="0"/>
    <w:pPr>
      <w:spacing w:after="120" w:line="240" w:lineRule="auto"/>
      <w:ind w:left="420" w:leftChars="200" w:firstLine="420" w:firstLineChars="200"/>
    </w:pPr>
    <w:rPr>
      <w:rFonts w:eastAsia="仿宋_GB2312"/>
      <w:snapToGrid w:val="0"/>
      <w:color w:val="000000"/>
      <w:kern w:val="0"/>
      <w:sz w:val="28"/>
      <w:szCs w:val="20"/>
    </w:rPr>
  </w:style>
  <w:style w:type="character" w:styleId="17">
    <w:name w:val="annotation reference"/>
    <w:basedOn w:val="16"/>
    <w:qFormat/>
    <w:uiPriority w:val="0"/>
    <w:rPr>
      <w:sz w:val="21"/>
      <w:szCs w:val="21"/>
    </w:rPr>
  </w:style>
  <w:style w:type="table" w:customStyle="1" w:styleId="18">
    <w:name w:val="Table Normal"/>
    <w:semiHidden/>
    <w:unhideWhenUsed/>
    <w:qFormat/>
    <w:uiPriority w:val="2"/>
    <w:tblPr>
      <w:tblCellMar>
        <w:top w:w="0" w:type="dxa"/>
        <w:left w:w="0" w:type="dxa"/>
        <w:bottom w:w="0" w:type="dxa"/>
        <w:right w:w="0" w:type="dxa"/>
      </w:tblCellMar>
    </w:tblPr>
  </w:style>
  <w:style w:type="paragraph" w:styleId="19">
    <w:name w:val="List Paragraph"/>
    <w:basedOn w:val="1"/>
    <w:qFormat/>
    <w:uiPriority w:val="1"/>
    <w:pPr>
      <w:ind w:left="1540" w:firstLine="561"/>
    </w:pPr>
    <w:rPr>
      <w:rFonts w:ascii="宋体" w:hAnsi="宋体" w:eastAsia="宋体" w:cs="宋体"/>
      <w:lang w:val="zh-CN" w:eastAsia="zh-CN" w:bidi="zh-CN"/>
    </w:rPr>
  </w:style>
  <w:style w:type="paragraph" w:customStyle="1" w:styleId="20">
    <w:name w:val="Table Paragraph"/>
    <w:basedOn w:val="1"/>
    <w:qFormat/>
    <w:uiPriority w:val="1"/>
    <w:rPr>
      <w:rFonts w:ascii="新宋体" w:hAnsi="新宋体" w:eastAsia="新宋体" w:cs="新宋体"/>
      <w:lang w:val="zh-CN" w:eastAsia="zh-CN" w:bidi="zh-CN"/>
    </w:rPr>
  </w:style>
  <w:style w:type="character" w:customStyle="1" w:styleId="21">
    <w:name w:val="标题 2 Char"/>
    <w:link w:val="5"/>
    <w:uiPriority w:val="0"/>
    <w:rPr>
      <w:rFonts w:ascii="Arial" w:hAnsi="Arial" w:eastAsia="黑体"/>
      <w:b/>
      <w:sz w:val="32"/>
    </w:rPr>
  </w:style>
  <w:style w:type="paragraph" w:customStyle="1" w:styleId="22">
    <w:name w:val="样式 小四 行距: 1.5 倍行距"/>
    <w:basedOn w:val="1"/>
    <w:qFormat/>
    <w:uiPriority w:val="0"/>
    <w:pPr>
      <w:ind w:firstLine="480" w:firstLineChars="200"/>
    </w:pPr>
    <w:rPr>
      <w:rFonts w:cs="宋体"/>
    </w:rPr>
  </w:style>
  <w:style w:type="paragraph" w:customStyle="1" w:styleId="23">
    <w:name w:val="表格内文字"/>
    <w:basedOn w:val="24"/>
    <w:qFormat/>
    <w:uiPriority w:val="0"/>
    <w:pPr>
      <w:snapToGrid/>
      <w:spacing w:line="240" w:lineRule="auto"/>
      <w:ind w:left="0" w:leftChars="0" w:right="0" w:rightChars="0" w:firstLine="0" w:firstLineChars="0"/>
    </w:pPr>
    <w:rPr>
      <w:color w:val="auto"/>
      <w:kern w:val="0"/>
      <w:sz w:val="21"/>
      <w:szCs w:val="20"/>
    </w:rPr>
  </w:style>
  <w:style w:type="paragraph" w:customStyle="1" w:styleId="24">
    <w:name w:val="表头"/>
    <w:basedOn w:val="6"/>
    <w:next w:val="1"/>
    <w:qFormat/>
    <w:uiPriority w:val="99"/>
    <w:pPr>
      <w:adjustRightInd w:val="0"/>
      <w:snapToGrid w:val="0"/>
      <w:spacing w:line="360" w:lineRule="auto"/>
      <w:ind w:left="-120" w:leftChars="-50" w:right="-120" w:rightChars="-50" w:firstLine="113" w:firstLineChars="49"/>
      <w:jc w:val="center"/>
    </w:pPr>
    <w:rPr>
      <w:rFonts w:ascii="Times New Roman"/>
      <w:color w:val="000000"/>
      <w:kern w:val="2"/>
      <w:sz w:val="23"/>
      <w:szCs w:val="21"/>
    </w:rPr>
  </w:style>
  <w:style w:type="paragraph" w:customStyle="1" w:styleId="25">
    <w:name w:val="标题3"/>
    <w:next w:val="1"/>
    <w:qFormat/>
    <w:uiPriority w:val="99"/>
    <w:pPr>
      <w:spacing w:beforeLines="50" w:line="360" w:lineRule="auto"/>
      <w:jc w:val="both"/>
      <w:outlineLvl w:val="2"/>
    </w:pPr>
    <w:rPr>
      <w:rFonts w:ascii="Times New Roman" w:hAnsi="Times New Roman" w:eastAsia="宋体" w:cs="Times New Roman"/>
      <w:b/>
      <w:bCs/>
      <w:kern w:val="2"/>
      <w:sz w:val="28"/>
      <w:szCs w:val="28"/>
      <w:lang w:val="en-US" w:eastAsia="zh-CN" w:bidi="ar-SA"/>
    </w:rPr>
  </w:style>
  <w:style w:type="paragraph" w:customStyle="1" w:styleId="26">
    <w:name w:val="06F图名表名"/>
    <w:basedOn w:val="27"/>
    <w:next w:val="27"/>
    <w:qFormat/>
    <w:uiPriority w:val="0"/>
    <w:rPr>
      <w:b/>
      <w:kern w:val="0"/>
      <w:sz w:val="20"/>
      <w:szCs w:val="20"/>
    </w:rPr>
  </w:style>
  <w:style w:type="paragraph" w:customStyle="1" w:styleId="27">
    <w:name w:val="07F表格文字"/>
    <w:basedOn w:val="28"/>
    <w:next w:val="28"/>
    <w:qFormat/>
    <w:uiPriority w:val="0"/>
    <w:pPr>
      <w:jc w:val="center"/>
    </w:pPr>
    <w:rPr>
      <w:rFonts w:eastAsia="宋体"/>
    </w:rPr>
  </w:style>
  <w:style w:type="paragraph" w:customStyle="1" w:styleId="28">
    <w:name w:val="08F表格批注"/>
    <w:basedOn w:val="1"/>
    <w:next w:val="1"/>
    <w:qFormat/>
    <w:uiPriority w:val="0"/>
    <w:pPr>
      <w:jc w:val="left"/>
    </w:pPr>
    <w:rPr>
      <w:rFonts w:ascii="Times New Roman" w:hAnsi="Times New Roman" w:eastAsia="宋体"/>
      <w:szCs w:val="21"/>
    </w:rPr>
  </w:style>
  <w:style w:type="paragraph" w:customStyle="1" w:styleId="29">
    <w:name w:val="04F报告表小标题"/>
    <w:basedOn w:val="30"/>
    <w:next w:val="31"/>
    <w:qFormat/>
    <w:uiPriority w:val="0"/>
    <w:pPr>
      <w:ind w:firstLine="720" w:firstLineChars="200"/>
    </w:pPr>
    <w:rPr>
      <w:kern w:val="0"/>
      <w:sz w:val="24"/>
      <w:szCs w:val="24"/>
    </w:rPr>
  </w:style>
  <w:style w:type="paragraph" w:customStyle="1" w:styleId="30">
    <w:name w:val="03F报告表顶格标题"/>
    <w:basedOn w:val="31"/>
    <w:next w:val="29"/>
    <w:qFormat/>
    <w:uiPriority w:val="0"/>
    <w:pPr>
      <w:ind w:firstLine="0" w:firstLineChars="0"/>
      <w:jc w:val="left"/>
    </w:pPr>
    <w:rPr>
      <w:rFonts w:eastAsia="宋体"/>
      <w:b/>
      <w:sz w:val="28"/>
      <w:szCs w:val="28"/>
    </w:rPr>
  </w:style>
  <w:style w:type="paragraph" w:customStyle="1" w:styleId="31">
    <w:name w:val="05F凡式正文"/>
    <w:basedOn w:val="1"/>
    <w:qFormat/>
    <w:uiPriority w:val="0"/>
    <w:pPr>
      <w:spacing w:line="360" w:lineRule="auto"/>
      <w:ind w:firstLine="720" w:firstLineChars="200"/>
    </w:pPr>
    <w:rPr>
      <w:kern w:val="0"/>
      <w:sz w:val="24"/>
      <w:szCs w:val="20"/>
    </w:rPr>
  </w:style>
  <w:style w:type="paragraph" w:customStyle="1" w:styleId="32">
    <w:name w:val="Heading 1"/>
    <w:basedOn w:val="1"/>
    <w:qFormat/>
    <w:uiPriority w:val="1"/>
    <w:pPr>
      <w:spacing w:line="552" w:lineRule="exact"/>
      <w:ind w:left="655" w:hanging="258"/>
      <w:outlineLvl w:val="1"/>
    </w:pPr>
    <w:rPr>
      <w:rFonts w:ascii="Microsoft JhengHei" w:hAnsi="Microsoft JhengHei" w:eastAsia="Microsoft JhengHei" w:cs="Microsoft JhengHe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24.png"/><Relationship Id="rId44" Type="http://schemas.openxmlformats.org/officeDocument/2006/relationships/image" Target="media/image23.png"/><Relationship Id="rId43" Type="http://schemas.openxmlformats.org/officeDocument/2006/relationships/image" Target="media/image22.png"/><Relationship Id="rId42" Type="http://schemas.openxmlformats.org/officeDocument/2006/relationships/image" Target="media/image21.jpeg"/><Relationship Id="rId41" Type="http://schemas.openxmlformats.org/officeDocument/2006/relationships/image" Target="media/image20.png"/><Relationship Id="rId40" Type="http://schemas.openxmlformats.org/officeDocument/2006/relationships/image" Target="media/image19.emf"/><Relationship Id="rId4" Type="http://schemas.openxmlformats.org/officeDocument/2006/relationships/endnotes" Target="endnotes.xml"/><Relationship Id="rId39" Type="http://schemas.openxmlformats.org/officeDocument/2006/relationships/oleObject" Target="embeddings/oleObject1.bin"/><Relationship Id="rId38" Type="http://schemas.openxmlformats.org/officeDocument/2006/relationships/image" Target="media/image18.jpeg"/><Relationship Id="rId37" Type="http://schemas.openxmlformats.org/officeDocument/2006/relationships/image" Target="media/image17.jpeg"/><Relationship Id="rId36" Type="http://schemas.openxmlformats.org/officeDocument/2006/relationships/image" Target="media/image16.jpeg"/><Relationship Id="rId35" Type="http://schemas.openxmlformats.org/officeDocument/2006/relationships/image" Target="media/image15.jpeg"/><Relationship Id="rId34" Type="http://schemas.openxmlformats.org/officeDocument/2006/relationships/image" Target="media/image14.jpeg"/><Relationship Id="rId33" Type="http://schemas.openxmlformats.org/officeDocument/2006/relationships/image" Target="media/image13.jpeg"/><Relationship Id="rId32" Type="http://schemas.openxmlformats.org/officeDocument/2006/relationships/image" Target="media/image12.jpeg"/><Relationship Id="rId31" Type="http://schemas.openxmlformats.org/officeDocument/2006/relationships/image" Target="media/image11.jpeg"/><Relationship Id="rId30" Type="http://schemas.openxmlformats.org/officeDocument/2006/relationships/image" Target="media/image10.jpeg"/><Relationship Id="rId3" Type="http://schemas.openxmlformats.org/officeDocument/2006/relationships/footnotes" Target="footnotes.xml"/><Relationship Id="rId29" Type="http://schemas.openxmlformats.org/officeDocument/2006/relationships/image" Target="media/image9.jpeg"/><Relationship Id="rId28" Type="http://schemas.openxmlformats.org/officeDocument/2006/relationships/image" Target="media/image8.jpeg"/><Relationship Id="rId27" Type="http://schemas.openxmlformats.org/officeDocument/2006/relationships/image" Target="media/image7.jpeg"/><Relationship Id="rId26" Type="http://schemas.openxmlformats.org/officeDocument/2006/relationships/image" Target="media/image6.jpeg"/><Relationship Id="rId25" Type="http://schemas.openxmlformats.org/officeDocument/2006/relationships/image" Target="media/image5.jpeg"/><Relationship Id="rId24" Type="http://schemas.openxmlformats.org/officeDocument/2006/relationships/image" Target="media/image4.jpe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110</Pages>
  <Words>47957</Words>
  <Characters>50466</Characters>
  <TotalTime>0</TotalTime>
  <ScaleCrop>false</ScaleCrop>
  <LinksUpToDate>false</LinksUpToDate>
  <CharactersWithSpaces>51305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2022-06-30T01:53:00Z</dcterms:created>
  <dc:creator>nikola tesla</dc:creator>
  <cp:lastModifiedBy>仙人掌</cp:lastModifiedBy>
  <dcterms:modified xsi:type="dcterms:W3CDTF">2023-11-16T07:21:47Z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2019-05-30T00:00:00Z</vt:filetime>
  </property>
  <property fmtid="{D5CDD505-2E9C-101B-9397-08002B2CF9AE}" pid="3" name="Creator">
    <vt:lpwstr>WPS 文字</vt:lpwstr>
  </property>
  <property fmtid="{D5CDD505-2E9C-101B-9397-08002B2CF9AE}" pid="4" name="LastSaved">
    <vt:filetime>2022-06-30T00:00:00Z</vt:filetime>
  </property>
  <property fmtid="{D5CDD505-2E9C-101B-9397-08002B2CF9AE}" pid="5" name="KSOProductBuildVer">
    <vt:lpwstr>2052-12.1.0.15712</vt:lpwstr>
  </property>
  <property fmtid="{D5CDD505-2E9C-101B-9397-08002B2CF9AE}" pid="6" name="ICV">
    <vt:lpwstr>8AD8AA4E42FA479BA05E06CBDC0D03AC_13</vt:lpwstr>
  </property>
</Properties>
</file>