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1"/>
        </w:numPr>
        <w:spacing w:line="360" w:lineRule="auto"/>
        <w:ind w:firstLine="482" w:firstLineChars="200"/>
        <w:rPr>
          <w:rFonts w:hint="eastAsia" w:ascii="仿宋" w:hAnsi="仿宋" w:eastAsia="仿宋" w:cs="仿宋"/>
          <w:b/>
          <w:bCs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企业基础信息</w:t>
      </w:r>
    </w:p>
    <w:p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</w:rPr>
        <w:t>1</w:t>
      </w:r>
      <w:r>
        <w:rPr>
          <w:rFonts w:hint="eastAsia" w:ascii="仿宋" w:hAnsi="仿宋" w:eastAsia="仿宋" w:cs="仿宋"/>
          <w:sz w:val="24"/>
          <w:highlight w:val="none"/>
        </w:rPr>
        <w:t>、单位名称：永吉县伊兴粮油有限公司 </w:t>
      </w:r>
    </w:p>
    <w:p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2、统一社会信用代码：912202210540641495 </w:t>
      </w:r>
    </w:p>
    <w:p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3、法定代表人（主要负责人）：丁荣光</w:t>
      </w:r>
    </w:p>
    <w:p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4、技术负责人：</w:t>
      </w:r>
      <w:r>
        <w:rPr>
          <w:rFonts w:hint="default" w:ascii="仿宋" w:hAnsi="仿宋" w:eastAsia="仿宋" w:cs="仿宋"/>
          <w:sz w:val="24"/>
          <w:highlight w:val="none"/>
        </w:rPr>
        <w:t>华成宝</w:t>
      </w:r>
    </w:p>
    <w:p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highlight w:val="none"/>
        </w:rPr>
        <w:t>5、联系方式：</w:t>
      </w:r>
      <w:r>
        <w:rPr>
          <w:rFonts w:hint="default" w:ascii="仿宋" w:hAnsi="仿宋" w:eastAsia="仿宋" w:cs="仿宋"/>
          <w:sz w:val="24"/>
          <w:highlight w:val="none"/>
        </w:rPr>
        <w:t>15904318896</w:t>
      </w:r>
    </w:p>
    <w:p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6、生产地址：永吉县一拉溪镇杨木林村四社</w:t>
      </w:r>
      <w:r>
        <w:rPr>
          <w:rFonts w:hint="eastAsia" w:ascii="仿宋" w:hAnsi="仿宋" w:eastAsia="仿宋" w:cs="仿宋"/>
          <w:sz w:val="24"/>
          <w:highlight w:val="none"/>
        </w:rPr>
        <w:t> </w:t>
      </w:r>
    </w:p>
    <w:p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highlight w:val="none"/>
          <w:lang w:val="en-US" w:eastAsia="zh-CN"/>
        </w:rPr>
        <w:t>7、</w:t>
      </w:r>
      <w:r>
        <w:rPr>
          <w:rFonts w:hint="eastAsia" w:ascii="仿宋" w:hAnsi="仿宋" w:eastAsia="仿宋" w:cs="仿宋"/>
          <w:sz w:val="24"/>
          <w:highlight w:val="none"/>
        </w:rPr>
        <w:t>生产经营和管理服务的主要内容</w:t>
      </w:r>
      <w:r>
        <w:rPr>
          <w:rFonts w:hint="eastAsia" w:ascii="仿宋" w:hAnsi="仿宋" w:eastAsia="仿宋" w:cs="仿宋"/>
          <w:sz w:val="24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sz w:val="24"/>
          <w:highlight w:val="none"/>
        </w:rPr>
        <w:t>农产品初加工活动</w:t>
      </w:r>
      <w:r>
        <w:rPr>
          <w:rFonts w:hint="eastAsia" w:ascii="仿宋" w:hAnsi="仿宋" w:eastAsia="仿宋" w:cs="仿宋"/>
          <w:sz w:val="24"/>
          <w:highlight w:val="none"/>
          <w:lang w:val="en-US" w:eastAsia="zh-CN"/>
        </w:rPr>
        <w:t>。</w:t>
      </w:r>
    </w:p>
    <w:p>
      <w:pPr>
        <w:spacing w:line="360" w:lineRule="auto"/>
        <w:ind w:firstLine="482" w:firstLineChars="200"/>
        <w:rPr>
          <w:rFonts w:hint="eastAsia" w:ascii="仿宋" w:hAnsi="仿宋" w:eastAsia="仿宋" w:cs="仿宋"/>
          <w:b/>
          <w:bCs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二、企业排污信息</w:t>
      </w:r>
    </w:p>
    <w:p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lang w:val="en-US" w:eastAsia="zh-CN"/>
        </w:rPr>
      </w:pPr>
      <w:r>
        <w:rPr>
          <w:rFonts w:hint="eastAsia" w:ascii="仿宋" w:hAnsi="仿宋" w:eastAsia="仿宋" w:cs="仿宋"/>
          <w:sz w:val="24"/>
          <w:lang w:val="en-US" w:eastAsia="zh-CN"/>
        </w:rPr>
        <w:t>我单位2023年废气排放情况见下表。</w:t>
      </w:r>
    </w:p>
    <w:p>
      <w:pPr>
        <w:pStyle w:val="28"/>
        <w:keepNext w:val="0"/>
        <w:keepLines w:val="0"/>
        <w:widowControl/>
        <w:suppressLineNumbers w:val="0"/>
        <w:jc w:val="center"/>
        <w:rPr>
          <w:rFonts w:hint="default" w:ascii="仿宋_GB2312" w:hAnsi="宋体" w:eastAsia="仿宋_GB2312" w:cs="仿宋_GB2312"/>
          <w:kern w:val="0"/>
          <w:sz w:val="24"/>
          <w:szCs w:val="24"/>
        </w:rPr>
      </w:pPr>
      <w:r>
        <w:rPr>
          <w:rFonts w:hint="default" w:ascii="仿宋_GB2312" w:hAnsi="宋体" w:eastAsia="仿宋_GB2312" w:cs="仿宋_GB2312"/>
          <w:kern w:val="0"/>
          <w:sz w:val="24"/>
          <w:szCs w:val="24"/>
          <w:shd w:val="clear" w:fill="FFFFFF"/>
        </w:rPr>
        <w:t>表</w:t>
      </w:r>
      <w:r>
        <w:rPr>
          <w:rFonts w:hint="eastAsia" w:ascii="仿宋_GB2312" w:eastAsia="仿宋_GB2312" w:cs="仿宋_GB2312"/>
          <w:kern w:val="0"/>
          <w:sz w:val="24"/>
          <w:szCs w:val="24"/>
          <w:shd w:val="clear" w:fill="FFFFFF"/>
          <w:lang w:val="en-US" w:eastAsia="zh-CN"/>
        </w:rPr>
        <w:t>1</w:t>
      </w:r>
      <w:r>
        <w:rPr>
          <w:rFonts w:hint="default" w:ascii="仿宋_GB2312" w:hAnsi="宋体" w:eastAsia="仿宋_GB2312" w:cs="仿宋_GB2312"/>
          <w:kern w:val="0"/>
          <w:sz w:val="24"/>
          <w:szCs w:val="24"/>
          <w:shd w:val="clear" w:fill="FFFFFF"/>
        </w:rPr>
        <w:t>有组织废气污染物排放浓度监测数据统计表</w:t>
      </w:r>
    </w:p>
    <w:tbl>
      <w:tblPr>
        <w:tblStyle w:val="16"/>
        <w:tblW w:w="1417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119"/>
        <w:gridCol w:w="1043"/>
        <w:gridCol w:w="873"/>
        <w:gridCol w:w="2496"/>
        <w:gridCol w:w="2450"/>
        <w:gridCol w:w="1143"/>
        <w:gridCol w:w="1144"/>
        <w:gridCol w:w="1182"/>
        <w:gridCol w:w="1214"/>
        <w:gridCol w:w="978"/>
        <w:gridCol w:w="53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3" w:hRule="atLeast"/>
          <w:jc w:val="center"/>
        </w:trPr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排放口编号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污染物种类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监测设施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许可排放浓度限值（</w:t>
            </w: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mg/m</w:t>
            </w: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vertAlign w:val="superscript"/>
              </w:rPr>
              <w:t>3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）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有效监测数据（小时值）数量</w:t>
            </w:r>
          </w:p>
        </w:tc>
        <w:tc>
          <w:tcPr>
            <w:tcW w:w="0" w:type="auto"/>
            <w:gridSpan w:val="3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监测结果（折标，小时浓度）（</w:t>
            </w: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mg/m</w:t>
            </w: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vertAlign w:val="superscript"/>
              </w:rPr>
              <w:t>3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）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超标数据数量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超标率</w:t>
            </w: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(%)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最小值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最大值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平均值</w:t>
            </w: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0" w:type="auto"/>
            <w:vMerge w:val="restart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DA001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二氧化硫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手工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850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1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187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187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187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汞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手工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0.01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1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氮氧化物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手工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240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164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178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169.33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林格曼黑度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手工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1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1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颗粒物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手工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200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1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32.3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32.3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32.3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/</w:t>
            </w:r>
          </w:p>
        </w:tc>
      </w:tr>
    </w:tbl>
    <w:p>
      <w:pPr>
        <w:pStyle w:val="28"/>
        <w:keepNext w:val="0"/>
        <w:keepLines w:val="0"/>
        <w:widowControl/>
        <w:suppressLineNumbers w:val="0"/>
        <w:jc w:val="center"/>
        <w:rPr>
          <w:rFonts w:hint="default" w:ascii="仿宋_GB2312" w:hAnsi="宋体" w:eastAsia="仿宋_GB2312" w:cs="仿宋_GB2312"/>
          <w:kern w:val="0"/>
          <w:sz w:val="24"/>
          <w:szCs w:val="24"/>
        </w:rPr>
      </w:pPr>
      <w:r>
        <w:rPr>
          <w:rFonts w:hint="default" w:ascii="仿宋_GB2312" w:hAnsi="宋体" w:eastAsia="仿宋_GB2312" w:cs="仿宋_GB2312"/>
          <w:kern w:val="0"/>
          <w:sz w:val="24"/>
          <w:szCs w:val="24"/>
          <w:shd w:val="clear" w:fill="FFFFFF"/>
        </w:rPr>
        <w:t>表</w:t>
      </w:r>
      <w:r>
        <w:rPr>
          <w:rFonts w:hint="eastAsia" w:ascii="仿宋_GB2312" w:eastAsia="仿宋_GB2312" w:cs="仿宋_GB2312"/>
          <w:kern w:val="0"/>
          <w:sz w:val="24"/>
          <w:szCs w:val="24"/>
          <w:shd w:val="clear" w:fill="FFFFFF"/>
          <w:lang w:val="en-US" w:eastAsia="zh-CN"/>
        </w:rPr>
        <w:t>2</w:t>
      </w:r>
      <w:r>
        <w:rPr>
          <w:rFonts w:hint="default" w:ascii="仿宋_GB2312" w:hAnsi="宋体" w:eastAsia="仿宋_GB2312" w:cs="仿宋_GB2312"/>
          <w:kern w:val="0"/>
          <w:sz w:val="24"/>
          <w:szCs w:val="24"/>
          <w:shd w:val="clear" w:fill="FFFFFF"/>
        </w:rPr>
        <w:t xml:space="preserve"> 有组织废气污染物排放速率监测数据统计表</w:t>
      </w:r>
    </w:p>
    <w:tbl>
      <w:tblPr>
        <w:tblStyle w:val="16"/>
        <w:tblW w:w="1417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325"/>
        <w:gridCol w:w="1325"/>
        <w:gridCol w:w="2125"/>
        <w:gridCol w:w="2950"/>
        <w:gridCol w:w="862"/>
        <w:gridCol w:w="862"/>
        <w:gridCol w:w="862"/>
        <w:gridCol w:w="1558"/>
        <w:gridCol w:w="1210"/>
        <w:gridCol w:w="109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排放口编号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污染物种类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许可排放速率</w:t>
            </w: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(kg/h)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排放速率有效监测数据数量</w:t>
            </w:r>
          </w:p>
        </w:tc>
        <w:tc>
          <w:tcPr>
            <w:tcW w:w="0" w:type="auto"/>
            <w:gridSpan w:val="3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实际排放速率</w:t>
            </w: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(kg/h)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超标数据数量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超标率</w:t>
            </w: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(%)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超标原因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3" w:hRule="atLeast"/>
          <w:jc w:val="center"/>
        </w:trPr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最小值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最大值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平均值</w:t>
            </w: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0" w:type="auto"/>
            <w:vMerge w:val="restart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DA001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二氧化硫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1.0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3.838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3.838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3.838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汞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0.0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0.0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0.0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0.0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氮氧化物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3.0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3.406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3.76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3.535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林格曼黑度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1.0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0.0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0.0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0.0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颗粒物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1.0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0.663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0.663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0.663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/</w:t>
            </w:r>
          </w:p>
        </w:tc>
      </w:tr>
    </w:tbl>
    <w:p>
      <w:pPr>
        <w:pStyle w:val="28"/>
        <w:keepNext w:val="0"/>
        <w:keepLines w:val="0"/>
        <w:widowControl/>
        <w:suppressLineNumbers w:val="0"/>
        <w:jc w:val="center"/>
        <w:rPr>
          <w:rFonts w:hint="default" w:ascii="仿宋_GB2312" w:hAnsi="宋体" w:eastAsia="仿宋_GB2312" w:cs="仿宋_GB2312"/>
          <w:kern w:val="0"/>
          <w:sz w:val="24"/>
          <w:szCs w:val="24"/>
        </w:rPr>
      </w:pPr>
      <w:r>
        <w:rPr>
          <w:rFonts w:hint="default" w:ascii="仿宋_GB2312" w:hAnsi="宋体" w:eastAsia="仿宋_GB2312" w:cs="仿宋_GB2312"/>
          <w:kern w:val="0"/>
          <w:sz w:val="24"/>
          <w:szCs w:val="24"/>
          <w:shd w:val="clear" w:fill="FFFFFF"/>
        </w:rPr>
        <w:t>表</w:t>
      </w:r>
      <w:r>
        <w:rPr>
          <w:rFonts w:hint="eastAsia" w:ascii="仿宋_GB2312" w:eastAsia="仿宋_GB2312" w:cs="仿宋_GB2312"/>
          <w:kern w:val="0"/>
          <w:sz w:val="24"/>
          <w:szCs w:val="24"/>
          <w:shd w:val="clear" w:fill="FFFFFF"/>
          <w:lang w:val="en-US" w:eastAsia="zh-CN"/>
        </w:rPr>
        <w:t>3</w:t>
      </w:r>
      <w:r>
        <w:rPr>
          <w:rFonts w:hint="default" w:ascii="仿宋_GB2312" w:hAnsi="宋体" w:eastAsia="仿宋_GB2312" w:cs="仿宋_GB2312"/>
          <w:kern w:val="0"/>
          <w:sz w:val="24"/>
          <w:szCs w:val="24"/>
          <w:shd w:val="clear" w:fill="FFFFFF"/>
        </w:rPr>
        <w:t xml:space="preserve"> 无组织废气污染物排放浓度监测数据统计表</w:t>
      </w:r>
    </w:p>
    <w:tbl>
      <w:tblPr>
        <w:tblStyle w:val="16"/>
        <w:tblW w:w="1417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1"/>
        <w:gridCol w:w="2221"/>
        <w:gridCol w:w="1084"/>
        <w:gridCol w:w="2124"/>
        <w:gridCol w:w="1770"/>
        <w:gridCol w:w="990"/>
        <w:gridCol w:w="3635"/>
        <w:gridCol w:w="180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3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序号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生产设施</w:t>
            </w: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/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无组织排放编号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污染物种类</w:t>
            </w:r>
          </w:p>
        </w:tc>
        <w:tc>
          <w:tcPr>
            <w:tcW w:w="2123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许可排放浓度限值（</w:t>
            </w: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mg/m</w:t>
            </w: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vertAlign w:val="superscript"/>
              </w:rPr>
              <w:t>3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）</w:t>
            </w:r>
          </w:p>
        </w:tc>
        <w:tc>
          <w:tcPr>
            <w:tcW w:w="177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监测点位</w:t>
            </w: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/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设施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监测时间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浓度监测结果（折标，小时浓度，</w:t>
            </w: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mg/m</w:t>
            </w: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vertAlign w:val="superscript"/>
              </w:rPr>
              <w:t>3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）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是否超标及超标原因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0" w:type="auto"/>
            <w:vMerge w:val="restart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1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厂界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颗粒物</w:t>
            </w:r>
          </w:p>
        </w:tc>
        <w:tc>
          <w:tcPr>
            <w:tcW w:w="2123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1.0</w:t>
            </w:r>
          </w:p>
        </w:tc>
        <w:tc>
          <w:tcPr>
            <w:tcW w:w="177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厂界上风向</w:t>
            </w: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1#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20230129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0.083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1.0</w:t>
            </w:r>
          </w:p>
        </w:tc>
        <w:tc>
          <w:tcPr>
            <w:tcW w:w="177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厂界下风向</w:t>
            </w: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2#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20230129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0.113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1.0</w:t>
            </w:r>
          </w:p>
        </w:tc>
        <w:tc>
          <w:tcPr>
            <w:tcW w:w="177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厂界下风向</w:t>
            </w: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3#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20230129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0.109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1.0</w:t>
            </w:r>
          </w:p>
        </w:tc>
        <w:tc>
          <w:tcPr>
            <w:tcW w:w="177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厂界下风向</w:t>
            </w: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4#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20230129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0.101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</w:rPr>
              <w:t>/</w:t>
            </w:r>
          </w:p>
        </w:tc>
      </w:tr>
    </w:tbl>
    <w:p>
      <w:pPr>
        <w:keepNext w:val="0"/>
        <w:keepLines w:val="0"/>
        <w:widowControl/>
        <w:suppressLineNumbers w:val="0"/>
        <w:jc w:val="center"/>
        <w:rPr>
          <w:rFonts w:hint="default" w:ascii="仿宋_GB2312" w:hAnsi="宋体" w:eastAsia="仿宋_GB2312" w:cs="仿宋_GB2312"/>
          <w:kern w:val="0"/>
          <w:sz w:val="24"/>
          <w:szCs w:val="24"/>
        </w:rPr>
      </w:pPr>
      <w:r>
        <w:rPr>
          <w:rFonts w:hint="default" w:ascii="仿宋_GB2312" w:hAnsi="宋体" w:eastAsia="仿宋_GB2312" w:cs="仿宋_GB2312"/>
          <w:kern w:val="0"/>
          <w:sz w:val="24"/>
          <w:szCs w:val="24"/>
        </w:rPr>
        <w:t>表</w:t>
      </w:r>
      <w:r>
        <w:rPr>
          <w:rFonts w:hint="eastAsia" w:ascii="仿宋_GB2312" w:hAnsi="宋体" w:eastAsia="仿宋_GB2312" w:cs="仿宋_GB2312"/>
          <w:kern w:val="0"/>
          <w:sz w:val="24"/>
          <w:szCs w:val="24"/>
          <w:lang w:val="en-US" w:eastAsia="zh-CN"/>
        </w:rPr>
        <w:t xml:space="preserve">4 </w:t>
      </w:r>
      <w:r>
        <w:rPr>
          <w:rFonts w:hint="default" w:ascii="仿宋_GB2312" w:hAnsi="宋体" w:eastAsia="仿宋_GB2312" w:cs="仿宋_GB2312"/>
          <w:kern w:val="0"/>
          <w:sz w:val="24"/>
          <w:szCs w:val="24"/>
        </w:rPr>
        <w:t xml:space="preserve"> 废气排放量</w:t>
      </w:r>
    </w:p>
    <w:tbl>
      <w:tblPr>
        <w:tblStyle w:val="16"/>
        <w:tblW w:w="1417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004"/>
        <w:gridCol w:w="716"/>
        <w:gridCol w:w="716"/>
        <w:gridCol w:w="1288"/>
        <w:gridCol w:w="4152"/>
        <w:gridCol w:w="764"/>
        <w:gridCol w:w="764"/>
        <w:gridCol w:w="764"/>
        <w:gridCol w:w="764"/>
        <w:gridCol w:w="1095"/>
        <w:gridCol w:w="114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00" w:type="pct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排放口类型</w:t>
            </w:r>
          </w:p>
        </w:tc>
        <w:tc>
          <w:tcPr>
            <w:tcW w:w="250" w:type="pct"/>
            <w:vMerge w:val="restart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排放口编码</w:t>
            </w:r>
          </w:p>
        </w:tc>
        <w:tc>
          <w:tcPr>
            <w:tcW w:w="250" w:type="pct"/>
            <w:vMerge w:val="restart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排放口名称</w:t>
            </w:r>
          </w:p>
        </w:tc>
        <w:tc>
          <w:tcPr>
            <w:tcW w:w="450" w:type="pct"/>
            <w:vMerge w:val="restart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污染物</w:t>
            </w:r>
          </w:p>
        </w:tc>
        <w:tc>
          <w:tcPr>
            <w:tcW w:w="1450" w:type="pct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许可排放量（吨）</w:t>
            </w:r>
          </w:p>
        </w:tc>
        <w:tc>
          <w:tcPr>
            <w:tcW w:w="1450" w:type="pct"/>
            <w:gridSpan w:val="5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实际排放量（吨）</w:t>
            </w:r>
          </w:p>
        </w:tc>
        <w:tc>
          <w:tcPr>
            <w:tcW w:w="400" w:type="pct"/>
            <w:vMerge w:val="restart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00" w:type="pct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</w:tc>
        <w:tc>
          <w:tcPr>
            <w:tcW w:w="250" w:type="pct"/>
            <w:vMerge w:val="continue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</w:tc>
        <w:tc>
          <w:tcPr>
            <w:tcW w:w="250" w:type="pct"/>
            <w:vMerge w:val="continue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</w:tc>
        <w:tc>
          <w:tcPr>
            <w:tcW w:w="450" w:type="pct"/>
            <w:vMerge w:val="continue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年度合计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  <w:t>1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季度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  <w:t>2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季度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  <w:t>3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季度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  <w:t>4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季度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年度合计</w:t>
            </w:r>
          </w:p>
        </w:tc>
        <w:tc>
          <w:tcPr>
            <w:tcW w:w="400" w:type="pct"/>
            <w:vMerge w:val="continue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gridSpan w:val="3"/>
            <w:vMerge w:val="restart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全厂合计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颗粒物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  <w:t>/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  <w:t>0.788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  <w:t>0.788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gridSpan w:val="3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  <w:t>VOCs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  <w:t>/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gridSpan w:val="3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  <w:t>SO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  <w:t>/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  <w:t>4.5627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  <w:t>4.5627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gridSpan w:val="3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  <w:t>NOx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  <w:t>/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  <w:t>4.0503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  <w:t>4.0503</w:t>
            </w:r>
          </w:p>
        </w:tc>
        <w:tc>
          <w:tcPr>
            <w:tcW w:w="0" w:type="auto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sz w:val="21"/>
                <w:szCs w:val="21"/>
              </w:rPr>
              <w:t>/</w:t>
            </w:r>
          </w:p>
        </w:tc>
      </w:tr>
    </w:tbl>
    <w:p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lang w:val="en-US" w:eastAsia="zh-CN"/>
        </w:rPr>
      </w:pPr>
      <w:r>
        <w:rPr>
          <w:rFonts w:hint="eastAsia" w:ascii="仿宋" w:hAnsi="仿宋" w:eastAsia="仿宋" w:cs="仿宋"/>
          <w:sz w:val="24"/>
          <w:lang w:val="en-US" w:eastAsia="zh-CN"/>
        </w:rPr>
        <w:t>综上，我单位2023年废气均能够达标排放，无超标情况。</w:t>
      </w:r>
    </w:p>
    <w:p>
      <w:pPr>
        <w:spacing w:line="360" w:lineRule="auto"/>
        <w:ind w:firstLine="482" w:firstLineChars="200"/>
        <w:rPr>
          <w:rFonts w:hint="eastAsia" w:ascii="仿宋" w:hAnsi="仿宋" w:eastAsia="仿宋" w:cs="仿宋"/>
          <w:b/>
          <w:bCs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三、</w:t>
      </w:r>
      <w:r>
        <w:rPr>
          <w:rFonts w:hint="eastAsia" w:ascii="仿宋" w:hAnsi="仿宋" w:eastAsia="仿宋" w:cs="仿宋"/>
          <w:b/>
          <w:bCs/>
          <w:sz w:val="24"/>
        </w:rPr>
        <w:t>污染</w:t>
      </w:r>
      <w:r>
        <w:rPr>
          <w:rFonts w:hint="eastAsia" w:ascii="仿宋" w:hAnsi="仿宋" w:eastAsia="仿宋" w:cs="仿宋"/>
          <w:b/>
          <w:bCs/>
          <w:sz w:val="24"/>
          <w:lang w:val="en-US" w:eastAsia="zh-CN"/>
        </w:rPr>
        <w:t>治理</w:t>
      </w:r>
      <w:r>
        <w:rPr>
          <w:rFonts w:hint="eastAsia" w:ascii="仿宋" w:hAnsi="仿宋" w:eastAsia="仿宋" w:cs="仿宋"/>
          <w:b/>
          <w:bCs/>
          <w:sz w:val="24"/>
        </w:rPr>
        <w:t>设施的建设和运行情况</w:t>
      </w:r>
    </w:p>
    <w:p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lang w:val="en-US" w:eastAsia="zh-CN"/>
        </w:rPr>
      </w:pPr>
      <w:r>
        <w:rPr>
          <w:rFonts w:hint="eastAsia" w:ascii="仿宋" w:hAnsi="仿宋" w:eastAsia="仿宋" w:cs="仿宋"/>
          <w:sz w:val="24"/>
          <w:lang w:val="en-US" w:eastAsia="zh-CN"/>
        </w:rPr>
        <w:t>2023年我单位污染防治设施运行正常，未发生环境污染事故。</w:t>
      </w:r>
    </w:p>
    <w:p>
      <w:pPr>
        <w:spacing w:line="360" w:lineRule="auto"/>
        <w:ind w:firstLine="482" w:firstLineChars="200"/>
        <w:rPr>
          <w:rFonts w:hint="eastAsia" w:ascii="仿宋" w:hAnsi="仿宋" w:eastAsia="仿宋" w:cs="仿宋"/>
          <w:b/>
          <w:bCs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四、环境影响评价制度及其他环境保护行政许可执行情况</w:t>
      </w:r>
    </w:p>
    <w:p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1、环境影响评价执行情况</w:t>
      </w:r>
    </w:p>
    <w:p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  <w:lang w:val="en-US" w:eastAsia="zh-CN"/>
        </w:rPr>
        <w:t>我单位</w:t>
      </w:r>
      <w:r>
        <w:rPr>
          <w:rFonts w:hint="eastAsia" w:ascii="仿宋" w:hAnsi="仿宋" w:eastAsia="仿宋" w:cs="仿宋"/>
          <w:sz w:val="24"/>
        </w:rPr>
        <w:t>环境影响评价开展情况见下表</w:t>
      </w:r>
      <w:r>
        <w:rPr>
          <w:rFonts w:hint="eastAsia" w:ascii="仿宋" w:hAnsi="仿宋" w:eastAsia="仿宋" w:cs="仿宋"/>
          <w:sz w:val="24"/>
          <w:lang w:eastAsia="zh-CN"/>
        </w:rPr>
        <w:t>，</w:t>
      </w:r>
      <w:r>
        <w:rPr>
          <w:rFonts w:hint="eastAsia" w:ascii="仿宋" w:hAnsi="仿宋" w:eastAsia="仿宋" w:cs="仿宋"/>
          <w:sz w:val="24"/>
          <w:lang w:val="en-US" w:eastAsia="zh-CN"/>
        </w:rPr>
        <w:t>具体批复内容见附件</w:t>
      </w:r>
      <w:r>
        <w:rPr>
          <w:rFonts w:hint="eastAsia" w:ascii="仿宋" w:hAnsi="仿宋" w:eastAsia="仿宋" w:cs="仿宋"/>
          <w:sz w:val="24"/>
        </w:rPr>
        <w:t>。</w:t>
      </w:r>
    </w:p>
    <w:p>
      <w:pPr>
        <w:pStyle w:val="29"/>
        <w:spacing w:line="360" w:lineRule="auto"/>
        <w:jc w:val="center"/>
        <w:rPr>
          <w:rFonts w:hint="eastAsia" w:ascii="仿宋" w:hAnsi="仿宋" w:eastAsia="仿宋" w:cs="仿宋"/>
          <w:b/>
          <w:bCs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表</w:t>
      </w:r>
      <w:r>
        <w:rPr>
          <w:rFonts w:hint="eastAsia" w:ascii="仿宋" w:hAnsi="仿宋" w:eastAsia="仿宋" w:cs="仿宋"/>
          <w:b/>
          <w:bCs/>
          <w:sz w:val="24"/>
          <w:lang w:val="en-US" w:eastAsia="zh-CN"/>
        </w:rPr>
        <w:t>2</w:t>
      </w:r>
      <w:r>
        <w:rPr>
          <w:rFonts w:hint="eastAsia" w:ascii="仿宋" w:hAnsi="仿宋" w:eastAsia="仿宋" w:cs="仿宋"/>
          <w:b/>
          <w:bCs/>
          <w:sz w:val="24"/>
        </w:rPr>
        <w:t xml:space="preserve">  企业环境影响评价及竣工环保验收开展情况</w:t>
      </w:r>
    </w:p>
    <w:tbl>
      <w:tblPr>
        <w:tblStyle w:val="16"/>
        <w:tblW w:w="14173" w:type="dxa"/>
        <w:tblInd w:w="0" w:type="dxa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1"/>
        <w:gridCol w:w="8508"/>
        <w:gridCol w:w="4344"/>
      </w:tblGrid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" w:hRule="atLeast"/>
        </w:trPr>
        <w:tc>
          <w:tcPr>
            <w:tcW w:w="466" w:type="pct"/>
            <w:noWrap w:val="0"/>
            <w:vAlign w:val="center"/>
          </w:tcPr>
          <w:p>
            <w:pPr>
              <w:pStyle w:val="29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序号</w:t>
            </w:r>
          </w:p>
        </w:tc>
        <w:tc>
          <w:tcPr>
            <w:tcW w:w="3001" w:type="pct"/>
            <w:noWrap w:val="0"/>
            <w:vAlign w:val="center"/>
          </w:tcPr>
          <w:p>
            <w:pPr>
              <w:pStyle w:val="29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项目名称</w:t>
            </w:r>
          </w:p>
        </w:tc>
        <w:tc>
          <w:tcPr>
            <w:tcW w:w="1532" w:type="pct"/>
            <w:noWrap w:val="0"/>
            <w:vAlign w:val="center"/>
          </w:tcPr>
          <w:p>
            <w:pPr>
              <w:pStyle w:val="29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环评批复文号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6" w:type="pct"/>
            <w:noWrap w:val="0"/>
            <w:vAlign w:val="center"/>
          </w:tcPr>
          <w:p>
            <w:pPr>
              <w:pStyle w:val="29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</w:t>
            </w:r>
          </w:p>
        </w:tc>
        <w:tc>
          <w:tcPr>
            <w:tcW w:w="3001" w:type="pct"/>
            <w:noWrap w:val="0"/>
            <w:vAlign w:val="center"/>
          </w:tcPr>
          <w:p>
            <w:pPr>
              <w:pStyle w:val="29"/>
              <w:jc w:val="center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永吉县伊兴粮油有限公司建设项目环境影响现状评价</w:t>
            </w:r>
          </w:p>
        </w:tc>
        <w:tc>
          <w:tcPr>
            <w:tcW w:w="1532" w:type="pct"/>
            <w:noWrap w:val="0"/>
            <w:vAlign w:val="center"/>
          </w:tcPr>
          <w:p>
            <w:pPr>
              <w:pStyle w:val="29"/>
              <w:jc w:val="center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永环建表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备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（书）字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[2016]80号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排污许可执行情况</w:t>
      </w:r>
    </w:p>
    <w:p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lang w:val="en-US" w:eastAsia="zh-CN"/>
        </w:rPr>
      </w:pPr>
      <w:r>
        <w:rPr>
          <w:rFonts w:hint="eastAsia" w:ascii="仿宋" w:hAnsi="仿宋" w:eastAsia="仿宋" w:cs="仿宋"/>
          <w:sz w:val="24"/>
          <w:lang w:val="en-US" w:eastAsia="zh-CN"/>
        </w:rPr>
        <w:t>我单位于</w:t>
      </w:r>
      <w:r>
        <w:rPr>
          <w:rFonts w:hint="eastAsia" w:ascii="仿宋" w:hAnsi="仿宋" w:eastAsia="仿宋" w:cs="仿宋"/>
          <w:sz w:val="24"/>
          <w:lang w:val="en-US" w:eastAsia="zh-CN"/>
        </w:rPr>
        <w:t>2020年</w:t>
      </w:r>
      <w:r>
        <w:rPr>
          <w:rFonts w:hint="eastAsia" w:ascii="仿宋" w:hAnsi="仿宋" w:eastAsia="仿宋" w:cs="仿宋"/>
          <w:sz w:val="24"/>
          <w:lang w:val="en-US" w:eastAsia="zh-CN"/>
        </w:rPr>
        <w:t>6月</w:t>
      </w:r>
      <w:r>
        <w:rPr>
          <w:rFonts w:hint="eastAsia" w:ascii="仿宋" w:hAnsi="仿宋" w:eastAsia="仿宋" w:cs="仿宋"/>
          <w:sz w:val="24"/>
          <w:lang w:val="en-US" w:eastAsia="zh-CN"/>
        </w:rPr>
        <w:t>29日取得排污许可证，许可证编号为912202210540641495001Q；</w:t>
      </w:r>
    </w:p>
    <w:p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lang w:val="en-US" w:eastAsia="zh-CN"/>
        </w:rPr>
      </w:pPr>
      <w:r>
        <w:rPr>
          <w:rFonts w:hint="eastAsia" w:ascii="仿宋" w:hAnsi="仿宋" w:eastAsia="仿宋" w:cs="仿宋"/>
          <w:sz w:val="24"/>
          <w:lang w:val="en-US" w:eastAsia="zh-CN"/>
        </w:rPr>
        <w:t>于2021年4月12日变更排污排污许可证，许可证编号为912202210540641495001Q；</w:t>
      </w:r>
    </w:p>
    <w:p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lang w:val="en-US" w:eastAsia="zh-CN"/>
        </w:rPr>
      </w:pPr>
      <w:r>
        <w:rPr>
          <w:rFonts w:hint="eastAsia" w:ascii="仿宋" w:hAnsi="仿宋" w:eastAsia="仿宋" w:cs="仿宋"/>
          <w:sz w:val="24"/>
          <w:lang w:val="en-US" w:eastAsia="zh-CN"/>
        </w:rPr>
        <w:t>于2023年5月17日延续排污许可证，许可证编号为912202210540641495001Q；</w:t>
      </w:r>
    </w:p>
    <w:p>
      <w:pPr>
        <w:spacing w:line="360" w:lineRule="auto"/>
        <w:ind w:firstLine="480" w:firstLineChars="200"/>
        <w:rPr>
          <w:rFonts w:hint="default" w:ascii="仿宋" w:hAnsi="仿宋" w:eastAsia="仿宋" w:cs="仿宋"/>
          <w:sz w:val="24"/>
          <w:lang w:val="en-US" w:eastAsia="zh-CN"/>
        </w:rPr>
      </w:pPr>
      <w:r>
        <w:rPr>
          <w:rFonts w:hint="eastAsia" w:ascii="仿宋" w:hAnsi="仿宋" w:eastAsia="仿宋" w:cs="仿宋"/>
          <w:sz w:val="24"/>
          <w:lang w:val="en-US" w:eastAsia="zh-CN"/>
        </w:rPr>
        <w:t>与2023年8月14日变更排污许可证，许可证编号为912202210540641495001Q</w:t>
      </w:r>
      <w:r>
        <w:rPr>
          <w:rFonts w:hint="eastAsia" w:ascii="仿宋" w:hAnsi="仿宋" w:eastAsia="仿宋" w:cs="仿宋"/>
          <w:sz w:val="24"/>
          <w:lang w:val="en-US" w:eastAsia="zh-CN"/>
        </w:rPr>
        <w:t>。</w:t>
      </w:r>
    </w:p>
    <w:p>
      <w:pPr>
        <w:pStyle w:val="2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ind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lang w:val="en-US" w:eastAsia="zh-CN"/>
        </w:rPr>
        <w:t>五、排污许可证执行报告相关内容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  <w:lang w:val="en-US" w:eastAsia="zh-CN"/>
        </w:rPr>
        <w:t>我单位</w:t>
      </w:r>
      <w:r>
        <w:rPr>
          <w:rFonts w:hint="eastAsia" w:ascii="仿宋" w:hAnsi="仿宋" w:eastAsia="仿宋" w:cs="仿宋"/>
          <w:sz w:val="24"/>
        </w:rPr>
        <w:t>已在排污许可填报网站进行填报。</w:t>
      </w:r>
    </w:p>
    <w:p>
      <w:pPr>
        <w:rPr>
          <w:rFonts w:hint="default" w:eastAsia="宋体"/>
          <w:b/>
          <w:bCs/>
          <w:lang w:val="en-US" w:eastAsia="zh-CN"/>
        </w:rPr>
      </w:pPr>
      <w:r>
        <w:rPr>
          <w:rFonts w:hint="default" w:eastAsia="宋体"/>
          <w:b/>
          <w:bCs/>
          <w:lang w:val="en-US" w:eastAsia="zh-CN"/>
        </w:rPr>
        <w:drawing>
          <wp:inline distT="0" distB="0" distL="114300" distR="114300">
            <wp:extent cx="8523605" cy="1813560"/>
            <wp:effectExtent l="0" t="0" r="10795" b="15240"/>
            <wp:docPr id="1" name="图片 1" descr="75c05904dce90c56fcc54a1cc279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75c05904dce90c56fcc54a1cc27911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523605" cy="1813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ind w:left="630" w:leftChars="0"/>
        <w:textAlignment w:val="auto"/>
        <w:rPr>
          <w:rFonts w:hint="eastAsia" w:ascii="仿宋" w:hAnsi="仿宋" w:eastAsia="仿宋" w:cs="仿宋"/>
          <w:b/>
          <w:bCs/>
          <w:sz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lang w:val="en-US" w:eastAsia="zh-CN"/>
        </w:rPr>
        <w:t>六、其他应当公开的环境信息</w:t>
      </w:r>
    </w:p>
    <w:p>
      <w:pPr>
        <w:pStyle w:val="2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default" w:eastAsia="宋体"/>
          <w:b/>
          <w:bCs/>
          <w:lang w:val="en-US" w:eastAsia="zh-CN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无。</w:t>
      </w:r>
      <w:bookmarkStart w:id="0" w:name="_GoBack"/>
      <w:bookmarkEnd w:id="0"/>
    </w:p>
    <w:sectPr>
      <w:pgSz w:w="16840" w:h="11910" w:orient="landscape"/>
      <w:pgMar w:top="1701" w:right="1701" w:bottom="1701" w:left="1701" w:header="737" w:footer="1083" w:gutter="0"/>
      <w:lnNumType w:countBy="0" w:distance="360"/>
      <w:cols w:equalWidth="0" w:num="1">
        <w:col w:w="9850"/>
      </w:cols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E58A786"/>
    <w:multiLevelType w:val="singleLevel"/>
    <w:tmpl w:val="9E58A78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F7783414"/>
    <w:multiLevelType w:val="singleLevel"/>
    <w:tmpl w:val="F7783414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AzYjRkYjZhNWRiMWFiMTNhNWE3YzhmZDY2ODE4NjUifQ=="/>
  </w:docVars>
  <w:rsids>
    <w:rsidRoot w:val="00000000"/>
    <w:rsid w:val="01166996"/>
    <w:rsid w:val="011C57F0"/>
    <w:rsid w:val="01B525A3"/>
    <w:rsid w:val="01E13118"/>
    <w:rsid w:val="01FC299B"/>
    <w:rsid w:val="02125978"/>
    <w:rsid w:val="02A92147"/>
    <w:rsid w:val="02EB3C7B"/>
    <w:rsid w:val="033F2343"/>
    <w:rsid w:val="03BA7DBD"/>
    <w:rsid w:val="04180992"/>
    <w:rsid w:val="04F075B3"/>
    <w:rsid w:val="05325945"/>
    <w:rsid w:val="05680631"/>
    <w:rsid w:val="06306D33"/>
    <w:rsid w:val="0648059B"/>
    <w:rsid w:val="06874187"/>
    <w:rsid w:val="07F667FB"/>
    <w:rsid w:val="086F108C"/>
    <w:rsid w:val="08CB5729"/>
    <w:rsid w:val="08E74686"/>
    <w:rsid w:val="094224A8"/>
    <w:rsid w:val="09567FBC"/>
    <w:rsid w:val="096C63E3"/>
    <w:rsid w:val="09942142"/>
    <w:rsid w:val="0C091415"/>
    <w:rsid w:val="0CBB5E78"/>
    <w:rsid w:val="0CD62FC6"/>
    <w:rsid w:val="0D6D5611"/>
    <w:rsid w:val="0D7C6593"/>
    <w:rsid w:val="0D7E2F6B"/>
    <w:rsid w:val="0DA27AF9"/>
    <w:rsid w:val="0E4F1C6E"/>
    <w:rsid w:val="0FE95EB3"/>
    <w:rsid w:val="0FEF62B8"/>
    <w:rsid w:val="10594086"/>
    <w:rsid w:val="10E14319"/>
    <w:rsid w:val="118228C1"/>
    <w:rsid w:val="11D9032C"/>
    <w:rsid w:val="128D50C5"/>
    <w:rsid w:val="12C123E1"/>
    <w:rsid w:val="131403E3"/>
    <w:rsid w:val="137A6016"/>
    <w:rsid w:val="13C7662E"/>
    <w:rsid w:val="13CD65D0"/>
    <w:rsid w:val="143F1A95"/>
    <w:rsid w:val="14512BFE"/>
    <w:rsid w:val="15C10B70"/>
    <w:rsid w:val="161557C5"/>
    <w:rsid w:val="1677751A"/>
    <w:rsid w:val="1678658B"/>
    <w:rsid w:val="17D45A50"/>
    <w:rsid w:val="1809216A"/>
    <w:rsid w:val="18603D4B"/>
    <w:rsid w:val="18CE5ABA"/>
    <w:rsid w:val="19611A04"/>
    <w:rsid w:val="198D3D53"/>
    <w:rsid w:val="19904B67"/>
    <w:rsid w:val="19D313C1"/>
    <w:rsid w:val="1A1C56EC"/>
    <w:rsid w:val="1B335591"/>
    <w:rsid w:val="1B5F5D02"/>
    <w:rsid w:val="1B672655"/>
    <w:rsid w:val="1B93345B"/>
    <w:rsid w:val="1BAE5FD8"/>
    <w:rsid w:val="1BCE705F"/>
    <w:rsid w:val="1BD77DC9"/>
    <w:rsid w:val="1C1F7B11"/>
    <w:rsid w:val="1C350543"/>
    <w:rsid w:val="1CD46018"/>
    <w:rsid w:val="1D2622CA"/>
    <w:rsid w:val="1EB076C5"/>
    <w:rsid w:val="1F80397A"/>
    <w:rsid w:val="1FCE5139"/>
    <w:rsid w:val="20B302B8"/>
    <w:rsid w:val="21D3730A"/>
    <w:rsid w:val="22AE7B89"/>
    <w:rsid w:val="23754E03"/>
    <w:rsid w:val="248B66FD"/>
    <w:rsid w:val="24ED1ACA"/>
    <w:rsid w:val="2504413A"/>
    <w:rsid w:val="25191615"/>
    <w:rsid w:val="25580B6F"/>
    <w:rsid w:val="25867706"/>
    <w:rsid w:val="259C153F"/>
    <w:rsid w:val="25AD4029"/>
    <w:rsid w:val="25B26935"/>
    <w:rsid w:val="25BA7B6B"/>
    <w:rsid w:val="25F15A63"/>
    <w:rsid w:val="2649180A"/>
    <w:rsid w:val="266755DE"/>
    <w:rsid w:val="270E7961"/>
    <w:rsid w:val="27716A62"/>
    <w:rsid w:val="280A58C7"/>
    <w:rsid w:val="28941D46"/>
    <w:rsid w:val="28EA55C6"/>
    <w:rsid w:val="29E94AA7"/>
    <w:rsid w:val="2A23456B"/>
    <w:rsid w:val="2A6F5119"/>
    <w:rsid w:val="2A8369A8"/>
    <w:rsid w:val="2AFD3E54"/>
    <w:rsid w:val="2B5B0935"/>
    <w:rsid w:val="2DEE3D18"/>
    <w:rsid w:val="2E360D7A"/>
    <w:rsid w:val="2F324D29"/>
    <w:rsid w:val="2F4B1946"/>
    <w:rsid w:val="2F5D1950"/>
    <w:rsid w:val="2F7E4540"/>
    <w:rsid w:val="30056FD0"/>
    <w:rsid w:val="31D27DF0"/>
    <w:rsid w:val="325E1979"/>
    <w:rsid w:val="32B6054D"/>
    <w:rsid w:val="32C32A73"/>
    <w:rsid w:val="33012957"/>
    <w:rsid w:val="330E0AF4"/>
    <w:rsid w:val="33EB0726"/>
    <w:rsid w:val="344F6863"/>
    <w:rsid w:val="355D0CB9"/>
    <w:rsid w:val="35F43A20"/>
    <w:rsid w:val="36177674"/>
    <w:rsid w:val="369A30F8"/>
    <w:rsid w:val="36C6225F"/>
    <w:rsid w:val="37107AA5"/>
    <w:rsid w:val="3747592C"/>
    <w:rsid w:val="37765730"/>
    <w:rsid w:val="37BC60CA"/>
    <w:rsid w:val="37D556C3"/>
    <w:rsid w:val="388D5B77"/>
    <w:rsid w:val="3A5F2781"/>
    <w:rsid w:val="3B3C0461"/>
    <w:rsid w:val="3BBC0F02"/>
    <w:rsid w:val="3BE73730"/>
    <w:rsid w:val="3C3B4D82"/>
    <w:rsid w:val="3D461955"/>
    <w:rsid w:val="3EC77547"/>
    <w:rsid w:val="3EF94879"/>
    <w:rsid w:val="3F3D47DC"/>
    <w:rsid w:val="40053E9D"/>
    <w:rsid w:val="400632F9"/>
    <w:rsid w:val="401F6FF2"/>
    <w:rsid w:val="411374C6"/>
    <w:rsid w:val="41EA32DC"/>
    <w:rsid w:val="429D1DC2"/>
    <w:rsid w:val="42A16572"/>
    <w:rsid w:val="42CA7D61"/>
    <w:rsid w:val="436112E1"/>
    <w:rsid w:val="439334A6"/>
    <w:rsid w:val="439B4F6E"/>
    <w:rsid w:val="439D2817"/>
    <w:rsid w:val="44692B43"/>
    <w:rsid w:val="44AF3298"/>
    <w:rsid w:val="4649380A"/>
    <w:rsid w:val="468B29E4"/>
    <w:rsid w:val="46EE03B3"/>
    <w:rsid w:val="480A3D7A"/>
    <w:rsid w:val="48526183"/>
    <w:rsid w:val="486017F8"/>
    <w:rsid w:val="49884D82"/>
    <w:rsid w:val="4C3349A9"/>
    <w:rsid w:val="4C97111A"/>
    <w:rsid w:val="4D2F014A"/>
    <w:rsid w:val="4D483BBA"/>
    <w:rsid w:val="4D4B31EA"/>
    <w:rsid w:val="4DC9706C"/>
    <w:rsid w:val="4EBA6183"/>
    <w:rsid w:val="4F9842DC"/>
    <w:rsid w:val="4FA64FD9"/>
    <w:rsid w:val="50E94B79"/>
    <w:rsid w:val="51040CAF"/>
    <w:rsid w:val="513242BC"/>
    <w:rsid w:val="516E567F"/>
    <w:rsid w:val="51A75707"/>
    <w:rsid w:val="51B85528"/>
    <w:rsid w:val="52140107"/>
    <w:rsid w:val="52236ABD"/>
    <w:rsid w:val="527A572D"/>
    <w:rsid w:val="52960AF4"/>
    <w:rsid w:val="53182CC2"/>
    <w:rsid w:val="535E56F6"/>
    <w:rsid w:val="54464757"/>
    <w:rsid w:val="54572672"/>
    <w:rsid w:val="55443755"/>
    <w:rsid w:val="555D0DDF"/>
    <w:rsid w:val="56941E21"/>
    <w:rsid w:val="56A210D1"/>
    <w:rsid w:val="573314A8"/>
    <w:rsid w:val="576B2B8F"/>
    <w:rsid w:val="578A3E50"/>
    <w:rsid w:val="57994194"/>
    <w:rsid w:val="58AF0BCD"/>
    <w:rsid w:val="59590430"/>
    <w:rsid w:val="59747B68"/>
    <w:rsid w:val="5A544371"/>
    <w:rsid w:val="5A8662BF"/>
    <w:rsid w:val="5AC53D8B"/>
    <w:rsid w:val="5AEC0E02"/>
    <w:rsid w:val="5B432E0A"/>
    <w:rsid w:val="5B4B57DE"/>
    <w:rsid w:val="5BC22D66"/>
    <w:rsid w:val="5BCF0735"/>
    <w:rsid w:val="5BFB717B"/>
    <w:rsid w:val="5C531CD4"/>
    <w:rsid w:val="5C952586"/>
    <w:rsid w:val="5D172250"/>
    <w:rsid w:val="5DA152FF"/>
    <w:rsid w:val="5E362CAE"/>
    <w:rsid w:val="5E7B487C"/>
    <w:rsid w:val="5EAC56AE"/>
    <w:rsid w:val="5F5F588F"/>
    <w:rsid w:val="5F900A4A"/>
    <w:rsid w:val="60110C60"/>
    <w:rsid w:val="604F079B"/>
    <w:rsid w:val="617C770C"/>
    <w:rsid w:val="618D1D66"/>
    <w:rsid w:val="61CA741B"/>
    <w:rsid w:val="623C780C"/>
    <w:rsid w:val="62685B1D"/>
    <w:rsid w:val="63E60382"/>
    <w:rsid w:val="645031A6"/>
    <w:rsid w:val="648258C3"/>
    <w:rsid w:val="649517EE"/>
    <w:rsid w:val="64D46D2C"/>
    <w:rsid w:val="64FD3107"/>
    <w:rsid w:val="678E6DBE"/>
    <w:rsid w:val="681F026C"/>
    <w:rsid w:val="68733660"/>
    <w:rsid w:val="68B867AD"/>
    <w:rsid w:val="68FC1516"/>
    <w:rsid w:val="694F67FF"/>
    <w:rsid w:val="69C96023"/>
    <w:rsid w:val="6A2E022F"/>
    <w:rsid w:val="6A6A13C9"/>
    <w:rsid w:val="6B1747F7"/>
    <w:rsid w:val="6DC902E2"/>
    <w:rsid w:val="6E485353"/>
    <w:rsid w:val="6E95347E"/>
    <w:rsid w:val="705838E8"/>
    <w:rsid w:val="70631E7B"/>
    <w:rsid w:val="70863FCB"/>
    <w:rsid w:val="70BC7930"/>
    <w:rsid w:val="717C2006"/>
    <w:rsid w:val="7277242F"/>
    <w:rsid w:val="736D532C"/>
    <w:rsid w:val="73B81E44"/>
    <w:rsid w:val="73CD0EC7"/>
    <w:rsid w:val="74652E05"/>
    <w:rsid w:val="747F00E4"/>
    <w:rsid w:val="74C24148"/>
    <w:rsid w:val="7536480C"/>
    <w:rsid w:val="757E419B"/>
    <w:rsid w:val="757F1199"/>
    <w:rsid w:val="760E5577"/>
    <w:rsid w:val="775D77A0"/>
    <w:rsid w:val="77C754FC"/>
    <w:rsid w:val="79EB59C1"/>
    <w:rsid w:val="7A67323D"/>
    <w:rsid w:val="7AA61C82"/>
    <w:rsid w:val="7AAE4714"/>
    <w:rsid w:val="7B822365"/>
    <w:rsid w:val="7B942B19"/>
    <w:rsid w:val="7D1149AE"/>
    <w:rsid w:val="7D1D6332"/>
    <w:rsid w:val="7E43661B"/>
    <w:rsid w:val="7E4E3A2E"/>
    <w:rsid w:val="7F626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25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1"/>
    <w:autoRedefine/>
    <w:qFormat/>
    <w:uiPriority w:val="0"/>
    <w:pPr>
      <w:keepNext/>
      <w:overflowPunct w:val="0"/>
      <w:snapToGrid w:val="0"/>
      <w:spacing w:line="360" w:lineRule="auto"/>
      <w:ind w:left="0" w:firstLine="0" w:firstLineChars="0"/>
      <w:jc w:val="center"/>
      <w:outlineLvl w:val="0"/>
    </w:pPr>
    <w:rPr>
      <w:rFonts w:ascii="Times New Roman" w:hAnsi="Times New Roman" w:eastAsia="宋体" w:cs="Times New Roman"/>
      <w:b/>
      <w:bCs/>
      <w:color w:val="000000"/>
      <w:kern w:val="44"/>
      <w:sz w:val="36"/>
      <w:szCs w:val="30"/>
    </w:rPr>
  </w:style>
  <w:style w:type="paragraph" w:styleId="3">
    <w:name w:val="heading 2"/>
    <w:basedOn w:val="1"/>
    <w:next w:val="1"/>
    <w:link w:val="26"/>
    <w:semiHidden/>
    <w:unhideWhenUsed/>
    <w:qFormat/>
    <w:uiPriority w:val="0"/>
    <w:pPr>
      <w:keepNext/>
      <w:keepLines/>
      <w:spacing w:line="360" w:lineRule="auto"/>
      <w:ind w:firstLine="0" w:firstLineChars="0"/>
      <w:jc w:val="left"/>
      <w:outlineLvl w:val="1"/>
    </w:pPr>
    <w:rPr>
      <w:rFonts w:ascii="Cambria" w:hAnsi="Cambria" w:eastAsia="宋体" w:cs="Times New Roman"/>
      <w:b/>
      <w:sz w:val="32"/>
      <w:szCs w:val="32"/>
    </w:rPr>
  </w:style>
  <w:style w:type="paragraph" w:styleId="4">
    <w:name w:val="heading 3"/>
    <w:basedOn w:val="1"/>
    <w:next w:val="1"/>
    <w:link w:val="20"/>
    <w:semiHidden/>
    <w:unhideWhenUsed/>
    <w:qFormat/>
    <w:uiPriority w:val="0"/>
    <w:pPr>
      <w:keepNext/>
      <w:keepLines/>
      <w:spacing w:line="360" w:lineRule="auto"/>
      <w:ind w:firstLine="0" w:firstLineChars="0"/>
      <w:outlineLvl w:val="2"/>
    </w:pPr>
    <w:rPr>
      <w:rFonts w:ascii="Times New Roman" w:hAnsi="Times New Roman" w:eastAsia="宋体" w:cs="Times New Roman"/>
      <w:b/>
      <w:bCs/>
      <w:iCs/>
      <w:snapToGrid w:val="0"/>
      <w:color w:val="000000"/>
      <w:sz w:val="28"/>
      <w:szCs w:val="21"/>
      <w:lang w:val="zh-CN" w:bidi="zh-CN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ind w:firstLine="482" w:firstLineChars="200"/>
      <w:outlineLvl w:val="3"/>
    </w:pPr>
    <w:rPr>
      <w:rFonts w:ascii="Times New Roman" w:hAnsi="Times New Roman" w:eastAsia="宋体" w:cs="宋体"/>
      <w:b/>
      <w:lang w:val="zh-CN" w:bidi="zh-CN"/>
    </w:rPr>
  </w:style>
  <w:style w:type="character" w:default="1" w:styleId="17">
    <w:name w:val="Default Paragraph Font"/>
    <w:autoRedefine/>
    <w:semiHidden/>
    <w:qFormat/>
    <w:uiPriority w:val="0"/>
    <w:rPr>
      <w:rFonts w:ascii="Calibri" w:hAnsi="Calibri" w:eastAsia="宋体"/>
      <w:sz w:val="24"/>
    </w:rPr>
  </w:style>
  <w:style w:type="table" w:default="1" w:styleId="1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qFormat/>
    <w:uiPriority w:val="0"/>
    <w:pPr>
      <w:ind w:firstLine="420" w:firstLineChars="200"/>
    </w:pPr>
  </w:style>
  <w:style w:type="paragraph" w:styleId="7">
    <w:name w:val="caption"/>
    <w:basedOn w:val="1"/>
    <w:next w:val="1"/>
    <w:link w:val="22"/>
    <w:semiHidden/>
    <w:unhideWhenUsed/>
    <w:qFormat/>
    <w:uiPriority w:val="0"/>
    <w:pPr>
      <w:adjustRightInd w:val="0"/>
      <w:snapToGrid w:val="0"/>
      <w:spacing w:line="240" w:lineRule="auto"/>
      <w:ind w:firstLine="0" w:firstLineChars="0"/>
      <w:jc w:val="center"/>
    </w:pPr>
    <w:rPr>
      <w:rFonts w:ascii="Calibri" w:hAnsi="Calibri" w:eastAsia="宋体" w:cs="Times New Roman"/>
      <w:b/>
      <w:sz w:val="21"/>
    </w:rPr>
  </w:style>
  <w:style w:type="paragraph" w:styleId="8">
    <w:name w:val="Body Text"/>
    <w:basedOn w:val="1"/>
    <w:link w:val="23"/>
    <w:autoRedefine/>
    <w:qFormat/>
    <w:uiPriority w:val="0"/>
    <w:pPr>
      <w:widowControl/>
      <w:snapToGrid w:val="0"/>
      <w:spacing w:line="360" w:lineRule="auto"/>
      <w:ind w:right="0" w:firstLine="720" w:firstLineChars="200"/>
    </w:pPr>
    <w:rPr>
      <w:rFonts w:ascii="Times New Roman" w:hAnsi="Times New Roman" w:eastAsia="宋体"/>
      <w:kern w:val="0"/>
      <w:sz w:val="24"/>
      <w:szCs w:val="20"/>
    </w:rPr>
  </w:style>
  <w:style w:type="paragraph" w:styleId="9">
    <w:name w:val="Body Text Indent"/>
    <w:basedOn w:val="1"/>
    <w:autoRedefine/>
    <w:qFormat/>
    <w:uiPriority w:val="0"/>
    <w:pPr>
      <w:spacing w:after="120" w:afterLines="0" w:afterAutospacing="0"/>
      <w:ind w:left="420" w:leftChars="200"/>
    </w:pPr>
  </w:style>
  <w:style w:type="paragraph" w:styleId="10">
    <w:name w:val="Body Text Indent 2"/>
    <w:basedOn w:val="1"/>
    <w:autoRedefine/>
    <w:qFormat/>
    <w:uiPriority w:val="0"/>
    <w:pPr>
      <w:spacing w:line="360" w:lineRule="auto"/>
      <w:ind w:left="0" w:leftChars="0" w:firstLine="482" w:firstLineChars="200"/>
    </w:pPr>
    <w:rPr>
      <w:rFonts w:ascii="Times New Roman" w:hAnsi="Times New Roman" w:cs="宋体"/>
    </w:rPr>
  </w:style>
  <w:style w:type="paragraph" w:styleId="11">
    <w:name w:val="List"/>
    <w:basedOn w:val="1"/>
    <w:autoRedefine/>
    <w:qFormat/>
    <w:uiPriority w:val="0"/>
    <w:pPr>
      <w:ind w:left="200" w:hanging="200" w:hangingChars="200"/>
    </w:pPr>
  </w:style>
  <w:style w:type="paragraph" w:styleId="12">
    <w:name w:val="toc 2"/>
    <w:basedOn w:val="1"/>
    <w:next w:val="1"/>
    <w:qFormat/>
    <w:uiPriority w:val="0"/>
    <w:pPr>
      <w:ind w:left="0" w:leftChars="0"/>
    </w:pPr>
    <w:rPr>
      <w:rFonts w:ascii="Times New Roman" w:hAnsi="Times New Roman" w:cs="Times New Roman"/>
      <w:szCs w:val="21"/>
    </w:rPr>
  </w:style>
  <w:style w:type="paragraph" w:styleId="13">
    <w:name w:val="Body Text 2"/>
    <w:basedOn w:val="1"/>
    <w:qFormat/>
    <w:uiPriority w:val="0"/>
    <w:pPr>
      <w:spacing w:after="120" w:afterLines="0" w:afterAutospacing="0" w:line="480" w:lineRule="auto"/>
    </w:pPr>
  </w:style>
  <w:style w:type="paragraph" w:styleId="14">
    <w:name w:val="Body Text First Indent"/>
    <w:basedOn w:val="8"/>
    <w:autoRedefine/>
    <w:qFormat/>
    <w:uiPriority w:val="0"/>
    <w:pPr>
      <w:ind w:firstLine="420" w:firstLineChars="100"/>
    </w:pPr>
  </w:style>
  <w:style w:type="paragraph" w:styleId="15">
    <w:name w:val="Body Text First Indent 2"/>
    <w:basedOn w:val="9"/>
    <w:qFormat/>
    <w:uiPriority w:val="0"/>
    <w:pPr>
      <w:ind w:firstLine="420" w:firstLineChars="200"/>
    </w:pPr>
  </w:style>
  <w:style w:type="paragraph" w:customStyle="1" w:styleId="18">
    <w:name w:val="表格"/>
    <w:basedOn w:val="11"/>
    <w:next w:val="13"/>
    <w:link w:val="24"/>
    <w:unhideWhenUsed/>
    <w:qFormat/>
    <w:uiPriority w:val="1"/>
    <w:pPr>
      <w:adjustRightInd w:val="0"/>
      <w:snapToGrid w:val="0"/>
      <w:spacing w:line="240" w:lineRule="auto"/>
      <w:ind w:left="0" w:firstLine="0" w:firstLineChars="0"/>
      <w:jc w:val="center"/>
    </w:pPr>
    <w:rPr>
      <w:rFonts w:ascii="Times New Roman" w:hAnsi="Times New Roman" w:eastAsia="宋体"/>
      <w:kern w:val="0"/>
      <w:sz w:val="21"/>
      <w:szCs w:val="20"/>
    </w:rPr>
  </w:style>
  <w:style w:type="paragraph" w:customStyle="1" w:styleId="19">
    <w:name w:val="表头"/>
    <w:basedOn w:val="1"/>
    <w:autoRedefine/>
    <w:qFormat/>
    <w:uiPriority w:val="0"/>
    <w:pPr>
      <w:snapToGrid w:val="0"/>
      <w:spacing w:before="50" w:beforeLines="50" w:after="20"/>
      <w:ind w:left="3171" w:hanging="472" w:hangingChars="472"/>
      <w:jc w:val="center"/>
    </w:pPr>
    <w:rPr>
      <w:rFonts w:ascii="Times New Roman" w:hAnsi="Times New Roman" w:eastAsia="宋体" w:cs="宋体"/>
      <w:b/>
      <w:sz w:val="21"/>
    </w:rPr>
  </w:style>
  <w:style w:type="character" w:customStyle="1" w:styleId="20">
    <w:name w:val="标题 3 Char"/>
    <w:link w:val="4"/>
    <w:autoRedefine/>
    <w:qFormat/>
    <w:uiPriority w:val="0"/>
    <w:rPr>
      <w:rFonts w:ascii="Times New Roman" w:hAnsi="Times New Roman" w:eastAsia="宋体" w:cs="Times New Roman"/>
      <w:b/>
      <w:snapToGrid w:val="0"/>
      <w:color w:val="000000"/>
      <w:kern w:val="2"/>
      <w:sz w:val="28"/>
      <w:szCs w:val="21"/>
      <w:lang w:val="zh-CN" w:bidi="zh-CN"/>
    </w:rPr>
  </w:style>
  <w:style w:type="character" w:customStyle="1" w:styleId="21">
    <w:name w:val="标题 1 Char"/>
    <w:link w:val="2"/>
    <w:qFormat/>
    <w:uiPriority w:val="0"/>
    <w:rPr>
      <w:rFonts w:ascii="Times New Roman" w:hAnsi="Times New Roman" w:eastAsia="宋体" w:cs="Times New Roman"/>
      <w:b/>
      <w:color w:val="000000"/>
      <w:kern w:val="44"/>
      <w:sz w:val="36"/>
      <w:shd w:val="clear" w:color="auto" w:fill="auto"/>
      <w:lang w:val="en-US" w:eastAsia="en-US" w:bidi="en-US"/>
    </w:rPr>
  </w:style>
  <w:style w:type="character" w:customStyle="1" w:styleId="22">
    <w:name w:val="题注 Char"/>
    <w:link w:val="7"/>
    <w:qFormat/>
    <w:uiPriority w:val="0"/>
    <w:rPr>
      <w:rFonts w:ascii="宋体" w:hAnsi="宋体" w:eastAsia="宋体" w:cs="Times New Roman"/>
      <w:b/>
      <w:kern w:val="2"/>
      <w:sz w:val="21"/>
      <w:lang w:val="en-US" w:eastAsia="zh-CN" w:bidi="ar-SA"/>
    </w:rPr>
  </w:style>
  <w:style w:type="character" w:customStyle="1" w:styleId="23">
    <w:name w:val="正文文本 Char"/>
    <w:link w:val="8"/>
    <w:qFormat/>
    <w:locked/>
    <w:uiPriority w:val="0"/>
    <w:rPr>
      <w:rFonts w:ascii="Times New Roman" w:hAnsi="Times New Roman" w:eastAsia="宋体"/>
      <w:sz w:val="24"/>
    </w:rPr>
  </w:style>
  <w:style w:type="character" w:customStyle="1" w:styleId="24">
    <w:name w:val="表格 Char"/>
    <w:link w:val="18"/>
    <w:qFormat/>
    <w:locked/>
    <w:uiPriority w:val="0"/>
    <w:rPr>
      <w:rFonts w:ascii="Times New Roman" w:hAnsi="Times New Roman" w:eastAsia="宋体"/>
      <w:sz w:val="21"/>
    </w:rPr>
  </w:style>
  <w:style w:type="character" w:customStyle="1" w:styleId="25">
    <w:name w:val="NormalCharacter"/>
    <w:link w:val="1"/>
    <w:semiHidden/>
    <w:qFormat/>
    <w:uiPriority w:val="0"/>
    <w:rPr>
      <w:rFonts w:ascii="Times New Roman" w:hAnsi="Times New Roman" w:eastAsia="宋体" w:cs="Times New Roman"/>
      <w:kern w:val="2"/>
      <w:sz w:val="28"/>
      <w:szCs w:val="24"/>
      <w:lang w:val="en-US" w:eastAsia="zh-CN" w:bidi="ar-SA"/>
    </w:rPr>
  </w:style>
  <w:style w:type="character" w:customStyle="1" w:styleId="26">
    <w:name w:val="标题 2 Char2"/>
    <w:link w:val="3"/>
    <w:autoRedefine/>
    <w:qFormat/>
    <w:uiPriority w:val="0"/>
    <w:rPr>
      <w:rFonts w:ascii="Cambria" w:hAnsi="Cambria" w:eastAsia="宋体" w:cs="Times New Roman"/>
      <w:b/>
      <w:bCs/>
      <w:kern w:val="2"/>
      <w:sz w:val="32"/>
      <w:szCs w:val="32"/>
      <w:lang w:val="zh-CN" w:eastAsia="zh-CN" w:bidi="zh-CN"/>
    </w:rPr>
  </w:style>
  <w:style w:type="paragraph" w:customStyle="1" w:styleId="27">
    <w:name w:val="表格标题"/>
    <w:basedOn w:val="1"/>
    <w:qFormat/>
    <w:uiPriority w:val="0"/>
    <w:pPr>
      <w:spacing w:line="240" w:lineRule="auto"/>
      <w:ind w:firstLine="0" w:firstLineChars="0"/>
      <w:jc w:val="center"/>
    </w:pPr>
    <w:rPr>
      <w:rFonts w:hint="eastAsia"/>
      <w:b/>
    </w:rPr>
  </w:style>
  <w:style w:type="paragraph" w:customStyle="1" w:styleId="28">
    <w:name w:val="普通(网站) Char"/>
    <w:basedOn w:val="1"/>
    <w:autoRedefine/>
    <w:uiPriority w:val="0"/>
    <w:pPr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29">
    <w:name w:val="Default"/>
    <w:qFormat/>
    <w:uiPriority w:val="0"/>
    <w:pPr>
      <w:widowControl w:val="0"/>
      <w:autoSpaceDE w:val="0"/>
      <w:autoSpaceDN w:val="0"/>
      <w:adjustRightInd w:val="0"/>
    </w:pPr>
    <w:rPr>
      <w:rFonts w:hint="eastAsia" w:ascii="宋体" w:hAnsi="Times New Roman" w:eastAsia="宋体" w:cs="Times New Roman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user</dc:creator>
  <cp:lastModifiedBy>Iris</cp:lastModifiedBy>
  <dcterms:modified xsi:type="dcterms:W3CDTF">2024-01-17T10:30:15Z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38AD15CFE3EB40F2B6C4B98D55AF4F0B</vt:lpwstr>
  </property>
</Properties>
</file>